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A7A052" w14:textId="77777777" w:rsidR="00E714F5" w:rsidRDefault="00E714F5"/>
    <w:tbl>
      <w:tblPr>
        <w:tblStyle w:val="TableGrid"/>
        <w:tblW w:w="8897" w:type="dxa"/>
        <w:tblLayout w:type="fixed"/>
        <w:tblLook w:val="04A0" w:firstRow="1" w:lastRow="0" w:firstColumn="1" w:lastColumn="0" w:noHBand="0" w:noVBand="1"/>
      </w:tblPr>
      <w:tblGrid>
        <w:gridCol w:w="8897"/>
      </w:tblGrid>
      <w:tr w:rsidR="00E714F5" w:rsidRPr="005949BE" w14:paraId="63A7A054" w14:textId="77777777" w:rsidTr="00B716C3">
        <w:tc>
          <w:tcPr>
            <w:tcW w:w="8897" w:type="dxa"/>
            <w:shd w:val="clear" w:color="auto" w:fill="BFBFBF" w:themeFill="background1" w:themeFillShade="BF"/>
          </w:tcPr>
          <w:p w14:paraId="63A7A053" w14:textId="77777777" w:rsidR="00E714F5" w:rsidRPr="00E714F5" w:rsidRDefault="00E714F5" w:rsidP="005A4DD1">
            <w:pPr>
              <w:rPr>
                <w:b/>
                <w:sz w:val="24"/>
                <w:szCs w:val="24"/>
              </w:rPr>
            </w:pPr>
            <w:r w:rsidRPr="00E714F5">
              <w:rPr>
                <w:b/>
                <w:sz w:val="24"/>
                <w:szCs w:val="24"/>
              </w:rPr>
              <w:t>Preguntas de interés sobre el trámite de autorización de nuevos emisores de valores</w:t>
            </w:r>
          </w:p>
        </w:tc>
      </w:tr>
      <w:tr w:rsidR="00E714F5" w:rsidRPr="005949BE" w14:paraId="63A7A057" w14:textId="77777777" w:rsidTr="00B716C3">
        <w:tc>
          <w:tcPr>
            <w:tcW w:w="8897" w:type="dxa"/>
            <w:shd w:val="clear" w:color="auto" w:fill="BFBFBF" w:themeFill="background1" w:themeFillShade="BF"/>
          </w:tcPr>
          <w:p w14:paraId="63A7A055" w14:textId="77777777" w:rsidR="00E714F5" w:rsidRDefault="00E714F5" w:rsidP="005A4DD1">
            <w:pPr>
              <w:rPr>
                <w:b/>
              </w:rPr>
            </w:pPr>
          </w:p>
          <w:p w14:paraId="63A7A056" w14:textId="77777777" w:rsidR="00E714F5" w:rsidRPr="00E2108B" w:rsidRDefault="00E714F5" w:rsidP="005A4DD1">
            <w:pPr>
              <w:rPr>
                <w:b/>
              </w:rPr>
            </w:pPr>
            <w:r>
              <w:rPr>
                <w:b/>
              </w:rPr>
              <w:t>¿En qué consiste el pr</w:t>
            </w:r>
            <w:r w:rsidRPr="00E2108B">
              <w:rPr>
                <w:b/>
              </w:rPr>
              <w:t xml:space="preserve">ocedimiento </w:t>
            </w:r>
            <w:r>
              <w:rPr>
                <w:b/>
              </w:rPr>
              <w:t>de</w:t>
            </w:r>
            <w:r w:rsidRPr="00E2108B">
              <w:rPr>
                <w:b/>
              </w:rPr>
              <w:t xml:space="preserve"> autorización de nuevos emisores</w:t>
            </w:r>
            <w:r>
              <w:rPr>
                <w:b/>
              </w:rPr>
              <w:t>?</w:t>
            </w:r>
          </w:p>
        </w:tc>
      </w:tr>
      <w:tr w:rsidR="00E714F5" w:rsidRPr="005949BE" w14:paraId="63A7A05D" w14:textId="77777777" w:rsidTr="00B716C3">
        <w:tc>
          <w:tcPr>
            <w:tcW w:w="8897" w:type="dxa"/>
          </w:tcPr>
          <w:p w14:paraId="63A7A058" w14:textId="77777777" w:rsidR="00E714F5" w:rsidRDefault="00E714F5" w:rsidP="005A4DD1">
            <w:pPr>
              <w:jc w:val="both"/>
            </w:pPr>
            <w:r>
              <w:t xml:space="preserve">La documentación que forma parte de la solicitud de inscripción es analizada en forma conjunta por el Departamento de Oferta Pública y la División de Asesoría Jurídica de la Superintendencia con el fin de verificar la presentación de todos los requisitos establecidos en la normativa,  revisar que exista consistencia de la información en los documentos aportados y  determinar si es necesario solicitar revelaciones adicionales en temas relevantes para los inversionistas. </w:t>
            </w:r>
          </w:p>
          <w:p w14:paraId="63A7A059" w14:textId="77777777" w:rsidR="00E714F5" w:rsidRPr="001A75B8" w:rsidRDefault="00E714F5" w:rsidP="005A4DD1">
            <w:pPr>
              <w:jc w:val="both"/>
            </w:pPr>
            <w:r>
              <w:t>En caso de que existan aspectos que deban subsanarse, estos se le comunican al solicitante para que proceda a realizar los ajustes respectivos y a remitir los documentos corregidos en un plazo máximo de 10 días hábiles. Si la empresa</w:t>
            </w:r>
            <w:r w:rsidRPr="001A75B8">
              <w:t xml:space="preserve"> no cumple en forma completa y correctamente con la prevención, la Superintendencia p</w:t>
            </w:r>
            <w:r>
              <w:t>odrá remitir un nuevo informe de observaciones</w:t>
            </w:r>
            <w:r w:rsidRPr="001A75B8">
              <w:t>,</w:t>
            </w:r>
            <w:r>
              <w:t xml:space="preserve"> siempre y cuando dichas</w:t>
            </w:r>
            <w:r w:rsidRPr="001A75B8">
              <w:t xml:space="preserve"> observaciones se deriven de las que fueron comunicadas inicialmente o de información que no había sido aportada.  Si el solicitante no cumple en esta segunda ocasión, la solicitud </w:t>
            </w:r>
            <w:r>
              <w:t xml:space="preserve">de inscripción </w:t>
            </w:r>
            <w:r w:rsidRPr="001A75B8">
              <w:t xml:space="preserve">se deniega.  </w:t>
            </w:r>
          </w:p>
          <w:p w14:paraId="63A7A05A" w14:textId="77777777" w:rsidR="00E714F5" w:rsidRDefault="00E714F5" w:rsidP="005A4DD1">
            <w:pPr>
              <w:jc w:val="both"/>
            </w:pPr>
            <w:r>
              <w:t>Una vez que las observaciones han sido atendidas a satisfacción, el Superintendente emite la Resolución de autorización de inscripción de las emisiones, la cual queda condicionada a la presentación de ciertos requisitos finales, tales como la versión final del prospecto firmado digitalmente por el representante legal de la entidad emisora y el original de la documentación legal  remitida para el proceso de autorización debidamente suscrita.</w:t>
            </w:r>
          </w:p>
          <w:p w14:paraId="63A7A05B" w14:textId="77777777" w:rsidR="00E714F5" w:rsidRDefault="00E714F5" w:rsidP="005A4DD1">
            <w:pPr>
              <w:jc w:val="both"/>
            </w:pPr>
            <w:r>
              <w:t>Aportados los documentos finales requeridos en la Resolución de autorización, la Superintendencia procede a emitir la carta de cumplimiento de requisitos y a registrar las emisiones en el Registro Nacional de Valores e Intermediarios, a partir de lo cual el emisor podrá realizar la oferta pública.</w:t>
            </w:r>
          </w:p>
          <w:p w14:paraId="63A7A05C" w14:textId="77777777" w:rsidR="00E714F5" w:rsidRPr="001545B2" w:rsidRDefault="00E714F5" w:rsidP="005A4DD1">
            <w:pPr>
              <w:jc w:val="both"/>
            </w:pPr>
          </w:p>
        </w:tc>
      </w:tr>
      <w:tr w:rsidR="00E714F5" w:rsidRPr="005949BE" w14:paraId="63A7A05F" w14:textId="77777777" w:rsidTr="00B716C3">
        <w:tc>
          <w:tcPr>
            <w:tcW w:w="8897" w:type="dxa"/>
            <w:shd w:val="clear" w:color="auto" w:fill="D9D9D9" w:themeFill="background1" w:themeFillShade="D9"/>
          </w:tcPr>
          <w:p w14:paraId="63A7A05E" w14:textId="77777777" w:rsidR="00E714F5" w:rsidRPr="00E2108B" w:rsidRDefault="00E714F5" w:rsidP="005A4DD1">
            <w:pPr>
              <w:rPr>
                <w:b/>
              </w:rPr>
            </w:pPr>
            <w:r>
              <w:rPr>
                <w:b/>
              </w:rPr>
              <w:t>¿De qué forma me van a comunicar las observaciones producto de un trámite de autorización?</w:t>
            </w:r>
          </w:p>
        </w:tc>
      </w:tr>
      <w:tr w:rsidR="00E714F5" w:rsidRPr="00E714F5" w14:paraId="63A7A066" w14:textId="77777777" w:rsidTr="00B716C3">
        <w:tc>
          <w:tcPr>
            <w:tcW w:w="8897" w:type="dxa"/>
          </w:tcPr>
          <w:p w14:paraId="63A7A060" w14:textId="77777777" w:rsidR="00E714F5" w:rsidRDefault="00E714F5" w:rsidP="005A4DD1">
            <w:pPr>
              <w:jc w:val="both"/>
            </w:pPr>
          </w:p>
          <w:p w14:paraId="63A7A061" w14:textId="77777777" w:rsidR="00E714F5" w:rsidRDefault="00E714F5" w:rsidP="005A4DD1">
            <w:pPr>
              <w:jc w:val="both"/>
            </w:pPr>
            <w:r>
              <w:t xml:space="preserve">Esta Superintendencia pone a disposición de los potenciales emisores dos mecanismos:  </w:t>
            </w:r>
          </w:p>
          <w:p w14:paraId="63A7A062" w14:textId="77777777" w:rsidR="00E714F5" w:rsidRDefault="00E714F5" w:rsidP="005A4DD1">
            <w:pPr>
              <w:jc w:val="both"/>
            </w:pPr>
          </w:p>
          <w:p w14:paraId="63A7A063" w14:textId="77777777" w:rsidR="00E714F5" w:rsidRDefault="00E714F5" w:rsidP="005A4DD1">
            <w:pPr>
              <w:pStyle w:val="ListParagraph"/>
              <w:numPr>
                <w:ilvl w:val="0"/>
                <w:numId w:val="2"/>
              </w:numPr>
              <w:jc w:val="both"/>
            </w:pPr>
            <w:r>
              <w:t xml:space="preserve">Uno de ellos consiste en la comunicación de las observaciones únicamente por escrito mediante la remisión de un informe detallado al emisor. </w:t>
            </w:r>
          </w:p>
          <w:p w14:paraId="63A7A064" w14:textId="77777777" w:rsidR="00E714F5" w:rsidRDefault="00E714F5" w:rsidP="00E714F5">
            <w:pPr>
              <w:pStyle w:val="ListParagraph"/>
              <w:numPr>
                <w:ilvl w:val="0"/>
                <w:numId w:val="2"/>
              </w:numPr>
              <w:jc w:val="both"/>
            </w:pPr>
            <w:r>
              <w:t xml:space="preserve">El otro mecanismo comprende la realización de una reunión con el solicitante para  explicarle las observaciones junto con la remisión de un informe escrito muy puntual que incluye el resumen de las observaciones discutidas en la reunión.  En este caso, se requiere que el representante legal de la entidad indique en forma expresa en la solicitud su deseo de que se le entreguen las observaciones por este medio. Con este mecanismo se pretende agilizar el trámite y aprovechar la celebración de la reunión para aclarar las dudas que pueda tener el potencial emisor sobre los ajustes solicitados por la Superintendencia. </w:t>
            </w:r>
            <w:r w:rsidRPr="00A730E7">
              <w:t>El siguiente documento contiene el formato de solicitud que se puede utilizar en caso de elegir este mecanismo.</w:t>
            </w:r>
          </w:p>
          <w:bookmarkStart w:id="0" w:name="_MON_1505652661"/>
          <w:bookmarkEnd w:id="0"/>
          <w:p w14:paraId="63A7A065" w14:textId="77777777" w:rsidR="00E714F5" w:rsidRPr="001545B2" w:rsidRDefault="00B716C3" w:rsidP="00E714F5">
            <w:pPr>
              <w:jc w:val="center"/>
            </w:pPr>
            <w:r>
              <w:rPr>
                <w:lang w:val="en-US"/>
              </w:rPr>
              <w:object w:dxaOrig="1531" w:dyaOrig="1002" w14:anchorId="63A7A0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50.25pt" o:ole="">
                  <v:imagedata r:id="rId10" o:title=""/>
                </v:shape>
                <o:OLEObject Type="Embed" ProgID="Word.Document.12" ShapeID="_x0000_i1025" DrawAspect="Icon" ObjectID="_1524314427" r:id="rId11">
                  <o:FieldCodes>\s</o:FieldCodes>
                </o:OLEObject>
              </w:object>
            </w:r>
            <w:r w:rsidR="00E714F5">
              <w:t xml:space="preserve">                                                                                                                                                                  </w:t>
            </w:r>
          </w:p>
        </w:tc>
      </w:tr>
      <w:tr w:rsidR="00E714F5" w:rsidRPr="005949BE" w14:paraId="63A7A068" w14:textId="77777777" w:rsidTr="00B716C3">
        <w:tc>
          <w:tcPr>
            <w:tcW w:w="8897" w:type="dxa"/>
            <w:shd w:val="clear" w:color="auto" w:fill="D9D9D9" w:themeFill="background1" w:themeFillShade="D9"/>
          </w:tcPr>
          <w:p w14:paraId="63A7A067" w14:textId="77777777" w:rsidR="00E714F5" w:rsidRPr="00AC090A" w:rsidRDefault="00E714F5" w:rsidP="005A4DD1">
            <w:pPr>
              <w:jc w:val="both"/>
              <w:rPr>
                <w:b/>
              </w:rPr>
            </w:pPr>
            <w:r w:rsidRPr="00AC090A">
              <w:rPr>
                <w:b/>
              </w:rPr>
              <w:t>¿Cuáles son los medios para presentar la documentación en un trámite de inscripción de nuevo emisor?</w:t>
            </w:r>
          </w:p>
        </w:tc>
      </w:tr>
      <w:tr w:rsidR="00E714F5" w:rsidRPr="005949BE" w14:paraId="63A7A071" w14:textId="77777777" w:rsidTr="00B716C3">
        <w:tc>
          <w:tcPr>
            <w:tcW w:w="8897" w:type="dxa"/>
          </w:tcPr>
          <w:p w14:paraId="63A7A069" w14:textId="77777777" w:rsidR="00E714F5" w:rsidRDefault="00E714F5" w:rsidP="005A4DD1">
            <w:pPr>
              <w:jc w:val="both"/>
              <w:rPr>
                <w:rFonts w:ascii="Calibri" w:eastAsia="Times New Roman" w:hAnsi="Calibri" w:cs="Calibri"/>
                <w:color w:val="000000"/>
                <w:lang w:eastAsia="es-CR"/>
              </w:rPr>
            </w:pPr>
          </w:p>
          <w:p w14:paraId="63A7A06A" w14:textId="77777777" w:rsidR="00E714F5" w:rsidRDefault="00E714F5" w:rsidP="005A4DD1">
            <w:pPr>
              <w:jc w:val="both"/>
              <w:rPr>
                <w:rFonts w:ascii="Calibri" w:eastAsia="Times New Roman" w:hAnsi="Calibri" w:cs="Calibri"/>
                <w:color w:val="000000"/>
                <w:lang w:eastAsia="es-CR"/>
              </w:rPr>
            </w:pPr>
            <w:r w:rsidRPr="007F02D4">
              <w:rPr>
                <w:rFonts w:ascii="Calibri" w:eastAsia="Times New Roman" w:hAnsi="Calibri" w:cs="Calibri"/>
                <w:color w:val="000000"/>
                <w:lang w:eastAsia="es-CR"/>
              </w:rPr>
              <w:t>Según el acuerdo SGV-A-182</w:t>
            </w:r>
            <w:r>
              <w:rPr>
                <w:rFonts w:ascii="Calibri" w:eastAsia="Times New Roman" w:hAnsi="Calibri" w:cs="Calibri"/>
                <w:color w:val="000000"/>
                <w:lang w:eastAsia="es-CR"/>
              </w:rPr>
              <w:t xml:space="preserve"> (</w:t>
            </w:r>
            <w:r w:rsidRPr="007F02D4">
              <w:rPr>
                <w:rFonts w:ascii="Calibri" w:eastAsia="Times New Roman" w:hAnsi="Calibri" w:cs="Calibri"/>
                <w:i/>
                <w:color w:val="000000"/>
                <w:lang w:eastAsia="es-CR"/>
              </w:rPr>
              <w:t>Instrucciones para la remisión de prospectos de entidades emisoras y documentos relacionados</w:t>
            </w:r>
            <w:r>
              <w:rPr>
                <w:rFonts w:ascii="Calibri" w:eastAsia="Times New Roman" w:hAnsi="Calibri" w:cs="Calibri"/>
                <w:i/>
                <w:color w:val="000000"/>
                <w:lang w:eastAsia="es-CR"/>
              </w:rPr>
              <w:t>)</w:t>
            </w:r>
            <w:r w:rsidRPr="007F02D4">
              <w:rPr>
                <w:rFonts w:ascii="Calibri" w:eastAsia="Times New Roman" w:hAnsi="Calibri" w:cs="Calibri"/>
                <w:color w:val="000000"/>
                <w:lang w:eastAsia="es-CR"/>
              </w:rPr>
              <w:t xml:space="preserve"> los nuevos emisores podrán presentar la información</w:t>
            </w:r>
            <w:r>
              <w:rPr>
                <w:rFonts w:ascii="Calibri" w:eastAsia="Times New Roman" w:hAnsi="Calibri" w:cs="Calibri"/>
                <w:color w:val="000000"/>
                <w:lang w:eastAsia="es-CR"/>
              </w:rPr>
              <w:t xml:space="preserve"> mediante:</w:t>
            </w:r>
          </w:p>
          <w:p w14:paraId="63A7A06B" w14:textId="77777777" w:rsidR="00E714F5" w:rsidRDefault="00E714F5" w:rsidP="005A4DD1">
            <w:pPr>
              <w:jc w:val="both"/>
              <w:rPr>
                <w:rFonts w:ascii="Calibri" w:eastAsia="Times New Roman" w:hAnsi="Calibri" w:cs="Calibri"/>
                <w:color w:val="000000"/>
                <w:lang w:eastAsia="es-CR"/>
              </w:rPr>
            </w:pPr>
          </w:p>
          <w:p w14:paraId="63A7A06C" w14:textId="77777777" w:rsidR="00E714F5" w:rsidRDefault="00E714F5" w:rsidP="005A4DD1">
            <w:pPr>
              <w:pStyle w:val="ListParagraph"/>
              <w:numPr>
                <w:ilvl w:val="0"/>
                <w:numId w:val="1"/>
              </w:numPr>
              <w:tabs>
                <w:tab w:val="left" w:pos="258"/>
              </w:tabs>
              <w:ind w:left="0" w:firstLine="0"/>
              <w:jc w:val="both"/>
              <w:rPr>
                <w:rFonts w:ascii="Calibri" w:eastAsia="Times New Roman" w:hAnsi="Calibri" w:cs="Calibri"/>
                <w:color w:val="000000"/>
                <w:lang w:eastAsia="es-CR"/>
              </w:rPr>
            </w:pPr>
            <w:r>
              <w:rPr>
                <w:rFonts w:ascii="Calibri" w:eastAsia="Times New Roman" w:hAnsi="Calibri" w:cs="Calibri"/>
                <w:color w:val="000000"/>
                <w:lang w:eastAsia="es-CR"/>
              </w:rPr>
              <w:t>F</w:t>
            </w:r>
            <w:r w:rsidRPr="007F02D4">
              <w:rPr>
                <w:rFonts w:ascii="Calibri" w:eastAsia="Times New Roman" w:hAnsi="Calibri" w:cs="Calibri"/>
                <w:color w:val="000000"/>
                <w:lang w:eastAsia="es-CR"/>
              </w:rPr>
              <w:t>ormato físico o en un dispositivo de almacenamiento de datos, cuando se entregue en las instalaciones de la SUGEVAL.</w:t>
            </w:r>
          </w:p>
          <w:p w14:paraId="63A7A06D" w14:textId="77777777" w:rsidR="00E714F5" w:rsidRPr="007F02D4" w:rsidRDefault="00E714F5" w:rsidP="00E714F5">
            <w:pPr>
              <w:pStyle w:val="ListParagraph"/>
              <w:tabs>
                <w:tab w:val="left" w:pos="258"/>
              </w:tabs>
              <w:ind w:left="0"/>
              <w:jc w:val="both"/>
              <w:rPr>
                <w:rFonts w:ascii="Calibri" w:eastAsia="Times New Roman" w:hAnsi="Calibri" w:cs="Calibri"/>
                <w:color w:val="000000"/>
                <w:lang w:eastAsia="es-CR"/>
              </w:rPr>
            </w:pPr>
          </w:p>
          <w:p w14:paraId="63A7A06E" w14:textId="77777777" w:rsidR="00E714F5" w:rsidRPr="00AC090A" w:rsidRDefault="00E714F5" w:rsidP="005A4DD1">
            <w:pPr>
              <w:pStyle w:val="ListParagraph"/>
              <w:numPr>
                <w:ilvl w:val="0"/>
                <w:numId w:val="1"/>
              </w:numPr>
              <w:tabs>
                <w:tab w:val="left" w:pos="279"/>
              </w:tabs>
              <w:ind w:left="0" w:firstLine="0"/>
              <w:jc w:val="both"/>
              <w:rPr>
                <w:rFonts w:ascii="Calibri" w:eastAsia="Times New Roman" w:hAnsi="Calibri" w:cs="Calibri"/>
                <w:color w:val="000000"/>
                <w:lang w:eastAsia="es-CR"/>
              </w:rPr>
            </w:pPr>
            <w:r w:rsidRPr="007F02D4">
              <w:rPr>
                <w:rFonts w:ascii="Calibri" w:eastAsia="Times New Roman" w:hAnsi="Calibri" w:cs="Calibri"/>
                <w:color w:val="000000"/>
                <w:lang w:eastAsia="es-CR"/>
              </w:rPr>
              <w:t xml:space="preserve">Por correo electrónico a la dirección </w:t>
            </w:r>
            <w:hyperlink r:id="rId12" w:history="1">
              <w:r w:rsidRPr="00AC090A">
                <w:rPr>
                  <w:color w:val="000000"/>
                  <w:lang w:eastAsia="es-CR"/>
                </w:rPr>
                <w:t>correo@sugeval.fi.cr</w:t>
              </w:r>
            </w:hyperlink>
          </w:p>
          <w:p w14:paraId="63A7A06F" w14:textId="77777777" w:rsidR="00E714F5" w:rsidRDefault="00E714F5" w:rsidP="005A4DD1">
            <w:pPr>
              <w:tabs>
                <w:tab w:val="left" w:pos="279"/>
              </w:tabs>
              <w:jc w:val="both"/>
              <w:rPr>
                <w:rFonts w:ascii="Calibri" w:eastAsia="Times New Roman" w:hAnsi="Calibri" w:cs="Calibri"/>
                <w:color w:val="000000"/>
                <w:lang w:eastAsia="es-CR"/>
              </w:rPr>
            </w:pPr>
            <w:r>
              <w:rPr>
                <w:rFonts w:ascii="Calibri" w:eastAsia="Times New Roman" w:hAnsi="Calibri" w:cs="Calibri"/>
                <w:color w:val="000000"/>
                <w:lang w:eastAsia="es-CR"/>
              </w:rPr>
              <w:t>Independientemente del medio de envío, la solicitud y el borrador del prospecto deberán presentarse en formato Microsoft Word (.</w:t>
            </w:r>
            <w:proofErr w:type="spellStart"/>
            <w:r>
              <w:rPr>
                <w:rFonts w:ascii="Calibri" w:eastAsia="Times New Roman" w:hAnsi="Calibri" w:cs="Calibri"/>
                <w:color w:val="000000"/>
                <w:lang w:eastAsia="es-CR"/>
              </w:rPr>
              <w:t>docx</w:t>
            </w:r>
            <w:proofErr w:type="spellEnd"/>
            <w:r>
              <w:rPr>
                <w:rFonts w:ascii="Calibri" w:eastAsia="Times New Roman" w:hAnsi="Calibri" w:cs="Calibri"/>
                <w:color w:val="000000"/>
                <w:lang w:eastAsia="es-CR"/>
              </w:rPr>
              <w:t>, versión 2010 o superior). L</w:t>
            </w:r>
            <w:r w:rsidRPr="00AC090A">
              <w:rPr>
                <w:rFonts w:ascii="Calibri" w:eastAsia="Times New Roman" w:hAnsi="Calibri" w:cs="Calibri"/>
                <w:color w:val="000000"/>
                <w:lang w:eastAsia="es-CR"/>
              </w:rPr>
              <w:t xml:space="preserve">os documentos que se </w:t>
            </w:r>
            <w:r>
              <w:rPr>
                <w:rFonts w:ascii="Calibri" w:eastAsia="Times New Roman" w:hAnsi="Calibri" w:cs="Calibri"/>
                <w:color w:val="000000"/>
                <w:lang w:eastAsia="es-CR"/>
              </w:rPr>
              <w:t xml:space="preserve">remitan </w:t>
            </w:r>
            <w:r w:rsidRPr="00AC090A">
              <w:rPr>
                <w:rFonts w:ascii="Calibri" w:eastAsia="Times New Roman" w:hAnsi="Calibri" w:cs="Calibri"/>
                <w:color w:val="000000"/>
                <w:lang w:eastAsia="es-CR"/>
              </w:rPr>
              <w:t>en formato electrónico deben estar suscritos digitalmente por el representante legal de la entidad emisora</w:t>
            </w:r>
            <w:r>
              <w:rPr>
                <w:rFonts w:ascii="Calibri" w:eastAsia="Times New Roman" w:hAnsi="Calibri" w:cs="Calibri"/>
                <w:color w:val="000000"/>
                <w:lang w:eastAsia="es-CR"/>
              </w:rPr>
              <w:t>.</w:t>
            </w:r>
          </w:p>
          <w:p w14:paraId="63A7A070" w14:textId="77777777" w:rsidR="00E714F5" w:rsidRPr="001545B2" w:rsidRDefault="00E714F5" w:rsidP="005A4DD1">
            <w:pPr>
              <w:tabs>
                <w:tab w:val="left" w:pos="279"/>
              </w:tabs>
              <w:jc w:val="both"/>
            </w:pPr>
          </w:p>
        </w:tc>
      </w:tr>
      <w:tr w:rsidR="00E714F5" w:rsidRPr="005949BE" w14:paraId="63A7A073" w14:textId="77777777" w:rsidTr="00B716C3">
        <w:tc>
          <w:tcPr>
            <w:tcW w:w="8897" w:type="dxa"/>
            <w:shd w:val="clear" w:color="auto" w:fill="D9D9D9" w:themeFill="background1" w:themeFillShade="D9"/>
          </w:tcPr>
          <w:p w14:paraId="63A7A072" w14:textId="77777777" w:rsidR="00E714F5" w:rsidRPr="00C148EF" w:rsidRDefault="00E714F5" w:rsidP="005A4DD1">
            <w:pPr>
              <w:rPr>
                <w:b/>
              </w:rPr>
            </w:pPr>
            <w:r>
              <w:rPr>
                <w:b/>
              </w:rPr>
              <w:t>¿Cuáles factores podrían incidir en el plazo de autorización de las emisiones?</w:t>
            </w:r>
          </w:p>
        </w:tc>
      </w:tr>
      <w:tr w:rsidR="00E714F5" w:rsidRPr="005949BE" w14:paraId="63A7A079" w14:textId="77777777" w:rsidTr="00B716C3">
        <w:tc>
          <w:tcPr>
            <w:tcW w:w="8897" w:type="dxa"/>
            <w:shd w:val="clear" w:color="auto" w:fill="FFFFFF" w:themeFill="background1"/>
          </w:tcPr>
          <w:p w14:paraId="63A7A074" w14:textId="77777777" w:rsidR="00E714F5" w:rsidRDefault="00E714F5" w:rsidP="005A4DD1">
            <w:pPr>
              <w:jc w:val="both"/>
            </w:pPr>
          </w:p>
          <w:p w14:paraId="63A7A075" w14:textId="77777777" w:rsidR="00E714F5" w:rsidRPr="00A52FB7" w:rsidRDefault="00E714F5" w:rsidP="005A4DD1">
            <w:pPr>
              <w:jc w:val="both"/>
            </w:pPr>
            <w:r w:rsidRPr="00A52FB7">
              <w:t xml:space="preserve">Esta Superintendencia ha realizado esfuerzos por agilizar los trámites de autorización; sin embargo, en general se ha identificado que aquellos casos en los que no se presenta la documentación completa junto a la solicitud de inscripción, requieren de un mayor plazo para autorizarse producto de los reprocesos que se generan a nivel de la Superintendencia cuando se remiten los documentos que estaban pendientes. Lo anterior por cuanto es necesario verificar que los nuevos documentos no afecten el contenido o las revelaciones de los que sí </w:t>
            </w:r>
            <w:proofErr w:type="gramStart"/>
            <w:r w:rsidRPr="00A52FB7">
              <w:t>fueron</w:t>
            </w:r>
            <w:proofErr w:type="gramEnd"/>
            <w:r w:rsidRPr="00A52FB7">
              <w:t xml:space="preserve"> aportados originalmente</w:t>
            </w:r>
            <w:r>
              <w:t>.</w:t>
            </w:r>
          </w:p>
          <w:p w14:paraId="63A7A076" w14:textId="77777777" w:rsidR="00E714F5" w:rsidRPr="00A52FB7" w:rsidRDefault="00E714F5" w:rsidP="005A4DD1">
            <w:pPr>
              <w:jc w:val="both"/>
            </w:pPr>
          </w:p>
          <w:p w14:paraId="63A7A077" w14:textId="77777777" w:rsidR="00E714F5" w:rsidRDefault="00E714F5" w:rsidP="005A4DD1">
            <w:pPr>
              <w:jc w:val="both"/>
            </w:pPr>
            <w:r w:rsidRPr="00A52FB7">
              <w:t>De esta forma, un trámite puede ser más expedito en tanto la documentación se presente completa desde el inicio y la información que contenga sea consistente</w:t>
            </w:r>
            <w:r>
              <w:t xml:space="preserve"> </w:t>
            </w:r>
            <w:r w:rsidRPr="00A52FB7">
              <w:t>en</w:t>
            </w:r>
            <w:r>
              <w:t xml:space="preserve"> los diferentes requisitos</w:t>
            </w:r>
            <w:r w:rsidRPr="00A52FB7">
              <w:t>.</w:t>
            </w:r>
          </w:p>
          <w:p w14:paraId="63A7A078" w14:textId="77777777" w:rsidR="00E714F5" w:rsidRPr="00C148EF" w:rsidRDefault="00E714F5" w:rsidP="005A4DD1">
            <w:pPr>
              <w:jc w:val="both"/>
              <w:rPr>
                <w:b/>
              </w:rPr>
            </w:pPr>
          </w:p>
        </w:tc>
      </w:tr>
      <w:tr w:rsidR="00E714F5" w:rsidRPr="005949BE" w14:paraId="63A7A07B" w14:textId="77777777" w:rsidTr="00B716C3">
        <w:tc>
          <w:tcPr>
            <w:tcW w:w="8897" w:type="dxa"/>
            <w:shd w:val="clear" w:color="auto" w:fill="D9D9D9" w:themeFill="background1" w:themeFillShade="D9"/>
          </w:tcPr>
          <w:p w14:paraId="63A7A07A" w14:textId="77777777" w:rsidR="00E714F5" w:rsidRPr="00C148EF" w:rsidRDefault="00E714F5" w:rsidP="005A4DD1">
            <w:pPr>
              <w:rPr>
                <w:b/>
              </w:rPr>
            </w:pPr>
            <w:r w:rsidRPr="00C148EF">
              <w:rPr>
                <w:b/>
              </w:rPr>
              <w:t>Información acerca de contactos del Departamento de Oferta Pública</w:t>
            </w:r>
          </w:p>
        </w:tc>
      </w:tr>
      <w:tr w:rsidR="00E714F5" w:rsidRPr="002A0342" w14:paraId="63A7A0A9" w14:textId="77777777" w:rsidTr="00B716C3">
        <w:trPr>
          <w:trHeight w:val="2307"/>
        </w:trPr>
        <w:tc>
          <w:tcPr>
            <w:tcW w:w="8897" w:type="dxa"/>
          </w:tcPr>
          <w:p w14:paraId="63A7A07C" w14:textId="77777777" w:rsidR="00E714F5" w:rsidRDefault="002A0342" w:rsidP="005A4DD1">
            <w:r>
              <w:t>Cualquier consulta acerca del trámite de autorización puede realizarla a los teléfonos:</w:t>
            </w:r>
          </w:p>
          <w:p w14:paraId="63A7A07D" w14:textId="77777777" w:rsidR="00B60293" w:rsidRDefault="00B60293" w:rsidP="005A4DD1"/>
          <w:tbl>
            <w:tblPr>
              <w:tblW w:w="4460" w:type="dxa"/>
              <w:tblLayout w:type="fixed"/>
              <w:tblCellMar>
                <w:left w:w="70" w:type="dxa"/>
                <w:right w:w="70" w:type="dxa"/>
              </w:tblCellMar>
              <w:tblLook w:val="04A0" w:firstRow="1" w:lastRow="0" w:firstColumn="1" w:lastColumn="0" w:noHBand="0" w:noVBand="1"/>
            </w:tblPr>
            <w:tblGrid>
              <w:gridCol w:w="2940"/>
              <w:gridCol w:w="1520"/>
            </w:tblGrid>
            <w:tr w:rsidR="00B60293" w:rsidRPr="005949BE" w14:paraId="63A7A080" w14:textId="77777777" w:rsidTr="00B60293">
              <w:trPr>
                <w:trHeight w:val="300"/>
              </w:trPr>
              <w:tc>
                <w:tcPr>
                  <w:tcW w:w="2940" w:type="dxa"/>
                  <w:tcBorders>
                    <w:top w:val="nil"/>
                    <w:left w:val="nil"/>
                    <w:bottom w:val="nil"/>
                    <w:right w:val="nil"/>
                  </w:tcBorders>
                  <w:shd w:val="clear" w:color="auto" w:fill="auto"/>
                  <w:noWrap/>
                  <w:vAlign w:val="center"/>
                  <w:hideMark/>
                </w:tcPr>
                <w:p w14:paraId="63A7A07E" w14:textId="77777777" w:rsidR="00B60293" w:rsidRPr="00B60293" w:rsidRDefault="00B60293" w:rsidP="00B60293">
                  <w:pPr>
                    <w:spacing w:after="0" w:line="240" w:lineRule="auto"/>
                    <w:rPr>
                      <w:rFonts w:ascii="Calibri" w:eastAsia="Times New Roman" w:hAnsi="Calibri" w:cs="Times New Roman"/>
                      <w:color w:val="000000"/>
                      <w:lang w:val="es-CR" w:eastAsia="es-CR"/>
                    </w:rPr>
                  </w:pPr>
                  <w:r w:rsidRPr="00B60293">
                    <w:rPr>
                      <w:rFonts w:ascii="Calibri" w:eastAsia="Times New Roman" w:hAnsi="Calibri" w:cs="Times New Roman"/>
                      <w:color w:val="000000"/>
                      <w:lang w:val="es-CR" w:eastAsia="es-CR"/>
                    </w:rPr>
                    <w:t xml:space="preserve">Evelyn Andrea Ramírez Zúñiga                                                        </w:t>
                  </w:r>
                </w:p>
              </w:tc>
              <w:tc>
                <w:tcPr>
                  <w:tcW w:w="1520" w:type="dxa"/>
                  <w:tcBorders>
                    <w:top w:val="nil"/>
                    <w:left w:val="nil"/>
                    <w:bottom w:val="nil"/>
                    <w:right w:val="nil"/>
                  </w:tcBorders>
                  <w:shd w:val="clear" w:color="auto" w:fill="auto"/>
                  <w:noWrap/>
                  <w:vAlign w:val="bottom"/>
                  <w:hideMark/>
                </w:tcPr>
                <w:p w14:paraId="63A7A07F" w14:textId="77777777" w:rsidR="00B60293" w:rsidRPr="00B60293" w:rsidRDefault="00B60293" w:rsidP="00B60293">
                  <w:pPr>
                    <w:spacing w:after="0" w:line="240" w:lineRule="auto"/>
                    <w:rPr>
                      <w:rFonts w:ascii="Calibri" w:eastAsia="Times New Roman" w:hAnsi="Calibri" w:cs="Times New Roman"/>
                      <w:color w:val="000000"/>
                      <w:lang w:val="es-CR" w:eastAsia="es-CR"/>
                    </w:rPr>
                  </w:pPr>
                  <w:r w:rsidRPr="00B60293">
                    <w:rPr>
                      <w:rFonts w:ascii="Calibri" w:eastAsia="Times New Roman" w:hAnsi="Calibri" w:cs="Times New Roman"/>
                      <w:color w:val="000000"/>
                      <w:lang w:val="es-CR" w:eastAsia="es-CR"/>
                    </w:rPr>
                    <w:t>2243-4606</w:t>
                  </w:r>
                </w:p>
              </w:tc>
            </w:tr>
            <w:tr w:rsidR="00B60293" w:rsidRPr="005949BE" w14:paraId="63A7A083" w14:textId="77777777" w:rsidTr="00B60293">
              <w:trPr>
                <w:trHeight w:val="300"/>
              </w:trPr>
              <w:tc>
                <w:tcPr>
                  <w:tcW w:w="2940" w:type="dxa"/>
                  <w:tcBorders>
                    <w:top w:val="nil"/>
                    <w:left w:val="nil"/>
                    <w:bottom w:val="nil"/>
                    <w:right w:val="nil"/>
                  </w:tcBorders>
                  <w:shd w:val="clear" w:color="auto" w:fill="auto"/>
                  <w:noWrap/>
                  <w:vAlign w:val="center"/>
                  <w:hideMark/>
                </w:tcPr>
                <w:p w14:paraId="63A7A081" w14:textId="77777777" w:rsidR="00B60293" w:rsidRPr="00B60293" w:rsidRDefault="00B60293" w:rsidP="00B60293">
                  <w:pPr>
                    <w:spacing w:after="0" w:line="240" w:lineRule="auto"/>
                    <w:rPr>
                      <w:rFonts w:ascii="Calibri" w:eastAsia="Times New Roman" w:hAnsi="Calibri" w:cs="Times New Roman"/>
                      <w:color w:val="000000"/>
                      <w:lang w:val="es-CR" w:eastAsia="es-CR"/>
                    </w:rPr>
                  </w:pPr>
                  <w:r w:rsidRPr="00B60293">
                    <w:rPr>
                      <w:rFonts w:ascii="Calibri" w:eastAsia="Times New Roman" w:hAnsi="Calibri" w:cs="Times New Roman"/>
                      <w:color w:val="000000"/>
                      <w:lang w:val="es-CR" w:eastAsia="es-CR"/>
                    </w:rPr>
                    <w:t xml:space="preserve">Cinthya Jiménez Pérez                                                                       </w:t>
                  </w:r>
                </w:p>
              </w:tc>
              <w:tc>
                <w:tcPr>
                  <w:tcW w:w="1520" w:type="dxa"/>
                  <w:tcBorders>
                    <w:top w:val="nil"/>
                    <w:left w:val="nil"/>
                    <w:bottom w:val="nil"/>
                    <w:right w:val="nil"/>
                  </w:tcBorders>
                  <w:shd w:val="clear" w:color="auto" w:fill="auto"/>
                  <w:noWrap/>
                  <w:vAlign w:val="bottom"/>
                  <w:hideMark/>
                </w:tcPr>
                <w:p w14:paraId="63A7A082" w14:textId="77777777" w:rsidR="00B60293" w:rsidRPr="00B60293" w:rsidRDefault="00B60293" w:rsidP="00B60293">
                  <w:pPr>
                    <w:spacing w:after="0" w:line="240" w:lineRule="auto"/>
                    <w:rPr>
                      <w:rFonts w:ascii="Calibri" w:eastAsia="Times New Roman" w:hAnsi="Calibri" w:cs="Times New Roman"/>
                      <w:color w:val="000000"/>
                      <w:lang w:val="es-CR" w:eastAsia="es-CR"/>
                    </w:rPr>
                  </w:pPr>
                  <w:r w:rsidRPr="00B60293">
                    <w:rPr>
                      <w:rFonts w:ascii="Calibri" w:eastAsia="Times New Roman" w:hAnsi="Calibri" w:cs="Times New Roman"/>
                      <w:color w:val="000000"/>
                      <w:lang w:val="es-CR" w:eastAsia="es-CR"/>
                    </w:rPr>
                    <w:t xml:space="preserve">2243-4610  </w:t>
                  </w:r>
                </w:p>
              </w:tc>
            </w:tr>
            <w:tr w:rsidR="00B60293" w:rsidRPr="005949BE" w14:paraId="63A7A086" w14:textId="77777777" w:rsidTr="00B60293">
              <w:trPr>
                <w:trHeight w:val="300"/>
              </w:trPr>
              <w:tc>
                <w:tcPr>
                  <w:tcW w:w="2940" w:type="dxa"/>
                  <w:tcBorders>
                    <w:top w:val="nil"/>
                    <w:left w:val="nil"/>
                    <w:bottom w:val="nil"/>
                    <w:right w:val="nil"/>
                  </w:tcBorders>
                  <w:shd w:val="clear" w:color="auto" w:fill="auto"/>
                  <w:noWrap/>
                  <w:vAlign w:val="center"/>
                  <w:hideMark/>
                </w:tcPr>
                <w:p w14:paraId="63A7A084" w14:textId="77777777" w:rsidR="00B60293" w:rsidRPr="00B60293" w:rsidRDefault="00B60293" w:rsidP="00B60293">
                  <w:pPr>
                    <w:spacing w:after="0" w:line="240" w:lineRule="auto"/>
                    <w:rPr>
                      <w:rFonts w:ascii="Calibri" w:eastAsia="Times New Roman" w:hAnsi="Calibri" w:cs="Times New Roman"/>
                      <w:color w:val="000000"/>
                      <w:lang w:val="es-CR" w:eastAsia="es-CR"/>
                    </w:rPr>
                  </w:pPr>
                  <w:r w:rsidRPr="00B60293">
                    <w:rPr>
                      <w:rFonts w:ascii="Calibri" w:eastAsia="Times New Roman" w:hAnsi="Calibri" w:cs="Times New Roman"/>
                      <w:color w:val="000000"/>
                      <w:lang w:val="es-CR" w:eastAsia="es-CR"/>
                    </w:rPr>
                    <w:t xml:space="preserve">Franklin Guzmán Valverde                                                                </w:t>
                  </w:r>
                </w:p>
              </w:tc>
              <w:tc>
                <w:tcPr>
                  <w:tcW w:w="1520" w:type="dxa"/>
                  <w:tcBorders>
                    <w:top w:val="nil"/>
                    <w:left w:val="nil"/>
                    <w:bottom w:val="nil"/>
                    <w:right w:val="nil"/>
                  </w:tcBorders>
                  <w:shd w:val="clear" w:color="auto" w:fill="auto"/>
                  <w:noWrap/>
                  <w:vAlign w:val="bottom"/>
                  <w:hideMark/>
                </w:tcPr>
                <w:p w14:paraId="63A7A085" w14:textId="77777777" w:rsidR="00B60293" w:rsidRPr="00B60293" w:rsidRDefault="00B60293" w:rsidP="00B60293">
                  <w:pPr>
                    <w:spacing w:after="0" w:line="240" w:lineRule="auto"/>
                    <w:rPr>
                      <w:rFonts w:ascii="Calibri" w:eastAsia="Times New Roman" w:hAnsi="Calibri" w:cs="Times New Roman"/>
                      <w:color w:val="000000"/>
                      <w:lang w:val="es-CR" w:eastAsia="es-CR"/>
                    </w:rPr>
                  </w:pPr>
                  <w:r w:rsidRPr="00B60293">
                    <w:rPr>
                      <w:rFonts w:ascii="Calibri" w:eastAsia="Times New Roman" w:hAnsi="Calibri" w:cs="Times New Roman"/>
                      <w:color w:val="000000"/>
                      <w:lang w:val="es-CR" w:eastAsia="es-CR"/>
                    </w:rPr>
                    <w:t>2243-4622</w:t>
                  </w:r>
                </w:p>
              </w:tc>
            </w:tr>
            <w:tr w:rsidR="00B60293" w:rsidRPr="005949BE" w14:paraId="63A7A08C" w14:textId="77777777" w:rsidTr="00B60293">
              <w:trPr>
                <w:trHeight w:val="300"/>
              </w:trPr>
              <w:tc>
                <w:tcPr>
                  <w:tcW w:w="2940" w:type="dxa"/>
                  <w:tcBorders>
                    <w:top w:val="nil"/>
                    <w:left w:val="nil"/>
                    <w:bottom w:val="nil"/>
                    <w:right w:val="nil"/>
                  </w:tcBorders>
                  <w:shd w:val="clear" w:color="auto" w:fill="auto"/>
                  <w:noWrap/>
                  <w:vAlign w:val="center"/>
                  <w:hideMark/>
                </w:tcPr>
                <w:p w14:paraId="63A7A08A" w14:textId="77777777" w:rsidR="00B60293" w:rsidRPr="00B60293" w:rsidRDefault="00B60293" w:rsidP="00B60293">
                  <w:pPr>
                    <w:spacing w:after="0" w:line="240" w:lineRule="auto"/>
                    <w:rPr>
                      <w:rFonts w:ascii="Calibri" w:eastAsia="Times New Roman" w:hAnsi="Calibri" w:cs="Times New Roman"/>
                      <w:color w:val="000000"/>
                      <w:lang w:val="es-CR" w:eastAsia="es-CR"/>
                    </w:rPr>
                  </w:pPr>
                  <w:r w:rsidRPr="00B60293">
                    <w:rPr>
                      <w:rFonts w:ascii="Calibri" w:eastAsia="Times New Roman" w:hAnsi="Calibri" w:cs="Times New Roman"/>
                      <w:color w:val="000000"/>
                      <w:lang w:val="es-CR" w:eastAsia="es-CR"/>
                    </w:rPr>
                    <w:t xml:space="preserve">Patricia Mata Solís                                                                              </w:t>
                  </w:r>
                </w:p>
              </w:tc>
              <w:tc>
                <w:tcPr>
                  <w:tcW w:w="1520" w:type="dxa"/>
                  <w:tcBorders>
                    <w:top w:val="nil"/>
                    <w:left w:val="nil"/>
                    <w:bottom w:val="nil"/>
                    <w:right w:val="nil"/>
                  </w:tcBorders>
                  <w:shd w:val="clear" w:color="auto" w:fill="auto"/>
                  <w:noWrap/>
                  <w:vAlign w:val="bottom"/>
                  <w:hideMark/>
                </w:tcPr>
                <w:p w14:paraId="63A7A08B" w14:textId="77777777" w:rsidR="00B60293" w:rsidRPr="00B60293" w:rsidRDefault="00B60293" w:rsidP="00B60293">
                  <w:pPr>
                    <w:spacing w:after="0" w:line="240" w:lineRule="auto"/>
                    <w:rPr>
                      <w:rFonts w:ascii="Calibri" w:eastAsia="Times New Roman" w:hAnsi="Calibri" w:cs="Times New Roman"/>
                      <w:color w:val="000000"/>
                      <w:lang w:val="es-CR" w:eastAsia="es-CR"/>
                    </w:rPr>
                  </w:pPr>
                  <w:r w:rsidRPr="00B60293">
                    <w:rPr>
                      <w:rFonts w:ascii="Calibri" w:eastAsia="Times New Roman" w:hAnsi="Calibri" w:cs="Times New Roman"/>
                      <w:color w:val="000000"/>
                      <w:lang w:val="es-CR" w:eastAsia="es-CR"/>
                    </w:rPr>
                    <w:t>2243-4690</w:t>
                  </w:r>
                </w:p>
              </w:tc>
            </w:tr>
            <w:tr w:rsidR="00B60293" w:rsidRPr="005949BE" w14:paraId="63A7A08F" w14:textId="77777777" w:rsidTr="00B60293">
              <w:trPr>
                <w:trHeight w:val="300"/>
              </w:trPr>
              <w:tc>
                <w:tcPr>
                  <w:tcW w:w="2940" w:type="dxa"/>
                  <w:tcBorders>
                    <w:top w:val="nil"/>
                    <w:left w:val="nil"/>
                    <w:bottom w:val="nil"/>
                    <w:right w:val="nil"/>
                  </w:tcBorders>
                  <w:shd w:val="clear" w:color="auto" w:fill="auto"/>
                  <w:noWrap/>
                  <w:vAlign w:val="center"/>
                  <w:hideMark/>
                </w:tcPr>
                <w:p w14:paraId="63A7A08D" w14:textId="77777777" w:rsidR="00B60293" w:rsidRPr="00B60293" w:rsidRDefault="00B60293" w:rsidP="00B60293">
                  <w:pPr>
                    <w:spacing w:after="0" w:line="240" w:lineRule="auto"/>
                    <w:rPr>
                      <w:rFonts w:ascii="Calibri" w:eastAsia="Times New Roman" w:hAnsi="Calibri" w:cs="Times New Roman"/>
                      <w:color w:val="000000"/>
                      <w:lang w:val="es-CR" w:eastAsia="es-CR"/>
                    </w:rPr>
                  </w:pPr>
                  <w:r w:rsidRPr="00B60293">
                    <w:rPr>
                      <w:rFonts w:ascii="Calibri" w:eastAsia="Times New Roman" w:hAnsi="Calibri" w:cs="Times New Roman"/>
                      <w:color w:val="000000"/>
                      <w:lang w:val="es-CR" w:eastAsia="es-CR"/>
                    </w:rPr>
                    <w:t xml:space="preserve">José Eduardo García Loaiza                                                               </w:t>
                  </w:r>
                </w:p>
              </w:tc>
              <w:tc>
                <w:tcPr>
                  <w:tcW w:w="1520" w:type="dxa"/>
                  <w:tcBorders>
                    <w:top w:val="nil"/>
                    <w:left w:val="nil"/>
                    <w:bottom w:val="nil"/>
                    <w:right w:val="nil"/>
                  </w:tcBorders>
                  <w:shd w:val="clear" w:color="auto" w:fill="auto"/>
                  <w:noWrap/>
                  <w:vAlign w:val="bottom"/>
                  <w:hideMark/>
                </w:tcPr>
                <w:p w14:paraId="63A7A08E" w14:textId="77777777" w:rsidR="00B60293" w:rsidRPr="00B60293" w:rsidRDefault="00B60293" w:rsidP="00B60293">
                  <w:pPr>
                    <w:spacing w:after="0" w:line="240" w:lineRule="auto"/>
                    <w:rPr>
                      <w:rFonts w:ascii="Calibri" w:eastAsia="Times New Roman" w:hAnsi="Calibri" w:cs="Times New Roman"/>
                      <w:color w:val="000000"/>
                      <w:lang w:val="es-CR" w:eastAsia="es-CR"/>
                    </w:rPr>
                  </w:pPr>
                  <w:r w:rsidRPr="00B60293">
                    <w:rPr>
                      <w:rFonts w:ascii="Calibri" w:eastAsia="Times New Roman" w:hAnsi="Calibri" w:cs="Times New Roman"/>
                      <w:color w:val="000000"/>
                      <w:lang w:val="es-CR" w:eastAsia="es-CR"/>
                    </w:rPr>
                    <w:t>2243-4691</w:t>
                  </w:r>
                </w:p>
              </w:tc>
              <w:bookmarkStart w:id="1" w:name="_GoBack"/>
              <w:bookmarkEnd w:id="1"/>
            </w:tr>
            <w:tr w:rsidR="00B60293" w:rsidRPr="005949BE" w14:paraId="63A7A092" w14:textId="77777777" w:rsidTr="00B60293">
              <w:trPr>
                <w:trHeight w:val="300"/>
              </w:trPr>
              <w:tc>
                <w:tcPr>
                  <w:tcW w:w="2940" w:type="dxa"/>
                  <w:tcBorders>
                    <w:top w:val="nil"/>
                    <w:left w:val="nil"/>
                    <w:bottom w:val="nil"/>
                    <w:right w:val="nil"/>
                  </w:tcBorders>
                  <w:shd w:val="clear" w:color="auto" w:fill="auto"/>
                  <w:noWrap/>
                  <w:vAlign w:val="center"/>
                  <w:hideMark/>
                </w:tcPr>
                <w:p w14:paraId="63A7A090" w14:textId="77777777" w:rsidR="00B60293" w:rsidRPr="00B60293" w:rsidRDefault="00B60293" w:rsidP="00B60293">
                  <w:pPr>
                    <w:spacing w:after="0" w:line="240" w:lineRule="auto"/>
                    <w:rPr>
                      <w:rFonts w:ascii="Calibri" w:eastAsia="Times New Roman" w:hAnsi="Calibri" w:cs="Times New Roman"/>
                      <w:color w:val="000000"/>
                      <w:lang w:val="es-CR" w:eastAsia="es-CR"/>
                    </w:rPr>
                  </w:pPr>
                  <w:r w:rsidRPr="00B60293">
                    <w:rPr>
                      <w:rFonts w:ascii="Calibri" w:eastAsia="Times New Roman" w:hAnsi="Calibri" w:cs="Times New Roman"/>
                      <w:color w:val="000000"/>
                      <w:lang w:val="es-CR" w:eastAsia="es-CR"/>
                    </w:rPr>
                    <w:t xml:space="preserve">Geovannie Pacheco Romero                                                            </w:t>
                  </w:r>
                </w:p>
              </w:tc>
              <w:tc>
                <w:tcPr>
                  <w:tcW w:w="1520" w:type="dxa"/>
                  <w:tcBorders>
                    <w:top w:val="nil"/>
                    <w:left w:val="nil"/>
                    <w:bottom w:val="nil"/>
                    <w:right w:val="nil"/>
                  </w:tcBorders>
                  <w:shd w:val="clear" w:color="auto" w:fill="auto"/>
                  <w:noWrap/>
                  <w:vAlign w:val="bottom"/>
                  <w:hideMark/>
                </w:tcPr>
                <w:p w14:paraId="63A7A091" w14:textId="77777777" w:rsidR="00B60293" w:rsidRPr="00B60293" w:rsidRDefault="00B60293" w:rsidP="00B60293">
                  <w:pPr>
                    <w:spacing w:after="0" w:line="240" w:lineRule="auto"/>
                    <w:rPr>
                      <w:rFonts w:ascii="Calibri" w:eastAsia="Times New Roman" w:hAnsi="Calibri" w:cs="Times New Roman"/>
                      <w:color w:val="000000"/>
                      <w:lang w:val="es-CR" w:eastAsia="es-CR"/>
                    </w:rPr>
                  </w:pPr>
                  <w:r w:rsidRPr="00B60293">
                    <w:rPr>
                      <w:rFonts w:ascii="Calibri" w:eastAsia="Times New Roman" w:hAnsi="Calibri" w:cs="Times New Roman"/>
                      <w:color w:val="000000"/>
                      <w:lang w:val="es-CR" w:eastAsia="es-CR"/>
                    </w:rPr>
                    <w:t>2243-4692</w:t>
                  </w:r>
                </w:p>
              </w:tc>
            </w:tr>
            <w:tr w:rsidR="00B60293" w:rsidRPr="005949BE" w14:paraId="63A7A095" w14:textId="77777777" w:rsidTr="00B60293">
              <w:trPr>
                <w:trHeight w:val="300"/>
              </w:trPr>
              <w:tc>
                <w:tcPr>
                  <w:tcW w:w="2940" w:type="dxa"/>
                  <w:tcBorders>
                    <w:top w:val="nil"/>
                    <w:left w:val="nil"/>
                    <w:bottom w:val="nil"/>
                    <w:right w:val="nil"/>
                  </w:tcBorders>
                  <w:shd w:val="clear" w:color="auto" w:fill="auto"/>
                  <w:noWrap/>
                  <w:vAlign w:val="center"/>
                  <w:hideMark/>
                </w:tcPr>
                <w:p w14:paraId="63A7A093" w14:textId="77777777" w:rsidR="00B60293" w:rsidRPr="00B60293" w:rsidRDefault="00B60293" w:rsidP="00B60293">
                  <w:pPr>
                    <w:spacing w:after="0" w:line="240" w:lineRule="auto"/>
                    <w:rPr>
                      <w:rFonts w:ascii="Calibri" w:eastAsia="Times New Roman" w:hAnsi="Calibri" w:cs="Times New Roman"/>
                      <w:color w:val="000000"/>
                      <w:lang w:val="es-CR" w:eastAsia="es-CR"/>
                    </w:rPr>
                  </w:pPr>
                  <w:r w:rsidRPr="00B60293">
                    <w:rPr>
                      <w:rFonts w:ascii="Calibri" w:eastAsia="Times New Roman" w:hAnsi="Calibri" w:cs="Times New Roman"/>
                      <w:color w:val="000000"/>
                      <w:lang w:val="es-CR" w:eastAsia="es-CR"/>
                    </w:rPr>
                    <w:t xml:space="preserve">Pablo Vargas López                                                                            </w:t>
                  </w:r>
                </w:p>
              </w:tc>
              <w:tc>
                <w:tcPr>
                  <w:tcW w:w="1520" w:type="dxa"/>
                  <w:tcBorders>
                    <w:top w:val="nil"/>
                    <w:left w:val="nil"/>
                    <w:bottom w:val="nil"/>
                    <w:right w:val="nil"/>
                  </w:tcBorders>
                  <w:shd w:val="clear" w:color="auto" w:fill="auto"/>
                  <w:noWrap/>
                  <w:vAlign w:val="bottom"/>
                  <w:hideMark/>
                </w:tcPr>
                <w:p w14:paraId="63A7A094" w14:textId="77777777" w:rsidR="00B60293" w:rsidRPr="00B60293" w:rsidRDefault="00B60293" w:rsidP="00B60293">
                  <w:pPr>
                    <w:spacing w:after="0" w:line="240" w:lineRule="auto"/>
                    <w:rPr>
                      <w:rFonts w:ascii="Calibri" w:eastAsia="Times New Roman" w:hAnsi="Calibri" w:cs="Times New Roman"/>
                      <w:color w:val="000000"/>
                      <w:lang w:val="es-CR" w:eastAsia="es-CR"/>
                    </w:rPr>
                  </w:pPr>
                  <w:r w:rsidRPr="00B60293">
                    <w:rPr>
                      <w:rFonts w:ascii="Calibri" w:eastAsia="Times New Roman" w:hAnsi="Calibri" w:cs="Times New Roman"/>
                      <w:color w:val="000000"/>
                      <w:lang w:val="es-CR" w:eastAsia="es-CR"/>
                    </w:rPr>
                    <w:t>2243-4693</w:t>
                  </w:r>
                </w:p>
              </w:tc>
            </w:tr>
            <w:tr w:rsidR="00B60293" w:rsidRPr="005949BE" w14:paraId="63A7A098" w14:textId="77777777" w:rsidTr="00B60293">
              <w:trPr>
                <w:trHeight w:val="300"/>
              </w:trPr>
              <w:tc>
                <w:tcPr>
                  <w:tcW w:w="2940" w:type="dxa"/>
                  <w:tcBorders>
                    <w:top w:val="nil"/>
                    <w:left w:val="nil"/>
                    <w:bottom w:val="nil"/>
                    <w:right w:val="nil"/>
                  </w:tcBorders>
                  <w:shd w:val="clear" w:color="auto" w:fill="auto"/>
                  <w:noWrap/>
                  <w:vAlign w:val="center"/>
                  <w:hideMark/>
                </w:tcPr>
                <w:p w14:paraId="63A7A096" w14:textId="77777777" w:rsidR="00B60293" w:rsidRPr="00B60293" w:rsidRDefault="00B60293" w:rsidP="00B60293">
                  <w:pPr>
                    <w:spacing w:after="0" w:line="240" w:lineRule="auto"/>
                    <w:rPr>
                      <w:rFonts w:ascii="Calibri" w:eastAsia="Times New Roman" w:hAnsi="Calibri" w:cs="Times New Roman"/>
                      <w:color w:val="000000"/>
                      <w:lang w:val="es-CR" w:eastAsia="es-CR"/>
                    </w:rPr>
                  </w:pPr>
                  <w:proofErr w:type="spellStart"/>
                  <w:r w:rsidRPr="00B60293">
                    <w:rPr>
                      <w:rFonts w:ascii="Calibri" w:eastAsia="Times New Roman" w:hAnsi="Calibri" w:cs="Times New Roman"/>
                      <w:color w:val="000000"/>
                      <w:lang w:val="es-CR" w:eastAsia="es-CR"/>
                    </w:rPr>
                    <w:t>Zorais</w:t>
                  </w:r>
                  <w:proofErr w:type="spellEnd"/>
                  <w:r w:rsidRPr="00B60293">
                    <w:rPr>
                      <w:rFonts w:ascii="Calibri" w:eastAsia="Times New Roman" w:hAnsi="Calibri" w:cs="Times New Roman"/>
                      <w:color w:val="000000"/>
                      <w:lang w:val="es-CR" w:eastAsia="es-CR"/>
                    </w:rPr>
                    <w:t xml:space="preserve"> </w:t>
                  </w:r>
                  <w:proofErr w:type="spellStart"/>
                  <w:r w:rsidRPr="00B60293">
                    <w:rPr>
                      <w:rFonts w:ascii="Calibri" w:eastAsia="Times New Roman" w:hAnsi="Calibri" w:cs="Times New Roman"/>
                      <w:color w:val="000000"/>
                      <w:lang w:val="es-CR" w:eastAsia="es-CR"/>
                    </w:rPr>
                    <w:t>Canet</w:t>
                  </w:r>
                  <w:proofErr w:type="spellEnd"/>
                  <w:r w:rsidRPr="00B60293">
                    <w:rPr>
                      <w:rFonts w:ascii="Calibri" w:eastAsia="Times New Roman" w:hAnsi="Calibri" w:cs="Times New Roman"/>
                      <w:color w:val="000000"/>
                      <w:lang w:val="es-CR" w:eastAsia="es-CR"/>
                    </w:rPr>
                    <w:t xml:space="preserve"> </w:t>
                  </w:r>
                  <w:proofErr w:type="spellStart"/>
                  <w:r w:rsidRPr="00B60293">
                    <w:rPr>
                      <w:rFonts w:ascii="Calibri" w:eastAsia="Times New Roman" w:hAnsi="Calibri" w:cs="Times New Roman"/>
                      <w:color w:val="000000"/>
                      <w:lang w:val="es-CR" w:eastAsia="es-CR"/>
                    </w:rPr>
                    <w:t>Linkimer</w:t>
                  </w:r>
                  <w:proofErr w:type="spellEnd"/>
                  <w:r w:rsidRPr="00B60293">
                    <w:rPr>
                      <w:rFonts w:ascii="Calibri" w:eastAsia="Times New Roman" w:hAnsi="Calibri" w:cs="Times New Roman"/>
                      <w:color w:val="000000"/>
                      <w:lang w:val="es-CR" w:eastAsia="es-CR"/>
                    </w:rPr>
                    <w:t xml:space="preserve">                                                                         </w:t>
                  </w:r>
                </w:p>
              </w:tc>
              <w:tc>
                <w:tcPr>
                  <w:tcW w:w="1520" w:type="dxa"/>
                  <w:tcBorders>
                    <w:top w:val="nil"/>
                    <w:left w:val="nil"/>
                    <w:bottom w:val="nil"/>
                    <w:right w:val="nil"/>
                  </w:tcBorders>
                  <w:shd w:val="clear" w:color="auto" w:fill="auto"/>
                  <w:noWrap/>
                  <w:vAlign w:val="bottom"/>
                  <w:hideMark/>
                </w:tcPr>
                <w:p w14:paraId="63A7A097" w14:textId="77777777" w:rsidR="00B60293" w:rsidRPr="00B60293" w:rsidRDefault="00B60293" w:rsidP="00B60293">
                  <w:pPr>
                    <w:spacing w:after="0" w:line="240" w:lineRule="auto"/>
                    <w:rPr>
                      <w:rFonts w:ascii="Calibri" w:eastAsia="Times New Roman" w:hAnsi="Calibri" w:cs="Times New Roman"/>
                      <w:color w:val="000000"/>
                      <w:lang w:val="es-CR" w:eastAsia="es-CR"/>
                    </w:rPr>
                  </w:pPr>
                  <w:r w:rsidRPr="00B60293">
                    <w:rPr>
                      <w:rFonts w:ascii="Calibri" w:eastAsia="Times New Roman" w:hAnsi="Calibri" w:cs="Times New Roman"/>
                      <w:color w:val="000000"/>
                      <w:lang w:val="es-CR" w:eastAsia="es-CR"/>
                    </w:rPr>
                    <w:t xml:space="preserve">2243-4694 </w:t>
                  </w:r>
                </w:p>
              </w:tc>
            </w:tr>
            <w:tr w:rsidR="00B60293" w:rsidRPr="005949BE" w14:paraId="63A7A09B" w14:textId="77777777" w:rsidTr="00B60293">
              <w:trPr>
                <w:trHeight w:val="300"/>
              </w:trPr>
              <w:tc>
                <w:tcPr>
                  <w:tcW w:w="2940" w:type="dxa"/>
                  <w:tcBorders>
                    <w:top w:val="nil"/>
                    <w:left w:val="nil"/>
                    <w:bottom w:val="nil"/>
                    <w:right w:val="nil"/>
                  </w:tcBorders>
                  <w:shd w:val="clear" w:color="auto" w:fill="auto"/>
                  <w:noWrap/>
                  <w:vAlign w:val="center"/>
                  <w:hideMark/>
                </w:tcPr>
                <w:p w14:paraId="63A7A099" w14:textId="77777777" w:rsidR="00B60293" w:rsidRPr="00B60293" w:rsidRDefault="00B60293" w:rsidP="00B60293">
                  <w:pPr>
                    <w:spacing w:after="0" w:line="240" w:lineRule="auto"/>
                    <w:rPr>
                      <w:rFonts w:ascii="Calibri" w:eastAsia="Times New Roman" w:hAnsi="Calibri" w:cs="Times New Roman"/>
                      <w:color w:val="000000"/>
                      <w:lang w:val="es-CR" w:eastAsia="es-CR"/>
                    </w:rPr>
                  </w:pPr>
                  <w:r w:rsidRPr="00B60293">
                    <w:rPr>
                      <w:rFonts w:ascii="Calibri" w:eastAsia="Times New Roman" w:hAnsi="Calibri" w:cs="Times New Roman"/>
                      <w:color w:val="000000"/>
                      <w:lang w:val="es-CR" w:eastAsia="es-CR"/>
                    </w:rPr>
                    <w:t xml:space="preserve">Pamela Méndez Rodríguez                                                                </w:t>
                  </w:r>
                </w:p>
              </w:tc>
              <w:tc>
                <w:tcPr>
                  <w:tcW w:w="1520" w:type="dxa"/>
                  <w:tcBorders>
                    <w:top w:val="nil"/>
                    <w:left w:val="nil"/>
                    <w:bottom w:val="nil"/>
                    <w:right w:val="nil"/>
                  </w:tcBorders>
                  <w:shd w:val="clear" w:color="auto" w:fill="auto"/>
                  <w:noWrap/>
                  <w:vAlign w:val="bottom"/>
                  <w:hideMark/>
                </w:tcPr>
                <w:p w14:paraId="63A7A09A" w14:textId="77777777" w:rsidR="00B60293" w:rsidRPr="00B60293" w:rsidRDefault="00B60293" w:rsidP="00B60293">
                  <w:pPr>
                    <w:spacing w:after="0" w:line="240" w:lineRule="auto"/>
                    <w:rPr>
                      <w:rFonts w:ascii="Calibri" w:eastAsia="Times New Roman" w:hAnsi="Calibri" w:cs="Times New Roman"/>
                      <w:color w:val="000000"/>
                      <w:lang w:val="es-CR" w:eastAsia="es-CR"/>
                    </w:rPr>
                  </w:pPr>
                  <w:r w:rsidRPr="00B60293">
                    <w:rPr>
                      <w:rFonts w:ascii="Calibri" w:eastAsia="Times New Roman" w:hAnsi="Calibri" w:cs="Times New Roman"/>
                      <w:color w:val="000000"/>
                      <w:lang w:val="es-CR" w:eastAsia="es-CR"/>
                    </w:rPr>
                    <w:t>2243-4696</w:t>
                  </w:r>
                </w:p>
              </w:tc>
            </w:tr>
            <w:tr w:rsidR="00B60293" w:rsidRPr="005949BE" w14:paraId="63A7A09E" w14:textId="77777777" w:rsidTr="00B60293">
              <w:trPr>
                <w:trHeight w:val="300"/>
              </w:trPr>
              <w:tc>
                <w:tcPr>
                  <w:tcW w:w="2940" w:type="dxa"/>
                  <w:tcBorders>
                    <w:top w:val="nil"/>
                    <w:left w:val="nil"/>
                    <w:bottom w:val="nil"/>
                    <w:right w:val="nil"/>
                  </w:tcBorders>
                  <w:shd w:val="clear" w:color="auto" w:fill="auto"/>
                  <w:noWrap/>
                  <w:vAlign w:val="center"/>
                  <w:hideMark/>
                </w:tcPr>
                <w:p w14:paraId="63A7A09C" w14:textId="77777777" w:rsidR="00B60293" w:rsidRPr="00B60293" w:rsidRDefault="00B60293" w:rsidP="00B60293">
                  <w:pPr>
                    <w:spacing w:after="0" w:line="240" w:lineRule="auto"/>
                    <w:rPr>
                      <w:rFonts w:ascii="Calibri" w:eastAsia="Times New Roman" w:hAnsi="Calibri" w:cs="Times New Roman"/>
                      <w:color w:val="000000"/>
                      <w:lang w:val="es-CR" w:eastAsia="es-CR"/>
                    </w:rPr>
                  </w:pPr>
                  <w:r w:rsidRPr="00B60293">
                    <w:rPr>
                      <w:rFonts w:ascii="Calibri" w:eastAsia="Times New Roman" w:hAnsi="Calibri" w:cs="Times New Roman"/>
                      <w:color w:val="000000"/>
                      <w:lang w:val="es-CR" w:eastAsia="es-CR"/>
                    </w:rPr>
                    <w:t xml:space="preserve">Gabriela Guzmán Amaro                                                                    </w:t>
                  </w:r>
                </w:p>
              </w:tc>
              <w:tc>
                <w:tcPr>
                  <w:tcW w:w="1520" w:type="dxa"/>
                  <w:tcBorders>
                    <w:top w:val="nil"/>
                    <w:left w:val="nil"/>
                    <w:bottom w:val="nil"/>
                    <w:right w:val="nil"/>
                  </w:tcBorders>
                  <w:shd w:val="clear" w:color="auto" w:fill="auto"/>
                  <w:noWrap/>
                  <w:vAlign w:val="bottom"/>
                  <w:hideMark/>
                </w:tcPr>
                <w:p w14:paraId="63A7A09D" w14:textId="77777777" w:rsidR="00B60293" w:rsidRPr="00B60293" w:rsidRDefault="00B60293" w:rsidP="00B60293">
                  <w:pPr>
                    <w:spacing w:after="0" w:line="240" w:lineRule="auto"/>
                    <w:rPr>
                      <w:rFonts w:ascii="Calibri" w:eastAsia="Times New Roman" w:hAnsi="Calibri" w:cs="Times New Roman"/>
                      <w:color w:val="000000"/>
                      <w:lang w:val="es-CR" w:eastAsia="es-CR"/>
                    </w:rPr>
                  </w:pPr>
                  <w:r w:rsidRPr="00B60293">
                    <w:rPr>
                      <w:rFonts w:ascii="Calibri" w:eastAsia="Times New Roman" w:hAnsi="Calibri" w:cs="Times New Roman"/>
                      <w:color w:val="000000"/>
                      <w:lang w:val="es-CR" w:eastAsia="es-CR"/>
                    </w:rPr>
                    <w:t>2243-4697</w:t>
                  </w:r>
                </w:p>
              </w:tc>
            </w:tr>
            <w:tr w:rsidR="00B60293" w:rsidRPr="005949BE" w14:paraId="63A7A0A1" w14:textId="77777777" w:rsidTr="00B60293">
              <w:trPr>
                <w:trHeight w:val="300"/>
              </w:trPr>
              <w:tc>
                <w:tcPr>
                  <w:tcW w:w="2940" w:type="dxa"/>
                  <w:tcBorders>
                    <w:top w:val="nil"/>
                    <w:left w:val="nil"/>
                    <w:bottom w:val="nil"/>
                    <w:right w:val="nil"/>
                  </w:tcBorders>
                  <w:shd w:val="clear" w:color="auto" w:fill="auto"/>
                  <w:noWrap/>
                  <w:vAlign w:val="center"/>
                  <w:hideMark/>
                </w:tcPr>
                <w:p w14:paraId="63A7A09F" w14:textId="77777777" w:rsidR="00B60293" w:rsidRPr="00B60293" w:rsidRDefault="00B60293" w:rsidP="00B60293">
                  <w:pPr>
                    <w:spacing w:after="0" w:line="240" w:lineRule="auto"/>
                    <w:rPr>
                      <w:rFonts w:ascii="Calibri" w:eastAsia="Times New Roman" w:hAnsi="Calibri" w:cs="Times New Roman"/>
                      <w:color w:val="000000"/>
                      <w:lang w:val="es-CR" w:eastAsia="es-CR"/>
                    </w:rPr>
                  </w:pPr>
                  <w:r w:rsidRPr="00B60293">
                    <w:rPr>
                      <w:rFonts w:ascii="Calibri" w:eastAsia="Times New Roman" w:hAnsi="Calibri" w:cs="Times New Roman"/>
                      <w:color w:val="000000"/>
                      <w:lang w:val="es-CR" w:eastAsia="es-CR"/>
                    </w:rPr>
                    <w:t xml:space="preserve">Roxana Espeleta Calvo                                                                        </w:t>
                  </w:r>
                </w:p>
              </w:tc>
              <w:tc>
                <w:tcPr>
                  <w:tcW w:w="1520" w:type="dxa"/>
                  <w:tcBorders>
                    <w:top w:val="nil"/>
                    <w:left w:val="nil"/>
                    <w:bottom w:val="nil"/>
                    <w:right w:val="nil"/>
                  </w:tcBorders>
                  <w:shd w:val="clear" w:color="auto" w:fill="auto"/>
                  <w:noWrap/>
                  <w:vAlign w:val="bottom"/>
                  <w:hideMark/>
                </w:tcPr>
                <w:p w14:paraId="63A7A0A0" w14:textId="77777777" w:rsidR="00B60293" w:rsidRPr="00B60293" w:rsidRDefault="00B60293" w:rsidP="00B60293">
                  <w:pPr>
                    <w:spacing w:after="0" w:line="240" w:lineRule="auto"/>
                    <w:rPr>
                      <w:rFonts w:ascii="Calibri" w:eastAsia="Times New Roman" w:hAnsi="Calibri" w:cs="Times New Roman"/>
                      <w:color w:val="000000"/>
                      <w:lang w:val="es-CR" w:eastAsia="es-CR"/>
                    </w:rPr>
                  </w:pPr>
                  <w:r w:rsidRPr="00B60293">
                    <w:rPr>
                      <w:rFonts w:ascii="Calibri" w:eastAsia="Times New Roman" w:hAnsi="Calibri" w:cs="Times New Roman"/>
                      <w:color w:val="000000"/>
                      <w:lang w:val="es-CR" w:eastAsia="es-CR"/>
                    </w:rPr>
                    <w:t>2243-4698</w:t>
                  </w:r>
                </w:p>
              </w:tc>
            </w:tr>
            <w:tr w:rsidR="00B60293" w:rsidRPr="005949BE" w14:paraId="63A7A0A4" w14:textId="77777777" w:rsidTr="00B60293">
              <w:trPr>
                <w:trHeight w:val="300"/>
              </w:trPr>
              <w:tc>
                <w:tcPr>
                  <w:tcW w:w="2940" w:type="dxa"/>
                  <w:tcBorders>
                    <w:top w:val="nil"/>
                    <w:left w:val="nil"/>
                    <w:bottom w:val="nil"/>
                    <w:right w:val="nil"/>
                  </w:tcBorders>
                  <w:shd w:val="clear" w:color="auto" w:fill="auto"/>
                  <w:noWrap/>
                  <w:vAlign w:val="center"/>
                  <w:hideMark/>
                </w:tcPr>
                <w:p w14:paraId="63A7A0A2" w14:textId="77777777" w:rsidR="00B60293" w:rsidRPr="00B60293" w:rsidRDefault="00B60293" w:rsidP="00B60293">
                  <w:pPr>
                    <w:spacing w:after="0" w:line="240" w:lineRule="auto"/>
                    <w:rPr>
                      <w:rFonts w:ascii="Calibri" w:eastAsia="Times New Roman" w:hAnsi="Calibri" w:cs="Times New Roman"/>
                      <w:color w:val="000000"/>
                      <w:lang w:val="es-CR" w:eastAsia="es-CR"/>
                    </w:rPr>
                  </w:pPr>
                  <w:r w:rsidRPr="00B60293">
                    <w:rPr>
                      <w:rFonts w:ascii="Calibri" w:eastAsia="Times New Roman" w:hAnsi="Calibri" w:cs="Times New Roman"/>
                      <w:color w:val="000000"/>
                      <w:lang w:val="es-CR" w:eastAsia="es-CR"/>
                    </w:rPr>
                    <w:t xml:space="preserve">Jessica Gutiérrez Sánchez                                                                  </w:t>
                  </w:r>
                </w:p>
              </w:tc>
              <w:tc>
                <w:tcPr>
                  <w:tcW w:w="1520" w:type="dxa"/>
                  <w:tcBorders>
                    <w:top w:val="nil"/>
                    <w:left w:val="nil"/>
                    <w:bottom w:val="nil"/>
                    <w:right w:val="nil"/>
                  </w:tcBorders>
                  <w:shd w:val="clear" w:color="auto" w:fill="auto"/>
                  <w:noWrap/>
                  <w:vAlign w:val="bottom"/>
                  <w:hideMark/>
                </w:tcPr>
                <w:p w14:paraId="63A7A0A3" w14:textId="77777777" w:rsidR="00B60293" w:rsidRPr="00B60293" w:rsidRDefault="00B60293" w:rsidP="00B60293">
                  <w:pPr>
                    <w:spacing w:after="0" w:line="240" w:lineRule="auto"/>
                    <w:rPr>
                      <w:rFonts w:ascii="Calibri" w:eastAsia="Times New Roman" w:hAnsi="Calibri" w:cs="Times New Roman"/>
                      <w:color w:val="000000"/>
                      <w:lang w:val="es-CR" w:eastAsia="es-CR"/>
                    </w:rPr>
                  </w:pPr>
                  <w:r w:rsidRPr="00B60293">
                    <w:rPr>
                      <w:rFonts w:ascii="Calibri" w:eastAsia="Times New Roman" w:hAnsi="Calibri" w:cs="Times New Roman"/>
                      <w:color w:val="000000"/>
                      <w:lang w:val="es-CR" w:eastAsia="es-CR"/>
                    </w:rPr>
                    <w:t>2243-4699</w:t>
                  </w:r>
                </w:p>
              </w:tc>
            </w:tr>
          </w:tbl>
          <w:p w14:paraId="63A7A0A5" w14:textId="77777777" w:rsidR="00B716C3" w:rsidRDefault="00B716C3" w:rsidP="005A4DD1">
            <w:pPr>
              <w:rPr>
                <w:rFonts w:ascii="Calibri" w:eastAsia="Times New Roman" w:hAnsi="Calibri" w:cs="Calibri"/>
                <w:color w:val="000000"/>
                <w:lang w:eastAsia="es-CR"/>
              </w:rPr>
            </w:pPr>
          </w:p>
          <w:p w14:paraId="63A7A0A6" w14:textId="77777777" w:rsidR="00B716C3" w:rsidRDefault="00B716C3" w:rsidP="005A4DD1">
            <w:pPr>
              <w:rPr>
                <w:rFonts w:ascii="Calibri" w:eastAsia="Times New Roman" w:hAnsi="Calibri" w:cs="Calibri"/>
                <w:color w:val="000000"/>
                <w:lang w:eastAsia="es-CR"/>
              </w:rPr>
            </w:pPr>
          </w:p>
          <w:p w14:paraId="63A7A0A7" w14:textId="77777777" w:rsidR="00B716C3" w:rsidRDefault="00B716C3" w:rsidP="00B716C3">
            <w:pPr>
              <w:jc w:val="both"/>
            </w:pPr>
            <w:r w:rsidRPr="00B716C3">
              <w:rPr>
                <w:rFonts w:ascii="Calibri" w:eastAsia="Times New Roman" w:hAnsi="Calibri" w:cs="Calibri"/>
                <w:color w:val="000000"/>
                <w:lang w:eastAsia="es-CR"/>
              </w:rPr>
              <w:t xml:space="preserve">Las consultas formales acerca de un tema particular, deben ser remitidas al </w:t>
            </w:r>
            <w:hyperlink r:id="rId13" w:history="1">
              <w:r w:rsidRPr="00B716C3">
                <w:rPr>
                  <w:rStyle w:val="Hyperlink"/>
                  <w:rFonts w:ascii="Calibri" w:eastAsia="Times New Roman" w:hAnsi="Calibri" w:cs="Calibri"/>
                  <w:lang w:eastAsia="es-CR"/>
                </w:rPr>
                <w:t>correo@sugeval.fi.cr</w:t>
              </w:r>
            </w:hyperlink>
            <w:r w:rsidRPr="00B716C3">
              <w:rPr>
                <w:rFonts w:ascii="Calibri" w:eastAsia="Times New Roman" w:hAnsi="Calibri" w:cs="Calibri"/>
                <w:color w:val="000000"/>
                <w:lang w:eastAsia="es-CR"/>
              </w:rPr>
              <w:t xml:space="preserve">, al fax 2243-4646 o presentarla directamente en las oficinas de esta Superintendencia.  El </w:t>
            </w:r>
            <w:r w:rsidRPr="00B716C3">
              <w:rPr>
                <w:rFonts w:ascii="Calibri" w:eastAsia="Times New Roman" w:hAnsi="Calibri" w:cs="Calibri"/>
                <w:color w:val="000000"/>
                <w:lang w:eastAsia="es-CR"/>
              </w:rPr>
              <w:lastRenderedPageBreak/>
              <w:t xml:space="preserve">documento a presentar deberá contener la especificación del tema concreto a analizar con su respectivo detalle así como el respectivo criterio de la entidad consultante que incluya las justificaciones técnicas para su propuesta, para lo cual podrán adjuntar, opiniones de un asesor legal o criterio técnico contable, según sea el tema planteado en el oficio. </w:t>
            </w:r>
            <w:r>
              <w:rPr>
                <w:rFonts w:ascii="Calibri" w:eastAsia="Times New Roman" w:hAnsi="Calibri" w:cs="Calibri"/>
                <w:color w:val="000000"/>
                <w:lang w:eastAsia="es-CR"/>
              </w:rPr>
              <w:t>Ref. Circular A30/0/3942 del 6 de octubre del 2006.</w:t>
            </w:r>
          </w:p>
          <w:p w14:paraId="63A7A0A8" w14:textId="77777777" w:rsidR="002A0342" w:rsidRDefault="002A0342" w:rsidP="005A4DD1"/>
        </w:tc>
      </w:tr>
    </w:tbl>
    <w:p w14:paraId="63A7A0AA" w14:textId="77777777" w:rsidR="00C91BCA" w:rsidRPr="002A0342" w:rsidRDefault="00C91BCA">
      <w:pPr>
        <w:rPr>
          <w:lang w:val="es-CR"/>
        </w:rPr>
      </w:pPr>
    </w:p>
    <w:sectPr w:rsidR="00C91BCA" w:rsidRPr="002A0342" w:rsidSect="00C91BCA">
      <w:headerReference w:type="defaul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A7A0AE" w14:textId="77777777" w:rsidR="00EC6646" w:rsidRDefault="00EC6646" w:rsidP="00E714F5">
      <w:pPr>
        <w:spacing w:after="0" w:line="240" w:lineRule="auto"/>
      </w:pPr>
      <w:r>
        <w:separator/>
      </w:r>
    </w:p>
  </w:endnote>
  <w:endnote w:type="continuationSeparator" w:id="0">
    <w:p w14:paraId="63A7A0AF" w14:textId="77777777" w:rsidR="00EC6646" w:rsidRDefault="00EC6646" w:rsidP="00E714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A7A0AC" w14:textId="77777777" w:rsidR="00EC6646" w:rsidRDefault="00EC6646" w:rsidP="00E714F5">
      <w:pPr>
        <w:spacing w:after="0" w:line="240" w:lineRule="auto"/>
      </w:pPr>
      <w:r>
        <w:separator/>
      </w:r>
    </w:p>
  </w:footnote>
  <w:footnote w:type="continuationSeparator" w:id="0">
    <w:p w14:paraId="63A7A0AD" w14:textId="77777777" w:rsidR="00EC6646" w:rsidRDefault="00EC6646" w:rsidP="00E714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A7A0B0" w14:textId="420851D6" w:rsidR="00E714F5" w:rsidRDefault="00E714F5" w:rsidP="005949BE">
    <w:pPr>
      <w:pStyle w:val="Header"/>
      <w:jc w:val="right"/>
    </w:pPr>
    <w:r>
      <w:t xml:space="preserve">                               </w:t>
    </w:r>
    <w:r w:rsidR="005949BE">
      <w:rPr>
        <w:noProof/>
        <w:lang w:val="es-CR" w:eastAsia="es-CR"/>
      </w:rPr>
      <w:drawing>
        <wp:inline distT="0" distB="0" distL="0" distR="0" wp14:anchorId="543847DF" wp14:editId="004CDD40">
          <wp:extent cx="1584960" cy="39014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Sugeval-Pequeñ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84960" cy="390144"/>
                  </a:xfrm>
                  <a:prstGeom prst="rect">
                    <a:avLst/>
                  </a:prstGeom>
                </pic:spPr>
              </pic:pic>
            </a:graphicData>
          </a:graphic>
        </wp:inline>
      </w:drawing>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1E3D1C"/>
    <w:multiLevelType w:val="hybridMultilevel"/>
    <w:tmpl w:val="56DCCDEE"/>
    <w:lvl w:ilvl="0" w:tplc="58565D2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F550F47"/>
    <w:multiLevelType w:val="hybridMultilevel"/>
    <w:tmpl w:val="6CE04424"/>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714F5"/>
    <w:rsid w:val="000D24D7"/>
    <w:rsid w:val="00100D98"/>
    <w:rsid w:val="0010542B"/>
    <w:rsid w:val="00221D32"/>
    <w:rsid w:val="002A0342"/>
    <w:rsid w:val="0030388F"/>
    <w:rsid w:val="0033065B"/>
    <w:rsid w:val="00351CEF"/>
    <w:rsid w:val="003769B3"/>
    <w:rsid w:val="004303AD"/>
    <w:rsid w:val="0055014E"/>
    <w:rsid w:val="005949BE"/>
    <w:rsid w:val="005D288F"/>
    <w:rsid w:val="005E1345"/>
    <w:rsid w:val="00625F93"/>
    <w:rsid w:val="00685B82"/>
    <w:rsid w:val="006C71FD"/>
    <w:rsid w:val="006F6CD9"/>
    <w:rsid w:val="00756E0A"/>
    <w:rsid w:val="007A346A"/>
    <w:rsid w:val="00890DC1"/>
    <w:rsid w:val="008A7726"/>
    <w:rsid w:val="008B65BE"/>
    <w:rsid w:val="00950D38"/>
    <w:rsid w:val="00A34745"/>
    <w:rsid w:val="00A65DEA"/>
    <w:rsid w:val="00A74E4C"/>
    <w:rsid w:val="00A96178"/>
    <w:rsid w:val="00B07490"/>
    <w:rsid w:val="00B310B7"/>
    <w:rsid w:val="00B60293"/>
    <w:rsid w:val="00B716C3"/>
    <w:rsid w:val="00C767A8"/>
    <w:rsid w:val="00C91BCA"/>
    <w:rsid w:val="00CC58E7"/>
    <w:rsid w:val="00D503CB"/>
    <w:rsid w:val="00D715D0"/>
    <w:rsid w:val="00E63292"/>
    <w:rsid w:val="00E714F5"/>
    <w:rsid w:val="00EC6646"/>
    <w:rsid w:val="00EE25F3"/>
    <w:rsid w:val="00F02C88"/>
    <w:rsid w:val="00FF69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A7A052"/>
  <w15:docId w15:val="{97FC6AF5-5E2B-4CC7-8586-70C1B14DB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1B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14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14F5"/>
    <w:rPr>
      <w:rFonts w:ascii="Tahoma" w:hAnsi="Tahoma" w:cs="Tahoma"/>
      <w:sz w:val="16"/>
      <w:szCs w:val="16"/>
    </w:rPr>
  </w:style>
  <w:style w:type="paragraph" w:styleId="ListParagraph">
    <w:name w:val="List Paragraph"/>
    <w:basedOn w:val="Normal"/>
    <w:uiPriority w:val="34"/>
    <w:qFormat/>
    <w:rsid w:val="00E714F5"/>
    <w:pPr>
      <w:ind w:left="720"/>
      <w:contextualSpacing/>
    </w:pPr>
    <w:rPr>
      <w:lang w:val="es-CR"/>
    </w:rPr>
  </w:style>
  <w:style w:type="table" w:styleId="TableGrid">
    <w:name w:val="Table Grid"/>
    <w:basedOn w:val="TableNormal"/>
    <w:uiPriority w:val="59"/>
    <w:rsid w:val="00E714F5"/>
    <w:pPr>
      <w:spacing w:after="0" w:line="240" w:lineRule="auto"/>
    </w:pPr>
    <w:rPr>
      <w:lang w:val="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714F5"/>
    <w:rPr>
      <w:color w:val="0000FF" w:themeColor="hyperlink"/>
      <w:u w:val="single"/>
    </w:rPr>
  </w:style>
  <w:style w:type="paragraph" w:styleId="Header">
    <w:name w:val="header"/>
    <w:basedOn w:val="Normal"/>
    <w:link w:val="HeaderChar"/>
    <w:uiPriority w:val="99"/>
    <w:unhideWhenUsed/>
    <w:rsid w:val="00E714F5"/>
    <w:pPr>
      <w:tabs>
        <w:tab w:val="center" w:pos="4419"/>
        <w:tab w:val="right" w:pos="8838"/>
      </w:tabs>
      <w:spacing w:after="0" w:line="240" w:lineRule="auto"/>
    </w:pPr>
  </w:style>
  <w:style w:type="character" w:customStyle="1" w:styleId="HeaderChar">
    <w:name w:val="Header Char"/>
    <w:basedOn w:val="DefaultParagraphFont"/>
    <w:link w:val="Header"/>
    <w:uiPriority w:val="99"/>
    <w:rsid w:val="00E714F5"/>
  </w:style>
  <w:style w:type="paragraph" w:styleId="Footer">
    <w:name w:val="footer"/>
    <w:basedOn w:val="Normal"/>
    <w:link w:val="FooterChar"/>
    <w:uiPriority w:val="99"/>
    <w:unhideWhenUsed/>
    <w:rsid w:val="00E714F5"/>
    <w:pPr>
      <w:tabs>
        <w:tab w:val="center" w:pos="4419"/>
        <w:tab w:val="right" w:pos="8838"/>
      </w:tabs>
      <w:spacing w:after="0" w:line="240" w:lineRule="auto"/>
    </w:pPr>
  </w:style>
  <w:style w:type="character" w:customStyle="1" w:styleId="FooterChar">
    <w:name w:val="Footer Char"/>
    <w:basedOn w:val="DefaultParagraphFont"/>
    <w:link w:val="Footer"/>
    <w:uiPriority w:val="99"/>
    <w:rsid w:val="00E714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3309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correo@sugeval.fi.cr"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orreo@sugeval.fi.cr"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package" Target="embeddings/Microsoft_Word_Document1.docx"/><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1E541A70F8315A428EA8EDFEDB540730" ma:contentTypeVersion="3" ma:contentTypeDescription="Crear nuevo documento." ma:contentTypeScope="" ma:versionID="33f1dc7d32da74761481ca1fbbc284cc">
  <xsd:schema xmlns:xsd="http://www.w3.org/2001/XMLSchema" xmlns:xs="http://www.w3.org/2001/XMLSchema" xmlns:p="http://schemas.microsoft.com/office/2006/metadata/properties" xmlns:ns1="http://schemas.microsoft.com/sharepoint/v3" xmlns:ns3="fc66ef79-2d66-4fa3-90bd-e4f186d8d369" targetNamespace="http://schemas.microsoft.com/office/2006/metadata/properties" ma:root="true" ma:fieldsID="b75dfa4d5377198312d12fd4e3b80111" ns1:_="" ns3:_="">
    <xsd:import namespace="http://schemas.microsoft.com/sharepoint/v3"/>
    <xsd:import namespace="fc66ef79-2d66-4fa3-90bd-e4f186d8d369"/>
    <xsd:element name="properties">
      <xsd:complexType>
        <xsd:sequence>
          <xsd:element name="documentManagement">
            <xsd:complexType>
              <xsd:all>
                <xsd:element ref="ns1:PublishingStartDate" minOccurs="0"/>
                <xsd:element ref="ns1:PublishingExpirationDat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internalName="PublishingStartDate">
      <xsd:simpleType>
        <xsd:restriction base="dms:Unknown"/>
      </xsd:simpleType>
    </xsd:element>
    <xsd:element name="PublishingExpirationDate" ma:index="9" nillable="true" ma:displayName="Fecha de finalización programada"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c66ef79-2d66-4fa3-90bd-e4f186d8d369" elementFormDefault="qualified">
    <xsd:import namespace="http://schemas.microsoft.com/office/2006/documentManagement/types"/>
    <xsd:import namespace="http://schemas.microsoft.com/office/infopath/2007/PartnerControls"/>
    <xsd:element name="SharedWithUsers" ma:index="11"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0810FFF-2D2D-4521-8177-D10B2A4CCCC8}"/>
</file>

<file path=customXml/itemProps2.xml><?xml version="1.0" encoding="utf-8"?>
<ds:datastoreItem xmlns:ds="http://schemas.openxmlformats.org/officeDocument/2006/customXml" ds:itemID="{5C009FFB-F566-4B22-97ED-2994963C826A}"/>
</file>

<file path=customXml/itemProps3.xml><?xml version="1.0" encoding="utf-8"?>
<ds:datastoreItem xmlns:ds="http://schemas.openxmlformats.org/officeDocument/2006/customXml" ds:itemID="{526C027F-1BBB-4496-BA09-DDF427EB389F}"/>
</file>

<file path=docProps/app.xml><?xml version="1.0" encoding="utf-8"?>
<Properties xmlns="http://schemas.openxmlformats.org/officeDocument/2006/extended-properties" xmlns:vt="http://schemas.openxmlformats.org/officeDocument/2006/docPropsVTypes">
  <Template>Normal</Template>
  <TotalTime>4</TotalTime>
  <Pages>3</Pages>
  <Words>1064</Words>
  <Characters>5855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SUGEVAL</Company>
  <LinksUpToDate>false</LinksUpToDate>
  <CharactersWithSpaces>6906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castillosa</dc:creator>
  <cp:lastModifiedBy>Patricia Fernández Porras</cp:lastModifiedBy>
  <cp:revision>4</cp:revision>
  <cp:lastPrinted>2015-10-06T22:05:00Z</cp:lastPrinted>
  <dcterms:created xsi:type="dcterms:W3CDTF">2015-10-09T21:36:00Z</dcterms:created>
  <dcterms:modified xsi:type="dcterms:W3CDTF">2016-05-09T21:54:00Z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0x0101001E541A70F8315A428EA8EDFEDB540730</vt:lpwstr>
  </property>
</Properties>
</file>