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267" w:type="dxa"/>
        <w:tblLook w:val="04A0" w:firstRow="1" w:lastRow="0" w:firstColumn="1" w:lastColumn="0" w:noHBand="0" w:noVBand="1"/>
      </w:tblPr>
      <w:tblGrid>
        <w:gridCol w:w="2802"/>
        <w:gridCol w:w="1687"/>
        <w:gridCol w:w="1998"/>
        <w:gridCol w:w="3780"/>
      </w:tblGrid>
      <w:tr w:rsidR="00C10E4B" w:rsidRPr="00C10E4B" w:rsidTr="00C54E48">
        <w:trPr>
          <w:tblHeader/>
        </w:trPr>
        <w:tc>
          <w:tcPr>
            <w:tcW w:w="10267" w:type="dxa"/>
            <w:gridSpan w:val="4"/>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C54E48">
        <w:trPr>
          <w:trHeight w:val="454"/>
          <w:tblHeader/>
        </w:trPr>
        <w:tc>
          <w:tcPr>
            <w:tcW w:w="2802"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3"/>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C54E48">
        <w:trPr>
          <w:trHeight w:val="454"/>
          <w:tblHeader/>
        </w:trPr>
        <w:tc>
          <w:tcPr>
            <w:tcW w:w="2802"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3"/>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C54E48">
        <w:trPr>
          <w:trHeight w:val="454"/>
          <w:tblHeader/>
        </w:trPr>
        <w:tc>
          <w:tcPr>
            <w:tcW w:w="2802"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3"/>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C54E48" w:rsidTr="00C54E48">
        <w:trPr>
          <w:trHeight w:val="454"/>
          <w:tblHeader/>
        </w:trPr>
        <w:tc>
          <w:tcPr>
            <w:tcW w:w="2802" w:type="dxa"/>
            <w:shd w:val="clear" w:color="auto" w:fill="808080" w:themeFill="background1" w:themeFillShade="80"/>
            <w:vAlign w:val="center"/>
          </w:tcPr>
          <w:p w:rsidR="00C54E48" w:rsidRPr="00C10E4B" w:rsidRDefault="00C54E48" w:rsidP="00862526">
            <w:pPr>
              <w:jc w:val="both"/>
              <w:rPr>
                <w:rFonts w:ascii="Arial" w:hAnsi="Arial" w:cs="Arial"/>
                <w:b/>
                <w:color w:val="FFFFFF" w:themeColor="background1"/>
              </w:rPr>
            </w:pPr>
            <w:r>
              <w:rPr>
                <w:rFonts w:ascii="Arial" w:hAnsi="Arial" w:cs="Arial"/>
                <w:b/>
                <w:color w:val="FFFFFF" w:themeColor="background1"/>
              </w:rPr>
              <w:t>A</w:t>
            </w:r>
            <w:r w:rsidRPr="00C10E4B">
              <w:rPr>
                <w:rFonts w:ascii="Arial" w:hAnsi="Arial" w:cs="Arial"/>
                <w:b/>
                <w:color w:val="FFFFFF" w:themeColor="background1"/>
              </w:rPr>
              <w:t>utorización que se obtiene en el trámite:</w:t>
            </w:r>
          </w:p>
        </w:tc>
        <w:tc>
          <w:tcPr>
            <w:tcW w:w="7465" w:type="dxa"/>
            <w:gridSpan w:val="3"/>
            <w:vAlign w:val="center"/>
          </w:tcPr>
          <w:p w:rsidR="00C54E48" w:rsidRPr="008417D3" w:rsidRDefault="00C54E48" w:rsidP="00862526">
            <w:pPr>
              <w:jc w:val="both"/>
              <w:rPr>
                <w:rFonts w:ascii="Arial" w:hAnsi="Arial" w:cs="Arial"/>
                <w:b/>
              </w:rPr>
            </w:pPr>
            <w:r>
              <w:rPr>
                <w:rFonts w:ascii="Arial" w:hAnsi="Arial" w:cs="Arial"/>
                <w:b/>
              </w:rPr>
              <w:t>Autorización de emisiones de contenido c</w:t>
            </w:r>
            <w:r w:rsidR="00AA7098">
              <w:rPr>
                <w:rFonts w:ascii="Arial" w:hAnsi="Arial" w:cs="Arial"/>
                <w:b/>
              </w:rPr>
              <w:t>rediticio- universalidades NUEVAS</w:t>
            </w:r>
          </w:p>
        </w:tc>
      </w:tr>
      <w:tr w:rsidR="00C54E48" w:rsidTr="00C54E48">
        <w:trPr>
          <w:trHeight w:val="454"/>
          <w:tblHeader/>
        </w:trPr>
        <w:tc>
          <w:tcPr>
            <w:tcW w:w="6487" w:type="dxa"/>
            <w:gridSpan w:val="3"/>
            <w:tcBorders>
              <w:bottom w:val="single" w:sz="4" w:space="0" w:color="auto"/>
            </w:tcBorders>
            <w:shd w:val="clear" w:color="auto" w:fill="808080" w:themeFill="background1" w:themeFillShade="80"/>
            <w:vAlign w:val="center"/>
          </w:tcPr>
          <w:p w:rsidR="00C54E48" w:rsidRPr="00F927B7" w:rsidRDefault="00C54E48" w:rsidP="00372260">
            <w:pPr>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780" w:type="dxa"/>
            <w:tcBorders>
              <w:bottom w:val="single" w:sz="4" w:space="0" w:color="auto"/>
            </w:tcBorders>
            <w:shd w:val="clear" w:color="auto" w:fill="808080" w:themeFill="background1" w:themeFillShade="80"/>
            <w:vAlign w:val="center"/>
          </w:tcPr>
          <w:p w:rsidR="00C54E48" w:rsidRPr="00F927B7" w:rsidRDefault="00C54E48" w:rsidP="00372260">
            <w:pPr>
              <w:jc w:val="center"/>
              <w:rPr>
                <w:rFonts w:ascii="Arial" w:hAnsi="Arial" w:cs="Arial"/>
                <w:b/>
              </w:rPr>
            </w:pPr>
            <w:r w:rsidRPr="00EB4C92">
              <w:rPr>
                <w:rFonts w:ascii="Arial" w:hAnsi="Arial" w:cs="Arial"/>
                <w:b/>
                <w:color w:val="FFFFFF" w:themeColor="background1"/>
              </w:rPr>
              <w:t>Fundamento Legal</w:t>
            </w:r>
          </w:p>
        </w:tc>
      </w:tr>
      <w:tr w:rsidR="00C54E48" w:rsidTr="00C54E48">
        <w:trPr>
          <w:trHeight w:val="454"/>
        </w:trPr>
        <w:tc>
          <w:tcPr>
            <w:tcW w:w="10267" w:type="dxa"/>
            <w:gridSpan w:val="4"/>
            <w:tcBorders>
              <w:bottom w:val="nil"/>
            </w:tcBorders>
            <w:vAlign w:val="center"/>
          </w:tcPr>
          <w:p w:rsidR="00C54E48" w:rsidRDefault="00C54E48" w:rsidP="00862526">
            <w:pPr>
              <w:rPr>
                <w:rFonts w:ascii="Arial" w:eastAsia="Times New Roman" w:hAnsi="Arial" w:cs="Arial"/>
                <w:b/>
                <w:bCs/>
                <w:color w:val="000000"/>
                <w:u w:val="single"/>
                <w:lang w:eastAsia="es-CR"/>
              </w:rPr>
            </w:pPr>
            <w:r w:rsidRPr="0023049C">
              <w:rPr>
                <w:rFonts w:ascii="Arial" w:eastAsia="Times New Roman" w:hAnsi="Arial" w:cs="Arial"/>
                <w:b/>
                <w:color w:val="000000"/>
                <w:szCs w:val="28"/>
                <w:lang w:eastAsia="es-CR"/>
              </w:rPr>
              <w:t>Requisitos iniciales:</w:t>
            </w:r>
          </w:p>
        </w:tc>
      </w:tr>
      <w:tr w:rsidR="00C54E48" w:rsidTr="00C54E48">
        <w:trPr>
          <w:trHeight w:val="454"/>
        </w:trPr>
        <w:tc>
          <w:tcPr>
            <w:tcW w:w="6487" w:type="dxa"/>
            <w:gridSpan w:val="3"/>
            <w:tcBorders>
              <w:bottom w:val="nil"/>
            </w:tcBorders>
            <w:vAlign w:val="center"/>
          </w:tcPr>
          <w:p w:rsidR="00C54E48" w:rsidRPr="00B4621A" w:rsidRDefault="00C54E48" w:rsidP="00C54E48">
            <w:pPr>
              <w:pStyle w:val="ListParagraph"/>
              <w:numPr>
                <w:ilvl w:val="0"/>
                <w:numId w:val="36"/>
              </w:numPr>
              <w:ind w:left="360"/>
              <w:jc w:val="both"/>
              <w:rPr>
                <w:rFonts w:ascii="Arial" w:eastAsia="Times New Roman" w:hAnsi="Arial" w:cs="Arial"/>
                <w:color w:val="000000"/>
                <w:lang w:eastAsia="es-CR"/>
              </w:rPr>
            </w:pPr>
            <w:r w:rsidRPr="001D03AB">
              <w:rPr>
                <w:rFonts w:ascii="Arial" w:eastAsia="Times New Roman" w:hAnsi="Arial" w:cs="Arial"/>
                <w:color w:val="000000"/>
                <w:lang w:eastAsia="es-CR"/>
              </w:rPr>
              <w:t xml:space="preserve">Solicitud firmada por el representante legal de la </w:t>
            </w:r>
            <w:r>
              <w:rPr>
                <w:rFonts w:ascii="Arial" w:eastAsia="Times New Roman" w:hAnsi="Arial" w:cs="Arial"/>
                <w:color w:val="000000"/>
                <w:lang w:eastAsia="es-CR"/>
              </w:rPr>
              <w:t>sociedad titularizadora</w:t>
            </w:r>
            <w:r w:rsidRPr="001D03AB">
              <w:rPr>
                <w:rFonts w:ascii="Arial" w:eastAsia="Times New Roman" w:hAnsi="Arial" w:cs="Arial"/>
                <w:color w:val="000000"/>
                <w:lang w:eastAsia="es-CR"/>
              </w:rPr>
              <w:t>.</w:t>
            </w:r>
            <w:r>
              <w:rPr>
                <w:rFonts w:ascii="Arial" w:eastAsia="Times New Roman" w:hAnsi="Arial" w:cs="Arial"/>
                <w:color w:val="000000"/>
                <w:lang w:eastAsia="es-CR"/>
              </w:rPr>
              <w:t xml:space="preserve"> </w:t>
            </w:r>
          </w:p>
        </w:tc>
        <w:tc>
          <w:tcPr>
            <w:tcW w:w="3780" w:type="dxa"/>
            <w:tcBorders>
              <w:bottom w:val="nil"/>
            </w:tcBorders>
            <w:vAlign w:val="center"/>
          </w:tcPr>
          <w:p w:rsidR="00C54E48" w:rsidRPr="001925A2" w:rsidRDefault="00C54E48" w:rsidP="00862526">
            <w:pPr>
              <w:autoSpaceDE w:val="0"/>
              <w:autoSpaceDN w:val="0"/>
              <w:adjustRightInd w:val="0"/>
              <w:jc w:val="both"/>
              <w:rPr>
                <w:rFonts w:ascii="Arial" w:hAnsi="Arial" w:cs="Arial"/>
                <w:sz w:val="20"/>
              </w:rPr>
            </w:pPr>
            <w:r>
              <w:rPr>
                <w:rFonts w:ascii="Arial" w:hAnsi="Arial" w:cs="Arial"/>
                <w:sz w:val="20"/>
              </w:rPr>
              <w:t>Artículo 43 a) del</w:t>
            </w:r>
            <w:r w:rsidRPr="001925A2">
              <w:rPr>
                <w:rFonts w:ascii="Arial" w:hAnsi="Arial" w:cs="Arial"/>
                <w:sz w:val="20"/>
              </w:rPr>
              <w:t xml:space="preserve"> Reglamento sobre procesos de titularización</w:t>
            </w:r>
            <w:r>
              <w:rPr>
                <w:rFonts w:ascii="Arial" w:hAnsi="Arial" w:cs="Arial"/>
                <w:sz w:val="20"/>
              </w:rPr>
              <w:t xml:space="preserve"> (</w:t>
            </w:r>
            <w:r w:rsidR="00476CBA">
              <w:rPr>
                <w:rFonts w:ascii="Arial" w:hAnsi="Arial" w:cs="Arial"/>
                <w:sz w:val="20"/>
              </w:rPr>
              <w:t>RPT</w:t>
            </w:r>
            <w:r>
              <w:rPr>
                <w:rFonts w:ascii="Arial" w:hAnsi="Arial" w:cs="Arial"/>
                <w:sz w:val="20"/>
              </w:rPr>
              <w:t>).</w:t>
            </w:r>
          </w:p>
          <w:p w:rsidR="00C54E48" w:rsidRPr="001925A2" w:rsidRDefault="00C54E48" w:rsidP="00862526">
            <w:pPr>
              <w:autoSpaceDE w:val="0"/>
              <w:autoSpaceDN w:val="0"/>
              <w:adjustRightInd w:val="0"/>
              <w:jc w:val="both"/>
              <w:rPr>
                <w:rFonts w:ascii="Arial" w:eastAsia="Times New Roman" w:hAnsi="Arial" w:cs="Arial"/>
                <w:color w:val="000000"/>
                <w:lang w:eastAsia="es-CR"/>
              </w:rPr>
            </w:pPr>
            <w:r>
              <w:rPr>
                <w:rFonts w:ascii="Arial" w:hAnsi="Arial" w:cs="Arial"/>
                <w:sz w:val="20"/>
              </w:rPr>
              <w:t xml:space="preserve">Artículo 3 bis del </w:t>
            </w:r>
            <w:r w:rsidRPr="001925A2">
              <w:rPr>
                <w:rFonts w:ascii="Arial" w:hAnsi="Arial" w:cs="Arial"/>
                <w:sz w:val="20"/>
              </w:rPr>
              <w:t xml:space="preserve">Acuerdo SGV-A-182, </w:t>
            </w:r>
            <w:r w:rsidRPr="001925A2">
              <w:rPr>
                <w:rFonts w:ascii="Arial" w:hAnsi="Arial" w:cs="Arial"/>
                <w:i/>
                <w:sz w:val="20"/>
              </w:rPr>
              <w:t>Instrucciones para la remisión de prospectos de entidades emisoras y documentos relacionados.</w:t>
            </w:r>
          </w:p>
        </w:tc>
      </w:tr>
      <w:tr w:rsidR="00C54E48" w:rsidTr="00C54E48">
        <w:trPr>
          <w:trHeight w:val="454"/>
        </w:trPr>
        <w:tc>
          <w:tcPr>
            <w:tcW w:w="6487" w:type="dxa"/>
            <w:gridSpan w:val="3"/>
            <w:tcBorders>
              <w:bottom w:val="nil"/>
            </w:tcBorders>
            <w:vAlign w:val="center"/>
          </w:tcPr>
          <w:p w:rsidR="00C54E48" w:rsidRPr="001D03AB" w:rsidRDefault="00C54E48" w:rsidP="00C54E48">
            <w:pPr>
              <w:pStyle w:val="ListParagraph"/>
              <w:numPr>
                <w:ilvl w:val="0"/>
                <w:numId w:val="36"/>
              </w:numPr>
              <w:ind w:left="360"/>
              <w:jc w:val="both"/>
              <w:rPr>
                <w:rFonts w:ascii="Arial" w:eastAsia="Times New Roman" w:hAnsi="Arial" w:cs="Arial"/>
                <w:color w:val="000000"/>
                <w:lang w:eastAsia="es-CR"/>
              </w:rPr>
            </w:pPr>
            <w:r>
              <w:rPr>
                <w:rFonts w:ascii="Arial" w:eastAsia="Times New Roman" w:hAnsi="Arial" w:cs="Arial"/>
                <w:color w:val="000000"/>
                <w:lang w:eastAsia="es-CR"/>
              </w:rPr>
              <w:t>Prospecto</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 xml:space="preserve">Artículos 43b), </w:t>
            </w:r>
            <w:r w:rsidRPr="001F7C0B">
              <w:rPr>
                <w:rFonts w:ascii="Arial" w:hAnsi="Arial" w:cs="Arial"/>
                <w:sz w:val="20"/>
              </w:rPr>
              <w:t>36</w:t>
            </w:r>
            <w:r>
              <w:rPr>
                <w:rFonts w:ascii="Arial" w:hAnsi="Arial" w:cs="Arial"/>
                <w:sz w:val="20"/>
              </w:rPr>
              <w:t xml:space="preserve">, 3, 5, 8, 9, 11, 13, 14, 17, </w:t>
            </w:r>
            <w:r w:rsidR="001F7C0B">
              <w:rPr>
                <w:rFonts w:ascii="Arial" w:hAnsi="Arial" w:cs="Arial"/>
                <w:sz w:val="20"/>
              </w:rPr>
              <w:t xml:space="preserve">18, </w:t>
            </w:r>
            <w:r>
              <w:rPr>
                <w:rFonts w:ascii="Arial" w:hAnsi="Arial" w:cs="Arial"/>
                <w:sz w:val="20"/>
              </w:rPr>
              <w:t>19, 20, 23, 28 y 32 del</w:t>
            </w:r>
            <w:r w:rsidRPr="001925A2">
              <w:rPr>
                <w:rFonts w:ascii="Arial" w:hAnsi="Arial" w:cs="Arial"/>
                <w:sz w:val="20"/>
              </w:rPr>
              <w:t xml:space="preserve"> </w:t>
            </w:r>
            <w:r w:rsidR="00476CBA">
              <w:rPr>
                <w:rFonts w:ascii="Arial" w:hAnsi="Arial" w:cs="Arial"/>
                <w:sz w:val="20"/>
              </w:rPr>
              <w:t>RPT</w:t>
            </w:r>
            <w:r>
              <w:rPr>
                <w:rFonts w:ascii="Arial" w:hAnsi="Arial" w:cs="Arial"/>
                <w:sz w:val="20"/>
              </w:rPr>
              <w:t>.</w:t>
            </w:r>
          </w:p>
          <w:p w:rsidR="00C54E48" w:rsidRDefault="00C54E48" w:rsidP="00E12C10">
            <w:pPr>
              <w:autoSpaceDE w:val="0"/>
              <w:autoSpaceDN w:val="0"/>
              <w:adjustRightInd w:val="0"/>
              <w:jc w:val="both"/>
              <w:rPr>
                <w:rFonts w:ascii="Arial" w:hAnsi="Arial" w:cs="Arial"/>
                <w:sz w:val="20"/>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C54E48">
        <w:trPr>
          <w:trHeight w:val="454"/>
        </w:trPr>
        <w:tc>
          <w:tcPr>
            <w:tcW w:w="6487" w:type="dxa"/>
            <w:gridSpan w:val="3"/>
            <w:tcBorders>
              <w:bottom w:val="nil"/>
            </w:tcBorders>
            <w:vAlign w:val="center"/>
          </w:tcPr>
          <w:p w:rsidR="00C54E48" w:rsidRPr="001D03AB" w:rsidRDefault="00C54E48" w:rsidP="00C54E48">
            <w:pPr>
              <w:pStyle w:val="ListParagraph"/>
              <w:numPr>
                <w:ilvl w:val="0"/>
                <w:numId w:val="36"/>
              </w:numPr>
              <w:ind w:left="360"/>
              <w:jc w:val="both"/>
              <w:rPr>
                <w:rFonts w:ascii="Arial" w:eastAsia="Times New Roman" w:hAnsi="Arial" w:cs="Arial"/>
                <w:color w:val="000000"/>
                <w:lang w:eastAsia="es-CR"/>
              </w:rPr>
            </w:pPr>
            <w:r>
              <w:rPr>
                <w:rFonts w:ascii="Arial" w:eastAsia="Times New Roman" w:hAnsi="Arial" w:cs="Arial"/>
                <w:color w:val="000000"/>
                <w:lang w:eastAsia="es-CR"/>
              </w:rPr>
              <w:t>Calificación de riesgo</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Artículos 43 c) y 37 del </w:t>
            </w:r>
            <w:r w:rsidR="00476CBA">
              <w:rPr>
                <w:rFonts w:ascii="Arial" w:hAnsi="Arial" w:cs="Arial"/>
                <w:sz w:val="20"/>
              </w:rPr>
              <w:t>RPT</w:t>
            </w:r>
            <w:r>
              <w:rPr>
                <w:rFonts w:ascii="Arial" w:hAnsi="Arial" w:cs="Arial"/>
                <w:sz w:val="20"/>
              </w:rPr>
              <w:t>.</w:t>
            </w:r>
          </w:p>
          <w:p w:rsidR="00C54E48" w:rsidRDefault="00C54E48" w:rsidP="00E12C10">
            <w:pPr>
              <w:autoSpaceDE w:val="0"/>
              <w:autoSpaceDN w:val="0"/>
              <w:adjustRightInd w:val="0"/>
              <w:jc w:val="both"/>
              <w:rPr>
                <w:rFonts w:ascii="Arial" w:hAnsi="Arial" w:cs="Arial"/>
                <w:sz w:val="20"/>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C54E48">
            <w:pPr>
              <w:pStyle w:val="ListParagraph"/>
              <w:numPr>
                <w:ilvl w:val="0"/>
                <w:numId w:val="36"/>
              </w:numPr>
              <w:ind w:left="426" w:hanging="426"/>
              <w:jc w:val="both"/>
              <w:rPr>
                <w:rFonts w:ascii="Arial" w:eastAsia="Times New Roman" w:hAnsi="Arial" w:cs="Arial"/>
                <w:color w:val="000000"/>
                <w:lang w:eastAsia="es-CR"/>
              </w:rPr>
            </w:pPr>
            <w:r w:rsidRPr="00C6383D">
              <w:rPr>
                <w:rFonts w:ascii="Arial" w:eastAsia="Times New Roman" w:hAnsi="Arial" w:cs="Arial"/>
                <w:color w:val="000000"/>
                <w:lang w:eastAsia="es-CR"/>
              </w:rPr>
              <w:t>Proyecciones financieras de los flujos estimados junto con los supuestos que los respaldan y los escenarios de sensibilización respectivos, para un plazo que abarque la totalidad de las emisiones que se pretenden emitir sustentadas en dichas proyecciones.</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 43 d) del </w:t>
            </w:r>
            <w:r w:rsidR="00476CBA">
              <w:rPr>
                <w:rFonts w:ascii="Arial" w:hAnsi="Arial" w:cs="Arial"/>
                <w:sz w:val="20"/>
              </w:rPr>
              <w:t>RPT</w:t>
            </w:r>
            <w:r>
              <w:rPr>
                <w:rFonts w:ascii="Arial" w:hAnsi="Arial" w:cs="Arial"/>
                <w:sz w:val="20"/>
              </w:rPr>
              <w:t>.</w:t>
            </w:r>
          </w:p>
          <w:p w:rsidR="00C54E48" w:rsidRDefault="00C54E48" w:rsidP="00E12C10">
            <w:pPr>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C54E48">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Valoración financiera de la cartera de activos a titularizar en la que se detallen los supuestos y la metodología utilizada. </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 43 e) del </w:t>
            </w:r>
            <w:r w:rsidR="00476CBA">
              <w:rPr>
                <w:rFonts w:ascii="Arial" w:hAnsi="Arial" w:cs="Arial"/>
                <w:sz w:val="20"/>
              </w:rPr>
              <w:t>RPT</w:t>
            </w:r>
            <w:r>
              <w:rPr>
                <w:rFonts w:ascii="Arial" w:hAnsi="Arial" w:cs="Arial"/>
                <w:sz w:val="20"/>
              </w:rPr>
              <w:t>.</w:t>
            </w:r>
          </w:p>
          <w:p w:rsidR="00C54E48" w:rsidRDefault="00C54E48" w:rsidP="00E12C10">
            <w:pPr>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C54E48">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Validación de la valoración financiera de la cartera de activos a titularizar por parte de un profesional incorporado al colegio de profesionales respectivo. </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 43 f) del </w:t>
            </w:r>
            <w:r w:rsidR="00476CBA">
              <w:rPr>
                <w:rFonts w:ascii="Arial" w:hAnsi="Arial" w:cs="Arial"/>
                <w:sz w:val="20"/>
              </w:rPr>
              <w:t>RPT</w:t>
            </w:r>
            <w:r>
              <w:rPr>
                <w:rFonts w:ascii="Arial" w:hAnsi="Arial" w:cs="Arial"/>
                <w:sz w:val="20"/>
              </w:rPr>
              <w:t>.</w:t>
            </w:r>
          </w:p>
          <w:p w:rsidR="00C54E48" w:rsidRDefault="00C54E48" w:rsidP="00E12C10">
            <w:pPr>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E12C10">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suscrita por el profesional que realizó la validación sobre la independencia con el patrocinador, administrador y otras partes relacionadas al vehículo de propósito especial y sus respectivos grupos económicos. </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 43 f) del </w:t>
            </w:r>
            <w:r w:rsidR="00476CBA">
              <w:rPr>
                <w:rFonts w:ascii="Arial" w:hAnsi="Arial" w:cs="Arial"/>
                <w:sz w:val="20"/>
              </w:rPr>
              <w:t>RPT</w:t>
            </w:r>
            <w:r>
              <w:rPr>
                <w:rFonts w:ascii="Arial" w:hAnsi="Arial" w:cs="Arial"/>
                <w:sz w:val="20"/>
              </w:rPr>
              <w:t>.</w:t>
            </w:r>
          </w:p>
          <w:p w:rsidR="00C54E48" w:rsidRDefault="00C54E48" w:rsidP="00E12C10">
            <w:pPr>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1524AE" w:rsidRDefault="00C54E48" w:rsidP="00B415B4">
            <w:pPr>
              <w:pStyle w:val="ListParagraph"/>
              <w:numPr>
                <w:ilvl w:val="0"/>
                <w:numId w:val="36"/>
              </w:numPr>
              <w:ind w:left="426" w:hanging="426"/>
              <w:jc w:val="both"/>
              <w:rPr>
                <w:rFonts w:ascii="Arial" w:eastAsia="Times New Roman" w:hAnsi="Arial" w:cs="Arial"/>
                <w:color w:val="000000"/>
                <w:lang w:eastAsia="es-CR"/>
              </w:rPr>
            </w:pPr>
            <w:r w:rsidRPr="00694A26">
              <w:rPr>
                <w:rFonts w:ascii="Arial" w:eastAsia="Times New Roman" w:hAnsi="Arial" w:cs="Arial"/>
                <w:color w:val="000000"/>
                <w:lang w:eastAsia="es-CR"/>
              </w:rPr>
              <w:t xml:space="preserve">Certificación notarial del acuerdo del consejo de administración de la sociedad titularizadora en la que se acordó constituir la universalidad y realizar oferta pública de la emisión. </w:t>
            </w:r>
            <w:r w:rsidR="00B415B4">
              <w:rPr>
                <w:rFonts w:ascii="Arial" w:eastAsia="Times New Roman" w:hAnsi="Arial" w:cs="Arial"/>
                <w:color w:val="000000"/>
                <w:lang w:eastAsia="es-CR"/>
              </w:rPr>
              <w:t xml:space="preserve">La junta directiva puede delegar expresamente en el acta </w:t>
            </w:r>
            <w:r w:rsidR="00B415B4">
              <w:rPr>
                <w:rFonts w:ascii="Arial" w:eastAsia="Times New Roman" w:hAnsi="Arial" w:cs="Arial"/>
                <w:lang w:eastAsia="es-CR"/>
              </w:rPr>
              <w:t xml:space="preserve">a la administración para que defina </w:t>
            </w:r>
            <w:r w:rsidR="00B415B4" w:rsidRPr="0092194D">
              <w:rPr>
                <w:rFonts w:ascii="Arial" w:eastAsia="Times New Roman" w:hAnsi="Arial" w:cs="Arial"/>
                <w:lang w:eastAsia="es-CR"/>
              </w:rPr>
              <w:t>las características de la</w:t>
            </w:r>
            <w:r w:rsidR="00B415B4">
              <w:rPr>
                <w:rFonts w:ascii="Arial" w:eastAsia="Times New Roman" w:hAnsi="Arial" w:cs="Arial"/>
                <w:lang w:eastAsia="es-CR"/>
              </w:rPr>
              <w:t>s</w:t>
            </w:r>
            <w:r w:rsidR="00B415B4" w:rsidRPr="0092194D">
              <w:rPr>
                <w:rFonts w:ascii="Arial" w:eastAsia="Times New Roman" w:hAnsi="Arial" w:cs="Arial"/>
                <w:lang w:eastAsia="es-CR"/>
              </w:rPr>
              <w:t xml:space="preserve"> emisi</w:t>
            </w:r>
            <w:r w:rsidR="00B415B4">
              <w:rPr>
                <w:rFonts w:ascii="Arial" w:eastAsia="Times New Roman" w:hAnsi="Arial" w:cs="Arial"/>
                <w:lang w:eastAsia="es-CR"/>
              </w:rPr>
              <w:t>o</w:t>
            </w:r>
            <w:r w:rsidR="00B415B4" w:rsidRPr="0092194D">
              <w:rPr>
                <w:rFonts w:ascii="Arial" w:eastAsia="Times New Roman" w:hAnsi="Arial" w:cs="Arial"/>
                <w:lang w:eastAsia="es-CR"/>
              </w:rPr>
              <w:t>n</w:t>
            </w:r>
            <w:r w:rsidR="00B415B4">
              <w:rPr>
                <w:rFonts w:ascii="Arial" w:eastAsia="Times New Roman" w:hAnsi="Arial" w:cs="Arial"/>
                <w:lang w:eastAsia="es-CR"/>
              </w:rPr>
              <w:t>es</w:t>
            </w:r>
            <w:r w:rsidR="00B415B4" w:rsidRPr="0092194D">
              <w:rPr>
                <w:rFonts w:ascii="Arial" w:eastAsia="Times New Roman" w:hAnsi="Arial" w:cs="Arial"/>
                <w:lang w:eastAsia="es-CR"/>
              </w:rPr>
              <w:t xml:space="preserve">, </w:t>
            </w:r>
            <w:r w:rsidR="00B415B4">
              <w:rPr>
                <w:rFonts w:ascii="Arial" w:eastAsia="Times New Roman" w:hAnsi="Arial" w:cs="Arial"/>
                <w:lang w:eastAsia="es-CR"/>
              </w:rPr>
              <w:t xml:space="preserve">en cuyo caso se </w:t>
            </w:r>
            <w:r w:rsidR="00B415B4" w:rsidRPr="0092194D">
              <w:rPr>
                <w:rFonts w:ascii="Arial" w:eastAsia="Times New Roman" w:hAnsi="Arial" w:cs="Arial"/>
                <w:lang w:eastAsia="es-CR"/>
              </w:rPr>
              <w:t>debe presentar el documento en el que consten las características acordadas como parte de la solicitud de inscripción</w:t>
            </w:r>
            <w:r w:rsidR="00B415B4">
              <w:rPr>
                <w:rFonts w:ascii="Arial" w:eastAsia="Times New Roman" w:hAnsi="Arial" w:cs="Arial"/>
                <w:color w:val="000000"/>
                <w:lang w:eastAsia="es-CR"/>
              </w:rPr>
              <w:t>.</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Artículos 43 g) y 34 del </w:t>
            </w:r>
            <w:r w:rsidR="00476CBA">
              <w:rPr>
                <w:rFonts w:ascii="Arial" w:hAnsi="Arial" w:cs="Arial"/>
                <w:sz w:val="20"/>
              </w:rPr>
              <w:t>RPT</w:t>
            </w:r>
            <w:r>
              <w:rPr>
                <w:rFonts w:ascii="Arial" w:hAnsi="Arial" w:cs="Arial"/>
                <w:sz w:val="20"/>
              </w:rPr>
              <w:t>.</w:t>
            </w:r>
          </w:p>
          <w:p w:rsidR="00C54E48" w:rsidRDefault="00C54E48" w:rsidP="002C0E88">
            <w:pPr>
              <w:rPr>
                <w:rFonts w:ascii="Arial" w:hAnsi="Arial" w:cs="Arial"/>
                <w:sz w:val="20"/>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C54E48">
            <w:pPr>
              <w:pStyle w:val="ListParagraph"/>
              <w:numPr>
                <w:ilvl w:val="0"/>
                <w:numId w:val="36"/>
              </w:numPr>
              <w:ind w:left="426" w:hanging="426"/>
              <w:jc w:val="both"/>
              <w:rPr>
                <w:rFonts w:ascii="Arial" w:eastAsia="Times New Roman" w:hAnsi="Arial" w:cs="Arial"/>
                <w:color w:val="000000"/>
                <w:lang w:eastAsia="es-CR"/>
              </w:rPr>
            </w:pPr>
            <w:r>
              <w:rPr>
                <w:rFonts w:ascii="Arial" w:eastAsia="Times New Roman" w:hAnsi="Arial" w:cs="Arial"/>
                <w:color w:val="000000"/>
                <w:lang w:eastAsia="es-CR"/>
              </w:rPr>
              <w:lastRenderedPageBreak/>
              <w:t>C</w:t>
            </w:r>
            <w:r w:rsidRPr="004A7583">
              <w:rPr>
                <w:rFonts w:ascii="Arial" w:eastAsia="Times New Roman" w:hAnsi="Arial" w:cs="Arial"/>
                <w:color w:val="000000"/>
                <w:lang w:eastAsia="es-CR"/>
              </w:rPr>
              <w:t>ontrato de cesión de activos.</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Artículos 43 h) y 34 del </w:t>
            </w:r>
            <w:r w:rsidR="00476CBA">
              <w:rPr>
                <w:rFonts w:ascii="Arial" w:hAnsi="Arial" w:cs="Arial"/>
                <w:sz w:val="20"/>
              </w:rPr>
              <w:t>RPT</w:t>
            </w:r>
            <w:r>
              <w:rPr>
                <w:rFonts w:ascii="Arial" w:hAnsi="Arial" w:cs="Arial"/>
                <w:sz w:val="20"/>
              </w:rPr>
              <w:t>.</w:t>
            </w:r>
          </w:p>
          <w:p w:rsidR="006B1993" w:rsidRDefault="006B1993" w:rsidP="00862526">
            <w:pPr>
              <w:rPr>
                <w:rFonts w:ascii="Arial" w:hAnsi="Arial" w:cs="Arial"/>
                <w:sz w:val="20"/>
              </w:rPr>
            </w:pPr>
            <w:r>
              <w:rPr>
                <w:rFonts w:ascii="Arial" w:hAnsi="Arial" w:cs="Arial"/>
                <w:sz w:val="20"/>
              </w:rPr>
              <w:t>Articulo 41 ROPV.</w:t>
            </w:r>
          </w:p>
          <w:p w:rsidR="00C54E48" w:rsidRDefault="00C54E48" w:rsidP="002C0E88">
            <w:pPr>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C54E48">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Detalle de los activos subyacentes a titularizar que incluya información de las características y el historial de cada uno de los activos, con excepción de la identificación del cliente.</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 43 i) del </w:t>
            </w:r>
            <w:r w:rsidR="00476CBA">
              <w:rPr>
                <w:rFonts w:ascii="Arial" w:hAnsi="Arial" w:cs="Arial"/>
                <w:sz w:val="20"/>
              </w:rPr>
              <w:t>RPT</w:t>
            </w:r>
            <w:r>
              <w:rPr>
                <w:rFonts w:ascii="Arial" w:hAnsi="Arial" w:cs="Arial"/>
                <w:sz w:val="20"/>
              </w:rPr>
              <w:t>.</w:t>
            </w:r>
          </w:p>
          <w:p w:rsidR="00C54E48" w:rsidRDefault="00C54E48" w:rsidP="002C0E88">
            <w:pPr>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6487" w:type="dxa"/>
            <w:gridSpan w:val="3"/>
            <w:tcBorders>
              <w:bottom w:val="nil"/>
            </w:tcBorders>
            <w:vAlign w:val="center"/>
          </w:tcPr>
          <w:p w:rsidR="00C54E48" w:rsidRPr="00B4621A" w:rsidRDefault="00C54E48" w:rsidP="002C0E88">
            <w:pPr>
              <w:pStyle w:val="ListParagraph"/>
              <w:numPr>
                <w:ilvl w:val="0"/>
                <w:numId w:val="36"/>
              </w:numPr>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rendida por el estructurador o por su representante legal, respecto al proceso de debida diligencia empleado en la recopilación, análisis y preparación de la información relacionada con el trámite. </w:t>
            </w:r>
            <w:r>
              <w:rPr>
                <w:rFonts w:ascii="Arial" w:eastAsia="Times New Roman" w:hAnsi="Arial" w:cs="Arial"/>
                <w:color w:val="000000"/>
                <w:lang w:eastAsia="es-CR"/>
              </w:rPr>
              <w:t>(</w:t>
            </w:r>
            <w:r w:rsidRPr="00F52409">
              <w:rPr>
                <w:rFonts w:ascii="Arial" w:eastAsia="Times New Roman" w:hAnsi="Arial" w:cs="Arial"/>
                <w:b/>
                <w:i/>
                <w:color w:val="000000"/>
                <w:lang w:eastAsia="es-CR"/>
              </w:rPr>
              <w:t>Aplica cuando se hayan contratado servicios de estructuración</w:t>
            </w:r>
            <w:r>
              <w:rPr>
                <w:rFonts w:ascii="Arial" w:eastAsia="Times New Roman" w:hAnsi="Arial" w:cs="Arial"/>
                <w:color w:val="000000"/>
                <w:lang w:eastAsia="es-CR"/>
              </w:rPr>
              <w:t>)</w:t>
            </w:r>
            <w:r w:rsidRPr="004A7583">
              <w:rPr>
                <w:rFonts w:ascii="Arial" w:eastAsia="Times New Roman" w:hAnsi="Arial" w:cs="Arial"/>
                <w:color w:val="000000"/>
                <w:lang w:eastAsia="es-CR"/>
              </w:rPr>
              <w:t>.</w:t>
            </w:r>
          </w:p>
        </w:tc>
        <w:tc>
          <w:tcPr>
            <w:tcW w:w="3780" w:type="dxa"/>
            <w:tcBorders>
              <w:bottom w:val="nil"/>
            </w:tcBorders>
            <w:vAlign w:val="center"/>
          </w:tcPr>
          <w:p w:rsidR="00C54E48" w:rsidRDefault="00C54E48" w:rsidP="00862526">
            <w:pPr>
              <w:rPr>
                <w:rFonts w:ascii="Arial" w:hAnsi="Arial" w:cs="Arial"/>
                <w:sz w:val="20"/>
              </w:rPr>
            </w:pPr>
            <w:r>
              <w:rPr>
                <w:rFonts w:ascii="Arial" w:hAnsi="Arial" w:cs="Arial"/>
                <w:sz w:val="20"/>
              </w:rPr>
              <w:t xml:space="preserve">Artículo 43 j) del </w:t>
            </w:r>
            <w:r w:rsidR="00476CBA">
              <w:rPr>
                <w:rFonts w:ascii="Arial" w:hAnsi="Arial" w:cs="Arial"/>
                <w:sz w:val="20"/>
              </w:rPr>
              <w:t>RPT</w:t>
            </w:r>
            <w:r>
              <w:rPr>
                <w:rFonts w:ascii="Arial" w:hAnsi="Arial" w:cs="Arial"/>
                <w:sz w:val="20"/>
              </w:rPr>
              <w:t>.</w:t>
            </w:r>
          </w:p>
          <w:p w:rsidR="00C54E48" w:rsidRDefault="00C54E48" w:rsidP="002C0E88">
            <w:pPr>
              <w:rPr>
                <w:rFonts w:ascii="Arial" w:eastAsia="Times New Roman" w:hAnsi="Arial" w:cs="Arial"/>
                <w:b/>
                <w:bCs/>
                <w:color w:val="000000"/>
                <w:u w:val="single"/>
                <w:lang w:eastAsia="es-CR"/>
              </w:rPr>
            </w:pPr>
            <w:r>
              <w:rPr>
                <w:rFonts w:ascii="Arial" w:hAnsi="Arial" w:cs="Arial"/>
                <w:sz w:val="20"/>
              </w:rPr>
              <w:t xml:space="preserve">Artículos 3 bis y 16 del </w:t>
            </w:r>
            <w:r w:rsidRPr="001925A2">
              <w:rPr>
                <w:rFonts w:ascii="Arial" w:hAnsi="Arial" w:cs="Arial"/>
                <w:sz w:val="20"/>
              </w:rPr>
              <w:t>Acuerdo SGV-A-182</w:t>
            </w:r>
            <w:r>
              <w:rPr>
                <w:rFonts w:ascii="Arial" w:hAnsi="Arial" w:cs="Arial"/>
                <w:sz w:val="20"/>
              </w:rPr>
              <w:t>.</w:t>
            </w:r>
          </w:p>
        </w:tc>
      </w:tr>
      <w:tr w:rsidR="00C54E48" w:rsidTr="00862526">
        <w:trPr>
          <w:trHeight w:val="454"/>
        </w:trPr>
        <w:tc>
          <w:tcPr>
            <w:tcW w:w="10267" w:type="dxa"/>
            <w:gridSpan w:val="4"/>
            <w:tcBorders>
              <w:bottom w:val="nil"/>
            </w:tcBorders>
            <w:vAlign w:val="center"/>
          </w:tcPr>
          <w:p w:rsidR="00C54E48" w:rsidRDefault="00C54E48" w:rsidP="00862526">
            <w:pPr>
              <w:jc w:val="both"/>
              <w:rPr>
                <w:rFonts w:ascii="Arial" w:hAnsi="Arial" w:cs="Arial"/>
                <w:szCs w:val="24"/>
              </w:rPr>
            </w:pPr>
            <w:r>
              <w:rPr>
                <w:rFonts w:ascii="Arial" w:hAnsi="Arial" w:cs="Arial"/>
                <w:szCs w:val="24"/>
              </w:rPr>
              <w:t>Mejoradores crediticios y Garantías:</w:t>
            </w:r>
          </w:p>
        </w:tc>
      </w:tr>
      <w:tr w:rsidR="00C54E48" w:rsidRPr="00E779C6" w:rsidTr="00862526">
        <w:trPr>
          <w:trHeight w:val="454"/>
        </w:trPr>
        <w:tc>
          <w:tcPr>
            <w:tcW w:w="6487" w:type="dxa"/>
            <w:gridSpan w:val="3"/>
            <w:tcBorders>
              <w:bottom w:val="nil"/>
            </w:tcBorders>
            <w:vAlign w:val="center"/>
          </w:tcPr>
          <w:p w:rsidR="00C54E48" w:rsidRPr="00471A39" w:rsidRDefault="00C54E48" w:rsidP="00C54E48">
            <w:pPr>
              <w:pStyle w:val="ListParagraph"/>
              <w:numPr>
                <w:ilvl w:val="0"/>
                <w:numId w:val="36"/>
              </w:numPr>
              <w:ind w:left="426" w:hanging="426"/>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 (</w:t>
            </w:r>
            <w:r w:rsidRPr="00F52409">
              <w:rPr>
                <w:rFonts w:ascii="Arial" w:eastAsia="Times New Roman" w:hAnsi="Arial" w:cs="Arial"/>
                <w:b/>
                <w:i/>
                <w:lang w:eastAsia="es-CR"/>
              </w:rPr>
              <w:t>Aplica en caso de líneas de crédito</w:t>
            </w:r>
            <w:r>
              <w:rPr>
                <w:rFonts w:ascii="Arial" w:eastAsia="Times New Roman" w:hAnsi="Arial" w:cs="Arial"/>
                <w:lang w:eastAsia="es-CR"/>
              </w:rPr>
              <w:t>).</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 xml:space="preserve">Artículos 43 l), 40 a) </w:t>
            </w:r>
            <w:r w:rsidR="002C0E88">
              <w:rPr>
                <w:rFonts w:ascii="Arial" w:hAnsi="Arial" w:cs="Arial"/>
                <w:sz w:val="20"/>
              </w:rPr>
              <w:t xml:space="preserve">y 34 </w:t>
            </w:r>
            <w:r>
              <w:rPr>
                <w:rFonts w:ascii="Arial" w:hAnsi="Arial" w:cs="Arial"/>
                <w:sz w:val="20"/>
              </w:rPr>
              <w:t xml:space="preserve">del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Pr="00E779C6" w:rsidRDefault="002C0E88" w:rsidP="00862526">
            <w:pPr>
              <w:autoSpaceDE w:val="0"/>
              <w:autoSpaceDN w:val="0"/>
              <w:adjustRightInd w:val="0"/>
              <w:jc w:val="both"/>
              <w:rPr>
                <w:rFonts w:ascii="Arial" w:hAnsi="Arial" w:cs="Arial"/>
                <w:sz w:val="20"/>
              </w:rPr>
            </w:pPr>
            <w:r>
              <w:rPr>
                <w:rFonts w:ascii="Arial" w:hAnsi="Arial" w:cs="Arial"/>
                <w:sz w:val="20"/>
              </w:rPr>
              <w:t xml:space="preserve">Artículo </w:t>
            </w:r>
            <w:r w:rsidR="00C54E48">
              <w:rPr>
                <w:rFonts w:ascii="Arial" w:hAnsi="Arial" w:cs="Arial"/>
                <w:sz w:val="20"/>
              </w:rPr>
              <w:t>3 bis del Acuerdo SGV-A-182.</w:t>
            </w:r>
          </w:p>
        </w:tc>
      </w:tr>
      <w:tr w:rsidR="00C54E48" w:rsidTr="00862526">
        <w:trPr>
          <w:trHeight w:val="454"/>
        </w:trPr>
        <w:tc>
          <w:tcPr>
            <w:tcW w:w="6487" w:type="dxa"/>
            <w:gridSpan w:val="3"/>
            <w:tcBorders>
              <w:bottom w:val="nil"/>
            </w:tcBorders>
            <w:vAlign w:val="center"/>
          </w:tcPr>
          <w:p w:rsidR="00C54E48" w:rsidRPr="00FB6AA3" w:rsidRDefault="00C54E48" w:rsidP="00C54E48">
            <w:pPr>
              <w:pStyle w:val="ListParagraph"/>
              <w:numPr>
                <w:ilvl w:val="0"/>
                <w:numId w:val="36"/>
              </w:numPr>
              <w:ind w:left="426" w:hanging="426"/>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C54E48" w:rsidRPr="00D85776" w:rsidRDefault="00C54E48" w:rsidP="00C54E48">
            <w:pPr>
              <w:pStyle w:val="ListParagraph"/>
              <w:numPr>
                <w:ilvl w:val="0"/>
                <w:numId w:val="44"/>
              </w:numPr>
              <w:jc w:val="both"/>
              <w:rPr>
                <w:rFonts w:ascii="Arial" w:eastAsia="Times New Roman" w:hAnsi="Arial" w:cs="Arial"/>
                <w:lang w:eastAsia="es-CR"/>
              </w:rPr>
            </w:pPr>
            <w:r>
              <w:rPr>
                <w:rFonts w:ascii="Arial" w:eastAsia="Times New Roman" w:hAnsi="Arial" w:cs="Arial"/>
                <w:lang w:eastAsia="es-CR"/>
              </w:rPr>
              <w:t>D</w:t>
            </w:r>
            <w:r w:rsidRPr="00D85776">
              <w:rPr>
                <w:rFonts w:ascii="Arial" w:eastAsia="Times New Roman" w:hAnsi="Arial" w:cs="Arial"/>
                <w:lang w:eastAsia="es-CR"/>
              </w:rPr>
              <w:t xml:space="preserve">ocumento que </w:t>
            </w:r>
            <w:r>
              <w:rPr>
                <w:rFonts w:ascii="Arial" w:eastAsia="Times New Roman" w:hAnsi="Arial" w:cs="Arial"/>
                <w:lang w:eastAsia="es-CR"/>
              </w:rPr>
              <w:t xml:space="preserve">demuestre </w:t>
            </w:r>
            <w:r w:rsidRPr="00D85776">
              <w:rPr>
                <w:rFonts w:ascii="Arial" w:eastAsia="Times New Roman" w:hAnsi="Arial" w:cs="Arial"/>
                <w:lang w:eastAsia="es-CR"/>
              </w:rPr>
              <w:t>la existencia de la garantía otorgada.</w:t>
            </w:r>
          </w:p>
          <w:p w:rsidR="00C54E48" w:rsidRPr="0025363D" w:rsidRDefault="00C54E48" w:rsidP="00C54E48">
            <w:pPr>
              <w:pStyle w:val="ListParagraph"/>
              <w:numPr>
                <w:ilvl w:val="0"/>
                <w:numId w:val="44"/>
              </w:numPr>
              <w:jc w:val="both"/>
              <w:rPr>
                <w:rFonts w:ascii="Arial" w:eastAsia="Times New Roman" w:hAnsi="Arial" w:cs="Arial"/>
                <w:lang w:eastAsia="es-CR"/>
              </w:rPr>
            </w:pPr>
            <w:r w:rsidRPr="00BF04C2">
              <w:rPr>
                <w:rFonts w:ascii="Arial" w:hAnsi="Arial" w:cs="Arial"/>
                <w:szCs w:val="24"/>
              </w:rPr>
              <w:t>Estados financieros auditados del garante correspondiente al último período fiscal que incluya dos años comparativos. Cuando la entidad cuente sólo con un año desde su constitución, no se requerirá dicho comparativo</w:t>
            </w:r>
            <w:r>
              <w:rPr>
                <w:rFonts w:ascii="Arial" w:hAnsi="Arial" w:cs="Arial"/>
                <w:szCs w:val="24"/>
              </w:rPr>
              <w:t>.</w:t>
            </w:r>
          </w:p>
          <w:p w:rsidR="00C54E48" w:rsidRPr="00471A39" w:rsidRDefault="00C54E48" w:rsidP="00C54E48">
            <w:pPr>
              <w:pStyle w:val="ListParagraph"/>
              <w:numPr>
                <w:ilvl w:val="0"/>
                <w:numId w:val="44"/>
              </w:numPr>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 xml:space="preserve">Artículos 43 l), 40 b) del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3 bis del Acuerdo SGV-A-182.</w:t>
            </w:r>
          </w:p>
          <w:p w:rsidR="00C54E48" w:rsidRDefault="00C54E48" w:rsidP="00862526">
            <w:pPr>
              <w:jc w:val="both"/>
              <w:rPr>
                <w:rFonts w:ascii="Arial" w:hAnsi="Arial" w:cs="Arial"/>
                <w:szCs w:val="24"/>
              </w:rPr>
            </w:pPr>
          </w:p>
        </w:tc>
      </w:tr>
      <w:tr w:rsidR="00C54E48" w:rsidTr="00862526">
        <w:trPr>
          <w:trHeight w:val="454"/>
        </w:trPr>
        <w:tc>
          <w:tcPr>
            <w:tcW w:w="6487" w:type="dxa"/>
            <w:gridSpan w:val="3"/>
            <w:tcBorders>
              <w:bottom w:val="nil"/>
            </w:tcBorders>
            <w:vAlign w:val="center"/>
          </w:tcPr>
          <w:p w:rsidR="00C54E48" w:rsidRPr="00FB6AA3" w:rsidRDefault="00C54E48" w:rsidP="00C54E48">
            <w:pPr>
              <w:pStyle w:val="ListParagraph"/>
              <w:numPr>
                <w:ilvl w:val="0"/>
                <w:numId w:val="36"/>
              </w:numPr>
              <w:ind w:left="426" w:hanging="426"/>
              <w:jc w:val="both"/>
              <w:rPr>
                <w:rFonts w:ascii="Arial" w:eastAsia="Times New Roman" w:hAnsi="Arial" w:cs="Arial"/>
                <w:bCs/>
                <w:iCs/>
                <w:lang w:eastAsia="es-CR"/>
              </w:rPr>
            </w:pPr>
            <w:r w:rsidRPr="00FB6AA3">
              <w:rPr>
                <w:rFonts w:ascii="Arial" w:eastAsia="Times New Roman" w:hAnsi="Arial" w:cs="Arial"/>
                <w:bCs/>
                <w:iCs/>
                <w:lang w:eastAsia="es-CR"/>
              </w:rPr>
              <w:t>Cuando la emisión cuenta con un fideicomiso de garantía:</w:t>
            </w:r>
          </w:p>
          <w:p w:rsidR="00C54E48" w:rsidRPr="00D85776" w:rsidRDefault="00C54E48" w:rsidP="00C54E48">
            <w:pPr>
              <w:pStyle w:val="ListParagraph"/>
              <w:numPr>
                <w:ilvl w:val="0"/>
                <w:numId w:val="45"/>
              </w:numPr>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C54E48" w:rsidRDefault="00C54E48" w:rsidP="00C54E48">
            <w:pPr>
              <w:pStyle w:val="ListParagraph"/>
              <w:numPr>
                <w:ilvl w:val="0"/>
                <w:numId w:val="45"/>
              </w:numPr>
              <w:jc w:val="both"/>
              <w:rPr>
                <w:rFonts w:ascii="Arial" w:eastAsia="Times New Roman" w:hAnsi="Arial" w:cs="Arial"/>
                <w:lang w:eastAsia="es-CR"/>
              </w:rPr>
            </w:pPr>
            <w:r w:rsidRPr="008D244C">
              <w:rPr>
                <w:rFonts w:ascii="Arial" w:eastAsia="Times New Roman" w:hAnsi="Arial" w:cs="Arial"/>
                <w:lang w:eastAsia="es-CR"/>
              </w:rPr>
              <w:t xml:space="preserve">Valuación de los activos a fideicometir elaborado por un perito incorporado al colegio de profesionales respectivo. </w:t>
            </w:r>
          </w:p>
          <w:p w:rsidR="00C54E48" w:rsidRPr="008D244C" w:rsidRDefault="00C54E48" w:rsidP="00C54E48">
            <w:pPr>
              <w:pStyle w:val="ListParagraph"/>
              <w:numPr>
                <w:ilvl w:val="0"/>
                <w:numId w:val="45"/>
              </w:numPr>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el patrocinador, administrador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C54E48" w:rsidRPr="00471A39" w:rsidRDefault="00C54E48" w:rsidP="00C54E48">
            <w:pPr>
              <w:pStyle w:val="ListParagraph"/>
              <w:numPr>
                <w:ilvl w:val="0"/>
                <w:numId w:val="45"/>
              </w:numPr>
              <w:jc w:val="both"/>
              <w:rPr>
                <w:rFonts w:ascii="Arial" w:eastAsia="Times New Roman" w:hAnsi="Arial" w:cs="Arial"/>
                <w:lang w:eastAsia="es-CR"/>
              </w:rPr>
            </w:pPr>
            <w:r w:rsidRPr="00D85776">
              <w:rPr>
                <w:rFonts w:ascii="Arial" w:eastAsia="Times New Roman" w:hAnsi="Arial" w:cs="Arial"/>
                <w:lang w:eastAsia="es-CR"/>
              </w:rPr>
              <w:t xml:space="preserve">Certificación registral o notarial de los bienes a traspasar en propiedad fiduciaria, en la que se indiquen los </w:t>
            </w:r>
            <w:r w:rsidRPr="00D85776">
              <w:rPr>
                <w:rFonts w:ascii="Arial" w:eastAsia="Times New Roman" w:hAnsi="Arial" w:cs="Arial"/>
                <w:lang w:eastAsia="es-CR"/>
              </w:rPr>
              <w:lastRenderedPageBreak/>
              <w:t>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lastRenderedPageBreak/>
              <w:t xml:space="preserve">Artículos 43 l), 40 c) y 34 del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3 bis del Acuerdo SGV-A-182.</w:t>
            </w:r>
          </w:p>
          <w:p w:rsidR="00C54E48" w:rsidRDefault="00C54E48" w:rsidP="00862526">
            <w:pPr>
              <w:jc w:val="both"/>
              <w:rPr>
                <w:rFonts w:ascii="Arial" w:hAnsi="Arial" w:cs="Arial"/>
                <w:szCs w:val="24"/>
              </w:rPr>
            </w:pPr>
          </w:p>
        </w:tc>
      </w:tr>
      <w:tr w:rsidR="00C54E48" w:rsidTr="00862526">
        <w:trPr>
          <w:trHeight w:val="454"/>
        </w:trPr>
        <w:tc>
          <w:tcPr>
            <w:tcW w:w="6487" w:type="dxa"/>
            <w:gridSpan w:val="3"/>
            <w:tcBorders>
              <w:bottom w:val="nil"/>
            </w:tcBorders>
            <w:vAlign w:val="center"/>
          </w:tcPr>
          <w:p w:rsidR="00C54E48" w:rsidRDefault="00C54E48" w:rsidP="00C54E48">
            <w:pPr>
              <w:pStyle w:val="ListParagraph"/>
              <w:numPr>
                <w:ilvl w:val="0"/>
                <w:numId w:val="36"/>
              </w:numPr>
              <w:ind w:left="426" w:hanging="426"/>
              <w:jc w:val="both"/>
              <w:rPr>
                <w:rFonts w:ascii="Arial" w:eastAsia="Times New Roman" w:hAnsi="Arial" w:cs="Arial"/>
                <w:bCs/>
                <w:color w:val="000000"/>
                <w:lang w:eastAsia="es-CR"/>
              </w:rPr>
            </w:pPr>
            <w:r>
              <w:rPr>
                <w:rFonts w:ascii="Arial" w:eastAsia="Times New Roman" w:hAnsi="Arial" w:cs="Arial"/>
                <w:bCs/>
                <w:color w:val="000000"/>
                <w:lang w:eastAsia="es-CR"/>
              </w:rPr>
              <w:lastRenderedPageBreak/>
              <w:t>Cuando la emisión cuenta con garantías reales:</w:t>
            </w:r>
          </w:p>
          <w:p w:rsidR="00C54E48" w:rsidRPr="001925A2" w:rsidRDefault="00C54E48" w:rsidP="00C54E48">
            <w:pPr>
              <w:pStyle w:val="ListParagraph"/>
              <w:numPr>
                <w:ilvl w:val="0"/>
                <w:numId w:val="46"/>
              </w:numPr>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C54E48" w:rsidRPr="001925A2" w:rsidRDefault="00C54E48" w:rsidP="00C54E48">
            <w:pPr>
              <w:pStyle w:val="ListParagraph"/>
              <w:numPr>
                <w:ilvl w:val="0"/>
                <w:numId w:val="46"/>
              </w:numPr>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C54E48" w:rsidRPr="001925A2" w:rsidRDefault="00C54E48" w:rsidP="00C54E48">
            <w:pPr>
              <w:pStyle w:val="ListParagraph"/>
              <w:numPr>
                <w:ilvl w:val="0"/>
                <w:numId w:val="46"/>
              </w:numPr>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al fideicomiso y sus respectivos grupos económicos</w:t>
            </w:r>
            <w:r>
              <w:rPr>
                <w:rFonts w:ascii="Arial" w:hAnsi="Arial" w:cs="Arial"/>
                <w:szCs w:val="24"/>
              </w:rPr>
              <w:t>.</w:t>
            </w:r>
          </w:p>
          <w:p w:rsidR="00C54E48" w:rsidRPr="001925A2" w:rsidRDefault="00C54E48" w:rsidP="00C54E48">
            <w:pPr>
              <w:pStyle w:val="ListParagraph"/>
              <w:numPr>
                <w:ilvl w:val="0"/>
                <w:numId w:val="46"/>
              </w:numPr>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C54E48" w:rsidRPr="00AA3116" w:rsidRDefault="00C54E48" w:rsidP="00C54E48">
            <w:pPr>
              <w:pStyle w:val="ListParagraph"/>
              <w:numPr>
                <w:ilvl w:val="0"/>
                <w:numId w:val="46"/>
              </w:numPr>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 xml:space="preserve">Artículos 43 l), 40 d) y 34 del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Pr="00352AC1" w:rsidRDefault="00C54E48" w:rsidP="00CE1CDF">
            <w:pPr>
              <w:autoSpaceDE w:val="0"/>
              <w:autoSpaceDN w:val="0"/>
              <w:adjustRightInd w:val="0"/>
              <w:jc w:val="both"/>
              <w:rPr>
                <w:rFonts w:ascii="Arial" w:hAnsi="Arial" w:cs="Arial"/>
                <w:sz w:val="20"/>
              </w:rPr>
            </w:pPr>
            <w:r>
              <w:rPr>
                <w:rFonts w:ascii="Arial" w:hAnsi="Arial" w:cs="Arial"/>
                <w:sz w:val="20"/>
              </w:rPr>
              <w:t>Artículo 3 bis del Acuerdo SGV-A-182.</w:t>
            </w:r>
          </w:p>
        </w:tc>
      </w:tr>
      <w:tr w:rsidR="00C54E48" w:rsidTr="00862526">
        <w:trPr>
          <w:trHeight w:val="454"/>
        </w:trPr>
        <w:tc>
          <w:tcPr>
            <w:tcW w:w="6487" w:type="dxa"/>
            <w:gridSpan w:val="3"/>
            <w:tcBorders>
              <w:bottom w:val="nil"/>
            </w:tcBorders>
            <w:vAlign w:val="center"/>
          </w:tcPr>
          <w:p w:rsidR="00C54E48" w:rsidRPr="001925A2" w:rsidRDefault="00C54E48" w:rsidP="00C54E48">
            <w:pPr>
              <w:pStyle w:val="ListParagraph"/>
              <w:numPr>
                <w:ilvl w:val="0"/>
                <w:numId w:val="36"/>
              </w:numPr>
              <w:ind w:left="567" w:hanging="567"/>
              <w:jc w:val="both"/>
              <w:rPr>
                <w:rFonts w:ascii="Arial" w:hAnsi="Arial" w:cs="Arial"/>
                <w:szCs w:val="24"/>
              </w:rPr>
            </w:pPr>
            <w:r w:rsidRPr="00BF04C2">
              <w:rPr>
                <w:rFonts w:ascii="Arial" w:hAnsi="Arial" w:cs="Arial"/>
                <w:szCs w:val="24"/>
              </w:rPr>
              <w:t>En caso de garantías o mecanismos de mejora crediticia distintos a los anteriores, se deben presentar los documentos que correspondan para demostrar su constitución, según la naturaleza de la garantía o mejora.</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 xml:space="preserve">Artículos 43 l), 40 e) y 34 del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Default="00C54E48" w:rsidP="00CE1CDF">
            <w:pPr>
              <w:rPr>
                <w:rFonts w:ascii="Arial" w:eastAsia="Times New Roman" w:hAnsi="Arial" w:cs="Arial"/>
                <w:b/>
                <w:bCs/>
                <w:color w:val="000000"/>
                <w:u w:val="single"/>
                <w:lang w:eastAsia="es-CR"/>
              </w:rPr>
            </w:pPr>
            <w:r>
              <w:rPr>
                <w:rFonts w:ascii="Arial" w:hAnsi="Arial" w:cs="Arial"/>
                <w:sz w:val="20"/>
              </w:rPr>
              <w:t>Artículo 3 bis del Acuerdo SGV-A-182.</w:t>
            </w:r>
          </w:p>
        </w:tc>
      </w:tr>
      <w:tr w:rsidR="00C54E48" w:rsidTr="00862526">
        <w:trPr>
          <w:trHeight w:val="454"/>
        </w:trPr>
        <w:tc>
          <w:tcPr>
            <w:tcW w:w="10267" w:type="dxa"/>
            <w:gridSpan w:val="4"/>
            <w:tcBorders>
              <w:bottom w:val="nil"/>
            </w:tcBorders>
            <w:vAlign w:val="center"/>
          </w:tcPr>
          <w:p w:rsidR="00C54E48" w:rsidRDefault="00C54E48" w:rsidP="00862526">
            <w:pPr>
              <w:spacing w:before="120" w:after="120"/>
              <w:jc w:val="both"/>
              <w:rPr>
                <w:rFonts w:ascii="Arial" w:hAnsi="Arial" w:cs="Arial"/>
                <w:szCs w:val="24"/>
              </w:rPr>
            </w:pPr>
            <w:r>
              <w:rPr>
                <w:rFonts w:ascii="Arial" w:hAnsi="Arial" w:cs="Arial"/>
                <w:b/>
                <w:bCs/>
              </w:rPr>
              <w:t>Requisitos finales:</w:t>
            </w:r>
          </w:p>
        </w:tc>
      </w:tr>
      <w:tr w:rsidR="00C54E48" w:rsidTr="00862526">
        <w:trPr>
          <w:trHeight w:val="454"/>
        </w:trPr>
        <w:tc>
          <w:tcPr>
            <w:tcW w:w="6487" w:type="dxa"/>
            <w:gridSpan w:val="3"/>
            <w:tcBorders>
              <w:bottom w:val="nil"/>
            </w:tcBorders>
            <w:vAlign w:val="center"/>
          </w:tcPr>
          <w:p w:rsidR="00C54E48" w:rsidRDefault="00C54E48" w:rsidP="00C54E48">
            <w:pPr>
              <w:pStyle w:val="ListParagraph"/>
              <w:numPr>
                <w:ilvl w:val="0"/>
                <w:numId w:val="47"/>
              </w:numPr>
              <w:jc w:val="both"/>
              <w:rPr>
                <w:rFonts w:ascii="Arial" w:hAnsi="Arial" w:cs="Arial"/>
                <w:bCs/>
              </w:rPr>
            </w:pPr>
            <w:r>
              <w:rPr>
                <w:rFonts w:ascii="Arial" w:hAnsi="Arial" w:cs="Arial"/>
                <w:bCs/>
              </w:rPr>
              <w:t>Declaración jurada sobre el contenido del prospecto.</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 xml:space="preserve">Artículo 36 del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Pr="00871D4F" w:rsidRDefault="00C54E48" w:rsidP="00CE1CDF">
            <w:pPr>
              <w:autoSpaceDE w:val="0"/>
              <w:autoSpaceDN w:val="0"/>
              <w:adjustRightInd w:val="0"/>
              <w:jc w:val="both"/>
              <w:rPr>
                <w:rFonts w:ascii="Arial" w:hAnsi="Arial" w:cs="Arial"/>
                <w:sz w:val="20"/>
              </w:rPr>
            </w:pPr>
            <w:r>
              <w:rPr>
                <w:rFonts w:ascii="Arial" w:hAnsi="Arial" w:cs="Arial"/>
                <w:sz w:val="20"/>
              </w:rPr>
              <w:t>Artículos 3 bis y 16 del SGV-A-182.</w:t>
            </w:r>
          </w:p>
        </w:tc>
      </w:tr>
      <w:tr w:rsidR="00C54E48" w:rsidTr="00862526">
        <w:trPr>
          <w:trHeight w:val="454"/>
        </w:trPr>
        <w:tc>
          <w:tcPr>
            <w:tcW w:w="6487" w:type="dxa"/>
            <w:gridSpan w:val="3"/>
            <w:tcBorders>
              <w:bottom w:val="nil"/>
            </w:tcBorders>
            <w:vAlign w:val="center"/>
          </w:tcPr>
          <w:p w:rsidR="00C54E48" w:rsidRDefault="00C54E48" w:rsidP="00C54E48">
            <w:pPr>
              <w:pStyle w:val="ListParagraph"/>
              <w:numPr>
                <w:ilvl w:val="0"/>
                <w:numId w:val="48"/>
              </w:numPr>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3780" w:type="dxa"/>
            <w:tcBorders>
              <w:bottom w:val="nil"/>
            </w:tcBorders>
            <w:vAlign w:val="center"/>
          </w:tcPr>
          <w:p w:rsidR="00C54E48" w:rsidRPr="00352AC1" w:rsidRDefault="00C54E48" w:rsidP="00862526">
            <w:pPr>
              <w:autoSpaceDE w:val="0"/>
              <w:autoSpaceDN w:val="0"/>
              <w:adjustRightInd w:val="0"/>
              <w:jc w:val="both"/>
              <w:rPr>
                <w:rFonts w:ascii="Arial" w:hAnsi="Arial" w:cs="Arial"/>
                <w:sz w:val="20"/>
              </w:rPr>
            </w:pPr>
            <w:r>
              <w:rPr>
                <w:rFonts w:ascii="Arial" w:hAnsi="Arial" w:cs="Arial"/>
                <w:sz w:val="20"/>
              </w:rPr>
              <w:t>Artículos 36 y 34 del</w:t>
            </w:r>
            <w:r w:rsidRPr="001925A2">
              <w:rPr>
                <w:rFonts w:ascii="Arial" w:hAnsi="Arial" w:cs="Arial"/>
                <w:sz w:val="20"/>
              </w:rPr>
              <w:t xml:space="preserve"> </w:t>
            </w:r>
            <w:r w:rsidR="00476CBA">
              <w:rPr>
                <w:rFonts w:ascii="Arial" w:hAnsi="Arial" w:cs="Arial"/>
                <w:sz w:val="20"/>
              </w:rPr>
              <w:t>RPT</w:t>
            </w:r>
            <w:r>
              <w:rPr>
                <w:rFonts w:ascii="Arial" w:hAnsi="Arial" w:cs="Arial"/>
                <w:sz w:val="20"/>
              </w:rPr>
              <w:t>.</w:t>
            </w:r>
          </w:p>
          <w:p w:rsidR="00C54E48" w:rsidRDefault="00C54E48" w:rsidP="00862526">
            <w:pPr>
              <w:autoSpaceDE w:val="0"/>
              <w:autoSpaceDN w:val="0"/>
              <w:adjustRightInd w:val="0"/>
              <w:jc w:val="both"/>
              <w:rPr>
                <w:rFonts w:ascii="Arial" w:eastAsia="Times New Roman" w:hAnsi="Arial" w:cs="Arial"/>
                <w:color w:val="000000"/>
                <w:sz w:val="20"/>
                <w:szCs w:val="20"/>
                <w:lang w:eastAsia="es-CR"/>
              </w:rPr>
            </w:pPr>
            <w:r w:rsidRPr="00352AC1">
              <w:rPr>
                <w:rFonts w:ascii="Arial" w:hAnsi="Arial" w:cs="Arial"/>
                <w:sz w:val="20"/>
              </w:rPr>
              <w:t>Artículo 41 del ROPV.</w:t>
            </w:r>
            <w:r w:rsidRPr="00B33E59">
              <w:rPr>
                <w:rFonts w:ascii="Arial" w:eastAsia="Times New Roman" w:hAnsi="Arial" w:cs="Arial"/>
                <w:color w:val="000000"/>
                <w:sz w:val="20"/>
                <w:szCs w:val="20"/>
                <w:lang w:eastAsia="es-CR"/>
              </w:rPr>
              <w:t xml:space="preserve"> </w:t>
            </w:r>
          </w:p>
          <w:p w:rsidR="00C54E48" w:rsidRDefault="00C54E48" w:rsidP="00CE1CDF">
            <w:pPr>
              <w:autoSpaceDE w:val="0"/>
              <w:autoSpaceDN w:val="0"/>
              <w:adjustRightInd w:val="0"/>
              <w:jc w:val="both"/>
              <w:rPr>
                <w:rFonts w:ascii="Arial" w:hAnsi="Arial" w:cs="Arial"/>
                <w:sz w:val="20"/>
              </w:rPr>
            </w:pPr>
            <w:r>
              <w:rPr>
                <w:rFonts w:ascii="Arial" w:hAnsi="Arial" w:cs="Arial"/>
                <w:sz w:val="20"/>
              </w:rPr>
              <w:t>Artículos 3 bis del SGV-A-182.</w:t>
            </w:r>
          </w:p>
          <w:p w:rsidR="007518B2" w:rsidRPr="00B33E59" w:rsidRDefault="007518B2" w:rsidP="00CE1CDF">
            <w:pPr>
              <w:autoSpaceDE w:val="0"/>
              <w:autoSpaceDN w:val="0"/>
              <w:adjustRightInd w:val="0"/>
              <w:jc w:val="both"/>
              <w:rPr>
                <w:rFonts w:ascii="Arial" w:eastAsia="Times New Roman" w:hAnsi="Arial" w:cs="Arial"/>
                <w:color w:val="000000"/>
                <w:sz w:val="20"/>
                <w:szCs w:val="20"/>
                <w:lang w:eastAsia="es-CR"/>
              </w:rPr>
            </w:pPr>
          </w:p>
        </w:tc>
      </w:tr>
      <w:tr w:rsidR="00C54E48" w:rsidTr="00862526">
        <w:trPr>
          <w:trHeight w:val="454"/>
        </w:trPr>
        <w:tc>
          <w:tcPr>
            <w:tcW w:w="6487" w:type="dxa"/>
            <w:gridSpan w:val="3"/>
            <w:tcBorders>
              <w:bottom w:val="nil"/>
            </w:tcBorders>
            <w:vAlign w:val="center"/>
          </w:tcPr>
          <w:p w:rsidR="00C54E48" w:rsidRDefault="00C54E48" w:rsidP="00C54E48">
            <w:pPr>
              <w:pStyle w:val="ListParagraph"/>
              <w:numPr>
                <w:ilvl w:val="0"/>
                <w:numId w:val="47"/>
              </w:numPr>
              <w:jc w:val="both"/>
              <w:rPr>
                <w:rFonts w:ascii="Arial" w:hAnsi="Arial" w:cs="Arial"/>
                <w:bCs/>
              </w:rPr>
            </w:pPr>
            <w:r>
              <w:rPr>
                <w:rFonts w:ascii="Arial" w:hAnsi="Arial" w:cs="Arial"/>
                <w:bCs/>
              </w:rPr>
              <w:t>Comunicación de Hecho Relevante sobre el producto autorizado.</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Artículo 41 del ROPV.</w:t>
            </w:r>
          </w:p>
          <w:p w:rsidR="00C54E48" w:rsidRPr="00871D4F" w:rsidRDefault="00C54E48" w:rsidP="00862526">
            <w:pPr>
              <w:autoSpaceDE w:val="0"/>
              <w:autoSpaceDN w:val="0"/>
              <w:adjustRightInd w:val="0"/>
              <w:jc w:val="both"/>
              <w:rPr>
                <w:rFonts w:ascii="Arial" w:hAnsi="Arial" w:cs="Arial"/>
                <w:sz w:val="20"/>
              </w:rPr>
            </w:pPr>
            <w:r>
              <w:rPr>
                <w:rFonts w:ascii="Arial" w:hAnsi="Arial" w:cs="Arial"/>
                <w:sz w:val="20"/>
              </w:rPr>
              <w:t>Artículo 16 del SGV-A-182.</w:t>
            </w:r>
          </w:p>
        </w:tc>
      </w:tr>
      <w:tr w:rsidR="00C54E48" w:rsidTr="00862526">
        <w:trPr>
          <w:trHeight w:val="454"/>
        </w:trPr>
        <w:tc>
          <w:tcPr>
            <w:tcW w:w="6487" w:type="dxa"/>
            <w:gridSpan w:val="3"/>
            <w:tcBorders>
              <w:bottom w:val="nil"/>
            </w:tcBorders>
            <w:vAlign w:val="center"/>
          </w:tcPr>
          <w:p w:rsidR="00C54E48" w:rsidRPr="00556F9C" w:rsidRDefault="00C54E48" w:rsidP="00C54E48">
            <w:pPr>
              <w:pStyle w:val="ListParagraph"/>
              <w:numPr>
                <w:ilvl w:val="0"/>
                <w:numId w:val="48"/>
              </w:numPr>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 xml:space="preserve">Central </w:t>
            </w:r>
            <w:r>
              <w:rPr>
                <w:rFonts w:ascii="Arial" w:hAnsi="Arial" w:cs="Arial"/>
              </w:rPr>
              <w:lastRenderedPageBreak/>
              <w:t>de Valores (</w:t>
            </w:r>
            <w:r>
              <w:rPr>
                <w:rFonts w:ascii="Arial" w:eastAsia="Times New Roman" w:hAnsi="Arial" w:cs="Arial"/>
                <w:bCs/>
                <w:color w:val="000000"/>
                <w:lang w:eastAsia="es-CR"/>
              </w:rPr>
              <w:t>CEVAL).</w:t>
            </w:r>
          </w:p>
        </w:tc>
        <w:tc>
          <w:tcPr>
            <w:tcW w:w="3780" w:type="dxa"/>
            <w:tcBorders>
              <w:bottom w:val="nil"/>
            </w:tcBorders>
            <w:vAlign w:val="center"/>
          </w:tcPr>
          <w:p w:rsidR="00C54E48" w:rsidRPr="00D9281B" w:rsidRDefault="00C54E48" w:rsidP="00862526">
            <w:pPr>
              <w:autoSpaceDE w:val="0"/>
              <w:autoSpaceDN w:val="0"/>
              <w:adjustRightInd w:val="0"/>
              <w:jc w:val="both"/>
              <w:rPr>
                <w:rFonts w:ascii="Arial" w:hAnsi="Arial" w:cs="Arial"/>
                <w:sz w:val="20"/>
              </w:rPr>
            </w:pPr>
            <w:r w:rsidRPr="00D9281B">
              <w:rPr>
                <w:rFonts w:ascii="Arial" w:hAnsi="Arial" w:cs="Arial"/>
                <w:sz w:val="20"/>
              </w:rPr>
              <w:lastRenderedPageBreak/>
              <w:t xml:space="preserve">Artículo 9 </w:t>
            </w:r>
            <w:r>
              <w:rPr>
                <w:rFonts w:ascii="Arial" w:hAnsi="Arial" w:cs="Arial"/>
                <w:sz w:val="20"/>
              </w:rPr>
              <w:t>ROPV.</w:t>
            </w:r>
          </w:p>
        </w:tc>
      </w:tr>
      <w:tr w:rsidR="00C54E48" w:rsidTr="00862526">
        <w:trPr>
          <w:trHeight w:val="454"/>
        </w:trPr>
        <w:tc>
          <w:tcPr>
            <w:tcW w:w="6487" w:type="dxa"/>
            <w:gridSpan w:val="3"/>
            <w:tcBorders>
              <w:bottom w:val="nil"/>
            </w:tcBorders>
            <w:vAlign w:val="center"/>
          </w:tcPr>
          <w:p w:rsidR="00C54E48" w:rsidRPr="00E779C6" w:rsidRDefault="00C54E48" w:rsidP="00C5403D">
            <w:pPr>
              <w:pStyle w:val="ListParagraph"/>
              <w:numPr>
                <w:ilvl w:val="0"/>
                <w:numId w:val="47"/>
              </w:numPr>
              <w:jc w:val="both"/>
              <w:rPr>
                <w:rFonts w:ascii="Arial" w:hAnsi="Arial" w:cs="Arial"/>
                <w:szCs w:val="24"/>
              </w:rPr>
            </w:pPr>
            <w:r w:rsidRPr="00E779C6">
              <w:rPr>
                <w:rFonts w:ascii="Arial" w:hAnsi="Arial" w:cs="Arial"/>
                <w:szCs w:val="24"/>
              </w:rPr>
              <w:lastRenderedPageBreak/>
              <w:t xml:space="preserve">Certificación registral o notarial  </w:t>
            </w:r>
            <w:r>
              <w:rPr>
                <w:rFonts w:ascii="Arial" w:hAnsi="Arial" w:cs="Arial"/>
                <w:szCs w:val="24"/>
              </w:rPr>
              <w:t>que demuestre que la cesión se ha realizado y según corresponda se encuentra presentada a</w:t>
            </w:r>
            <w:r w:rsidRPr="00E779C6">
              <w:rPr>
                <w:rFonts w:ascii="Arial" w:hAnsi="Arial" w:cs="Arial"/>
                <w:szCs w:val="24"/>
              </w:rPr>
              <w:t>l Registro Público</w:t>
            </w:r>
            <w:r w:rsidR="00C5403D">
              <w:rPr>
                <w:rFonts w:ascii="Arial" w:hAnsi="Arial" w:cs="Arial"/>
                <w:szCs w:val="24"/>
              </w:rPr>
              <w:t>,</w:t>
            </w:r>
            <w:r w:rsidR="00C5403D" w:rsidRPr="00F43046">
              <w:rPr>
                <w:rFonts w:ascii="Arial" w:hAnsi="Arial" w:cs="Arial"/>
                <w:szCs w:val="24"/>
              </w:rPr>
              <w:t xml:space="preserve"> dentro del plazo que defina la Superintendencia en la resolución de autorización</w:t>
            </w:r>
            <w:r w:rsidR="00C5403D">
              <w:rPr>
                <w:rFonts w:ascii="Arial" w:hAnsi="Arial" w:cs="Arial"/>
                <w:szCs w:val="24"/>
              </w:rPr>
              <w:t>.</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rPr>
              <w:t>Artículo</w:t>
            </w:r>
            <w:r w:rsidR="005808FF">
              <w:rPr>
                <w:rFonts w:ascii="Arial" w:hAnsi="Arial" w:cs="Arial"/>
                <w:sz w:val="20"/>
              </w:rPr>
              <w:t>s</w:t>
            </w:r>
            <w:r>
              <w:rPr>
                <w:rFonts w:ascii="Arial" w:hAnsi="Arial" w:cs="Arial"/>
                <w:sz w:val="20"/>
              </w:rPr>
              <w:t xml:space="preserve"> 43 k) y 34 del </w:t>
            </w:r>
            <w:r w:rsidR="00476CBA">
              <w:rPr>
                <w:rFonts w:ascii="Arial" w:hAnsi="Arial" w:cs="Arial"/>
                <w:sz w:val="20"/>
              </w:rPr>
              <w:t>RPT</w:t>
            </w:r>
            <w:r>
              <w:rPr>
                <w:rFonts w:ascii="Arial" w:hAnsi="Arial" w:cs="Arial"/>
                <w:sz w:val="20"/>
              </w:rPr>
              <w:t>.</w:t>
            </w:r>
          </w:p>
          <w:p w:rsidR="00C54E48" w:rsidRDefault="00C54E48" w:rsidP="00862526">
            <w:pPr>
              <w:jc w:val="both"/>
              <w:rPr>
                <w:rFonts w:ascii="Arial" w:hAnsi="Arial" w:cs="Arial"/>
                <w:szCs w:val="24"/>
              </w:rPr>
            </w:pPr>
            <w:r>
              <w:rPr>
                <w:rFonts w:ascii="Arial" w:hAnsi="Arial" w:cs="Arial"/>
                <w:sz w:val="20"/>
              </w:rPr>
              <w:t>Artículo 41 del ROPV.</w:t>
            </w:r>
          </w:p>
        </w:tc>
      </w:tr>
      <w:tr w:rsidR="00C54E48" w:rsidTr="00862526">
        <w:trPr>
          <w:trHeight w:val="454"/>
        </w:trPr>
        <w:tc>
          <w:tcPr>
            <w:tcW w:w="6487" w:type="dxa"/>
            <w:gridSpan w:val="3"/>
            <w:tcBorders>
              <w:bottom w:val="nil"/>
            </w:tcBorders>
            <w:vAlign w:val="center"/>
          </w:tcPr>
          <w:p w:rsidR="00C54E48" w:rsidRPr="004C541D" w:rsidRDefault="00C54E48" w:rsidP="00C54E48">
            <w:pPr>
              <w:pStyle w:val="ListParagraph"/>
              <w:numPr>
                <w:ilvl w:val="0"/>
                <w:numId w:val="48"/>
              </w:numPr>
              <w:jc w:val="both"/>
              <w:rPr>
                <w:rFonts w:ascii="Arial" w:hAnsi="Arial" w:cs="Arial"/>
                <w:lang w:val="es-MX"/>
              </w:rPr>
            </w:pPr>
            <w:r>
              <w:rPr>
                <w:rFonts w:ascii="Arial" w:hAnsi="Arial" w:cs="Arial"/>
                <w:lang w:val="es-MX"/>
              </w:rPr>
              <w:t>Certificación registral o notarial sobre la inscripción en el Registro Público de los bienes traspasados en propiedad fiduciaria a favor del fideicomiso de garantía, cuando estos sean sujetos de inscripción. (</w:t>
            </w:r>
            <w:r w:rsidRPr="00352AC1">
              <w:rPr>
                <w:rFonts w:ascii="Arial" w:hAnsi="Arial" w:cs="Arial"/>
                <w:b/>
                <w:i/>
                <w:lang w:val="es-MX"/>
              </w:rPr>
              <w:t>Aplica en caso que se utilice fideicomiso de garantía para garantizar las emisiones</w:t>
            </w:r>
            <w:r>
              <w:rPr>
                <w:rFonts w:ascii="Arial" w:hAnsi="Arial" w:cs="Arial"/>
                <w:lang w:val="es-MX"/>
              </w:rPr>
              <w:t>).</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lang w:val="es-MX"/>
              </w:rPr>
            </w:pPr>
            <w:r>
              <w:rPr>
                <w:rFonts w:ascii="Arial" w:hAnsi="Arial" w:cs="Arial"/>
                <w:sz w:val="20"/>
                <w:lang w:val="es-MX"/>
              </w:rPr>
              <w:t xml:space="preserve">Artículos </w:t>
            </w:r>
            <w:r w:rsidR="00EE261A">
              <w:rPr>
                <w:rFonts w:ascii="Arial" w:hAnsi="Arial" w:cs="Arial"/>
                <w:sz w:val="20"/>
                <w:lang w:val="es-MX"/>
              </w:rPr>
              <w:t>43</w:t>
            </w:r>
            <w:r w:rsidR="00CE1CDF">
              <w:rPr>
                <w:rFonts w:ascii="Arial" w:hAnsi="Arial" w:cs="Arial"/>
                <w:sz w:val="20"/>
                <w:lang w:val="es-MX"/>
              </w:rPr>
              <w:t xml:space="preserve"> l)</w:t>
            </w:r>
            <w:r w:rsidR="00EE261A">
              <w:rPr>
                <w:rFonts w:ascii="Arial" w:hAnsi="Arial" w:cs="Arial"/>
                <w:sz w:val="20"/>
                <w:lang w:val="es-MX"/>
              </w:rPr>
              <w:t xml:space="preserve">, </w:t>
            </w:r>
            <w:r>
              <w:rPr>
                <w:rFonts w:ascii="Arial" w:hAnsi="Arial" w:cs="Arial"/>
                <w:sz w:val="20"/>
                <w:lang w:val="es-MX"/>
              </w:rPr>
              <w:t xml:space="preserve">40 c iv) y 34 del </w:t>
            </w:r>
            <w:r w:rsidR="00476CBA">
              <w:rPr>
                <w:rFonts w:ascii="Arial" w:hAnsi="Arial" w:cs="Arial"/>
                <w:sz w:val="20"/>
                <w:lang w:val="es-MX"/>
              </w:rPr>
              <w:t>RPT</w:t>
            </w:r>
            <w:r>
              <w:rPr>
                <w:rFonts w:ascii="Arial" w:hAnsi="Arial" w:cs="Arial"/>
                <w:sz w:val="20"/>
                <w:lang w:val="es-MX"/>
              </w:rPr>
              <w:t>.</w:t>
            </w:r>
          </w:p>
          <w:p w:rsidR="00C54E48" w:rsidRDefault="00C54E48" w:rsidP="00862526">
            <w:pPr>
              <w:autoSpaceDE w:val="0"/>
              <w:autoSpaceDN w:val="0"/>
              <w:adjustRightInd w:val="0"/>
              <w:jc w:val="both"/>
              <w:rPr>
                <w:rFonts w:ascii="Arial" w:hAnsi="Arial" w:cs="Arial"/>
                <w:sz w:val="20"/>
                <w:lang w:val="es-MX"/>
              </w:rPr>
            </w:pPr>
            <w:r>
              <w:rPr>
                <w:rFonts w:ascii="Arial" w:hAnsi="Arial" w:cs="Arial"/>
                <w:sz w:val="20"/>
              </w:rPr>
              <w:t>Artículo 41 del ROPV.</w:t>
            </w:r>
          </w:p>
        </w:tc>
      </w:tr>
      <w:tr w:rsidR="00C54E48" w:rsidTr="00862526">
        <w:trPr>
          <w:trHeight w:val="454"/>
        </w:trPr>
        <w:tc>
          <w:tcPr>
            <w:tcW w:w="6487" w:type="dxa"/>
            <w:gridSpan w:val="3"/>
            <w:tcBorders>
              <w:bottom w:val="nil"/>
            </w:tcBorders>
            <w:vAlign w:val="center"/>
          </w:tcPr>
          <w:p w:rsidR="00C54E48" w:rsidRPr="004C541D" w:rsidRDefault="00C54E48" w:rsidP="00C54E48">
            <w:pPr>
              <w:pStyle w:val="ListParagraph"/>
              <w:numPr>
                <w:ilvl w:val="0"/>
                <w:numId w:val="48"/>
              </w:numPr>
              <w:jc w:val="both"/>
              <w:rPr>
                <w:rFonts w:ascii="Arial" w:hAnsi="Arial" w:cs="Arial"/>
                <w:lang w:val="es-MX"/>
              </w:rPr>
            </w:pPr>
            <w:r>
              <w:rPr>
                <w:rFonts w:ascii="Arial" w:hAnsi="Arial" w:cs="Arial"/>
                <w:lang w:val="es-MX"/>
              </w:rPr>
              <w:t>Certificación registral o notarial sobre la inscripción del gravamen en el Registro Público a favor del vehículo de propósito especial excepto en el caso de valores, en cuyo caso corresponderá la documentación que demuestre que se encuentran en custodia. (</w:t>
            </w:r>
            <w:r w:rsidRPr="00352AC1">
              <w:rPr>
                <w:rFonts w:ascii="Arial" w:hAnsi="Arial" w:cs="Arial"/>
                <w:b/>
                <w:i/>
                <w:lang w:val="es-MX"/>
              </w:rPr>
              <w:t>Aplica en caso que se utilice</w:t>
            </w:r>
            <w:r>
              <w:rPr>
                <w:rFonts w:ascii="Arial" w:hAnsi="Arial" w:cs="Arial"/>
                <w:b/>
                <w:i/>
                <w:lang w:val="es-MX"/>
              </w:rPr>
              <w:t>n</w:t>
            </w:r>
            <w:r w:rsidRPr="00352AC1">
              <w:rPr>
                <w:rFonts w:ascii="Arial" w:hAnsi="Arial" w:cs="Arial"/>
                <w:b/>
                <w:i/>
                <w:lang w:val="es-MX"/>
              </w:rPr>
              <w:t xml:space="preserve"> garantía</w:t>
            </w:r>
            <w:r>
              <w:rPr>
                <w:rFonts w:ascii="Arial" w:hAnsi="Arial" w:cs="Arial"/>
                <w:b/>
                <w:i/>
                <w:lang w:val="es-MX"/>
              </w:rPr>
              <w:t>s reales</w:t>
            </w:r>
            <w:r w:rsidRPr="00352AC1">
              <w:rPr>
                <w:rFonts w:ascii="Arial" w:hAnsi="Arial" w:cs="Arial"/>
                <w:b/>
                <w:i/>
                <w:lang w:val="es-MX"/>
              </w:rPr>
              <w:t xml:space="preserve"> para garantizar las emisiones</w:t>
            </w:r>
            <w:r>
              <w:rPr>
                <w:rFonts w:ascii="Arial" w:hAnsi="Arial" w:cs="Arial"/>
                <w:lang w:val="es-MX"/>
              </w:rPr>
              <w:t>).</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lang w:val="es-MX"/>
              </w:rPr>
            </w:pPr>
            <w:r>
              <w:rPr>
                <w:rFonts w:ascii="Arial" w:hAnsi="Arial" w:cs="Arial"/>
                <w:sz w:val="20"/>
                <w:lang w:val="es-MX"/>
              </w:rPr>
              <w:t xml:space="preserve">Artículos </w:t>
            </w:r>
            <w:r w:rsidR="00EE261A">
              <w:rPr>
                <w:rFonts w:ascii="Arial" w:hAnsi="Arial" w:cs="Arial"/>
                <w:sz w:val="20"/>
                <w:lang w:val="es-MX"/>
              </w:rPr>
              <w:t>43</w:t>
            </w:r>
            <w:r w:rsidR="00CE1CDF">
              <w:rPr>
                <w:rFonts w:ascii="Arial" w:hAnsi="Arial" w:cs="Arial"/>
                <w:sz w:val="20"/>
                <w:lang w:val="es-MX"/>
              </w:rPr>
              <w:t xml:space="preserve"> l)</w:t>
            </w:r>
            <w:r w:rsidR="00EE261A">
              <w:rPr>
                <w:rFonts w:ascii="Arial" w:hAnsi="Arial" w:cs="Arial"/>
                <w:sz w:val="20"/>
                <w:lang w:val="es-MX"/>
              </w:rPr>
              <w:t xml:space="preserve">, </w:t>
            </w:r>
            <w:r>
              <w:rPr>
                <w:rFonts w:ascii="Arial" w:hAnsi="Arial" w:cs="Arial"/>
                <w:sz w:val="20"/>
                <w:lang w:val="es-MX"/>
              </w:rPr>
              <w:t xml:space="preserve">40 d iv) y 34 del </w:t>
            </w:r>
            <w:r w:rsidR="00476CBA">
              <w:rPr>
                <w:rFonts w:ascii="Arial" w:hAnsi="Arial" w:cs="Arial"/>
                <w:sz w:val="20"/>
                <w:lang w:val="es-MX"/>
              </w:rPr>
              <w:t>RPT</w:t>
            </w:r>
            <w:r>
              <w:rPr>
                <w:rFonts w:ascii="Arial" w:hAnsi="Arial" w:cs="Arial"/>
                <w:sz w:val="20"/>
                <w:lang w:val="es-MX"/>
              </w:rPr>
              <w:t>.</w:t>
            </w:r>
          </w:p>
          <w:p w:rsidR="00C54E48" w:rsidRDefault="00C54E48" w:rsidP="00862526">
            <w:pPr>
              <w:autoSpaceDE w:val="0"/>
              <w:autoSpaceDN w:val="0"/>
              <w:adjustRightInd w:val="0"/>
              <w:jc w:val="both"/>
              <w:rPr>
                <w:rFonts w:ascii="Arial" w:hAnsi="Arial" w:cs="Arial"/>
                <w:sz w:val="20"/>
                <w:lang w:val="es-MX"/>
              </w:rPr>
            </w:pPr>
            <w:r>
              <w:rPr>
                <w:rFonts w:ascii="Arial" w:hAnsi="Arial" w:cs="Arial"/>
                <w:sz w:val="20"/>
              </w:rPr>
              <w:t>Artículo 41 del ROPV.</w:t>
            </w:r>
          </w:p>
        </w:tc>
      </w:tr>
      <w:tr w:rsidR="00C54E48" w:rsidTr="00862526">
        <w:trPr>
          <w:trHeight w:val="454"/>
        </w:trPr>
        <w:tc>
          <w:tcPr>
            <w:tcW w:w="6487" w:type="dxa"/>
            <w:gridSpan w:val="3"/>
            <w:tcBorders>
              <w:bottom w:val="nil"/>
            </w:tcBorders>
            <w:vAlign w:val="center"/>
          </w:tcPr>
          <w:p w:rsidR="00C54E48" w:rsidRPr="004C541D" w:rsidRDefault="00C54E48" w:rsidP="00C54E48">
            <w:pPr>
              <w:pStyle w:val="ListParagraph"/>
              <w:numPr>
                <w:ilvl w:val="0"/>
                <w:numId w:val="48"/>
              </w:numPr>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tcBorders>
              <w:bottom w:val="nil"/>
            </w:tcBorders>
            <w:vAlign w:val="center"/>
          </w:tcPr>
          <w:p w:rsidR="00C54E48" w:rsidRDefault="00C54E48" w:rsidP="00862526">
            <w:pPr>
              <w:autoSpaceDE w:val="0"/>
              <w:autoSpaceDN w:val="0"/>
              <w:adjustRightInd w:val="0"/>
              <w:jc w:val="both"/>
              <w:rPr>
                <w:rFonts w:ascii="Arial" w:hAnsi="Arial" w:cs="Arial"/>
                <w:sz w:val="20"/>
              </w:rPr>
            </w:pPr>
            <w:r>
              <w:rPr>
                <w:rFonts w:ascii="Arial" w:hAnsi="Arial" w:cs="Arial"/>
                <w:sz w:val="20"/>
                <w:lang w:val="es-MX"/>
              </w:rPr>
              <w:t>Artículo 74 Ley Constitutiva de la CCSS.</w:t>
            </w:r>
          </w:p>
        </w:tc>
      </w:tr>
      <w:tr w:rsidR="003A53EF" w:rsidRPr="008417D3" w:rsidTr="00C54E48">
        <w:trPr>
          <w:trHeight w:val="454"/>
        </w:trPr>
        <w:tc>
          <w:tcPr>
            <w:tcW w:w="10267" w:type="dxa"/>
            <w:gridSpan w:val="4"/>
            <w:vAlign w:val="center"/>
          </w:tcPr>
          <w:p w:rsidR="003A53EF" w:rsidRPr="008417D3" w:rsidRDefault="003A53EF" w:rsidP="0031751E">
            <w:pPr>
              <w:autoSpaceDE w:val="0"/>
              <w:autoSpaceDN w:val="0"/>
              <w:adjustRightInd w:val="0"/>
              <w:jc w:val="center"/>
              <w:rPr>
                <w:rFonts w:ascii="Arial" w:hAnsi="Arial" w:cs="Arial"/>
                <w:sz w:val="14"/>
              </w:rPr>
            </w:pPr>
          </w:p>
          <w:p w:rsidR="003A53EF" w:rsidRPr="00E65919" w:rsidRDefault="003A53EF" w:rsidP="00E65919">
            <w:pPr>
              <w:autoSpaceDE w:val="0"/>
              <w:autoSpaceDN w:val="0"/>
              <w:adjustRightInd w:val="0"/>
              <w:jc w:val="center"/>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2" w:history="1">
              <w:r w:rsidRPr="007C2007">
                <w:rPr>
                  <w:rStyle w:val="Hyperlink"/>
                  <w:rFonts w:ascii="Arial" w:hAnsi="Arial" w:cs="Arial"/>
                </w:rPr>
                <w:t>www.sugeval.fi.cr</w:t>
              </w:r>
            </w:hyperlink>
          </w:p>
        </w:tc>
      </w:tr>
      <w:tr w:rsidR="003A53EF" w:rsidRPr="00372260" w:rsidTr="00C54E48">
        <w:trPr>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778" w:type="dxa"/>
            <w:gridSpan w:val="2"/>
            <w:vAlign w:val="center"/>
          </w:tcPr>
          <w:p w:rsidR="003A53EF" w:rsidRPr="00372260" w:rsidRDefault="003A53EF" w:rsidP="0031751E">
            <w:pPr>
              <w:autoSpaceDE w:val="0"/>
              <w:autoSpaceDN w:val="0"/>
              <w:adjustRightInd w:val="0"/>
              <w:jc w:val="both"/>
              <w:rPr>
                <w:rFonts w:ascii="Arial" w:hAnsi="Arial" w:cs="Arial"/>
              </w:rPr>
            </w:pPr>
            <w:r>
              <w:rPr>
                <w:rFonts w:ascii="Arial" w:hAnsi="Arial" w:cs="Arial"/>
              </w:rPr>
              <w:t>45 días hábiles</w:t>
            </w:r>
          </w:p>
        </w:tc>
      </w:tr>
      <w:tr w:rsidR="003A53EF" w:rsidRPr="00372260" w:rsidTr="00C54E48">
        <w:trPr>
          <w:trHeight w:val="454"/>
        </w:trPr>
        <w:tc>
          <w:tcPr>
            <w:tcW w:w="4489" w:type="dxa"/>
            <w:gridSpan w:val="2"/>
            <w:shd w:val="clear" w:color="auto" w:fill="808080" w:themeFill="background1" w:themeFillShade="80"/>
            <w:vAlign w:val="center"/>
          </w:tcPr>
          <w:p w:rsidR="003A53EF" w:rsidRPr="00C10E4B" w:rsidRDefault="003A53EF" w:rsidP="00C54E48">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w:t>
            </w:r>
            <w:r w:rsidR="00C54E48">
              <w:rPr>
                <w:rFonts w:ascii="Arial" w:hAnsi="Arial" w:cs="Arial"/>
                <w:b/>
                <w:color w:val="FFFFFF" w:themeColor="background1"/>
              </w:rPr>
              <w:t xml:space="preserve"> autorización</w:t>
            </w:r>
            <w:r w:rsidRPr="00C10E4B">
              <w:rPr>
                <w:rFonts w:ascii="Arial" w:hAnsi="Arial" w:cs="Arial"/>
                <w:b/>
                <w:color w:val="FFFFFF" w:themeColor="background1"/>
              </w:rPr>
              <w:t>:</w:t>
            </w:r>
          </w:p>
        </w:tc>
        <w:tc>
          <w:tcPr>
            <w:tcW w:w="5778" w:type="dxa"/>
            <w:gridSpan w:val="2"/>
            <w:vAlign w:val="center"/>
          </w:tcPr>
          <w:p w:rsidR="003A53EF" w:rsidRDefault="00CD4B23" w:rsidP="00CD4B23">
            <w:pPr>
              <w:autoSpaceDE w:val="0"/>
              <w:autoSpaceDN w:val="0"/>
              <w:adjustRightInd w:val="0"/>
              <w:jc w:val="both"/>
              <w:rPr>
                <w:rFonts w:ascii="Arial" w:hAnsi="Arial" w:cs="Arial"/>
              </w:rPr>
            </w:pPr>
            <w:r w:rsidRPr="00CD4B23">
              <w:rPr>
                <w:rFonts w:ascii="Arial" w:hAnsi="Arial" w:cs="Arial"/>
              </w:rPr>
              <w:t>Hasta el vencimiento de la emisión</w:t>
            </w:r>
          </w:p>
          <w:p w:rsidR="00CD4B23" w:rsidRDefault="00CD4B23" w:rsidP="00CD4B23">
            <w:pPr>
              <w:autoSpaceDE w:val="0"/>
              <w:autoSpaceDN w:val="0"/>
              <w:adjustRightInd w:val="0"/>
              <w:jc w:val="both"/>
              <w:rPr>
                <w:rFonts w:ascii="Arial" w:hAnsi="Arial" w:cs="Arial"/>
              </w:rPr>
            </w:pPr>
          </w:p>
          <w:p w:rsidR="00CD4B23" w:rsidRPr="00372260" w:rsidRDefault="00CD4B23" w:rsidP="00CD4B23">
            <w:pPr>
              <w:autoSpaceDE w:val="0"/>
              <w:autoSpaceDN w:val="0"/>
              <w:adjustRightInd w:val="0"/>
              <w:jc w:val="both"/>
              <w:rPr>
                <w:rFonts w:ascii="Arial" w:hAnsi="Arial" w:cs="Arial"/>
              </w:rPr>
            </w:pPr>
            <w:r>
              <w:rPr>
                <w:rFonts w:ascii="Arial" w:hAnsi="Arial" w:cs="Arial"/>
              </w:rPr>
              <w:t xml:space="preserve">Ver </w:t>
            </w:r>
            <w:r w:rsidR="00AD6577">
              <w:rPr>
                <w:rFonts w:ascii="Arial" w:hAnsi="Arial" w:cs="Arial"/>
              </w:rPr>
              <w:t xml:space="preserve">apartado de </w:t>
            </w:r>
            <w:r>
              <w:rPr>
                <w:rFonts w:ascii="Arial" w:hAnsi="Arial" w:cs="Arial"/>
              </w:rPr>
              <w:t>“Notas”.</w:t>
            </w:r>
          </w:p>
        </w:tc>
      </w:tr>
      <w:tr w:rsidR="003A53EF" w:rsidRPr="00372260" w:rsidTr="00C54E48">
        <w:trPr>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778" w:type="dxa"/>
            <w:gridSpan w:val="2"/>
            <w:vAlign w:val="center"/>
          </w:tcPr>
          <w:p w:rsidR="003A53EF" w:rsidRPr="00372260" w:rsidRDefault="00C54E48" w:rsidP="0031751E">
            <w:pPr>
              <w:autoSpaceDE w:val="0"/>
              <w:autoSpaceDN w:val="0"/>
              <w:adjustRightInd w:val="0"/>
              <w:jc w:val="both"/>
              <w:rPr>
                <w:rFonts w:ascii="Arial" w:hAnsi="Arial" w:cs="Arial"/>
              </w:rPr>
            </w:pPr>
            <w:r>
              <w:rPr>
                <w:rFonts w:ascii="Arial" w:hAnsi="Arial" w:cs="Arial"/>
              </w:rPr>
              <w:t>Sin costo</w:t>
            </w:r>
          </w:p>
        </w:tc>
      </w:tr>
      <w:tr w:rsidR="003A53EF" w:rsidRPr="00372260" w:rsidTr="00C54E48">
        <w:trPr>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778" w:type="dxa"/>
            <w:gridSpan w:val="2"/>
            <w:vAlign w:val="center"/>
          </w:tcPr>
          <w:p w:rsidR="003A53EF" w:rsidRPr="00372260" w:rsidRDefault="003A53EF" w:rsidP="0031751E">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C54E48">
        <w:trPr>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778" w:type="dxa"/>
            <w:gridSpan w:val="2"/>
            <w:vAlign w:val="center"/>
          </w:tcPr>
          <w:p w:rsidR="003A53EF" w:rsidRPr="00372260" w:rsidRDefault="003A53EF" w:rsidP="0031751E">
            <w:pPr>
              <w:autoSpaceDE w:val="0"/>
              <w:autoSpaceDN w:val="0"/>
              <w:adjustRightInd w:val="0"/>
              <w:jc w:val="both"/>
              <w:rPr>
                <w:rFonts w:ascii="Arial" w:hAnsi="Arial" w:cs="Arial"/>
              </w:rPr>
            </w:pPr>
            <w:r>
              <w:rPr>
                <w:rFonts w:ascii="Arial" w:hAnsi="Arial" w:cs="Arial"/>
              </w:rPr>
              <w:t>Isabel Tan Chan / Alejandra Mora Díaz</w:t>
            </w:r>
          </w:p>
        </w:tc>
      </w:tr>
      <w:tr w:rsidR="00C54E48" w:rsidRPr="00372260" w:rsidTr="00862526">
        <w:trPr>
          <w:trHeight w:val="454"/>
        </w:trPr>
        <w:tc>
          <w:tcPr>
            <w:tcW w:w="4489" w:type="dxa"/>
            <w:gridSpan w:val="2"/>
            <w:shd w:val="clear" w:color="auto" w:fill="808080" w:themeFill="background1" w:themeFillShade="80"/>
            <w:vAlign w:val="center"/>
          </w:tcPr>
          <w:p w:rsidR="00C54E48" w:rsidRPr="00C10E4B" w:rsidRDefault="00C54E48" w:rsidP="00862526">
            <w:pPr>
              <w:jc w:val="both"/>
              <w:rPr>
                <w:rFonts w:ascii="Arial" w:hAnsi="Arial" w:cs="Arial"/>
                <w:b/>
                <w:color w:val="FFFFFF" w:themeColor="background1"/>
              </w:rPr>
            </w:pPr>
            <w:r w:rsidRPr="00C10E4B">
              <w:rPr>
                <w:rFonts w:ascii="Arial" w:hAnsi="Arial" w:cs="Arial"/>
                <w:b/>
                <w:color w:val="FFFFFF" w:themeColor="background1"/>
              </w:rPr>
              <w:lastRenderedPageBreak/>
              <w:t>Dirección de la dependencia y horarios:</w:t>
            </w:r>
          </w:p>
        </w:tc>
        <w:tc>
          <w:tcPr>
            <w:tcW w:w="5778" w:type="dxa"/>
            <w:gridSpan w:val="2"/>
            <w:vAlign w:val="center"/>
          </w:tcPr>
          <w:p w:rsidR="00C54E48" w:rsidRDefault="00C54E48" w:rsidP="00862526">
            <w:pPr>
              <w:jc w:val="both"/>
              <w:rPr>
                <w:rFonts w:ascii="Arial" w:hAnsi="Arial" w:cs="Arial"/>
              </w:rPr>
            </w:pPr>
            <w:r>
              <w:rPr>
                <w:rFonts w:ascii="Arial" w:hAnsi="Arial" w:cs="Arial"/>
              </w:rPr>
              <w:t xml:space="preserve">San Pedro de Montes de Oca, del Mall San Pedro, 300 metros norte.  Edificio Equus, piso 8. </w:t>
            </w:r>
          </w:p>
          <w:p w:rsidR="00C54E48" w:rsidRPr="00372260" w:rsidRDefault="00C54E48" w:rsidP="00862526">
            <w:pPr>
              <w:jc w:val="both"/>
              <w:rPr>
                <w:rFonts w:ascii="Arial" w:hAnsi="Arial" w:cs="Arial"/>
              </w:rPr>
            </w:pPr>
            <w:r>
              <w:rPr>
                <w:rFonts w:ascii="Arial" w:hAnsi="Arial" w:cs="Arial"/>
              </w:rPr>
              <w:t>Horario: Lunes a viernes de 9:00 a.m. a 5:00 p.m. (jornada continua)</w:t>
            </w:r>
          </w:p>
        </w:tc>
      </w:tr>
      <w:tr w:rsidR="003A53EF" w:rsidRPr="00372260" w:rsidTr="00C54E48">
        <w:trPr>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778" w:type="dxa"/>
            <w:gridSpan w:val="2"/>
            <w:vAlign w:val="center"/>
          </w:tcPr>
          <w:p w:rsidR="003A53EF" w:rsidRPr="00372260" w:rsidRDefault="00A76C52" w:rsidP="0031751E">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C54E48">
        <w:trPr>
          <w:trHeight w:val="454"/>
        </w:trPr>
        <w:tc>
          <w:tcPr>
            <w:tcW w:w="4489" w:type="dxa"/>
            <w:gridSpan w:val="2"/>
            <w:shd w:val="clear" w:color="auto" w:fill="808080" w:themeFill="background1" w:themeFillShade="80"/>
            <w:vAlign w:val="center"/>
          </w:tcPr>
          <w:p w:rsidR="003A53EF" w:rsidRPr="00C10E4B" w:rsidRDefault="003A53EF" w:rsidP="0031751E">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778" w:type="dxa"/>
            <w:gridSpan w:val="2"/>
            <w:shd w:val="clear" w:color="auto" w:fill="808080" w:themeFill="background1" w:themeFillShade="80"/>
            <w:vAlign w:val="center"/>
          </w:tcPr>
          <w:p w:rsidR="003A53EF" w:rsidRPr="00F927B7" w:rsidRDefault="003A53EF" w:rsidP="0031751E">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C54E48">
        <w:trPr>
          <w:trHeight w:val="454"/>
        </w:trPr>
        <w:tc>
          <w:tcPr>
            <w:tcW w:w="10267" w:type="dxa"/>
            <w:gridSpan w:val="4"/>
            <w:shd w:val="clear" w:color="auto" w:fill="FF0000"/>
            <w:vAlign w:val="center"/>
          </w:tcPr>
          <w:p w:rsidR="003A53EF" w:rsidRPr="00C10E4B" w:rsidRDefault="003A53EF" w:rsidP="0031751E">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C54E48">
        <w:trPr>
          <w:trHeight w:val="454"/>
        </w:trPr>
        <w:tc>
          <w:tcPr>
            <w:tcW w:w="10267" w:type="dxa"/>
            <w:gridSpan w:val="4"/>
            <w:vAlign w:val="center"/>
          </w:tcPr>
          <w:p w:rsidR="00E65919" w:rsidRDefault="00E65919" w:rsidP="00E65919">
            <w:pPr>
              <w:widowControl w:val="0"/>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E65919" w:rsidRDefault="00E65919" w:rsidP="006755EE">
            <w:pPr>
              <w:widowControl w:val="0"/>
              <w:jc w:val="both"/>
              <w:rPr>
                <w:rFonts w:ascii="Arial" w:hAnsi="Arial" w:cs="Arial"/>
                <w:bCs/>
              </w:rPr>
            </w:pPr>
          </w:p>
          <w:p w:rsidR="003A53EF" w:rsidRDefault="00FD18B1" w:rsidP="00AD6577">
            <w:pPr>
              <w:widowControl w:val="0"/>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00577377" w:rsidRPr="007F6C02">
              <w:rPr>
                <w:rFonts w:ascii="Arial" w:hAnsi="Arial" w:cs="Arial"/>
                <w:bCs/>
                <w:lang w:val="es-MX"/>
              </w:rPr>
              <w:t>a un año desde</w:t>
            </w:r>
            <w:r w:rsidR="00577377" w:rsidRPr="00CD4B23">
              <w:rPr>
                <w:rFonts w:ascii="Arial" w:hAnsi="Arial" w:cs="Arial"/>
                <w:bCs/>
                <w:lang w:val="es-MX"/>
              </w:rPr>
              <w:t xml:space="preserve"> </w:t>
            </w:r>
            <w:r w:rsidRPr="00CD4B23">
              <w:rPr>
                <w:rFonts w:ascii="Arial" w:hAnsi="Arial" w:cs="Arial"/>
                <w:bCs/>
                <w:lang w:val="es-MX"/>
              </w:rPr>
              <w:t xml:space="preserve">el vencimiento de la última emisión, serán desinscritos de oficio del Registro Nacional de Valores e Intermediarios y se informará al mercado mediante un Comunicado de Hechos Relevantes. </w:t>
            </w:r>
          </w:p>
          <w:p w:rsidR="007C7C89" w:rsidRDefault="007C7C89" w:rsidP="00AD6577">
            <w:pPr>
              <w:widowControl w:val="0"/>
              <w:jc w:val="both"/>
              <w:rPr>
                <w:rFonts w:ascii="Arial" w:hAnsi="Arial" w:cs="Arial"/>
                <w:bCs/>
                <w:lang w:val="es-MX"/>
              </w:rPr>
            </w:pPr>
          </w:p>
          <w:p w:rsidR="007C7C89" w:rsidRDefault="007C7C89" w:rsidP="00AD6577">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0B769F">
              <w:rPr>
                <w:rFonts w:ascii="Arial" w:hAnsi="Arial" w:cs="Arial"/>
                <w:bCs/>
                <w:lang w:val="es-MX"/>
              </w:rPr>
              <w:t xml:space="preserve">“Principios aplicables a determinados requisitos” disponibles en el sitio web de la </w:t>
            </w:r>
            <w:proofErr w:type="spellStart"/>
            <w:r w:rsidR="000B769F">
              <w:rPr>
                <w:rFonts w:ascii="Arial" w:hAnsi="Arial" w:cs="Arial"/>
                <w:bCs/>
                <w:lang w:val="es-MX"/>
              </w:rPr>
              <w:t>Sugeval</w:t>
            </w:r>
            <w:proofErr w:type="spellEnd"/>
            <w:r w:rsidR="000B769F">
              <w:rPr>
                <w:rFonts w:ascii="Arial" w:hAnsi="Arial" w:cs="Arial"/>
                <w:bCs/>
                <w:lang w:val="es-MX"/>
              </w:rPr>
              <w:t xml:space="preserve">, en la dirección </w:t>
            </w:r>
            <w:r w:rsidR="000B769F">
              <w:rPr>
                <w:rFonts w:ascii="Arial" w:hAnsi="Arial" w:cs="Arial"/>
                <w:bCs/>
                <w:i/>
                <w:lang w:val="es-MX"/>
              </w:rPr>
              <w:t>http://www.sugeval.fi.cr/serviciosytramites/Paginas/Lineamientosorientadores.aspx</w:t>
            </w:r>
            <w:r w:rsidR="000B769F">
              <w:rPr>
                <w:rFonts w:ascii="Arial" w:hAnsi="Arial" w:cs="Arial"/>
                <w:bCs/>
                <w:lang w:val="es-MX"/>
              </w:rPr>
              <w:t>.</w:t>
            </w:r>
          </w:p>
          <w:p w:rsidR="00577377" w:rsidRPr="00CD4B23" w:rsidRDefault="00577377" w:rsidP="00AD6577">
            <w:pPr>
              <w:widowControl w:val="0"/>
              <w:jc w:val="both"/>
              <w:rPr>
                <w:rFonts w:ascii="Arial" w:hAnsi="Arial" w:cs="Arial"/>
                <w:bCs/>
                <w:lang w:val="es-MX"/>
              </w:rPr>
            </w:pP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52" w:rsidRDefault="00A76C52" w:rsidP="008417D3">
      <w:pPr>
        <w:spacing w:after="0" w:line="240" w:lineRule="auto"/>
      </w:pPr>
      <w:r>
        <w:separator/>
      </w:r>
    </w:p>
  </w:endnote>
  <w:endnote w:type="continuationSeparator" w:id="0">
    <w:p w:rsidR="00A76C52" w:rsidRDefault="00A76C52"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52" w:rsidRDefault="00A76C52" w:rsidP="008417D3">
      <w:pPr>
        <w:spacing w:after="0" w:line="240" w:lineRule="auto"/>
      </w:pPr>
      <w:r>
        <w:separator/>
      </w:r>
    </w:p>
  </w:footnote>
  <w:footnote w:type="continuationSeparator" w:id="0">
    <w:p w:rsidR="00A76C52" w:rsidRDefault="00A76C52"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1E" w:rsidRDefault="0031751E"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56"/>
    <w:multiLevelType w:val="hybridMultilevel"/>
    <w:tmpl w:val="B352C268"/>
    <w:lvl w:ilvl="0" w:tplc="1D6E8B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6C61498"/>
    <w:multiLevelType w:val="hybridMultilevel"/>
    <w:tmpl w:val="7CA8C94A"/>
    <w:lvl w:ilvl="0" w:tplc="140A001B">
      <w:start w:val="1"/>
      <w:numFmt w:val="lowerRoman"/>
      <w:lvlText w:val="%1."/>
      <w:lvlJc w:val="righ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
    <w:nsid w:val="072F585E"/>
    <w:multiLevelType w:val="hybridMultilevel"/>
    <w:tmpl w:val="887A538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0B66768A"/>
    <w:multiLevelType w:val="hybridMultilevel"/>
    <w:tmpl w:val="BE706F6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4913551"/>
    <w:multiLevelType w:val="hybridMultilevel"/>
    <w:tmpl w:val="1DE8BD5C"/>
    <w:lvl w:ilvl="0" w:tplc="49A6E1E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A305DD7"/>
    <w:multiLevelType w:val="hybridMultilevel"/>
    <w:tmpl w:val="4D54F3E8"/>
    <w:lvl w:ilvl="0" w:tplc="F9305E5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1033740"/>
    <w:multiLevelType w:val="hybridMultilevel"/>
    <w:tmpl w:val="BA34F4A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3A811BE"/>
    <w:multiLevelType w:val="hybridMultilevel"/>
    <w:tmpl w:val="470E5D96"/>
    <w:lvl w:ilvl="0" w:tplc="1462784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55436E4"/>
    <w:multiLevelType w:val="hybridMultilevel"/>
    <w:tmpl w:val="DD360A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B7044"/>
    <w:multiLevelType w:val="hybridMultilevel"/>
    <w:tmpl w:val="687CDCC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312F185D"/>
    <w:multiLevelType w:val="hybridMultilevel"/>
    <w:tmpl w:val="B6DC831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2076ADB"/>
    <w:multiLevelType w:val="hybridMultilevel"/>
    <w:tmpl w:val="55C25A78"/>
    <w:lvl w:ilvl="0" w:tplc="BDC6F91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25815CD"/>
    <w:multiLevelType w:val="hybridMultilevel"/>
    <w:tmpl w:val="1EEEEAD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A7C6FF6"/>
    <w:multiLevelType w:val="hybridMultilevel"/>
    <w:tmpl w:val="240A0538"/>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B7E1360"/>
    <w:multiLevelType w:val="hybridMultilevel"/>
    <w:tmpl w:val="0066A9F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3DF108A0"/>
    <w:multiLevelType w:val="hybridMultilevel"/>
    <w:tmpl w:val="43B26B3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nsid w:val="3FD05A3D"/>
    <w:multiLevelType w:val="hybridMultilevel"/>
    <w:tmpl w:val="35461F7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8">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E2D677D"/>
    <w:multiLevelType w:val="hybridMultilevel"/>
    <w:tmpl w:val="A8403D22"/>
    <w:lvl w:ilvl="0" w:tplc="8B0E0C2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54F4517B"/>
    <w:multiLevelType w:val="hybridMultilevel"/>
    <w:tmpl w:val="27F073B6"/>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nsid w:val="57FE0249"/>
    <w:multiLevelType w:val="hybridMultilevel"/>
    <w:tmpl w:val="B92C8384"/>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nsid w:val="65E55819"/>
    <w:multiLevelType w:val="hybridMultilevel"/>
    <w:tmpl w:val="1F9A9EC2"/>
    <w:lvl w:ilvl="0" w:tplc="1018A69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63301C1"/>
    <w:multiLevelType w:val="hybridMultilevel"/>
    <w:tmpl w:val="AC78F0B0"/>
    <w:lvl w:ilvl="0" w:tplc="0409000F">
      <w:start w:val="1"/>
      <w:numFmt w:val="decimal"/>
      <w:lvlText w:val="%1."/>
      <w:lvlJc w:val="left"/>
      <w:pPr>
        <w:ind w:left="720" w:hanging="360"/>
      </w:pPr>
    </w:lvl>
    <w:lvl w:ilvl="1" w:tplc="46B4E51C">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736C4AF9"/>
    <w:multiLevelType w:val="hybridMultilevel"/>
    <w:tmpl w:val="CDD2851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52F636A"/>
    <w:multiLevelType w:val="hybridMultilevel"/>
    <w:tmpl w:val="6E02C48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4">
    <w:nsid w:val="77CA49E5"/>
    <w:multiLevelType w:val="hybridMultilevel"/>
    <w:tmpl w:val="35021B8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nsid w:val="7C0525D5"/>
    <w:multiLevelType w:val="hybridMultilevel"/>
    <w:tmpl w:val="26B07FF0"/>
    <w:lvl w:ilvl="0" w:tplc="1F7C5310">
      <w:start w:val="1"/>
      <w:numFmt w:val="lowerLetter"/>
      <w:lvlText w:val="%1."/>
      <w:lvlJc w:val="left"/>
      <w:pPr>
        <w:ind w:left="644" w:hanging="360"/>
      </w:pPr>
    </w:lvl>
    <w:lvl w:ilvl="1" w:tplc="0409001B">
      <w:start w:val="1"/>
      <w:numFmt w:val="lowerRoman"/>
      <w:lvlText w:val="%2."/>
      <w:lvlJc w:val="righ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D625C30"/>
    <w:multiLevelType w:val="hybridMultilevel"/>
    <w:tmpl w:val="E2C671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40"/>
  </w:num>
  <w:num w:numId="2">
    <w:abstractNumId w:val="1"/>
  </w:num>
  <w:num w:numId="3">
    <w:abstractNumId w:val="28"/>
  </w:num>
  <w:num w:numId="4">
    <w:abstractNumId w:val="30"/>
  </w:num>
  <w:num w:numId="5">
    <w:abstractNumId w:val="25"/>
  </w:num>
  <w:num w:numId="6">
    <w:abstractNumId w:val="43"/>
  </w:num>
  <w:num w:numId="7">
    <w:abstractNumId w:val="10"/>
  </w:num>
  <w:num w:numId="8">
    <w:abstractNumId w:val="35"/>
  </w:num>
  <w:num w:numId="9">
    <w:abstractNumId w:val="34"/>
  </w:num>
  <w:num w:numId="10">
    <w:abstractNumId w:val="33"/>
  </w:num>
  <w:num w:numId="11">
    <w:abstractNumId w:val="39"/>
  </w:num>
  <w:num w:numId="12">
    <w:abstractNumId w:val="6"/>
  </w:num>
  <w:num w:numId="13">
    <w:abstractNumId w:val="26"/>
  </w:num>
  <w:num w:numId="14">
    <w:abstractNumId w:val="2"/>
  </w:num>
  <w:num w:numId="15">
    <w:abstractNumId w:val="16"/>
  </w:num>
  <w:num w:numId="16">
    <w:abstractNumId w:val="36"/>
  </w:num>
  <w:num w:numId="17">
    <w:abstractNumId w:val="22"/>
  </w:num>
  <w:num w:numId="18">
    <w:abstractNumId w:val="4"/>
  </w:num>
  <w:num w:numId="19">
    <w:abstractNumId w:val="46"/>
  </w:num>
  <w:num w:numId="20">
    <w:abstractNumId w:val="5"/>
  </w:num>
  <w:num w:numId="21">
    <w:abstractNumId w:val="13"/>
  </w:num>
  <w:num w:numId="22">
    <w:abstractNumId w:val="17"/>
  </w:num>
  <w:num w:numId="23">
    <w:abstractNumId w:val="37"/>
  </w:num>
  <w:num w:numId="24">
    <w:abstractNumId w:val="15"/>
  </w:num>
  <w:num w:numId="25">
    <w:abstractNumId w:val="29"/>
  </w:num>
  <w:num w:numId="26">
    <w:abstractNumId w:val="23"/>
  </w:num>
  <w:num w:numId="27">
    <w:abstractNumId w:val="32"/>
  </w:num>
  <w:num w:numId="28">
    <w:abstractNumId w:val="19"/>
  </w:num>
  <w:num w:numId="29">
    <w:abstractNumId w:val="24"/>
  </w:num>
  <w:num w:numId="30">
    <w:abstractNumId w:val="42"/>
  </w:num>
  <w:num w:numId="31">
    <w:abstractNumId w:val="7"/>
  </w:num>
  <w:num w:numId="32">
    <w:abstractNumId w:val="41"/>
  </w:num>
  <w:num w:numId="33">
    <w:abstractNumId w:val="8"/>
  </w:num>
  <w:num w:numId="34">
    <w:abstractNumId w:val="44"/>
  </w:num>
  <w:num w:numId="35">
    <w:abstractNumId w:val="18"/>
  </w:num>
  <w:num w:numId="36">
    <w:abstractNumId w:val="38"/>
  </w:num>
  <w:num w:numId="37">
    <w:abstractNumId w:val="14"/>
  </w:num>
  <w:num w:numId="38">
    <w:abstractNumId w:val="31"/>
  </w:num>
  <w:num w:numId="39">
    <w:abstractNumId w:val="45"/>
  </w:num>
  <w:num w:numId="40">
    <w:abstractNumId w:val="12"/>
  </w:num>
  <w:num w:numId="41">
    <w:abstractNumId w:val="21"/>
  </w:num>
  <w:num w:numId="42">
    <w:abstractNumId w:val="3"/>
  </w:num>
  <w:num w:numId="43">
    <w:abstractNumId w:val="0"/>
  </w:num>
  <w:num w:numId="44">
    <w:abstractNumId w:val="20"/>
  </w:num>
  <w:num w:numId="45">
    <w:abstractNumId w:val="9"/>
  </w:num>
  <w:num w:numId="46">
    <w:abstractNumId w:val="1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81FD8"/>
    <w:rsid w:val="000968CF"/>
    <w:rsid w:val="000A7CCB"/>
    <w:rsid w:val="000B769F"/>
    <w:rsid w:val="000C35F1"/>
    <w:rsid w:val="001326FC"/>
    <w:rsid w:val="001552F9"/>
    <w:rsid w:val="00161954"/>
    <w:rsid w:val="00165ED1"/>
    <w:rsid w:val="00173559"/>
    <w:rsid w:val="00194C77"/>
    <w:rsid w:val="001C51D4"/>
    <w:rsid w:val="001C7B6F"/>
    <w:rsid w:val="001D03AB"/>
    <w:rsid w:val="001E2395"/>
    <w:rsid w:val="001F7C0B"/>
    <w:rsid w:val="002001E5"/>
    <w:rsid w:val="00213B30"/>
    <w:rsid w:val="002177D2"/>
    <w:rsid w:val="00230AFA"/>
    <w:rsid w:val="002417B2"/>
    <w:rsid w:val="0026330E"/>
    <w:rsid w:val="002C0E88"/>
    <w:rsid w:val="0031751E"/>
    <w:rsid w:val="00372260"/>
    <w:rsid w:val="003A53EF"/>
    <w:rsid w:val="00476CBA"/>
    <w:rsid w:val="00495987"/>
    <w:rsid w:val="004A59C8"/>
    <w:rsid w:val="00577377"/>
    <w:rsid w:val="005805C1"/>
    <w:rsid w:val="005808FF"/>
    <w:rsid w:val="005974A5"/>
    <w:rsid w:val="006025FF"/>
    <w:rsid w:val="0062796F"/>
    <w:rsid w:val="00650278"/>
    <w:rsid w:val="006755EE"/>
    <w:rsid w:val="00694A26"/>
    <w:rsid w:val="006A6D7D"/>
    <w:rsid w:val="006B1993"/>
    <w:rsid w:val="006B4202"/>
    <w:rsid w:val="006F44EB"/>
    <w:rsid w:val="00702E9C"/>
    <w:rsid w:val="00715C0A"/>
    <w:rsid w:val="007518B2"/>
    <w:rsid w:val="007A6618"/>
    <w:rsid w:val="007C7C89"/>
    <w:rsid w:val="007D238F"/>
    <w:rsid w:val="00800480"/>
    <w:rsid w:val="008417D3"/>
    <w:rsid w:val="00845CA0"/>
    <w:rsid w:val="008522CA"/>
    <w:rsid w:val="00856F0A"/>
    <w:rsid w:val="00875C30"/>
    <w:rsid w:val="008B2B10"/>
    <w:rsid w:val="0095424B"/>
    <w:rsid w:val="009B2DD9"/>
    <w:rsid w:val="00A754F1"/>
    <w:rsid w:val="00A768C8"/>
    <w:rsid w:val="00A76C52"/>
    <w:rsid w:val="00AA7098"/>
    <w:rsid w:val="00AB5C90"/>
    <w:rsid w:val="00AC046E"/>
    <w:rsid w:val="00AC7032"/>
    <w:rsid w:val="00AD6577"/>
    <w:rsid w:val="00B3754B"/>
    <w:rsid w:val="00B406A5"/>
    <w:rsid w:val="00B415B4"/>
    <w:rsid w:val="00B6196B"/>
    <w:rsid w:val="00BD6DB7"/>
    <w:rsid w:val="00BE0B20"/>
    <w:rsid w:val="00C10E4B"/>
    <w:rsid w:val="00C50E8D"/>
    <w:rsid w:val="00C5403D"/>
    <w:rsid w:val="00C54E48"/>
    <w:rsid w:val="00C6383D"/>
    <w:rsid w:val="00CA0D99"/>
    <w:rsid w:val="00CC3FBA"/>
    <w:rsid w:val="00CD4B23"/>
    <w:rsid w:val="00CE1CDF"/>
    <w:rsid w:val="00CF1041"/>
    <w:rsid w:val="00CF3271"/>
    <w:rsid w:val="00D01B64"/>
    <w:rsid w:val="00D32EAC"/>
    <w:rsid w:val="00D6620C"/>
    <w:rsid w:val="00D72FCB"/>
    <w:rsid w:val="00DE7E9E"/>
    <w:rsid w:val="00E0117C"/>
    <w:rsid w:val="00E12C10"/>
    <w:rsid w:val="00E17FE2"/>
    <w:rsid w:val="00E65919"/>
    <w:rsid w:val="00EA6AF5"/>
    <w:rsid w:val="00EA76E2"/>
    <w:rsid w:val="00EB2638"/>
    <w:rsid w:val="00EC129B"/>
    <w:rsid w:val="00EC2F89"/>
    <w:rsid w:val="00EE261A"/>
    <w:rsid w:val="00F03E7B"/>
    <w:rsid w:val="00F22973"/>
    <w:rsid w:val="00F325CF"/>
    <w:rsid w:val="00F345C3"/>
    <w:rsid w:val="00F444D2"/>
    <w:rsid w:val="00F927B7"/>
    <w:rsid w:val="00FD18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link w:val="ListParagraphChar"/>
    <w:uiPriority w:val="34"/>
    <w:qFormat/>
    <w:rsid w:val="00173559"/>
    <w:pPr>
      <w:ind w:left="720"/>
      <w:contextualSpacing/>
    </w:pPr>
  </w:style>
  <w:style w:type="character" w:customStyle="1" w:styleId="ListParagraphChar">
    <w:name w:val="List Paragraph Char"/>
    <w:link w:val="ListParagraph"/>
    <w:uiPriority w:val="34"/>
    <w:locked/>
    <w:rsid w:val="0031751E"/>
  </w:style>
  <w:style w:type="character" w:styleId="CommentReference">
    <w:name w:val="annotation reference"/>
    <w:basedOn w:val="DefaultParagraphFont"/>
    <w:uiPriority w:val="99"/>
    <w:semiHidden/>
    <w:unhideWhenUsed/>
    <w:rsid w:val="002177D2"/>
    <w:rPr>
      <w:sz w:val="16"/>
      <w:szCs w:val="16"/>
    </w:rPr>
  </w:style>
  <w:style w:type="paragraph" w:styleId="CommentText">
    <w:name w:val="annotation text"/>
    <w:basedOn w:val="Normal"/>
    <w:link w:val="CommentTextChar"/>
    <w:uiPriority w:val="99"/>
    <w:semiHidden/>
    <w:unhideWhenUsed/>
    <w:rsid w:val="002177D2"/>
    <w:pPr>
      <w:spacing w:line="240" w:lineRule="auto"/>
    </w:pPr>
    <w:rPr>
      <w:sz w:val="20"/>
      <w:szCs w:val="20"/>
    </w:rPr>
  </w:style>
  <w:style w:type="character" w:customStyle="1" w:styleId="CommentTextChar">
    <w:name w:val="Comment Text Char"/>
    <w:basedOn w:val="DefaultParagraphFont"/>
    <w:link w:val="CommentText"/>
    <w:uiPriority w:val="99"/>
    <w:semiHidden/>
    <w:rsid w:val="002177D2"/>
    <w:rPr>
      <w:sz w:val="20"/>
      <w:szCs w:val="20"/>
    </w:rPr>
  </w:style>
  <w:style w:type="paragraph" w:styleId="CommentSubject">
    <w:name w:val="annotation subject"/>
    <w:basedOn w:val="CommentText"/>
    <w:next w:val="CommentText"/>
    <w:link w:val="CommentSubjectChar"/>
    <w:uiPriority w:val="99"/>
    <w:semiHidden/>
    <w:unhideWhenUsed/>
    <w:rsid w:val="002177D2"/>
    <w:rPr>
      <w:b/>
      <w:bCs/>
    </w:rPr>
  </w:style>
  <w:style w:type="character" w:customStyle="1" w:styleId="CommentSubjectChar">
    <w:name w:val="Comment Subject Char"/>
    <w:basedOn w:val="CommentTextChar"/>
    <w:link w:val="CommentSubject"/>
    <w:uiPriority w:val="99"/>
    <w:semiHidden/>
    <w:rsid w:val="002177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link w:val="ListParagraphChar"/>
    <w:uiPriority w:val="34"/>
    <w:qFormat/>
    <w:rsid w:val="00173559"/>
    <w:pPr>
      <w:ind w:left="720"/>
      <w:contextualSpacing/>
    </w:pPr>
  </w:style>
  <w:style w:type="character" w:customStyle="1" w:styleId="ListParagraphChar">
    <w:name w:val="List Paragraph Char"/>
    <w:link w:val="ListParagraph"/>
    <w:uiPriority w:val="34"/>
    <w:locked/>
    <w:rsid w:val="0031751E"/>
  </w:style>
  <w:style w:type="character" w:styleId="CommentReference">
    <w:name w:val="annotation reference"/>
    <w:basedOn w:val="DefaultParagraphFont"/>
    <w:uiPriority w:val="99"/>
    <w:semiHidden/>
    <w:unhideWhenUsed/>
    <w:rsid w:val="002177D2"/>
    <w:rPr>
      <w:sz w:val="16"/>
      <w:szCs w:val="16"/>
    </w:rPr>
  </w:style>
  <w:style w:type="paragraph" w:styleId="CommentText">
    <w:name w:val="annotation text"/>
    <w:basedOn w:val="Normal"/>
    <w:link w:val="CommentTextChar"/>
    <w:uiPriority w:val="99"/>
    <w:semiHidden/>
    <w:unhideWhenUsed/>
    <w:rsid w:val="002177D2"/>
    <w:pPr>
      <w:spacing w:line="240" w:lineRule="auto"/>
    </w:pPr>
    <w:rPr>
      <w:sz w:val="20"/>
      <w:szCs w:val="20"/>
    </w:rPr>
  </w:style>
  <w:style w:type="character" w:customStyle="1" w:styleId="CommentTextChar">
    <w:name w:val="Comment Text Char"/>
    <w:basedOn w:val="DefaultParagraphFont"/>
    <w:link w:val="CommentText"/>
    <w:uiPriority w:val="99"/>
    <w:semiHidden/>
    <w:rsid w:val="002177D2"/>
    <w:rPr>
      <w:sz w:val="20"/>
      <w:szCs w:val="20"/>
    </w:rPr>
  </w:style>
  <w:style w:type="paragraph" w:styleId="CommentSubject">
    <w:name w:val="annotation subject"/>
    <w:basedOn w:val="CommentText"/>
    <w:next w:val="CommentText"/>
    <w:link w:val="CommentSubjectChar"/>
    <w:uiPriority w:val="99"/>
    <w:semiHidden/>
    <w:unhideWhenUsed/>
    <w:rsid w:val="002177D2"/>
    <w:rPr>
      <w:b/>
      <w:bCs/>
    </w:rPr>
  </w:style>
  <w:style w:type="character" w:customStyle="1" w:styleId="CommentSubjectChar">
    <w:name w:val="Comment Subject Char"/>
    <w:basedOn w:val="CommentTextChar"/>
    <w:link w:val="CommentSubject"/>
    <w:uiPriority w:val="99"/>
    <w:semiHidden/>
    <w:rsid w:val="002177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9643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deuda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967B9-300D-4429-B614-860FDB24CE6D}"/>
</file>

<file path=customXml/itemProps2.xml><?xml version="1.0" encoding="utf-8"?>
<ds:datastoreItem xmlns:ds="http://schemas.openxmlformats.org/officeDocument/2006/customXml" ds:itemID="{161E135D-53EC-4A19-B023-A4829B042F65}"/>
</file>

<file path=customXml/itemProps3.xml><?xml version="1.0" encoding="utf-8"?>
<ds:datastoreItem xmlns:ds="http://schemas.openxmlformats.org/officeDocument/2006/customXml" ds:itemID="{DD9AEF51-A6B3-471A-BB06-E682BEBF4F66}"/>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dcterms:created xsi:type="dcterms:W3CDTF">2015-10-08T19:46:00Z</dcterms:created>
  <dcterms:modified xsi:type="dcterms:W3CDTF">2015-10-08T19:46:00Z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16100</vt:r8>
  </property>
  <property fmtid="{D5CDD505-2E9C-101B-9397-08002B2CF9AE}" pid="4" name="Departamento">
    <vt:lpwstr>Oferta Pública</vt:lpwstr>
  </property>
</Properties>
</file>