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0A" w:rsidRDefault="00856F0A">
      <w:bookmarkStart w:id="0" w:name="_GoBack"/>
      <w:bookmarkEnd w:id="0"/>
    </w:p>
    <w:tbl>
      <w:tblPr>
        <w:tblStyle w:val="TableGrid"/>
        <w:tblW w:w="10031" w:type="dxa"/>
        <w:tblLook w:val="04A0" w:firstRow="1" w:lastRow="0" w:firstColumn="1" w:lastColumn="0" w:noHBand="0" w:noVBand="1"/>
      </w:tblPr>
      <w:tblGrid>
        <w:gridCol w:w="4489"/>
        <w:gridCol w:w="5542"/>
      </w:tblGrid>
      <w:tr w:rsidR="00C10E4B" w:rsidRPr="00C10E4B" w:rsidTr="00AB5C90">
        <w:trPr>
          <w:tblHeader/>
        </w:trPr>
        <w:tc>
          <w:tcPr>
            <w:tcW w:w="10031" w:type="dxa"/>
            <w:gridSpan w:val="2"/>
            <w:shd w:val="clear" w:color="auto" w:fill="FF0000"/>
          </w:tcPr>
          <w:p w:rsidR="00372260" w:rsidRPr="00C10E4B" w:rsidRDefault="00372260" w:rsidP="00372260">
            <w:pPr>
              <w:jc w:val="center"/>
              <w:rPr>
                <w:rFonts w:ascii="Arial" w:hAnsi="Arial" w:cs="Arial"/>
                <w:color w:val="FFFFFF" w:themeColor="background1"/>
              </w:rPr>
            </w:pPr>
          </w:p>
          <w:p w:rsidR="00372260" w:rsidRPr="00C10E4B" w:rsidRDefault="00372260" w:rsidP="00C10E4B">
            <w:pPr>
              <w:shd w:val="clear" w:color="auto" w:fill="FF0000"/>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372260" w:rsidRPr="00C10E4B" w:rsidRDefault="00372260" w:rsidP="00372260">
            <w:pPr>
              <w:jc w:val="center"/>
              <w:rPr>
                <w:rFonts w:ascii="Arial" w:hAnsi="Arial" w:cs="Arial"/>
                <w:color w:val="FFFFFF" w:themeColor="background1"/>
              </w:rPr>
            </w:pPr>
          </w:p>
        </w:tc>
      </w:tr>
      <w:tr w:rsidR="00372260" w:rsidTr="00AB5C90">
        <w:trPr>
          <w:trHeight w:val="454"/>
          <w:tblHeader/>
        </w:trPr>
        <w:tc>
          <w:tcPr>
            <w:tcW w:w="4489" w:type="dxa"/>
            <w:shd w:val="clear" w:color="auto" w:fill="808080" w:themeFill="background1" w:themeFillShade="80"/>
            <w:vAlign w:val="center"/>
          </w:tcPr>
          <w:p w:rsidR="00372260" w:rsidRPr="00C10E4B" w:rsidRDefault="00372260" w:rsidP="00C10E4B">
            <w:pPr>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5542" w:type="dxa"/>
            <w:vAlign w:val="center"/>
          </w:tcPr>
          <w:p w:rsidR="00372260" w:rsidRPr="008417D3" w:rsidRDefault="001E2395" w:rsidP="00C10E4B">
            <w:pPr>
              <w:jc w:val="both"/>
              <w:rPr>
                <w:rFonts w:ascii="Arial" w:hAnsi="Arial" w:cs="Arial"/>
                <w:b/>
              </w:rPr>
            </w:pPr>
            <w:r>
              <w:rPr>
                <w:rFonts w:ascii="Arial" w:hAnsi="Arial" w:cs="Arial"/>
                <w:b/>
              </w:rPr>
              <w:t>Autorización</w:t>
            </w:r>
            <w:r w:rsidR="00495987">
              <w:rPr>
                <w:rFonts w:ascii="Arial" w:hAnsi="Arial" w:cs="Arial"/>
                <w:b/>
              </w:rPr>
              <w:t xml:space="preserve"> de participantes y productos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4B299C">
            <w:pPr>
              <w:jc w:val="both"/>
              <w:rPr>
                <w:rFonts w:ascii="Arial" w:hAnsi="Arial" w:cs="Arial"/>
                <w:b/>
                <w:color w:val="FFFFFF" w:themeColor="background1"/>
              </w:rPr>
            </w:pPr>
            <w:r w:rsidRPr="00C10E4B">
              <w:rPr>
                <w:rFonts w:ascii="Arial" w:hAnsi="Arial" w:cs="Arial"/>
                <w:b/>
                <w:color w:val="FFFFFF" w:themeColor="background1"/>
              </w:rPr>
              <w:t>Licencia, autorización o permiso que se obtiene en el trámite:</w:t>
            </w:r>
          </w:p>
        </w:tc>
        <w:tc>
          <w:tcPr>
            <w:tcW w:w="5542" w:type="dxa"/>
            <w:vAlign w:val="center"/>
          </w:tcPr>
          <w:p w:rsidR="00EC2F89" w:rsidRPr="008417D3" w:rsidRDefault="001E2395" w:rsidP="009B4EF4">
            <w:pPr>
              <w:jc w:val="both"/>
              <w:rPr>
                <w:rFonts w:ascii="Arial" w:hAnsi="Arial" w:cs="Arial"/>
                <w:b/>
              </w:rPr>
            </w:pPr>
            <w:r>
              <w:rPr>
                <w:rFonts w:ascii="Arial" w:hAnsi="Arial" w:cs="Arial"/>
                <w:b/>
              </w:rPr>
              <w:t>Autorización</w:t>
            </w:r>
            <w:r w:rsidR="00495987">
              <w:rPr>
                <w:rFonts w:ascii="Arial" w:hAnsi="Arial" w:cs="Arial"/>
                <w:b/>
              </w:rPr>
              <w:t xml:space="preserve"> de emisiones de </w:t>
            </w:r>
            <w:r w:rsidR="006D78B5">
              <w:rPr>
                <w:rFonts w:ascii="Arial" w:hAnsi="Arial" w:cs="Arial"/>
                <w:b/>
              </w:rPr>
              <w:t xml:space="preserve">deuda </w:t>
            </w:r>
            <w:r w:rsidR="00776581">
              <w:rPr>
                <w:rFonts w:ascii="Arial" w:hAnsi="Arial" w:cs="Arial"/>
                <w:b/>
              </w:rPr>
              <w:t xml:space="preserve">de </w:t>
            </w:r>
            <w:r w:rsidR="009B4EF4">
              <w:rPr>
                <w:rFonts w:ascii="Arial" w:hAnsi="Arial" w:cs="Arial"/>
                <w:b/>
              </w:rPr>
              <w:t>pequeñas y medianas empresas (PYMES)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Institución:</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Superintendencia General de Valores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Dependencia:</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Departamento de Oferta Pública</w:t>
            </w:r>
          </w:p>
        </w:tc>
      </w:tr>
      <w:tr w:rsidR="00EC2F89" w:rsidTr="00AB5C90">
        <w:trPr>
          <w:trHeight w:val="454"/>
          <w:tblHeader/>
        </w:trPr>
        <w:tc>
          <w:tcPr>
            <w:tcW w:w="10031" w:type="dxa"/>
            <w:gridSpan w:val="2"/>
            <w:tcBorders>
              <w:bottom w:val="single" w:sz="4" w:space="0" w:color="auto"/>
            </w:tcBorders>
            <w:shd w:val="clear" w:color="auto" w:fill="808080" w:themeFill="background1" w:themeFillShade="80"/>
            <w:vAlign w:val="center"/>
          </w:tcPr>
          <w:p w:rsidR="00EC2F89" w:rsidRPr="00F927B7" w:rsidRDefault="00EC2F89" w:rsidP="00372260">
            <w:pPr>
              <w:jc w:val="center"/>
              <w:rPr>
                <w:rFonts w:ascii="Arial" w:hAnsi="Arial" w:cs="Arial"/>
                <w:b/>
              </w:rPr>
            </w:pPr>
            <w:r w:rsidRPr="00C10E4B">
              <w:rPr>
                <w:rFonts w:ascii="Arial" w:hAnsi="Arial" w:cs="Arial"/>
                <w:b/>
                <w:color w:val="FFFFFF" w:themeColor="background1"/>
              </w:rPr>
              <w:t>Requisito</w:t>
            </w:r>
            <w:r w:rsidR="003A352B">
              <w:rPr>
                <w:rFonts w:ascii="Arial" w:hAnsi="Arial" w:cs="Arial"/>
                <w:b/>
                <w:color w:val="FFFFFF" w:themeColor="background1"/>
              </w:rPr>
              <w:t>s</w:t>
            </w:r>
          </w:p>
        </w:tc>
      </w:tr>
      <w:tr w:rsidR="00EC2F89" w:rsidTr="00AB5C90">
        <w:trPr>
          <w:trHeight w:val="454"/>
        </w:trPr>
        <w:tc>
          <w:tcPr>
            <w:tcW w:w="10031" w:type="dxa"/>
            <w:gridSpan w:val="2"/>
            <w:tcBorders>
              <w:bottom w:val="nil"/>
            </w:tcBorders>
            <w:vAlign w:val="center"/>
          </w:tcPr>
          <w:p w:rsidR="00FC2FCE" w:rsidRPr="003A352B" w:rsidRDefault="00FC2FCE" w:rsidP="003A352B">
            <w:pPr>
              <w:jc w:val="both"/>
              <w:rPr>
                <w:rFonts w:ascii="Arial" w:eastAsia="Times New Roman" w:hAnsi="Arial" w:cs="Arial"/>
                <w:b/>
                <w:bCs/>
                <w:color w:val="000000"/>
                <w:u w:val="single"/>
                <w:lang w:eastAsia="es-CR"/>
              </w:rPr>
            </w:pPr>
            <w:r w:rsidRPr="003A352B">
              <w:rPr>
                <w:rFonts w:ascii="Arial" w:eastAsia="Times New Roman" w:hAnsi="Arial" w:cs="Arial"/>
                <w:b/>
                <w:bCs/>
                <w:color w:val="000000"/>
                <w:u w:val="single"/>
                <w:lang w:eastAsia="es-CR"/>
              </w:rPr>
              <w:t>GENERALES</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Solicitud firmada por el representante legal.</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B49C9">
              <w:rPr>
                <w:rFonts w:ascii="Arial" w:eastAsia="Times New Roman" w:hAnsi="Arial" w:cs="Arial"/>
                <w:color w:val="000000"/>
                <w:lang w:eastAsia="es-CR"/>
              </w:rPr>
              <w:t>Borrador del prospecto</w:t>
            </w:r>
            <w:r w:rsidR="002561AE" w:rsidRPr="002561AE">
              <w:rPr>
                <w:rFonts w:ascii="Arial" w:eastAsia="Times New Roman" w:hAnsi="Arial" w:cs="Arial"/>
                <w:color w:val="000000"/>
                <w:lang w:eastAsia="es-CR"/>
              </w:rPr>
              <w:t>, según el</w:t>
            </w:r>
            <w:r w:rsidRPr="002B49C9">
              <w:rPr>
                <w:rFonts w:ascii="Arial" w:eastAsia="Times New Roman" w:hAnsi="Arial" w:cs="Arial"/>
                <w:color w:val="000000"/>
                <w:lang w:eastAsia="es-CR"/>
              </w:rPr>
              <w:t xml:space="preserve"> Acuerdo SGV-A-84</w:t>
            </w:r>
            <w:r w:rsidR="002561AE" w:rsidRPr="002561AE">
              <w:rPr>
                <w:rFonts w:ascii="Arial" w:eastAsia="Times New Roman" w:hAnsi="Arial" w:cs="Arial"/>
                <w:color w:val="000000"/>
                <w:lang w:eastAsia="es-CR"/>
              </w:rPr>
              <w:t>,</w:t>
            </w:r>
            <w:r w:rsidRPr="002B49C9">
              <w:rPr>
                <w:rFonts w:ascii="Arial" w:eastAsia="Times New Roman" w:hAnsi="Arial" w:cs="Arial"/>
                <w:color w:val="000000"/>
                <w:lang w:eastAsia="es-CR"/>
              </w:rPr>
              <w:t xml:space="preserve"> Guía para la elaboración del prospecto de emisores).</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B49C9">
              <w:rPr>
                <w:rFonts w:ascii="Arial" w:eastAsia="Times New Roman" w:hAnsi="Arial" w:cs="Arial"/>
                <w:color w:val="000000"/>
                <w:lang w:eastAsia="es-CR"/>
              </w:rPr>
              <w:t>Calificación de riesgo (requiere actualización anual)</w:t>
            </w:r>
            <w:r w:rsidR="002561AE" w:rsidRPr="002561AE">
              <w:rPr>
                <w:rFonts w:ascii="Arial" w:eastAsia="Times New Roman" w:hAnsi="Arial" w:cs="Arial"/>
                <w:color w:val="000000"/>
                <w:lang w:eastAsia="es-CR"/>
              </w:rPr>
              <w:t>.</w:t>
            </w:r>
          </w:p>
          <w:p w:rsidR="00FC2FCE" w:rsidRPr="002561AE" w:rsidRDefault="00FC2FCE" w:rsidP="003A352B">
            <w:pPr>
              <w:jc w:val="both"/>
              <w:rPr>
                <w:rFonts w:ascii="Arial" w:eastAsia="Times New Roman" w:hAnsi="Arial" w:cs="Arial"/>
                <w:b/>
                <w:bCs/>
                <w:color w:val="000000"/>
                <w:u w:val="single"/>
                <w:lang w:eastAsia="es-CR"/>
              </w:rPr>
            </w:pPr>
          </w:p>
          <w:p w:rsidR="00FC2FCE" w:rsidRPr="003A352B" w:rsidRDefault="00FC2FCE" w:rsidP="003A352B">
            <w:pPr>
              <w:jc w:val="both"/>
              <w:rPr>
                <w:rFonts w:ascii="Arial" w:eastAsia="Times New Roman" w:hAnsi="Arial" w:cs="Arial"/>
                <w:b/>
                <w:bCs/>
                <w:color w:val="000000"/>
                <w:u w:val="single"/>
                <w:lang w:eastAsia="es-CR"/>
              </w:rPr>
            </w:pPr>
            <w:r w:rsidRPr="003A352B">
              <w:rPr>
                <w:rFonts w:ascii="Arial" w:eastAsia="Times New Roman" w:hAnsi="Arial" w:cs="Arial"/>
                <w:b/>
                <w:bCs/>
                <w:color w:val="000000"/>
                <w:u w:val="single"/>
                <w:lang w:eastAsia="es-CR"/>
              </w:rPr>
              <w:t>INFORMACIÓN FINANCIERA</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Estados financieros auditados consolidados de la entidad emisora para el último periodo fiscal, que incluya dos años comparativos.</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 xml:space="preserve">Estados financieros intermedios completos de la entidad emisora para el último periodo trimestral. </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Estados financieros auditados consolidados de la entidad controladora de la entidad emisora, para el último periodo fiscal, que incluya dos años comparativos (aplica cuando la sociedad controladora participe en algún mecanismo de mejora crediticia con la entidad emisora). Cuando la entidad cuente solo con un año de constitución, no se requerirá dicho comparativo.</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 xml:space="preserve">Flujo de caja real anual del emisor y flujo de caja proyectado para el próximo año con los supuestos utilizados.  </w:t>
            </w:r>
          </w:p>
          <w:p w:rsidR="00FC2FCE" w:rsidRPr="002561AE" w:rsidRDefault="00FC2FCE" w:rsidP="003A352B">
            <w:pPr>
              <w:pStyle w:val="ListParagraph"/>
              <w:numPr>
                <w:ilvl w:val="0"/>
                <w:numId w:val="40"/>
              </w:numPr>
              <w:ind w:left="360"/>
              <w:jc w:val="both"/>
              <w:rPr>
                <w:rFonts w:ascii="Arial" w:eastAsia="Times New Roman" w:hAnsi="Arial" w:cs="Arial"/>
                <w:lang w:eastAsia="es-CR"/>
              </w:rPr>
            </w:pPr>
            <w:r w:rsidRPr="002561AE">
              <w:rPr>
                <w:rFonts w:ascii="Arial" w:eastAsia="Times New Roman" w:hAnsi="Arial" w:cs="Arial"/>
                <w:lang w:eastAsia="es-CR"/>
              </w:rPr>
              <w:t>En el caso de que el emisor no cuente con la información financiera requerida para los dos años comparativos señalados  en este apartado, deberá aportar el flujo de caja proyectado y los supuestos que lo respaldan, para un plazo que abarque la totalidad de los pasivos que se pretendan emitir sust</w:t>
            </w:r>
            <w:r w:rsidR="002561AE" w:rsidRPr="002561AE">
              <w:rPr>
                <w:rFonts w:ascii="Arial" w:eastAsia="Times New Roman" w:hAnsi="Arial" w:cs="Arial"/>
                <w:lang w:eastAsia="es-CR"/>
              </w:rPr>
              <w:t>ent</w:t>
            </w:r>
            <w:r w:rsidRPr="002561AE">
              <w:rPr>
                <w:rFonts w:ascii="Arial" w:eastAsia="Times New Roman" w:hAnsi="Arial" w:cs="Arial"/>
                <w:lang w:eastAsia="es-CR"/>
              </w:rPr>
              <w:t>ados en dichas proyecciones.</w:t>
            </w:r>
          </w:p>
          <w:p w:rsidR="002561AE" w:rsidRPr="002561AE" w:rsidRDefault="002561AE" w:rsidP="003A352B">
            <w:pPr>
              <w:jc w:val="both"/>
              <w:rPr>
                <w:rFonts w:ascii="Arial" w:eastAsia="Times New Roman" w:hAnsi="Arial" w:cs="Arial"/>
                <w:b/>
                <w:bCs/>
                <w:color w:val="000000"/>
                <w:u w:val="single"/>
                <w:lang w:eastAsia="es-CR"/>
              </w:rPr>
            </w:pPr>
          </w:p>
          <w:p w:rsidR="00FC2FCE" w:rsidRPr="003A352B" w:rsidRDefault="00FC2FCE" w:rsidP="003A352B">
            <w:pPr>
              <w:jc w:val="both"/>
              <w:rPr>
                <w:rFonts w:ascii="Arial" w:eastAsia="Times New Roman" w:hAnsi="Arial" w:cs="Arial"/>
                <w:b/>
                <w:bCs/>
                <w:color w:val="000000"/>
                <w:u w:val="single"/>
                <w:lang w:eastAsia="es-CR"/>
              </w:rPr>
            </w:pPr>
            <w:r w:rsidRPr="003A352B">
              <w:rPr>
                <w:rFonts w:ascii="Arial" w:eastAsia="Times New Roman" w:hAnsi="Arial" w:cs="Arial"/>
                <w:b/>
                <w:bCs/>
                <w:color w:val="000000"/>
                <w:u w:val="single"/>
                <w:lang w:eastAsia="es-CR"/>
              </w:rPr>
              <w:t>DOCUMENTOS LEGALES Y DE ORDEN ADMINISTRATIVO</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Certificación notarial del acta del consejo de administración que haya acordado la emisión de valores.</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Certificación notarial o registral de los poderes otorgados a los representantes legales de la compañía que actuarán ante la Superintendencia y en donde consten sus condiciones.</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Copia anulada del formato del título valor y cupón que se desea registrar, únicamente en caso de que la emisión se represente en forma física.</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Copia actualizada de los estatutos vigentes de la empresa emisora.</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 xml:space="preserve">Declaración jurada protocolizada rendida por el presidente de la junta directiva y por el gerente general de la entidad, respecto a su responsabilidad sobre los estados </w:t>
            </w:r>
            <w:r w:rsidR="002561AE" w:rsidRPr="002561AE">
              <w:rPr>
                <w:rFonts w:ascii="Arial" w:eastAsia="Times New Roman" w:hAnsi="Arial" w:cs="Arial"/>
                <w:color w:val="000000"/>
                <w:lang w:eastAsia="es-CR"/>
              </w:rPr>
              <w:t>financieros y el control interno, según</w:t>
            </w:r>
            <w:r w:rsidRPr="002561AE">
              <w:rPr>
                <w:rFonts w:ascii="Arial" w:eastAsia="Times New Roman" w:hAnsi="Arial" w:cs="Arial"/>
                <w:color w:val="000000"/>
                <w:lang w:eastAsia="es-CR"/>
              </w:rPr>
              <w:t xml:space="preserve"> </w:t>
            </w:r>
            <w:r w:rsidR="002561AE" w:rsidRPr="002561AE">
              <w:rPr>
                <w:rFonts w:ascii="Arial" w:eastAsia="Times New Roman" w:hAnsi="Arial" w:cs="Arial"/>
                <w:color w:val="000000"/>
                <w:lang w:eastAsia="es-CR"/>
              </w:rPr>
              <w:t>el</w:t>
            </w:r>
            <w:r w:rsidRPr="002561AE">
              <w:rPr>
                <w:rFonts w:ascii="Arial" w:eastAsia="Times New Roman" w:hAnsi="Arial" w:cs="Arial"/>
                <w:lang w:eastAsia="es-CR"/>
              </w:rPr>
              <w:t xml:space="preserve"> Anexo 2 (excepto inciso d. y f.) y Anexo 3</w:t>
            </w:r>
            <w:r w:rsidRPr="002561AE">
              <w:rPr>
                <w:rFonts w:ascii="Arial" w:eastAsia="Times New Roman" w:hAnsi="Arial" w:cs="Arial"/>
                <w:color w:val="000000"/>
                <w:lang w:eastAsia="es-CR"/>
              </w:rPr>
              <w:t xml:space="preserve"> (excepto inciso d.) del Reglamento de Gobierno Corporativo (aplica para entidades emisoras no financieras).</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Certificación notarial del registro de la empresa en el Ministerio de Economía, Industria y Comercio en el que se demuestre su categorización como empresa pequeña o mediana.</w:t>
            </w:r>
          </w:p>
          <w:p w:rsidR="002561AE" w:rsidRPr="002561AE" w:rsidRDefault="002561AE" w:rsidP="003A352B">
            <w:pPr>
              <w:pStyle w:val="ListParagraph"/>
              <w:ind w:left="0"/>
              <w:jc w:val="both"/>
              <w:rPr>
                <w:rFonts w:ascii="Arial" w:eastAsia="Times New Roman" w:hAnsi="Arial" w:cs="Arial"/>
                <w:color w:val="000000"/>
                <w:lang w:eastAsia="es-CR"/>
              </w:rPr>
            </w:pPr>
          </w:p>
          <w:p w:rsidR="00FC2FCE" w:rsidRPr="003A352B" w:rsidRDefault="00FC2FCE" w:rsidP="003A352B">
            <w:pPr>
              <w:jc w:val="both"/>
              <w:rPr>
                <w:rFonts w:ascii="Arial" w:eastAsia="Times New Roman" w:hAnsi="Arial" w:cs="Arial"/>
                <w:b/>
                <w:bCs/>
                <w:color w:val="000000"/>
                <w:u w:val="single"/>
                <w:lang w:eastAsia="es-CR"/>
              </w:rPr>
            </w:pPr>
            <w:r w:rsidRPr="003A352B">
              <w:rPr>
                <w:rFonts w:ascii="Arial" w:eastAsia="Times New Roman" w:hAnsi="Arial" w:cs="Arial"/>
                <w:b/>
                <w:bCs/>
                <w:color w:val="000000"/>
                <w:u w:val="single"/>
                <w:lang w:eastAsia="es-CR"/>
              </w:rPr>
              <w:lastRenderedPageBreak/>
              <w:t>En el caso de emisiones de acciones se deberá presentar adicionalmente la siguiente documentación:</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Certificación notarial del acta del acta de asamblea de accionistas en que se haya acordado hacer oferta pública de la emisión. Este requisito sustituye la certificación notarial del consejo de administración que haya acordado la emisión de valores.</w:t>
            </w:r>
          </w:p>
          <w:p w:rsidR="00FC2FCE" w:rsidRPr="002561AE" w:rsidRDefault="00FC2FCE" w:rsidP="003A352B">
            <w:pPr>
              <w:pStyle w:val="ListParagraph"/>
              <w:numPr>
                <w:ilvl w:val="0"/>
                <w:numId w:val="40"/>
              </w:numPr>
              <w:ind w:left="360"/>
              <w:jc w:val="both"/>
              <w:rPr>
                <w:rFonts w:ascii="Arial" w:eastAsia="Times New Roman" w:hAnsi="Arial" w:cs="Arial"/>
                <w:color w:val="000000"/>
                <w:lang w:eastAsia="es-CR"/>
              </w:rPr>
            </w:pPr>
            <w:r w:rsidRPr="002561AE">
              <w:rPr>
                <w:rFonts w:ascii="Arial" w:eastAsia="Times New Roman" w:hAnsi="Arial" w:cs="Arial"/>
                <w:color w:val="000000"/>
                <w:lang w:eastAsia="es-CR"/>
              </w:rPr>
              <w:t>Copia del criterio de los auditores externos del emisor con respecto al tratamiento contable de las acciones como pasivo o patrimonio, de conformidad con las normas contables aplicables, en el caso emisiones de acciones preferentes.</w:t>
            </w:r>
          </w:p>
          <w:p w:rsidR="002561AE" w:rsidRPr="002561AE" w:rsidRDefault="002561AE" w:rsidP="003A352B">
            <w:pPr>
              <w:jc w:val="both"/>
              <w:rPr>
                <w:rFonts w:ascii="Arial" w:eastAsia="Times New Roman" w:hAnsi="Arial" w:cs="Arial"/>
                <w:b/>
                <w:bCs/>
                <w:color w:val="000000"/>
                <w:u w:val="single"/>
                <w:lang w:eastAsia="es-CR"/>
              </w:rPr>
            </w:pPr>
          </w:p>
          <w:p w:rsidR="00FC2FCE" w:rsidRPr="003A352B" w:rsidRDefault="00FC2FCE" w:rsidP="003A352B">
            <w:pPr>
              <w:jc w:val="both"/>
              <w:rPr>
                <w:rFonts w:ascii="Arial" w:eastAsia="Times New Roman" w:hAnsi="Arial" w:cs="Arial"/>
                <w:b/>
                <w:bCs/>
                <w:color w:val="000000"/>
                <w:u w:val="single"/>
                <w:lang w:eastAsia="es-CR"/>
              </w:rPr>
            </w:pPr>
            <w:r w:rsidRPr="003A352B">
              <w:rPr>
                <w:rFonts w:ascii="Arial" w:eastAsia="Times New Roman" w:hAnsi="Arial" w:cs="Arial"/>
                <w:b/>
                <w:bCs/>
                <w:color w:val="000000"/>
                <w:u w:val="single"/>
                <w:lang w:eastAsia="es-CR"/>
              </w:rPr>
              <w:t>GARANTÍAS</w:t>
            </w:r>
          </w:p>
          <w:p w:rsidR="00FC2FCE" w:rsidRPr="003A352B" w:rsidRDefault="00FC2FCE" w:rsidP="003A352B">
            <w:pPr>
              <w:pStyle w:val="ListParagraph"/>
              <w:numPr>
                <w:ilvl w:val="0"/>
                <w:numId w:val="40"/>
              </w:numPr>
              <w:ind w:left="360"/>
              <w:jc w:val="both"/>
              <w:rPr>
                <w:rFonts w:ascii="Arial" w:eastAsia="Times New Roman" w:hAnsi="Arial" w:cs="Arial"/>
                <w:color w:val="000000"/>
                <w:lang w:eastAsia="es-CR"/>
              </w:rPr>
            </w:pPr>
            <w:r w:rsidRPr="003A352B">
              <w:rPr>
                <w:rFonts w:ascii="Arial" w:eastAsia="Times New Roman" w:hAnsi="Arial" w:cs="Arial"/>
                <w:color w:val="000000"/>
                <w:lang w:eastAsia="es-CR"/>
              </w:rPr>
              <w:t>En el caso de emisiones para las cuales se hubiere otorgado alguna garantía, deberá presentarse la siguiente información y documentación:</w:t>
            </w:r>
          </w:p>
          <w:p w:rsidR="00FC2FCE" w:rsidRPr="002561AE" w:rsidRDefault="00FC2FCE" w:rsidP="003A352B">
            <w:pPr>
              <w:jc w:val="both"/>
              <w:rPr>
                <w:rFonts w:ascii="Arial" w:eastAsia="Times New Roman" w:hAnsi="Arial" w:cs="Arial"/>
                <w:b/>
                <w:bCs/>
                <w:i/>
                <w:iCs/>
                <w:color w:val="000000"/>
                <w:lang w:eastAsia="es-CR"/>
              </w:rPr>
            </w:pPr>
          </w:p>
          <w:p w:rsidR="00FC2FCE" w:rsidRPr="002F0EC0" w:rsidRDefault="00FC2FCE" w:rsidP="002F0EC0">
            <w:pPr>
              <w:pStyle w:val="ListParagraph"/>
              <w:numPr>
                <w:ilvl w:val="0"/>
                <w:numId w:val="41"/>
              </w:numPr>
              <w:jc w:val="both"/>
              <w:rPr>
                <w:rFonts w:ascii="Arial" w:eastAsia="Times New Roman" w:hAnsi="Arial" w:cs="Arial"/>
                <w:b/>
                <w:bCs/>
                <w:i/>
                <w:iCs/>
                <w:color w:val="000000"/>
                <w:lang w:eastAsia="es-CR"/>
              </w:rPr>
            </w:pPr>
            <w:r w:rsidRPr="002F0EC0">
              <w:rPr>
                <w:rFonts w:ascii="Arial" w:eastAsia="Times New Roman" w:hAnsi="Arial" w:cs="Arial"/>
                <w:b/>
                <w:bCs/>
                <w:i/>
                <w:iCs/>
                <w:color w:val="000000"/>
                <w:lang w:eastAsia="es-CR"/>
              </w:rPr>
              <w:t>Cuando una persona jurídica otorga la garantía:</w:t>
            </w:r>
          </w:p>
          <w:p w:rsidR="00FC2FCE" w:rsidRPr="002561AE" w:rsidRDefault="00FC2FCE" w:rsidP="00830C7F">
            <w:pPr>
              <w:pStyle w:val="ListParagraph"/>
              <w:numPr>
                <w:ilvl w:val="0"/>
                <w:numId w:val="34"/>
              </w:numPr>
              <w:jc w:val="both"/>
              <w:rPr>
                <w:rFonts w:ascii="Arial" w:eastAsia="Times New Roman" w:hAnsi="Arial" w:cs="Arial"/>
                <w:color w:val="000000"/>
                <w:lang w:eastAsia="es-CR"/>
              </w:rPr>
            </w:pPr>
            <w:r w:rsidRPr="002561AE">
              <w:rPr>
                <w:rFonts w:ascii="Arial" w:eastAsia="Times New Roman" w:hAnsi="Arial" w:cs="Arial"/>
                <w:color w:val="000000"/>
                <w:lang w:eastAsia="es-CR"/>
              </w:rPr>
              <w:t>Certificación notarial o registral que de fe de la existencia de la garantía otorgada.</w:t>
            </w:r>
          </w:p>
          <w:p w:rsidR="00FC2FCE" w:rsidRDefault="00FC2FCE" w:rsidP="00830C7F">
            <w:pPr>
              <w:pStyle w:val="ListParagraph"/>
              <w:numPr>
                <w:ilvl w:val="0"/>
                <w:numId w:val="34"/>
              </w:numPr>
              <w:jc w:val="both"/>
              <w:rPr>
                <w:rFonts w:ascii="Arial" w:eastAsia="Times New Roman" w:hAnsi="Arial" w:cs="Arial"/>
                <w:color w:val="000000"/>
                <w:lang w:eastAsia="es-CR"/>
              </w:rPr>
            </w:pPr>
            <w:r w:rsidRPr="002561AE">
              <w:rPr>
                <w:rFonts w:ascii="Arial" w:eastAsia="Times New Roman" w:hAnsi="Arial" w:cs="Arial"/>
                <w:color w:val="000000"/>
                <w:lang w:eastAsia="es-CR"/>
              </w:rPr>
              <w:t xml:space="preserve">Estados financieros auditados del garante correspondiente al último período fiscal y último periodo disponible. </w:t>
            </w:r>
          </w:p>
          <w:p w:rsidR="002561AE" w:rsidRPr="002561AE" w:rsidRDefault="002561AE" w:rsidP="00830C7F">
            <w:pPr>
              <w:pStyle w:val="ListParagraph"/>
              <w:jc w:val="both"/>
              <w:rPr>
                <w:rFonts w:ascii="Arial" w:eastAsia="Times New Roman" w:hAnsi="Arial" w:cs="Arial"/>
                <w:color w:val="000000"/>
                <w:lang w:eastAsia="es-CR"/>
              </w:rPr>
            </w:pPr>
          </w:p>
          <w:p w:rsidR="00FC2FCE" w:rsidRPr="002F0EC0" w:rsidRDefault="00FC2FCE" w:rsidP="002F0EC0">
            <w:pPr>
              <w:pStyle w:val="ListParagraph"/>
              <w:numPr>
                <w:ilvl w:val="0"/>
                <w:numId w:val="41"/>
              </w:numPr>
              <w:jc w:val="both"/>
              <w:rPr>
                <w:rFonts w:ascii="Arial" w:eastAsia="Times New Roman" w:hAnsi="Arial" w:cs="Arial"/>
                <w:b/>
                <w:bCs/>
                <w:i/>
                <w:iCs/>
                <w:color w:val="000000"/>
                <w:lang w:eastAsia="es-CR"/>
              </w:rPr>
            </w:pPr>
            <w:r w:rsidRPr="002F0EC0">
              <w:rPr>
                <w:rFonts w:ascii="Arial" w:eastAsia="Times New Roman" w:hAnsi="Arial" w:cs="Arial"/>
                <w:b/>
                <w:bCs/>
                <w:i/>
                <w:iCs/>
                <w:color w:val="000000"/>
                <w:lang w:eastAsia="es-CR"/>
              </w:rPr>
              <w:t>Cuando la emisión cuenta con un fideicomiso de garantía:</w:t>
            </w:r>
          </w:p>
          <w:p w:rsidR="00FC2FCE" w:rsidRPr="002561AE" w:rsidRDefault="00FC2FCE" w:rsidP="00830C7F">
            <w:pPr>
              <w:pStyle w:val="ListParagraph"/>
              <w:numPr>
                <w:ilvl w:val="0"/>
                <w:numId w:val="36"/>
              </w:numPr>
              <w:jc w:val="both"/>
              <w:rPr>
                <w:rFonts w:ascii="Arial" w:eastAsia="Times New Roman" w:hAnsi="Arial" w:cs="Arial"/>
                <w:color w:val="000000"/>
                <w:lang w:eastAsia="es-CR"/>
              </w:rPr>
            </w:pPr>
            <w:r w:rsidRPr="002561AE">
              <w:rPr>
                <w:rFonts w:ascii="Arial" w:eastAsia="Times New Roman" w:hAnsi="Arial" w:cs="Arial"/>
                <w:color w:val="000000"/>
                <w:lang w:eastAsia="es-CR"/>
              </w:rPr>
              <w:t xml:space="preserve">Certificación notarial del contrato de fideicomiso de garantía. </w:t>
            </w:r>
          </w:p>
          <w:p w:rsidR="00FC2FCE" w:rsidRPr="002561AE" w:rsidRDefault="00FC2FCE" w:rsidP="00830C7F">
            <w:pPr>
              <w:pStyle w:val="ListParagraph"/>
              <w:numPr>
                <w:ilvl w:val="0"/>
                <w:numId w:val="36"/>
              </w:numPr>
              <w:jc w:val="both"/>
              <w:rPr>
                <w:rFonts w:ascii="Arial" w:eastAsia="Times New Roman" w:hAnsi="Arial" w:cs="Arial"/>
                <w:color w:val="000000"/>
                <w:lang w:eastAsia="es-CR"/>
              </w:rPr>
            </w:pPr>
            <w:r w:rsidRPr="002561AE">
              <w:rPr>
                <w:rFonts w:ascii="Arial" w:eastAsia="Times New Roman" w:hAnsi="Arial" w:cs="Arial"/>
                <w:color w:val="000000"/>
                <w:lang w:eastAsia="es-CR"/>
              </w:rPr>
              <w:t>Certificación notarial de los estatutos vigentes de la entidad fiduciaria, en caso de que el fiduciario no sea una entidad supervisada por la Superintendencia General de Entidades Financieros o un Puesto de Bolsa.</w:t>
            </w:r>
          </w:p>
          <w:p w:rsidR="00FC2FCE" w:rsidRPr="002561AE" w:rsidRDefault="00FC2FCE" w:rsidP="00830C7F">
            <w:pPr>
              <w:pStyle w:val="ListParagraph"/>
              <w:numPr>
                <w:ilvl w:val="0"/>
                <w:numId w:val="36"/>
              </w:numPr>
              <w:jc w:val="both"/>
              <w:rPr>
                <w:rFonts w:ascii="Arial" w:eastAsia="Times New Roman" w:hAnsi="Arial" w:cs="Arial"/>
                <w:color w:val="000000"/>
                <w:lang w:eastAsia="es-CR"/>
              </w:rPr>
            </w:pPr>
            <w:r w:rsidRPr="002561AE">
              <w:rPr>
                <w:rFonts w:ascii="Arial" w:eastAsia="Times New Roman" w:hAnsi="Arial" w:cs="Arial"/>
                <w:color w:val="000000"/>
                <w:lang w:eastAsia="es-CR"/>
              </w:rPr>
              <w:t xml:space="preserve">Avalúo o valoración financiera de los activos a </w:t>
            </w:r>
            <w:proofErr w:type="spellStart"/>
            <w:r w:rsidRPr="002561AE">
              <w:rPr>
                <w:rFonts w:ascii="Arial" w:eastAsia="Times New Roman" w:hAnsi="Arial" w:cs="Arial"/>
                <w:color w:val="000000"/>
                <w:lang w:eastAsia="es-CR"/>
              </w:rPr>
              <w:t>fideicometir</w:t>
            </w:r>
            <w:proofErr w:type="spellEnd"/>
            <w:r w:rsidRPr="002561AE">
              <w:rPr>
                <w:rFonts w:ascii="Arial" w:eastAsia="Times New Roman" w:hAnsi="Arial" w:cs="Arial"/>
                <w:color w:val="000000"/>
                <w:lang w:eastAsia="es-CR"/>
              </w:rPr>
              <w:t xml:space="preserve"> realizado por perito independiente o por un puesto de bolsa autorizado.</w:t>
            </w:r>
          </w:p>
          <w:p w:rsidR="00FC2FCE" w:rsidRPr="002561AE" w:rsidRDefault="00FC2FCE" w:rsidP="00830C7F">
            <w:pPr>
              <w:pStyle w:val="ListParagraph"/>
              <w:numPr>
                <w:ilvl w:val="0"/>
                <w:numId w:val="36"/>
              </w:numPr>
              <w:jc w:val="both"/>
              <w:rPr>
                <w:rFonts w:ascii="Arial" w:eastAsia="Times New Roman" w:hAnsi="Arial" w:cs="Arial"/>
                <w:color w:val="000000"/>
                <w:lang w:eastAsia="es-CR"/>
              </w:rPr>
            </w:pPr>
            <w:r w:rsidRPr="002561AE">
              <w:rPr>
                <w:rFonts w:ascii="Arial" w:eastAsia="Times New Roman" w:hAnsi="Arial" w:cs="Arial"/>
                <w:color w:val="000000"/>
                <w:lang w:eastAsia="es-CR"/>
              </w:rPr>
              <w:t>En el caso de bienes inmuebles y bienes muebles sujetos a inscripción en el registro, certificación registral o notarial de los bienes a traspasar en propiedad fiduciaria, en la que se indiquen los gravámenes y anotaciones que pesen sobre ellos.</w:t>
            </w:r>
          </w:p>
          <w:p w:rsidR="002561AE" w:rsidRDefault="002561AE" w:rsidP="00830C7F">
            <w:pPr>
              <w:jc w:val="both"/>
              <w:rPr>
                <w:rFonts w:ascii="Arial" w:eastAsia="Times New Roman" w:hAnsi="Arial" w:cs="Arial"/>
                <w:b/>
                <w:bCs/>
                <w:i/>
                <w:iCs/>
                <w:color w:val="000000"/>
                <w:lang w:eastAsia="es-CR"/>
              </w:rPr>
            </w:pPr>
          </w:p>
          <w:p w:rsidR="00FC2FCE" w:rsidRPr="002F0EC0" w:rsidRDefault="00FC2FCE" w:rsidP="002F0EC0">
            <w:pPr>
              <w:pStyle w:val="ListParagraph"/>
              <w:numPr>
                <w:ilvl w:val="0"/>
                <w:numId w:val="41"/>
              </w:numPr>
              <w:jc w:val="both"/>
              <w:rPr>
                <w:rFonts w:ascii="Arial" w:eastAsia="Times New Roman" w:hAnsi="Arial" w:cs="Arial"/>
                <w:b/>
                <w:bCs/>
                <w:i/>
                <w:iCs/>
                <w:color w:val="000000"/>
                <w:lang w:eastAsia="es-CR"/>
              </w:rPr>
            </w:pPr>
            <w:r w:rsidRPr="002F0EC0">
              <w:rPr>
                <w:rFonts w:ascii="Arial" w:eastAsia="Times New Roman" w:hAnsi="Arial" w:cs="Arial"/>
                <w:b/>
                <w:bCs/>
                <w:i/>
                <w:iCs/>
                <w:color w:val="000000"/>
                <w:lang w:eastAsia="es-CR"/>
              </w:rPr>
              <w:t>Cuando la emisión cuenta con garantías reales:</w:t>
            </w:r>
          </w:p>
          <w:p w:rsidR="00FC2FCE" w:rsidRPr="002561AE" w:rsidRDefault="00FC2FCE" w:rsidP="00830C7F">
            <w:pPr>
              <w:pStyle w:val="ListParagraph"/>
              <w:numPr>
                <w:ilvl w:val="0"/>
                <w:numId w:val="38"/>
              </w:numPr>
              <w:jc w:val="both"/>
              <w:rPr>
                <w:rFonts w:ascii="Arial" w:eastAsia="Times New Roman" w:hAnsi="Arial" w:cs="Arial"/>
                <w:color w:val="000000"/>
                <w:lang w:eastAsia="es-CR"/>
              </w:rPr>
            </w:pPr>
            <w:r w:rsidRPr="002561AE">
              <w:rPr>
                <w:rFonts w:ascii="Arial" w:eastAsia="Times New Roman" w:hAnsi="Arial" w:cs="Arial"/>
                <w:color w:val="000000"/>
                <w:lang w:eastAsia="es-CR"/>
              </w:rPr>
              <w:t>Certificación notarial del contrato de garantía.</w:t>
            </w:r>
          </w:p>
          <w:p w:rsidR="00FC2FCE" w:rsidRPr="002561AE" w:rsidRDefault="00FC2FCE" w:rsidP="00830C7F">
            <w:pPr>
              <w:pStyle w:val="ListParagraph"/>
              <w:numPr>
                <w:ilvl w:val="0"/>
                <w:numId w:val="38"/>
              </w:numPr>
              <w:jc w:val="both"/>
              <w:rPr>
                <w:rFonts w:ascii="Arial" w:eastAsia="Times New Roman" w:hAnsi="Arial" w:cs="Arial"/>
                <w:color w:val="000000"/>
                <w:lang w:eastAsia="es-CR"/>
              </w:rPr>
            </w:pPr>
            <w:r w:rsidRPr="002561AE">
              <w:rPr>
                <w:rFonts w:ascii="Arial" w:eastAsia="Times New Roman" w:hAnsi="Arial" w:cs="Arial"/>
                <w:color w:val="000000"/>
                <w:lang w:eastAsia="es-CR"/>
              </w:rPr>
              <w:t xml:space="preserve">Avalúo o valoración financiera de los activos a </w:t>
            </w:r>
            <w:proofErr w:type="spellStart"/>
            <w:r w:rsidRPr="002561AE">
              <w:rPr>
                <w:rFonts w:ascii="Arial" w:eastAsia="Times New Roman" w:hAnsi="Arial" w:cs="Arial"/>
                <w:color w:val="000000"/>
                <w:lang w:eastAsia="es-CR"/>
              </w:rPr>
              <w:t>fideicometir</w:t>
            </w:r>
            <w:proofErr w:type="spellEnd"/>
            <w:r w:rsidRPr="002561AE">
              <w:rPr>
                <w:rFonts w:ascii="Arial" w:eastAsia="Times New Roman" w:hAnsi="Arial" w:cs="Arial"/>
                <w:color w:val="000000"/>
                <w:lang w:eastAsia="es-CR"/>
              </w:rPr>
              <w:t xml:space="preserve"> realizado por perito independiente, o por un puesto de bolsa autorizado en caso de valores.</w:t>
            </w:r>
          </w:p>
          <w:p w:rsidR="00FC2FCE" w:rsidRPr="002561AE" w:rsidRDefault="00FC2FCE" w:rsidP="00830C7F">
            <w:pPr>
              <w:pStyle w:val="ListParagraph"/>
              <w:numPr>
                <w:ilvl w:val="0"/>
                <w:numId w:val="38"/>
              </w:numPr>
              <w:jc w:val="both"/>
              <w:rPr>
                <w:rFonts w:ascii="Arial" w:eastAsia="Times New Roman" w:hAnsi="Arial" w:cs="Arial"/>
                <w:color w:val="000000"/>
                <w:lang w:eastAsia="es-CR"/>
              </w:rPr>
            </w:pPr>
            <w:r w:rsidRPr="002561AE">
              <w:rPr>
                <w:rFonts w:ascii="Arial" w:eastAsia="Times New Roman" w:hAnsi="Arial" w:cs="Arial"/>
                <w:color w:val="000000"/>
                <w:lang w:eastAsia="es-CR"/>
              </w:rPr>
              <w:t>En el caso de bienes inmuebles y bienes muebles sujetos a inscripción en el Registro Público, certificación registral o notarial, de los bienes que garantizan la emisión en la que se indiquen los gravámenes y anotaciones que pesen sobre ellos.</w:t>
            </w:r>
          </w:p>
          <w:p w:rsidR="00EC2F89" w:rsidRPr="00ED6F95" w:rsidRDefault="00FC2FCE" w:rsidP="00ED6F95">
            <w:pPr>
              <w:pStyle w:val="ListParagraph"/>
              <w:numPr>
                <w:ilvl w:val="0"/>
                <w:numId w:val="38"/>
              </w:numPr>
              <w:jc w:val="both"/>
              <w:rPr>
                <w:rFonts w:ascii="Arial" w:eastAsia="Times New Roman" w:hAnsi="Arial" w:cs="Arial"/>
                <w:color w:val="000000"/>
                <w:lang w:eastAsia="es-CR"/>
              </w:rPr>
            </w:pPr>
            <w:r w:rsidRPr="002561AE">
              <w:rPr>
                <w:rFonts w:ascii="Arial" w:eastAsia="Times New Roman" w:hAnsi="Arial" w:cs="Arial"/>
                <w:color w:val="000000"/>
                <w:lang w:eastAsia="es-CR"/>
              </w:rPr>
              <w:t>Certificación notarial de la inscripción del gravamen en el Registro Público excepto en el caso de valores, en cuyo caso corresponderá la documentación que demuestre que se encuentran en custodia.</w:t>
            </w:r>
          </w:p>
        </w:tc>
      </w:tr>
      <w:tr w:rsidR="003A53EF" w:rsidRPr="00EC2F89" w:rsidTr="004901BA">
        <w:trPr>
          <w:trHeight w:val="454"/>
        </w:trPr>
        <w:tc>
          <w:tcPr>
            <w:tcW w:w="4489" w:type="dxa"/>
            <w:tcBorders>
              <w:top w:val="single" w:sz="4" w:space="0" w:color="auto"/>
            </w:tcBorders>
            <w:shd w:val="clear" w:color="auto" w:fill="808080" w:themeFill="background1" w:themeFillShade="80"/>
            <w:vAlign w:val="center"/>
          </w:tcPr>
          <w:p w:rsidR="003A53EF" w:rsidRPr="008417D3" w:rsidRDefault="003A53EF" w:rsidP="004901BA">
            <w:pPr>
              <w:autoSpaceDE w:val="0"/>
              <w:autoSpaceDN w:val="0"/>
              <w:adjustRightInd w:val="0"/>
              <w:rPr>
                <w:rFonts w:ascii="Arial" w:hAnsi="Arial" w:cs="Arial"/>
                <w:sz w:val="14"/>
              </w:rPr>
            </w:pPr>
            <w:r w:rsidRPr="00C10E4B">
              <w:rPr>
                <w:rFonts w:ascii="Arial" w:hAnsi="Arial" w:cs="Arial"/>
                <w:b/>
                <w:color w:val="FFFFFF" w:themeColor="background1"/>
              </w:rPr>
              <w:lastRenderedPageBreak/>
              <w:t>Fundamento legal</w:t>
            </w:r>
          </w:p>
        </w:tc>
        <w:tc>
          <w:tcPr>
            <w:tcW w:w="5542" w:type="dxa"/>
            <w:tcBorders>
              <w:top w:val="single" w:sz="4" w:space="0" w:color="auto"/>
            </w:tcBorders>
            <w:vAlign w:val="center"/>
          </w:tcPr>
          <w:p w:rsidR="00F24FA0" w:rsidRPr="008417D3" w:rsidRDefault="00F24FA0" w:rsidP="00F24FA0">
            <w:pPr>
              <w:autoSpaceDE w:val="0"/>
              <w:autoSpaceDN w:val="0"/>
              <w:adjustRightInd w:val="0"/>
              <w:jc w:val="center"/>
              <w:rPr>
                <w:rFonts w:ascii="Arial" w:hAnsi="Arial" w:cs="Arial"/>
                <w:sz w:val="14"/>
              </w:rPr>
            </w:pPr>
          </w:p>
          <w:p w:rsidR="00F24FA0" w:rsidRDefault="00F24FA0" w:rsidP="00F24FA0">
            <w:pPr>
              <w:autoSpaceDE w:val="0"/>
              <w:autoSpaceDN w:val="0"/>
              <w:adjustRightInd w:val="0"/>
              <w:jc w:val="center"/>
              <w:rPr>
                <w:rFonts w:ascii="Arial" w:hAnsi="Arial" w:cs="Arial"/>
              </w:rPr>
            </w:pPr>
            <w:r>
              <w:rPr>
                <w:rFonts w:ascii="Arial" w:hAnsi="Arial" w:cs="Arial"/>
              </w:rPr>
              <w:t>Artículo 11 de la Ley Reguladora del Mercado de Valores</w:t>
            </w:r>
          </w:p>
          <w:p w:rsidR="00F24FA0" w:rsidRDefault="002F0EC0" w:rsidP="00F24FA0">
            <w:pPr>
              <w:autoSpaceDE w:val="0"/>
              <w:autoSpaceDN w:val="0"/>
              <w:adjustRightInd w:val="0"/>
              <w:jc w:val="center"/>
              <w:rPr>
                <w:rFonts w:ascii="Arial" w:hAnsi="Arial" w:cs="Arial"/>
              </w:rPr>
            </w:pPr>
            <w:r>
              <w:rPr>
                <w:rFonts w:ascii="Arial" w:hAnsi="Arial" w:cs="Arial"/>
              </w:rPr>
              <w:t xml:space="preserve">Artículo 27 del </w:t>
            </w:r>
            <w:r w:rsidR="00F24FA0">
              <w:rPr>
                <w:rFonts w:ascii="Arial" w:hAnsi="Arial" w:cs="Arial"/>
              </w:rPr>
              <w:t>Reglamento sobre oferta pública de valores</w:t>
            </w:r>
          </w:p>
          <w:p w:rsidR="00F24FA0" w:rsidRPr="00F2263A" w:rsidRDefault="00F24FA0" w:rsidP="00F24FA0">
            <w:pPr>
              <w:jc w:val="center"/>
              <w:rPr>
                <w:rFonts w:ascii="Arial" w:eastAsia="Times New Roman" w:hAnsi="Arial" w:cs="Arial"/>
                <w:color w:val="000000"/>
                <w:lang w:eastAsia="es-CR"/>
              </w:rPr>
            </w:pPr>
            <w:r w:rsidRPr="00F2263A">
              <w:rPr>
                <w:rFonts w:ascii="Arial" w:eastAsia="Times New Roman" w:hAnsi="Arial" w:cs="Arial"/>
                <w:color w:val="000000"/>
                <w:lang w:eastAsia="es-CR"/>
              </w:rPr>
              <w:t>Acuerdo SGV-A-84, Guía para la elaboración del prospecto de emisores.</w:t>
            </w:r>
          </w:p>
          <w:p w:rsidR="003A53EF" w:rsidRPr="00EC2F89" w:rsidRDefault="003A53EF" w:rsidP="004901BA">
            <w:pPr>
              <w:autoSpaceDE w:val="0"/>
              <w:autoSpaceDN w:val="0"/>
              <w:adjustRightInd w:val="0"/>
              <w:jc w:val="both"/>
              <w:rPr>
                <w:rFonts w:ascii="Arial" w:hAnsi="Arial" w:cs="Arial"/>
                <w:szCs w:val="24"/>
              </w:rPr>
            </w:pPr>
          </w:p>
        </w:tc>
      </w:tr>
      <w:tr w:rsidR="003A53EF" w:rsidRPr="008417D3" w:rsidTr="004901BA">
        <w:trPr>
          <w:trHeight w:val="454"/>
        </w:trPr>
        <w:tc>
          <w:tcPr>
            <w:tcW w:w="10031" w:type="dxa"/>
            <w:gridSpan w:val="2"/>
            <w:vAlign w:val="center"/>
          </w:tcPr>
          <w:p w:rsidR="003A53EF" w:rsidRDefault="003A53EF" w:rsidP="004901BA">
            <w:pPr>
              <w:autoSpaceDE w:val="0"/>
              <w:autoSpaceDN w:val="0"/>
              <w:adjustRightInd w:val="0"/>
              <w:jc w:val="center"/>
              <w:rPr>
                <w:rStyle w:val="Hyperlink"/>
                <w:rFonts w:ascii="Arial" w:hAnsi="Arial" w:cs="Arial"/>
                <w:u w:val="none"/>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w:t>
            </w:r>
            <w:r w:rsidR="00F2263A">
              <w:rPr>
                <w:rStyle w:val="Hyperlink"/>
                <w:rFonts w:ascii="Arial" w:hAnsi="Arial" w:cs="Arial"/>
                <w:color w:val="auto"/>
                <w:u w:val="none"/>
              </w:rPr>
              <w:t>,</w:t>
            </w:r>
            <w:r w:rsidRPr="00AB5C90">
              <w:rPr>
                <w:rStyle w:val="Hyperlink"/>
                <w:rFonts w:ascii="Arial" w:hAnsi="Arial" w:cs="Arial"/>
                <w:color w:val="auto"/>
                <w:u w:val="none"/>
              </w:rPr>
              <w:t xml:space="preserve"> podrán ser consultados en las oficinas de la Superintendencia General de Valores o en el sitio web</w:t>
            </w:r>
            <w:r w:rsidR="00F2263A">
              <w:rPr>
                <w:rStyle w:val="Hyperlink"/>
                <w:rFonts w:ascii="Arial" w:hAnsi="Arial" w:cs="Arial"/>
                <w:color w:val="auto"/>
                <w:u w:val="none"/>
              </w:rPr>
              <w:t>.</w:t>
            </w:r>
            <w:hyperlink r:id="rId12" w:history="1">
              <w:r w:rsidRPr="007C2007">
                <w:rPr>
                  <w:rStyle w:val="Hyperlink"/>
                  <w:rFonts w:ascii="Arial" w:hAnsi="Arial" w:cs="Arial"/>
                </w:rPr>
                <w:t>www.sugeval.fi.cr</w:t>
              </w:r>
            </w:hyperlink>
          </w:p>
          <w:p w:rsidR="003A53EF" w:rsidRPr="008417D3" w:rsidRDefault="003A53EF" w:rsidP="004901BA">
            <w:pPr>
              <w:autoSpaceDE w:val="0"/>
              <w:autoSpaceDN w:val="0"/>
              <w:adjustRightInd w:val="0"/>
              <w:rPr>
                <w:rFonts w:ascii="Arial" w:hAnsi="Arial" w:cs="Arial"/>
                <w:sz w:val="14"/>
                <w:highlight w:val="lightGray"/>
              </w:rPr>
            </w:pP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542" w:type="dxa"/>
            <w:vAlign w:val="center"/>
          </w:tcPr>
          <w:p w:rsidR="003A53EF" w:rsidRDefault="003A53EF" w:rsidP="004901BA">
            <w:pPr>
              <w:jc w:val="both"/>
              <w:rPr>
                <w:rFonts w:ascii="Arial" w:hAnsi="Arial" w:cs="Arial"/>
              </w:rPr>
            </w:pPr>
            <w:r>
              <w:rPr>
                <w:rFonts w:ascii="Arial" w:hAnsi="Arial" w:cs="Arial"/>
              </w:rPr>
              <w:t xml:space="preserve">San Pedro de Montes de Oca, del Mall San Pedro, 300 metros norte.  Edificio </w:t>
            </w:r>
            <w:proofErr w:type="spellStart"/>
            <w:r>
              <w:rPr>
                <w:rFonts w:ascii="Arial" w:hAnsi="Arial" w:cs="Arial"/>
              </w:rPr>
              <w:t>Equus</w:t>
            </w:r>
            <w:proofErr w:type="spellEnd"/>
            <w:r>
              <w:rPr>
                <w:rFonts w:ascii="Arial" w:hAnsi="Arial" w:cs="Arial"/>
              </w:rPr>
              <w:t xml:space="preserve">, piso 8. </w:t>
            </w:r>
          </w:p>
          <w:p w:rsidR="003A53EF" w:rsidRPr="00372260" w:rsidRDefault="003A53EF" w:rsidP="004901BA">
            <w:pPr>
              <w:jc w:val="both"/>
              <w:rPr>
                <w:rFonts w:ascii="Arial" w:hAnsi="Arial" w:cs="Arial"/>
              </w:rPr>
            </w:pPr>
            <w:r>
              <w:rPr>
                <w:rFonts w:ascii="Arial" w:hAnsi="Arial" w:cs="Arial"/>
              </w:rPr>
              <w:t>Horario: Lunes a viernes de 9:00 a.m. a 5:00 p.m. (jornada continua)</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45 días hábiles</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Vigencia de la licencia, autorización o permiso:</w:t>
            </w:r>
          </w:p>
        </w:tc>
        <w:tc>
          <w:tcPr>
            <w:tcW w:w="5542" w:type="dxa"/>
            <w:vAlign w:val="center"/>
          </w:tcPr>
          <w:p w:rsidR="002F0EC0" w:rsidRDefault="002F0EC0" w:rsidP="002F0EC0">
            <w:pPr>
              <w:jc w:val="both"/>
              <w:rPr>
                <w:rFonts w:ascii="Arial" w:hAnsi="Arial" w:cs="Arial"/>
              </w:rPr>
            </w:pPr>
            <w:r w:rsidRPr="004A53DF">
              <w:rPr>
                <w:rFonts w:ascii="Arial" w:hAnsi="Arial" w:cs="Arial"/>
              </w:rPr>
              <w:t>Hasta el vencimiento de la emisión, en el</w:t>
            </w:r>
            <w:r>
              <w:rPr>
                <w:rFonts w:ascii="Arial" w:hAnsi="Arial" w:cs="Arial"/>
              </w:rPr>
              <w:t xml:space="preserve"> caso de emisiones que no formen parte de un programa. </w:t>
            </w:r>
          </w:p>
          <w:p w:rsidR="002F0EC0" w:rsidRPr="004A53DF" w:rsidRDefault="002F0EC0" w:rsidP="002F0EC0">
            <w:pPr>
              <w:jc w:val="both"/>
              <w:rPr>
                <w:rFonts w:ascii="Arial" w:hAnsi="Arial" w:cs="Arial"/>
              </w:rPr>
            </w:pPr>
            <w:r>
              <w:rPr>
                <w:rFonts w:ascii="Arial" w:hAnsi="Arial" w:cs="Arial"/>
              </w:rPr>
              <w:t xml:space="preserve"> </w:t>
            </w:r>
          </w:p>
          <w:p w:rsidR="002F0EC0" w:rsidRDefault="002F0EC0" w:rsidP="002F0EC0">
            <w:pPr>
              <w:jc w:val="both"/>
              <w:rPr>
                <w:rFonts w:ascii="Arial" w:hAnsi="Arial" w:cs="Arial"/>
              </w:rPr>
            </w:pPr>
            <w:r w:rsidRPr="004A53DF">
              <w:rPr>
                <w:rFonts w:ascii="Arial" w:hAnsi="Arial" w:cs="Arial"/>
              </w:rPr>
              <w:t>Hasta el vencimiento de la última emisión vigente, en el</w:t>
            </w:r>
            <w:r>
              <w:rPr>
                <w:rFonts w:ascii="Arial" w:hAnsi="Arial" w:cs="Arial"/>
              </w:rPr>
              <w:t xml:space="preserve"> caso de programas de emisiones.</w:t>
            </w:r>
          </w:p>
          <w:p w:rsidR="004A53DF" w:rsidRDefault="004A53DF" w:rsidP="004A53DF">
            <w:pPr>
              <w:jc w:val="both"/>
              <w:rPr>
                <w:rFonts w:ascii="Arial" w:hAnsi="Arial" w:cs="Arial"/>
              </w:rPr>
            </w:pPr>
          </w:p>
          <w:p w:rsidR="003A53EF" w:rsidRPr="00372260" w:rsidRDefault="004D59A6" w:rsidP="004A53DF">
            <w:pPr>
              <w:jc w:val="both"/>
              <w:rPr>
                <w:rFonts w:ascii="Arial" w:hAnsi="Arial" w:cs="Arial"/>
              </w:rPr>
            </w:pPr>
            <w:r>
              <w:rPr>
                <w:rFonts w:ascii="Arial" w:hAnsi="Arial" w:cs="Arial"/>
              </w:rPr>
              <w:t>Ver apartado “Notas”.</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Costo del trámite:</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Gratuito</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Departamento de Información y Comunicación</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Nombre:</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Isabel Tan Chan / Alejandra Mora Díaz</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E-mail:</w:t>
            </w:r>
          </w:p>
        </w:tc>
        <w:tc>
          <w:tcPr>
            <w:tcW w:w="5542" w:type="dxa"/>
            <w:vAlign w:val="center"/>
          </w:tcPr>
          <w:p w:rsidR="003A53EF" w:rsidRPr="00372260" w:rsidRDefault="00B469C9" w:rsidP="004901BA">
            <w:pPr>
              <w:autoSpaceDE w:val="0"/>
              <w:autoSpaceDN w:val="0"/>
              <w:adjustRightInd w:val="0"/>
              <w:jc w:val="both"/>
              <w:rPr>
                <w:rFonts w:ascii="Arial" w:hAnsi="Arial" w:cs="Arial"/>
              </w:rPr>
            </w:pPr>
            <w:hyperlink r:id="rId13" w:history="1">
              <w:r w:rsidR="003A53EF" w:rsidRPr="00036F51">
                <w:rPr>
                  <w:rStyle w:val="Hyperlink"/>
                  <w:rFonts w:ascii="Arial" w:hAnsi="Arial" w:cs="Arial"/>
                </w:rPr>
                <w:t>correo@sugeval.fi.cr</w:t>
              </w:r>
            </w:hyperlink>
          </w:p>
        </w:tc>
      </w:tr>
      <w:tr w:rsidR="003A53EF" w:rsidRPr="00F927B7"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542" w:type="dxa"/>
            <w:shd w:val="clear" w:color="auto" w:fill="808080" w:themeFill="background1" w:themeFillShade="80"/>
            <w:vAlign w:val="center"/>
          </w:tcPr>
          <w:p w:rsidR="003A53EF" w:rsidRPr="00F927B7" w:rsidRDefault="003A53EF" w:rsidP="004901BA">
            <w:pPr>
              <w:autoSpaceDE w:val="0"/>
              <w:autoSpaceDN w:val="0"/>
              <w:adjustRightInd w:val="0"/>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3A53EF" w:rsidRPr="00C10E4B" w:rsidTr="004901BA">
        <w:trPr>
          <w:trHeight w:val="454"/>
        </w:trPr>
        <w:tc>
          <w:tcPr>
            <w:tcW w:w="10031" w:type="dxa"/>
            <w:gridSpan w:val="2"/>
            <w:shd w:val="clear" w:color="auto" w:fill="FF0000"/>
            <w:vAlign w:val="center"/>
          </w:tcPr>
          <w:p w:rsidR="003A53EF" w:rsidRPr="00C10E4B" w:rsidRDefault="003A53EF" w:rsidP="004901BA">
            <w:pPr>
              <w:autoSpaceDE w:val="0"/>
              <w:autoSpaceDN w:val="0"/>
              <w:adjustRightInd w:val="0"/>
              <w:jc w:val="center"/>
              <w:rPr>
                <w:rFonts w:ascii="Arial" w:hAnsi="Arial" w:cs="Arial"/>
                <w:b/>
              </w:rPr>
            </w:pPr>
            <w:r w:rsidRPr="008417D3">
              <w:rPr>
                <w:rFonts w:ascii="Arial" w:hAnsi="Arial" w:cs="Arial"/>
                <w:b/>
                <w:color w:val="FFFFFF" w:themeColor="background1"/>
              </w:rPr>
              <w:t>Notas</w:t>
            </w:r>
          </w:p>
        </w:tc>
      </w:tr>
      <w:tr w:rsidR="003A53EF" w:rsidRPr="00372260" w:rsidTr="004901BA">
        <w:trPr>
          <w:trHeight w:val="454"/>
        </w:trPr>
        <w:tc>
          <w:tcPr>
            <w:tcW w:w="10031" w:type="dxa"/>
            <w:gridSpan w:val="2"/>
            <w:vAlign w:val="center"/>
          </w:tcPr>
          <w:p w:rsidR="00B31003" w:rsidRPr="004D59A6" w:rsidRDefault="00B31003" w:rsidP="00B31003">
            <w:pPr>
              <w:widowControl w:val="0"/>
              <w:jc w:val="both"/>
              <w:rPr>
                <w:rFonts w:ascii="Arial" w:hAnsi="Arial" w:cs="Arial"/>
              </w:rPr>
            </w:pPr>
            <w:r w:rsidRPr="004D59A6">
              <w:rPr>
                <w:rFonts w:ascii="Arial" w:hAnsi="Arial" w:cs="Arial"/>
              </w:rPr>
              <w:t xml:space="preserve">Las emisiones y programas que no hayan sido colocados dentro de los plazos dispuestos en los artículos 17 y 47 del Reglamento sobre oferta pública de valores serán </w:t>
            </w:r>
            <w:proofErr w:type="spellStart"/>
            <w:r w:rsidRPr="004D59A6">
              <w:rPr>
                <w:rFonts w:ascii="Arial" w:hAnsi="Arial" w:cs="Arial"/>
              </w:rPr>
              <w:t>desinscritas</w:t>
            </w:r>
            <w:proofErr w:type="spellEnd"/>
            <w:r w:rsidRPr="004D59A6">
              <w:rPr>
                <w:rFonts w:ascii="Arial" w:hAnsi="Arial" w:cs="Arial"/>
              </w:rPr>
              <w:t xml:space="preserve"> de oficio del </w:t>
            </w:r>
            <w:r w:rsidRPr="004D59A6">
              <w:rPr>
                <w:rFonts w:ascii="Arial" w:hAnsi="Arial" w:cs="Arial"/>
              </w:rPr>
              <w:lastRenderedPageBreak/>
              <w:t>Registro Nacional de Va</w:t>
            </w:r>
            <w:r>
              <w:rPr>
                <w:rFonts w:ascii="Arial" w:hAnsi="Arial" w:cs="Arial"/>
              </w:rPr>
              <w:t>lores e Intermediarios y se inf</w:t>
            </w:r>
            <w:r w:rsidRPr="004D59A6">
              <w:rPr>
                <w:rFonts w:ascii="Arial" w:hAnsi="Arial" w:cs="Arial"/>
              </w:rPr>
              <w:t>ormará al mercado mediante un Comunicado de Hecho Relevante.</w:t>
            </w:r>
          </w:p>
          <w:p w:rsidR="00B31003" w:rsidRDefault="00B31003" w:rsidP="006755EE">
            <w:pPr>
              <w:widowControl w:val="0"/>
              <w:jc w:val="both"/>
              <w:rPr>
                <w:rFonts w:ascii="Arial" w:hAnsi="Arial" w:cs="Arial"/>
                <w:bCs/>
              </w:rPr>
            </w:pPr>
          </w:p>
          <w:p w:rsidR="003A53EF" w:rsidRDefault="002561AE" w:rsidP="006755EE">
            <w:pPr>
              <w:widowControl w:val="0"/>
              <w:jc w:val="both"/>
              <w:rPr>
                <w:rFonts w:ascii="Arial" w:hAnsi="Arial" w:cs="Arial"/>
                <w:bCs/>
                <w:lang w:val="es-MX"/>
              </w:rPr>
            </w:pPr>
            <w:r>
              <w:rPr>
                <w:rFonts w:ascii="Arial" w:hAnsi="Arial" w:cs="Arial"/>
                <w:bCs/>
                <w:lang w:val="es-MX"/>
              </w:rPr>
              <w:t>A</w:t>
            </w:r>
            <w:r w:rsidR="00FD18B1" w:rsidRPr="004D59A6">
              <w:rPr>
                <w:rFonts w:ascii="Arial" w:hAnsi="Arial" w:cs="Arial"/>
                <w:bCs/>
                <w:lang w:val="es-MX"/>
              </w:rPr>
              <w:t xml:space="preserve">quellos emisores que no posean emisiones vigentes autorizadas para oferta pública por un periodo superior a seis meses consecutivos desde el vencimiento de la última emisión, serán </w:t>
            </w:r>
            <w:proofErr w:type="spellStart"/>
            <w:r w:rsidR="00FD18B1" w:rsidRPr="004D59A6">
              <w:rPr>
                <w:rFonts w:ascii="Arial" w:hAnsi="Arial" w:cs="Arial"/>
                <w:bCs/>
                <w:lang w:val="es-MX"/>
              </w:rPr>
              <w:t>desinscritos</w:t>
            </w:r>
            <w:proofErr w:type="spellEnd"/>
            <w:r w:rsidR="00FD18B1" w:rsidRPr="004D59A6">
              <w:rPr>
                <w:rFonts w:ascii="Arial" w:hAnsi="Arial" w:cs="Arial"/>
                <w:bCs/>
                <w:lang w:val="es-MX"/>
              </w:rPr>
              <w:t xml:space="preserve"> de oficio del Registro Nacional de Valores e Intermediarios y se informará al mercado mediante un Comunicado de Hechos Relevantes. Se exceptúan de esta disposición el Gobierno Central y el Banco Central de Costa Rica (artículo 136 del Reglamento sobre oferta pública de valores).</w:t>
            </w:r>
          </w:p>
          <w:p w:rsidR="00BE554C" w:rsidRDefault="00BE554C" w:rsidP="006755EE">
            <w:pPr>
              <w:widowControl w:val="0"/>
              <w:jc w:val="both"/>
              <w:rPr>
                <w:rFonts w:ascii="Arial" w:hAnsi="Arial" w:cs="Arial"/>
                <w:bCs/>
                <w:lang w:val="es-MX"/>
              </w:rPr>
            </w:pPr>
          </w:p>
          <w:p w:rsidR="00BE554C" w:rsidRPr="004D59A6" w:rsidRDefault="00BE554C" w:rsidP="006755EE">
            <w:pPr>
              <w:widowControl w:val="0"/>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BB3666">
              <w:rPr>
                <w:rFonts w:ascii="Arial" w:hAnsi="Arial" w:cs="Arial"/>
                <w:bCs/>
                <w:lang w:val="es-MX"/>
              </w:rPr>
              <w:t xml:space="preserve">“Principios aplicables a determinados requisitos” disponibles en el sitio web de la </w:t>
            </w:r>
            <w:proofErr w:type="spellStart"/>
            <w:r w:rsidR="00BB3666">
              <w:rPr>
                <w:rFonts w:ascii="Arial" w:hAnsi="Arial" w:cs="Arial"/>
                <w:bCs/>
                <w:lang w:val="es-MX"/>
              </w:rPr>
              <w:t>Sugeval</w:t>
            </w:r>
            <w:proofErr w:type="spellEnd"/>
            <w:r w:rsidR="00BB3666">
              <w:rPr>
                <w:rFonts w:ascii="Arial" w:hAnsi="Arial" w:cs="Arial"/>
                <w:bCs/>
                <w:lang w:val="es-MX"/>
              </w:rPr>
              <w:t xml:space="preserve">, en la dirección </w:t>
            </w:r>
            <w:r w:rsidR="00BB3666">
              <w:rPr>
                <w:rFonts w:ascii="Arial" w:hAnsi="Arial" w:cs="Arial"/>
                <w:bCs/>
                <w:i/>
                <w:lang w:val="es-MX"/>
              </w:rPr>
              <w:t>http://www.sugeval.fi.cr/serviciosytramites/Paginas/Lineamientosorientadores.aspx</w:t>
            </w:r>
            <w:r w:rsidR="00BB3666">
              <w:rPr>
                <w:rFonts w:ascii="Arial" w:hAnsi="Arial" w:cs="Arial"/>
                <w:bCs/>
                <w:lang w:val="es-MX"/>
              </w:rPr>
              <w:t>.</w:t>
            </w:r>
          </w:p>
        </w:tc>
      </w:tr>
    </w:tbl>
    <w:p w:rsidR="00194C77" w:rsidRDefault="00194C77" w:rsidP="00DE7E9E"/>
    <w:sectPr w:rsidR="00194C77"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C9" w:rsidRDefault="00B469C9" w:rsidP="008417D3">
      <w:pPr>
        <w:spacing w:after="0" w:line="240" w:lineRule="auto"/>
      </w:pPr>
      <w:r>
        <w:separator/>
      </w:r>
    </w:p>
  </w:endnote>
  <w:endnote w:type="continuationSeparator" w:id="0">
    <w:p w:rsidR="00B469C9" w:rsidRDefault="00B469C9" w:rsidP="008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C9" w:rsidRDefault="00B469C9" w:rsidP="008417D3">
      <w:pPr>
        <w:spacing w:after="0" w:line="240" w:lineRule="auto"/>
      </w:pPr>
      <w:r>
        <w:separator/>
      </w:r>
    </w:p>
  </w:footnote>
  <w:footnote w:type="continuationSeparator" w:id="0">
    <w:p w:rsidR="00B469C9" w:rsidRDefault="00B469C9" w:rsidP="0084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D3" w:rsidRDefault="008417D3" w:rsidP="008417D3">
    <w:pPr>
      <w:pStyle w:val="Header"/>
      <w:jc w:val="right"/>
    </w:pPr>
    <w:r>
      <w:rPr>
        <w:noProof/>
        <w:lang w:eastAsia="es-CR"/>
      </w:rPr>
      <w:drawing>
        <wp:inline distT="0" distB="0" distL="0" distR="0" wp14:anchorId="60AC8161" wp14:editId="54EC5E46">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D7"/>
    <w:multiLevelType w:val="hybridMultilevel"/>
    <w:tmpl w:val="53706FB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4C8135B"/>
    <w:multiLevelType w:val="hybridMultilevel"/>
    <w:tmpl w:val="5B006708"/>
    <w:lvl w:ilvl="0" w:tplc="0290A9B4">
      <w:start w:val="1"/>
      <w:numFmt w:val="decimal"/>
      <w:lvlText w:val="%1."/>
      <w:lvlJc w:val="left"/>
      <w:pPr>
        <w:ind w:left="720" w:hanging="360"/>
      </w:pPr>
      <w:rPr>
        <w:rFonts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5E54D77"/>
    <w:multiLevelType w:val="hybridMultilevel"/>
    <w:tmpl w:val="17D83BF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08EF7744"/>
    <w:multiLevelType w:val="hybridMultilevel"/>
    <w:tmpl w:val="A426E66E"/>
    <w:lvl w:ilvl="0" w:tplc="0409000F">
      <w:start w:val="1"/>
      <w:numFmt w:val="decimal"/>
      <w:lvlText w:val="%1."/>
      <w:lvlJc w:val="left"/>
      <w:pPr>
        <w:ind w:left="720" w:hanging="360"/>
      </w:pPr>
    </w:lvl>
    <w:lvl w:ilvl="1" w:tplc="B1E8B8F8">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D48A1"/>
    <w:multiLevelType w:val="hybridMultilevel"/>
    <w:tmpl w:val="38244BE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E1B4F8A"/>
    <w:multiLevelType w:val="hybridMultilevel"/>
    <w:tmpl w:val="53C29D6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nsid w:val="109D1BB0"/>
    <w:multiLevelType w:val="hybridMultilevel"/>
    <w:tmpl w:val="F6DE5050"/>
    <w:lvl w:ilvl="0" w:tplc="C024BA4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D796FE8"/>
    <w:multiLevelType w:val="hybridMultilevel"/>
    <w:tmpl w:val="DA441A92"/>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nsid w:val="1DF74964"/>
    <w:multiLevelType w:val="hybridMultilevel"/>
    <w:tmpl w:val="7DBE75E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50C71FA"/>
    <w:multiLevelType w:val="hybridMultilevel"/>
    <w:tmpl w:val="8E2E26E0"/>
    <w:lvl w:ilvl="0" w:tplc="AB126F32">
      <w:start w:val="1"/>
      <w:numFmt w:val="low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ADE5219"/>
    <w:multiLevelType w:val="hybridMultilevel"/>
    <w:tmpl w:val="8AE0258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nsid w:val="2DA14802"/>
    <w:multiLevelType w:val="hybridMultilevel"/>
    <w:tmpl w:val="80DE279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nsid w:val="30850891"/>
    <w:multiLevelType w:val="hybridMultilevel"/>
    <w:tmpl w:val="00E0EACA"/>
    <w:lvl w:ilvl="0" w:tplc="8A56ABB6">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
    <w:nsid w:val="3B764F0B"/>
    <w:multiLevelType w:val="hybridMultilevel"/>
    <w:tmpl w:val="2E8036B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nsid w:val="3C246F4F"/>
    <w:multiLevelType w:val="hybridMultilevel"/>
    <w:tmpl w:val="2CF4FB48"/>
    <w:lvl w:ilvl="0" w:tplc="6310D7C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2E62E13"/>
    <w:multiLevelType w:val="hybridMultilevel"/>
    <w:tmpl w:val="B6F435D2"/>
    <w:lvl w:ilvl="0" w:tplc="9DF8C692">
      <w:start w:val="1"/>
      <w:numFmt w:val="low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5BA28B9"/>
    <w:multiLevelType w:val="hybridMultilevel"/>
    <w:tmpl w:val="181C670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7">
    <w:nsid w:val="47443383"/>
    <w:multiLevelType w:val="hybridMultilevel"/>
    <w:tmpl w:val="EFA651EE"/>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nsid w:val="4A4D401F"/>
    <w:multiLevelType w:val="hybridMultilevel"/>
    <w:tmpl w:val="637616B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CC55C3C"/>
    <w:multiLevelType w:val="hybridMultilevel"/>
    <w:tmpl w:val="6B18F7E6"/>
    <w:lvl w:ilvl="0" w:tplc="8410E58C">
      <w:start w:val="1"/>
      <w:numFmt w:val="bullet"/>
      <w:lvlText w:val="-"/>
      <w:lvlJc w:val="left"/>
      <w:pPr>
        <w:ind w:left="720" w:hanging="360"/>
      </w:pPr>
      <w:rPr>
        <w:rFonts w:ascii="Arial" w:hAnsi="Arial"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2FC6013"/>
    <w:multiLevelType w:val="hybridMultilevel"/>
    <w:tmpl w:val="DB3ACA3C"/>
    <w:lvl w:ilvl="0" w:tplc="C1BCC22E">
      <w:start w:val="1"/>
      <w:numFmt w:val="low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38C5D6A"/>
    <w:multiLevelType w:val="hybridMultilevel"/>
    <w:tmpl w:val="0D08504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nsid w:val="539118E2"/>
    <w:multiLevelType w:val="hybridMultilevel"/>
    <w:tmpl w:val="8AB83FA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3D7E3C"/>
    <w:multiLevelType w:val="hybridMultilevel"/>
    <w:tmpl w:val="1F08BFDE"/>
    <w:lvl w:ilvl="0" w:tplc="140A001B">
      <w:start w:val="1"/>
      <w:numFmt w:val="lowerRoman"/>
      <w:lvlText w:val="%1."/>
      <w:lvlJc w:val="righ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4">
    <w:nsid w:val="55CC35A9"/>
    <w:multiLevelType w:val="hybridMultilevel"/>
    <w:tmpl w:val="AED481A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606716E"/>
    <w:multiLevelType w:val="hybridMultilevel"/>
    <w:tmpl w:val="1852766E"/>
    <w:lvl w:ilvl="0" w:tplc="59FA690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9BA77FC"/>
    <w:multiLevelType w:val="hybridMultilevel"/>
    <w:tmpl w:val="4C84FC7A"/>
    <w:lvl w:ilvl="0" w:tplc="C892150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A8430CC"/>
    <w:multiLevelType w:val="hybridMultilevel"/>
    <w:tmpl w:val="9922153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nsid w:val="5ABD5727"/>
    <w:multiLevelType w:val="hybridMultilevel"/>
    <w:tmpl w:val="649C0C5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AC2062B"/>
    <w:multiLevelType w:val="hybridMultilevel"/>
    <w:tmpl w:val="B2CAA272"/>
    <w:lvl w:ilvl="0" w:tplc="1B0273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11529C9"/>
    <w:multiLevelType w:val="hybridMultilevel"/>
    <w:tmpl w:val="8A7891A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nsid w:val="625A74E6"/>
    <w:multiLevelType w:val="hybridMultilevel"/>
    <w:tmpl w:val="C758242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nsid w:val="64CE0BB7"/>
    <w:multiLevelType w:val="hybridMultilevel"/>
    <w:tmpl w:val="DBBAEA44"/>
    <w:lvl w:ilvl="0" w:tplc="C69CCCF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67BC6279"/>
    <w:multiLevelType w:val="hybridMultilevel"/>
    <w:tmpl w:val="315E678E"/>
    <w:lvl w:ilvl="0" w:tplc="24AA0D84">
      <w:start w:val="1"/>
      <w:numFmt w:val="lowerRoman"/>
      <w:lvlText w:val="%1."/>
      <w:lvlJc w:val="righ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4">
    <w:nsid w:val="67CF363D"/>
    <w:multiLevelType w:val="hybridMultilevel"/>
    <w:tmpl w:val="5DCA7654"/>
    <w:lvl w:ilvl="0" w:tplc="610EF15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A3118A6"/>
    <w:multiLevelType w:val="hybridMultilevel"/>
    <w:tmpl w:val="A8A409F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FAE2D74"/>
    <w:multiLevelType w:val="hybridMultilevel"/>
    <w:tmpl w:val="E724EE38"/>
    <w:lvl w:ilvl="0" w:tplc="3F1EE5A8">
      <w:start w:val="1"/>
      <w:numFmt w:val="low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2F27E19"/>
    <w:multiLevelType w:val="hybridMultilevel"/>
    <w:tmpl w:val="CD641AAE"/>
    <w:lvl w:ilvl="0" w:tplc="8410E58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759A6F8B"/>
    <w:multiLevelType w:val="hybridMultilevel"/>
    <w:tmpl w:val="CC86D15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9">
    <w:nsid w:val="7C9B0D46"/>
    <w:multiLevelType w:val="hybridMultilevel"/>
    <w:tmpl w:val="CAC8E372"/>
    <w:lvl w:ilvl="0" w:tplc="755CD6B2">
      <w:start w:val="1"/>
      <w:numFmt w:val="lowerRoman"/>
      <w:lvlText w:val="%1."/>
      <w:lvlJc w:val="righ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37"/>
  </w:num>
  <w:num w:numId="2">
    <w:abstractNumId w:val="1"/>
  </w:num>
  <w:num w:numId="3">
    <w:abstractNumId w:val="19"/>
  </w:num>
  <w:num w:numId="4">
    <w:abstractNumId w:val="21"/>
  </w:num>
  <w:num w:numId="5">
    <w:abstractNumId w:val="16"/>
  </w:num>
  <w:num w:numId="6">
    <w:abstractNumId w:val="38"/>
  </w:num>
  <w:num w:numId="7">
    <w:abstractNumId w:val="8"/>
  </w:num>
  <w:num w:numId="8">
    <w:abstractNumId w:val="29"/>
  </w:num>
  <w:num w:numId="9">
    <w:abstractNumId w:val="28"/>
  </w:num>
  <w:num w:numId="10">
    <w:abstractNumId w:val="26"/>
  </w:num>
  <w:num w:numId="11">
    <w:abstractNumId w:val="35"/>
  </w:num>
  <w:num w:numId="12">
    <w:abstractNumId w:val="6"/>
  </w:num>
  <w:num w:numId="13">
    <w:abstractNumId w:val="17"/>
  </w:num>
  <w:num w:numId="14">
    <w:abstractNumId w:val="2"/>
  </w:num>
  <w:num w:numId="15">
    <w:abstractNumId w:val="10"/>
  </w:num>
  <w:num w:numId="16">
    <w:abstractNumId w:val="31"/>
  </w:num>
  <w:num w:numId="17">
    <w:abstractNumId w:val="13"/>
  </w:num>
  <w:num w:numId="18">
    <w:abstractNumId w:val="23"/>
  </w:num>
  <w:num w:numId="19">
    <w:abstractNumId w:val="12"/>
  </w:num>
  <w:num w:numId="20">
    <w:abstractNumId w:val="23"/>
    <w:lvlOverride w:ilvl="0">
      <w:lvl w:ilvl="0" w:tplc="140A001B">
        <w:start w:val="1"/>
        <w:numFmt w:val="lowerRoman"/>
        <w:lvlText w:val="%1."/>
        <w:lvlJc w:val="right"/>
        <w:pPr>
          <w:ind w:left="1068" w:hanging="360"/>
        </w:pPr>
        <w:rPr>
          <w:rFonts w:hint="default"/>
        </w:rPr>
      </w:lvl>
    </w:lvlOverride>
    <w:lvlOverride w:ilvl="1">
      <w:lvl w:ilvl="1" w:tplc="140A0019" w:tentative="1">
        <w:start w:val="1"/>
        <w:numFmt w:val="lowerLetter"/>
        <w:lvlText w:val="%2."/>
        <w:lvlJc w:val="left"/>
        <w:pPr>
          <w:ind w:left="1440" w:hanging="360"/>
        </w:pPr>
      </w:lvl>
    </w:lvlOverride>
    <w:lvlOverride w:ilvl="2">
      <w:lvl w:ilvl="2" w:tplc="140A001B" w:tentative="1">
        <w:start w:val="1"/>
        <w:numFmt w:val="lowerRoman"/>
        <w:lvlText w:val="%3."/>
        <w:lvlJc w:val="right"/>
        <w:pPr>
          <w:ind w:left="2160" w:hanging="180"/>
        </w:pPr>
      </w:lvl>
    </w:lvlOverride>
    <w:lvlOverride w:ilvl="3">
      <w:lvl w:ilvl="3" w:tplc="140A000F" w:tentative="1">
        <w:start w:val="1"/>
        <w:numFmt w:val="decimal"/>
        <w:lvlText w:val="%4."/>
        <w:lvlJc w:val="left"/>
        <w:pPr>
          <w:ind w:left="2880" w:hanging="360"/>
        </w:pPr>
      </w:lvl>
    </w:lvlOverride>
    <w:lvlOverride w:ilvl="4">
      <w:lvl w:ilvl="4" w:tplc="140A0019" w:tentative="1">
        <w:start w:val="1"/>
        <w:numFmt w:val="lowerLetter"/>
        <w:lvlText w:val="%5."/>
        <w:lvlJc w:val="left"/>
        <w:pPr>
          <w:ind w:left="3600" w:hanging="360"/>
        </w:pPr>
      </w:lvl>
    </w:lvlOverride>
    <w:lvlOverride w:ilvl="5">
      <w:lvl w:ilvl="5" w:tplc="140A001B" w:tentative="1">
        <w:start w:val="1"/>
        <w:numFmt w:val="lowerRoman"/>
        <w:lvlText w:val="%6."/>
        <w:lvlJc w:val="right"/>
        <w:pPr>
          <w:ind w:left="4320" w:hanging="180"/>
        </w:pPr>
      </w:lvl>
    </w:lvlOverride>
    <w:lvlOverride w:ilvl="6">
      <w:lvl w:ilvl="6" w:tplc="140A000F" w:tentative="1">
        <w:start w:val="1"/>
        <w:numFmt w:val="decimal"/>
        <w:lvlText w:val="%7."/>
        <w:lvlJc w:val="left"/>
        <w:pPr>
          <w:ind w:left="5040" w:hanging="360"/>
        </w:pPr>
      </w:lvl>
    </w:lvlOverride>
    <w:lvlOverride w:ilvl="7">
      <w:lvl w:ilvl="7" w:tplc="140A0019" w:tentative="1">
        <w:start w:val="1"/>
        <w:numFmt w:val="lowerLetter"/>
        <w:lvlText w:val="%8."/>
        <w:lvlJc w:val="left"/>
        <w:pPr>
          <w:ind w:left="5760" w:hanging="360"/>
        </w:pPr>
      </w:lvl>
    </w:lvlOverride>
    <w:lvlOverride w:ilvl="8">
      <w:lvl w:ilvl="8" w:tplc="140A001B" w:tentative="1">
        <w:start w:val="1"/>
        <w:numFmt w:val="lowerRoman"/>
        <w:lvlText w:val="%9."/>
        <w:lvlJc w:val="right"/>
        <w:pPr>
          <w:ind w:left="6480" w:hanging="180"/>
        </w:pPr>
      </w:lvl>
    </w:lvlOverride>
  </w:num>
  <w:num w:numId="21">
    <w:abstractNumId w:val="33"/>
  </w:num>
  <w:num w:numId="22">
    <w:abstractNumId w:val="39"/>
  </w:num>
  <w:num w:numId="23">
    <w:abstractNumId w:val="0"/>
  </w:num>
  <w:num w:numId="24">
    <w:abstractNumId w:val="14"/>
  </w:num>
  <w:num w:numId="25">
    <w:abstractNumId w:val="36"/>
  </w:num>
  <w:num w:numId="26">
    <w:abstractNumId w:val="9"/>
  </w:num>
  <w:num w:numId="27">
    <w:abstractNumId w:val="15"/>
  </w:num>
  <w:num w:numId="28">
    <w:abstractNumId w:val="20"/>
  </w:num>
  <w:num w:numId="29">
    <w:abstractNumId w:val="30"/>
  </w:num>
  <w:num w:numId="30">
    <w:abstractNumId w:val="11"/>
  </w:num>
  <w:num w:numId="31">
    <w:abstractNumId w:val="5"/>
  </w:num>
  <w:num w:numId="32">
    <w:abstractNumId w:val="7"/>
  </w:num>
  <w:num w:numId="33">
    <w:abstractNumId w:val="27"/>
  </w:num>
  <w:num w:numId="34">
    <w:abstractNumId w:val="18"/>
  </w:num>
  <w:num w:numId="35">
    <w:abstractNumId w:val="34"/>
  </w:num>
  <w:num w:numId="36">
    <w:abstractNumId w:val="4"/>
  </w:num>
  <w:num w:numId="37">
    <w:abstractNumId w:val="25"/>
  </w:num>
  <w:num w:numId="38">
    <w:abstractNumId w:val="24"/>
  </w:num>
  <w:num w:numId="39">
    <w:abstractNumId w:val="32"/>
  </w:num>
  <w:num w:numId="40">
    <w:abstractNumId w:val="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0"/>
    <w:rsid w:val="00015175"/>
    <w:rsid w:val="001326FC"/>
    <w:rsid w:val="001552F9"/>
    <w:rsid w:val="00165E0D"/>
    <w:rsid w:val="00173559"/>
    <w:rsid w:val="00194C77"/>
    <w:rsid w:val="001C51D4"/>
    <w:rsid w:val="001C7B6F"/>
    <w:rsid w:val="001E2395"/>
    <w:rsid w:val="001E28D0"/>
    <w:rsid w:val="002001E5"/>
    <w:rsid w:val="0022483E"/>
    <w:rsid w:val="002561AE"/>
    <w:rsid w:val="002F0EC0"/>
    <w:rsid w:val="003536E3"/>
    <w:rsid w:val="00372260"/>
    <w:rsid w:val="003A352B"/>
    <w:rsid w:val="003A53EF"/>
    <w:rsid w:val="00460048"/>
    <w:rsid w:val="00485E59"/>
    <w:rsid w:val="00495987"/>
    <w:rsid w:val="004A53DF"/>
    <w:rsid w:val="004D59A6"/>
    <w:rsid w:val="004D6558"/>
    <w:rsid w:val="00580CC1"/>
    <w:rsid w:val="00596285"/>
    <w:rsid w:val="005974A5"/>
    <w:rsid w:val="005A1BAA"/>
    <w:rsid w:val="005B62C8"/>
    <w:rsid w:val="006025FF"/>
    <w:rsid w:val="00650278"/>
    <w:rsid w:val="006755EE"/>
    <w:rsid w:val="006D78B5"/>
    <w:rsid w:val="006F44EB"/>
    <w:rsid w:val="00717C08"/>
    <w:rsid w:val="00776581"/>
    <w:rsid w:val="00800480"/>
    <w:rsid w:val="008144A3"/>
    <w:rsid w:val="00830C7F"/>
    <w:rsid w:val="008417D3"/>
    <w:rsid w:val="00845CA0"/>
    <w:rsid w:val="00856F0A"/>
    <w:rsid w:val="009B2DD9"/>
    <w:rsid w:val="009B4EF4"/>
    <w:rsid w:val="009F2257"/>
    <w:rsid w:val="00A754F1"/>
    <w:rsid w:val="00AB5C90"/>
    <w:rsid w:val="00AF086E"/>
    <w:rsid w:val="00B17146"/>
    <w:rsid w:val="00B31003"/>
    <w:rsid w:val="00B406A5"/>
    <w:rsid w:val="00B469C9"/>
    <w:rsid w:val="00B80350"/>
    <w:rsid w:val="00BB3666"/>
    <w:rsid w:val="00BE554C"/>
    <w:rsid w:val="00C10E4B"/>
    <w:rsid w:val="00CC742D"/>
    <w:rsid w:val="00CE78F7"/>
    <w:rsid w:val="00D72FCB"/>
    <w:rsid w:val="00DD3FC3"/>
    <w:rsid w:val="00DE7E9E"/>
    <w:rsid w:val="00DF092E"/>
    <w:rsid w:val="00E422A4"/>
    <w:rsid w:val="00EA76E2"/>
    <w:rsid w:val="00EC2F89"/>
    <w:rsid w:val="00ED6F95"/>
    <w:rsid w:val="00F2263A"/>
    <w:rsid w:val="00F24FA0"/>
    <w:rsid w:val="00F724C4"/>
    <w:rsid w:val="00F76387"/>
    <w:rsid w:val="00F877A7"/>
    <w:rsid w:val="00F927B7"/>
    <w:rsid w:val="00F9658C"/>
    <w:rsid w:val="00FC2FCE"/>
    <w:rsid w:val="00FD18B1"/>
    <w:rsid w:val="00FF1F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151">
      <w:bodyDiv w:val="1"/>
      <w:marLeft w:val="0"/>
      <w:marRight w:val="0"/>
      <w:marTop w:val="0"/>
      <w:marBottom w:val="0"/>
      <w:divBdr>
        <w:top w:val="none" w:sz="0" w:space="0" w:color="auto"/>
        <w:left w:val="none" w:sz="0" w:space="0" w:color="auto"/>
        <w:bottom w:val="none" w:sz="0" w:space="0" w:color="auto"/>
        <w:right w:val="none" w:sz="0" w:space="0" w:color="auto"/>
      </w:divBdr>
    </w:div>
    <w:div w:id="700934133">
      <w:bodyDiv w:val="1"/>
      <w:marLeft w:val="0"/>
      <w:marRight w:val="0"/>
      <w:marTop w:val="0"/>
      <w:marBottom w:val="0"/>
      <w:divBdr>
        <w:top w:val="none" w:sz="0" w:space="0" w:color="auto"/>
        <w:left w:val="none" w:sz="0" w:space="0" w:color="auto"/>
        <w:bottom w:val="none" w:sz="0" w:space="0" w:color="auto"/>
        <w:right w:val="none" w:sz="0" w:space="0" w:color="auto"/>
      </w:divBdr>
    </w:div>
    <w:div w:id="735515089">
      <w:bodyDiv w:val="1"/>
      <w:marLeft w:val="0"/>
      <w:marRight w:val="0"/>
      <w:marTop w:val="0"/>
      <w:marBottom w:val="0"/>
      <w:divBdr>
        <w:top w:val="none" w:sz="0" w:space="0" w:color="auto"/>
        <w:left w:val="none" w:sz="0" w:space="0" w:color="auto"/>
        <w:bottom w:val="none" w:sz="0" w:space="0" w:color="auto"/>
        <w:right w:val="none" w:sz="0" w:space="0" w:color="auto"/>
      </w:divBdr>
    </w:div>
    <w:div w:id="18213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Emisiones de deuda</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5513D-444E-4C72-A5E2-971BC2CBE718}"/>
</file>

<file path=customXml/itemProps2.xml><?xml version="1.0" encoding="utf-8"?>
<ds:datastoreItem xmlns:ds="http://schemas.openxmlformats.org/officeDocument/2006/customXml" ds:itemID="{5EB36439-0175-4681-8C7F-F85BF2A5343A}"/>
</file>

<file path=customXml/itemProps3.xml><?xml version="1.0" encoding="utf-8"?>
<ds:datastoreItem xmlns:ds="http://schemas.openxmlformats.org/officeDocument/2006/customXml" ds:itemID="{F54A261A-AB8A-4E06-AFB5-9A08F9A7A8D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garcialj</dc:creator>
  <cp:lastModifiedBy>castillosa</cp:lastModifiedBy>
  <cp:revision>2</cp:revision>
  <cp:lastPrinted>2012-05-09T16:44:00Z</cp:lastPrinted>
  <dcterms:created xsi:type="dcterms:W3CDTF">2015-10-08T19:45:00Z</dcterms:created>
  <dcterms:modified xsi:type="dcterms:W3CDTF">2015-10-08T19:45:00Z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y fmtid="{D5CDD505-2E9C-101B-9397-08002B2CF9AE}" pid="3" name="Order">
    <vt:r8>16600</vt:r8>
  </property>
  <property fmtid="{D5CDD505-2E9C-101B-9397-08002B2CF9AE}" pid="4" name="Departamento">
    <vt:lpwstr>Oferta Pública</vt:lpwstr>
  </property>
</Properties>
</file>