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4B7C2" w14:textId="77777777" w:rsidR="00191F75" w:rsidRDefault="00191F75" w:rsidP="00191F75">
      <w:pPr>
        <w:autoSpaceDE w:val="0"/>
        <w:autoSpaceDN w:val="0"/>
        <w:adjustRightInd w:val="0"/>
        <w:spacing w:after="0" w:line="240" w:lineRule="auto"/>
        <w:rPr>
          <w:rFonts w:ascii="TTE19BDF50t00" w:hAnsi="TTE19BDF50t00" w:cs="TTE19BDF50t00"/>
          <w:color w:val="000000"/>
        </w:rPr>
      </w:pPr>
      <w:r>
        <w:rPr>
          <w:rFonts w:ascii="TTE19BDF50t00" w:hAnsi="TTE19BDF50t00" w:cs="TTE19BDF50t00"/>
          <w:noProof/>
          <w:color w:val="000000"/>
          <w:lang w:eastAsia="es-CR"/>
        </w:rPr>
        <w:drawing>
          <wp:inline distT="0" distB="0" distL="0" distR="0">
            <wp:extent cx="2109633" cy="517263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Sugeval-med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42" cy="52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A35DD" w14:textId="77777777" w:rsidR="00191F75" w:rsidRDefault="00191F75" w:rsidP="00191F75">
      <w:pPr>
        <w:autoSpaceDE w:val="0"/>
        <w:autoSpaceDN w:val="0"/>
        <w:adjustRightInd w:val="0"/>
        <w:spacing w:after="0" w:line="240" w:lineRule="auto"/>
        <w:rPr>
          <w:rFonts w:ascii="TTE19BDF50t00" w:hAnsi="TTE19BDF50t00" w:cs="TTE19BDF50t00"/>
          <w:color w:val="000000"/>
        </w:rPr>
      </w:pPr>
    </w:p>
    <w:p w14:paraId="58713574" w14:textId="77777777" w:rsidR="003C2E0A" w:rsidRDefault="003C2E0A" w:rsidP="00191F75">
      <w:pPr>
        <w:autoSpaceDE w:val="0"/>
        <w:autoSpaceDN w:val="0"/>
        <w:adjustRightInd w:val="0"/>
        <w:spacing w:after="0" w:line="240" w:lineRule="auto"/>
        <w:rPr>
          <w:rFonts w:ascii="TTE19BDF50t00" w:hAnsi="TTE19BDF50t00" w:cs="TTE19BDF50t00"/>
          <w:color w:val="000000"/>
        </w:rPr>
      </w:pPr>
    </w:p>
    <w:p w14:paraId="0A1C78A3" w14:textId="77777777" w:rsidR="00191F75" w:rsidRPr="003C2E0A" w:rsidRDefault="00191F75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32"/>
        </w:rPr>
      </w:pPr>
      <w:r w:rsidRPr="003C2E0A">
        <w:rPr>
          <w:rFonts w:ascii="Arial" w:hAnsi="Arial" w:cs="Arial"/>
          <w:b/>
          <w:color w:val="000000"/>
          <w:sz w:val="32"/>
        </w:rPr>
        <w:t>Guía para presentar una denuncia ante la SUGEVAL</w:t>
      </w:r>
    </w:p>
    <w:p w14:paraId="014CC25C" w14:textId="77777777" w:rsidR="00191F75" w:rsidRDefault="00191F75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</w:p>
    <w:p w14:paraId="78C8FF49" w14:textId="77777777" w:rsidR="00191F75" w:rsidRDefault="00191F75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>
        <w:rPr>
          <w:rFonts w:ascii="TTE2983470t00" w:hAnsi="TTE2983470t00" w:cs="TTE2983470t00"/>
          <w:color w:val="000000"/>
        </w:rPr>
        <w:t>El principal objetivo de la Superintendencia General de Valores (</w:t>
      </w:r>
      <w:proofErr w:type="spellStart"/>
      <w:r>
        <w:rPr>
          <w:rFonts w:ascii="TTE2983470t00" w:hAnsi="TTE2983470t00" w:cs="TTE2983470t00"/>
          <w:color w:val="000000"/>
        </w:rPr>
        <w:t>Sugeval</w:t>
      </w:r>
      <w:proofErr w:type="spellEnd"/>
      <w:r>
        <w:rPr>
          <w:rFonts w:ascii="TTE2983470t00" w:hAnsi="TTE2983470t00" w:cs="TTE2983470t00"/>
          <w:color w:val="000000"/>
        </w:rPr>
        <w:t>) es proteger a los inversionistas.</w:t>
      </w:r>
    </w:p>
    <w:p w14:paraId="51F698BE" w14:textId="77777777" w:rsidR="00191F75" w:rsidRDefault="00191F75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>
        <w:rPr>
          <w:rFonts w:ascii="TTE2983470t00" w:hAnsi="TTE2983470t00" w:cs="TTE2983470t00"/>
          <w:color w:val="000000"/>
        </w:rPr>
        <w:t>Para ello debe velar por la transparencia del mercado de valores, la formación correcta de los precios y</w:t>
      </w:r>
      <w:r w:rsidR="007075B8">
        <w:rPr>
          <w:rFonts w:ascii="TTE2983470t00" w:hAnsi="TTE2983470t00" w:cs="TTE2983470t00"/>
          <w:color w:val="000000"/>
        </w:rPr>
        <w:t xml:space="preserve"> </w:t>
      </w:r>
      <w:r>
        <w:rPr>
          <w:rFonts w:ascii="TTE2983470t00" w:hAnsi="TTE2983470t00" w:cs="TTE2983470t00"/>
          <w:color w:val="000000"/>
        </w:rPr>
        <w:t>la difusión de la información necesaria para que se alcancen estos objetivos.</w:t>
      </w:r>
    </w:p>
    <w:p w14:paraId="7C4E94C0" w14:textId="77777777" w:rsidR="00191F75" w:rsidRDefault="00191F75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>
        <w:rPr>
          <w:rFonts w:ascii="TTE2983470t00" w:hAnsi="TTE2983470t00" w:cs="TTE2983470t00"/>
          <w:color w:val="000000"/>
        </w:rPr>
        <w:t>Para protegerlo a usted como inversionista, la Ley Reguladora del Mercado de Valores establece una</w:t>
      </w:r>
      <w:r w:rsidR="007075B8">
        <w:rPr>
          <w:rFonts w:ascii="TTE2983470t00" w:hAnsi="TTE2983470t00" w:cs="TTE2983470t00"/>
          <w:color w:val="000000"/>
        </w:rPr>
        <w:t xml:space="preserve"> </w:t>
      </w:r>
      <w:r>
        <w:rPr>
          <w:rFonts w:ascii="TTE2983470t00" w:hAnsi="TTE2983470t00" w:cs="TTE2983470t00"/>
          <w:color w:val="000000"/>
        </w:rPr>
        <w:t>serie de reglas y medidas que deben cumplir tanto las entidades participantes del mercado como sus</w:t>
      </w:r>
      <w:r w:rsidR="007075B8">
        <w:rPr>
          <w:rFonts w:ascii="TTE2983470t00" w:hAnsi="TTE2983470t00" w:cs="TTE2983470t00"/>
          <w:color w:val="000000"/>
        </w:rPr>
        <w:t xml:space="preserve"> </w:t>
      </w:r>
      <w:r>
        <w:rPr>
          <w:rFonts w:ascii="TTE2983470t00" w:hAnsi="TTE2983470t00" w:cs="TTE2983470t00"/>
          <w:color w:val="000000"/>
        </w:rPr>
        <w:t>representantes. La normativa emitida por la Superintendencia y por la Bolsa Nacional de Valores</w:t>
      </w:r>
      <w:r w:rsidR="007075B8">
        <w:rPr>
          <w:rFonts w:ascii="TTE2983470t00" w:hAnsi="TTE2983470t00" w:cs="TTE2983470t00"/>
          <w:color w:val="000000"/>
        </w:rPr>
        <w:t xml:space="preserve"> </w:t>
      </w:r>
      <w:r>
        <w:rPr>
          <w:rFonts w:ascii="TTE2983470t00" w:hAnsi="TTE2983470t00" w:cs="TTE2983470t00"/>
          <w:color w:val="000000"/>
        </w:rPr>
        <w:t>también contiene regulaciones para resguardar sus intereses.</w:t>
      </w:r>
    </w:p>
    <w:p w14:paraId="6DAD80E2" w14:textId="77777777" w:rsidR="007075B8" w:rsidRDefault="007075B8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</w:p>
    <w:p w14:paraId="3436571D" w14:textId="77777777" w:rsidR="00191F75" w:rsidRDefault="00191F75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>
        <w:rPr>
          <w:rFonts w:ascii="TTE2983470t00" w:hAnsi="TTE2983470t00" w:cs="TTE2983470t00"/>
          <w:color w:val="000000"/>
        </w:rPr>
        <w:t>Cuando usted sienta lesionados sus derechos o intereses como inversionista, puede presentar una queja</w:t>
      </w:r>
      <w:r w:rsidR="007075B8">
        <w:rPr>
          <w:rFonts w:ascii="TTE2983470t00" w:hAnsi="TTE2983470t00" w:cs="TTE2983470t00"/>
          <w:color w:val="000000"/>
        </w:rPr>
        <w:t xml:space="preserve"> </w:t>
      </w:r>
      <w:r>
        <w:rPr>
          <w:rFonts w:ascii="TTE2983470t00" w:hAnsi="TTE2983470t00" w:cs="TTE2983470t00"/>
          <w:color w:val="000000"/>
        </w:rPr>
        <w:t xml:space="preserve">ante la </w:t>
      </w:r>
      <w:proofErr w:type="spellStart"/>
      <w:r>
        <w:rPr>
          <w:rFonts w:ascii="TTE2983470t00" w:hAnsi="TTE2983470t00" w:cs="TTE2983470t00"/>
          <w:color w:val="000000"/>
        </w:rPr>
        <w:t>Sugeval</w:t>
      </w:r>
      <w:proofErr w:type="spellEnd"/>
      <w:r>
        <w:rPr>
          <w:rFonts w:ascii="TTE2983470t00" w:hAnsi="TTE2983470t00" w:cs="TTE2983470t00"/>
          <w:color w:val="000000"/>
        </w:rPr>
        <w:t>. También lo puede hacer si tiene conocimiento de cualquier tipo de irregularidad en el</w:t>
      </w:r>
      <w:r w:rsidR="007075B8">
        <w:rPr>
          <w:rFonts w:ascii="TTE2983470t00" w:hAnsi="TTE2983470t00" w:cs="TTE2983470t00"/>
          <w:color w:val="000000"/>
        </w:rPr>
        <w:t xml:space="preserve"> </w:t>
      </w:r>
      <w:r>
        <w:rPr>
          <w:rFonts w:ascii="TTE2983470t00" w:hAnsi="TTE2983470t00" w:cs="TTE2983470t00"/>
          <w:color w:val="000000"/>
        </w:rPr>
        <w:t>mercado de valores, aunque no le afecte directamente.</w:t>
      </w:r>
    </w:p>
    <w:p w14:paraId="23B8B480" w14:textId="77777777" w:rsidR="007075B8" w:rsidRDefault="007075B8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</w:p>
    <w:p w14:paraId="7FF1587B" w14:textId="77777777" w:rsidR="00191F75" w:rsidRDefault="007075B8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>
        <w:rPr>
          <w:rFonts w:ascii="TTE2983470t00" w:hAnsi="TTE2983470t00" w:cs="TTE2983470t00"/>
          <w:color w:val="000000"/>
        </w:rPr>
        <w:t>Esta guía</w:t>
      </w:r>
      <w:r w:rsidR="00191F75">
        <w:rPr>
          <w:rFonts w:ascii="TTE2983470t00" w:hAnsi="TTE2983470t00" w:cs="TTE2983470t00"/>
          <w:color w:val="000000"/>
        </w:rPr>
        <w:t>, que pertenece a una serie de apoyo al inversionista, le explica de manera resumida cuál es</w:t>
      </w:r>
      <w:r>
        <w:rPr>
          <w:rFonts w:ascii="TTE2983470t00" w:hAnsi="TTE2983470t00" w:cs="TTE2983470t00"/>
          <w:color w:val="000000"/>
        </w:rPr>
        <w:t xml:space="preserve"> </w:t>
      </w:r>
      <w:r w:rsidR="00191F75">
        <w:rPr>
          <w:rFonts w:ascii="TTE2983470t00" w:hAnsi="TTE2983470t00" w:cs="TTE2983470t00"/>
          <w:color w:val="000000"/>
        </w:rPr>
        <w:t>el procedimiento para presentar una denuncia ante la Superintendencia.</w:t>
      </w:r>
    </w:p>
    <w:p w14:paraId="68DC598C" w14:textId="77777777" w:rsidR="007075B8" w:rsidRDefault="007075B8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</w:p>
    <w:p w14:paraId="68643B3B" w14:textId="77777777" w:rsidR="007075B8" w:rsidRDefault="007075B8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</w:p>
    <w:p w14:paraId="68412B6F" w14:textId="77777777" w:rsidR="007075B8" w:rsidRDefault="007075B8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</w:p>
    <w:p w14:paraId="272C3BD5" w14:textId="77777777" w:rsidR="00191F75" w:rsidRDefault="00191F75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19BDF50t00" w:hAnsi="TTE19BDF50t00" w:cs="TTE19BDF50t00"/>
          <w:b/>
          <w:color w:val="000000"/>
        </w:rPr>
      </w:pPr>
      <w:r w:rsidRPr="004E38A2">
        <w:rPr>
          <w:rFonts w:ascii="TTE19BDF50t00" w:hAnsi="TTE19BDF50t00" w:cs="TTE19BDF50t00"/>
          <w:b/>
          <w:color w:val="000000"/>
        </w:rPr>
        <w:t xml:space="preserve">EN </w:t>
      </w:r>
      <w:r w:rsidR="00FC1C70">
        <w:rPr>
          <w:rFonts w:ascii="TTE19BDF50t00" w:hAnsi="TTE19BDF50t00" w:cs="TTE19BDF50t00"/>
          <w:b/>
          <w:color w:val="000000"/>
        </w:rPr>
        <w:t>CUÁLES</w:t>
      </w:r>
      <w:r w:rsidRPr="004E38A2">
        <w:rPr>
          <w:rFonts w:ascii="TTE19BDF50t00" w:hAnsi="TTE19BDF50t00" w:cs="TTE19BDF50t00"/>
          <w:b/>
          <w:color w:val="000000"/>
        </w:rPr>
        <w:t xml:space="preserve"> CASOS PUEDE PRESENTAR UNA </w:t>
      </w:r>
      <w:r w:rsidRPr="007075B8">
        <w:rPr>
          <w:rFonts w:ascii="TTE19BDF50t00" w:hAnsi="TTE19BDF50t00" w:cs="TTE19BDF50t00"/>
          <w:b/>
          <w:color w:val="000000"/>
        </w:rPr>
        <w:t>DENUNCIA</w:t>
      </w:r>
    </w:p>
    <w:p w14:paraId="6700338B" w14:textId="77777777" w:rsidR="00FC1C70" w:rsidRDefault="00FC1C70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19BDF50t00" w:hAnsi="TTE19BDF50t00" w:cs="TTE19BDF50t00"/>
          <w:color w:val="000000"/>
        </w:rPr>
      </w:pPr>
    </w:p>
    <w:p w14:paraId="0DC63B2F" w14:textId="77777777" w:rsidR="00191F75" w:rsidRDefault="00191F75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>
        <w:rPr>
          <w:rFonts w:ascii="TTE2983470t00" w:hAnsi="TTE2983470t00" w:cs="TTE2983470t00"/>
          <w:color w:val="000000"/>
        </w:rPr>
        <w:t>Al invertir su dinero a través del mercado de valores, es normal que sus inversiones estén expuestas a</w:t>
      </w:r>
      <w:r w:rsidR="004E38A2">
        <w:rPr>
          <w:rFonts w:ascii="TTE2983470t00" w:hAnsi="TTE2983470t00" w:cs="TTE2983470t00"/>
          <w:color w:val="000000"/>
        </w:rPr>
        <w:t xml:space="preserve"> </w:t>
      </w:r>
      <w:r>
        <w:rPr>
          <w:rFonts w:ascii="TTE2983470t00" w:hAnsi="TTE2983470t00" w:cs="TTE2983470t00"/>
          <w:color w:val="000000"/>
        </w:rPr>
        <w:t>diversos riesgos de mercado: usted puede obtener ganancias, pero también pérdidas, según lo que</w:t>
      </w:r>
      <w:r w:rsidR="004E38A2">
        <w:rPr>
          <w:rFonts w:ascii="TTE2983470t00" w:hAnsi="TTE2983470t00" w:cs="TTE2983470t00"/>
          <w:color w:val="000000"/>
        </w:rPr>
        <w:t xml:space="preserve"> </w:t>
      </w:r>
      <w:r>
        <w:rPr>
          <w:rFonts w:ascii="TTE2983470t00" w:hAnsi="TTE2983470t00" w:cs="TTE2983470t00"/>
          <w:color w:val="000000"/>
        </w:rPr>
        <w:t>ocurra con la evolución general del mercado o de la empresa en que usted ha invertido.</w:t>
      </w:r>
    </w:p>
    <w:p w14:paraId="08D92BD5" w14:textId="77777777" w:rsidR="004E38A2" w:rsidRDefault="004E38A2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</w:p>
    <w:p w14:paraId="0E732EDF" w14:textId="77777777" w:rsidR="00191F75" w:rsidRDefault="00191F75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>
        <w:rPr>
          <w:rFonts w:ascii="TTE2983470t00" w:hAnsi="TTE2983470t00" w:cs="TTE2983470t00"/>
          <w:color w:val="000000"/>
        </w:rPr>
        <w:t>Los funcionarios de los puestos de bolsa y de las sociedades administradoras de fondos de inversión</w:t>
      </w:r>
      <w:r w:rsidR="004E38A2">
        <w:rPr>
          <w:rFonts w:ascii="TTE2983470t00" w:hAnsi="TTE2983470t00" w:cs="TTE2983470t00"/>
          <w:color w:val="000000"/>
        </w:rPr>
        <w:t xml:space="preserve"> </w:t>
      </w:r>
      <w:r>
        <w:rPr>
          <w:rFonts w:ascii="TTE2983470t00" w:hAnsi="TTE2983470t00" w:cs="TTE2983470t00"/>
          <w:color w:val="000000"/>
        </w:rPr>
        <w:t>tienen el deber de ayudarle a tomar su decisión, ofreciéndole información y consejos; y tienen la</w:t>
      </w:r>
      <w:r w:rsidR="004E38A2">
        <w:rPr>
          <w:rFonts w:ascii="TTE2983470t00" w:hAnsi="TTE2983470t00" w:cs="TTE2983470t00"/>
          <w:color w:val="000000"/>
        </w:rPr>
        <w:t xml:space="preserve"> </w:t>
      </w:r>
      <w:r>
        <w:rPr>
          <w:rFonts w:ascii="TTE2983470t00" w:hAnsi="TTE2983470t00" w:cs="TTE2983470t00"/>
          <w:color w:val="000000"/>
        </w:rPr>
        <w:t>obligación de ejecutar las deci</w:t>
      </w:r>
      <w:r w:rsidR="004E38A2">
        <w:rPr>
          <w:rFonts w:ascii="TTE2983470t00" w:hAnsi="TTE2983470t00" w:cs="TTE2983470t00"/>
          <w:color w:val="000000"/>
        </w:rPr>
        <w:t>s</w:t>
      </w:r>
      <w:r>
        <w:rPr>
          <w:rFonts w:ascii="TTE2983470t00" w:hAnsi="TTE2983470t00" w:cs="TTE2983470t00"/>
          <w:color w:val="000000"/>
        </w:rPr>
        <w:t>iones de inversión que usted ha tomado de la manera más ventajosa</w:t>
      </w:r>
      <w:r w:rsidR="004E38A2">
        <w:rPr>
          <w:rFonts w:ascii="TTE2983470t00" w:hAnsi="TTE2983470t00" w:cs="TTE2983470t00"/>
          <w:color w:val="000000"/>
        </w:rPr>
        <w:t xml:space="preserve"> </w:t>
      </w:r>
      <w:r>
        <w:rPr>
          <w:rFonts w:ascii="TTE2983470t00" w:hAnsi="TTE2983470t00" w:cs="TTE2983470t00"/>
          <w:color w:val="000000"/>
        </w:rPr>
        <w:t>posible para usted.</w:t>
      </w:r>
    </w:p>
    <w:p w14:paraId="73D9E618" w14:textId="77777777" w:rsidR="004E38A2" w:rsidRDefault="004E38A2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</w:p>
    <w:p w14:paraId="095D12B2" w14:textId="77777777" w:rsidR="00191F75" w:rsidRDefault="00FC1C70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 w:rsidRPr="00FC1C70">
        <w:rPr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3301209</wp:posOffset>
                </wp:positionH>
                <wp:positionV relativeFrom="paragraph">
                  <wp:posOffset>343162</wp:posOffset>
                </wp:positionV>
                <wp:extent cx="2360930" cy="1501775"/>
                <wp:effectExtent l="0" t="0" r="22225" b="222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01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E470B" w14:textId="77777777" w:rsidR="00FC1C70" w:rsidRDefault="00FC1C70" w:rsidP="00C11811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both"/>
                            </w:pPr>
                            <w:r w:rsidRPr="00FC1C70">
                              <w:rPr>
                                <w:rFonts w:ascii="TTE2983470t00" w:hAnsi="TTE2983470t00" w:cs="TTE2983470t00"/>
                              </w:rPr>
                              <w:t xml:space="preserve">La </w:t>
                            </w:r>
                            <w:proofErr w:type="spellStart"/>
                            <w:r w:rsidRPr="00FC1C70">
                              <w:rPr>
                                <w:rFonts w:ascii="TTE2983470t00" w:hAnsi="TTE2983470t00" w:cs="TTE2983470t00"/>
                              </w:rPr>
                              <w:t>Sugeval</w:t>
                            </w:r>
                            <w:proofErr w:type="spellEnd"/>
                            <w:r w:rsidRPr="00FC1C70">
                              <w:rPr>
                                <w:rFonts w:ascii="TTE2983470t00" w:hAnsi="TTE2983470t00" w:cs="TTE2983470t00"/>
                              </w:rPr>
                              <w:t xml:space="preserve"> dará curso a su queja si</w:t>
                            </w:r>
                            <w:r>
                              <w:rPr>
                                <w:rFonts w:ascii="TTE2983470t00" w:hAnsi="TTE2983470t00" w:cs="TTE2983470t00"/>
                              </w:rPr>
                              <w:t xml:space="preserve"> </w:t>
                            </w:r>
                            <w:r w:rsidRPr="00FC1C70">
                              <w:rPr>
                                <w:rFonts w:ascii="TTE2983470t00" w:hAnsi="TTE2983470t00" w:cs="TTE2983470t00"/>
                              </w:rPr>
                              <w:t>hay indicios razonables de que el</w:t>
                            </w:r>
                            <w:r>
                              <w:rPr>
                                <w:rFonts w:ascii="TTE2983470t00" w:hAnsi="TTE2983470t00" w:cs="TTE2983470t00"/>
                              </w:rPr>
                              <w:t xml:space="preserve"> </w:t>
                            </w:r>
                            <w:r w:rsidRPr="00FC1C70">
                              <w:rPr>
                                <w:rFonts w:ascii="TTE2983470t00" w:hAnsi="TTE2983470t00" w:cs="TTE2983470t00"/>
                              </w:rPr>
                              <w:t>puesto o la sociedad</w:t>
                            </w:r>
                            <w:r>
                              <w:rPr>
                                <w:rFonts w:ascii="TTE2983470t00" w:hAnsi="TTE2983470t00" w:cs="TTE2983470t00"/>
                              </w:rPr>
                              <w:t xml:space="preserve"> </w:t>
                            </w:r>
                            <w:r w:rsidRPr="00FC1C70">
                              <w:rPr>
                                <w:rFonts w:ascii="TTE2983470t00" w:hAnsi="TTE2983470t00" w:cs="TTE2983470t00"/>
                              </w:rPr>
                              <w:t>administradora han violado la</w:t>
                            </w:r>
                            <w:r>
                              <w:rPr>
                                <w:rFonts w:ascii="TTE2983470t00" w:hAnsi="TTE2983470t00" w:cs="TTE2983470t00"/>
                              </w:rPr>
                              <w:t xml:space="preserve"> </w:t>
                            </w:r>
                            <w:r w:rsidRPr="00FC1C70">
                              <w:rPr>
                                <w:rFonts w:ascii="TTE2983470t00" w:hAnsi="TTE2983470t00" w:cs="TTE2983470t00"/>
                              </w:rPr>
                              <w:t>normativa vigente. De lo contrario,</w:t>
                            </w:r>
                            <w:r>
                              <w:rPr>
                                <w:rFonts w:ascii="TTE2983470t00" w:hAnsi="TTE2983470t00" w:cs="TTE2983470t00"/>
                              </w:rPr>
                              <w:t xml:space="preserve"> </w:t>
                            </w:r>
                            <w:r w:rsidRPr="00FC1C70">
                              <w:rPr>
                                <w:rFonts w:ascii="TTE2983470t00" w:hAnsi="TTE2983470t00" w:cs="TTE2983470t00"/>
                              </w:rPr>
                              <w:t>su denuncia será desestimada y se</w:t>
                            </w:r>
                            <w:r>
                              <w:rPr>
                                <w:rFonts w:ascii="TTE2983470t00" w:hAnsi="TTE2983470t00" w:cs="TTE2983470t00"/>
                              </w:rPr>
                              <w:t xml:space="preserve"> </w:t>
                            </w:r>
                            <w:r w:rsidRPr="00FC1C70">
                              <w:rPr>
                                <w:rFonts w:ascii="TTE2983470t00" w:hAnsi="TTE2983470t00" w:cs="TTE2983470t00"/>
                              </w:rPr>
                              <w:t>le explicarán las razones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9.95pt;margin-top:27pt;width:185.9pt;height:118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OmTQIAAIwEAAAOAAAAZHJzL2Uyb0RvYy54bWysVNtuEzEQfUfiHyy/k700adpVNlVJKUIq&#10;F6nwAY7tzVrYnsV2slu+nrGdhhTeEPtgeS4+czkzu7qZjCYH6bwC29JqVlIiLQeh7K6l377ev7mi&#10;xAdmBdNgZUufpKc369evVuPQyBp60EI6giDWN+PQ0j6EoSkKz3tpmJ/BIC0aO3CGBRTdrhCOjYhu&#10;dFGX5WUxghODAy69R+1dNtJ1wu86ycPnrvMyEN1SzC2k06VzG89ivWLNzrGhV/yYBvuHLAxTFoOe&#10;oO5YYGTv1F9QRnEHHrow42AK6DrFZaoBq6nKP6p57NkgUy3YHD+c2uT/Hyz/dPjiiBItraslJZYZ&#10;JGmzZ8IBEZIEOQUgdWzTOPgGvR8H9A/TW5iQ7lSyHx6Af/fEwqZndidvnYOxl0xgmlV8WZw9zTg+&#10;gmzHjyAwGtsHSEBT50zsIXaFIDrS9XSiCPMgHJX1xWV5fYEmjrZqUVbL5SLFYM3z88H58F6CIfHS&#10;UoczkODZ4cGHmA5rnl1iNA9aiXuldRLi3MmNduTAcGIY59KGXKbeG8w36+clfnl2UI0TltWXz2oM&#10;kSY4IqWAL4JoS8aWXi/qRe7fiwTcbnsKH+FynAh47mZUwLXRyrT06uTEmtj1d1akoQ5M6XzHx9oe&#10;aYidzxyEaTsdad2CeEJCHOT1wHXGSw/uJyUjrkZL/Y89c5IS/cEiqdfVfB53KQnzxbJGwZ1btucW&#10;ZjlCtTRQkq+bkPYvttvCLZLfqURLnJKcyTFXHPnUvON6xp06l5PX75/I+hcAAAD//wMAUEsDBBQA&#10;BgAIAAAAIQBiTpAS3wAAAAoBAAAPAAAAZHJzL2Rvd25yZXYueG1sTI9NT8MwDIbvSPyHyEjcWNqK&#10;rR80ndAkxJExQIJb1pi2WuNUTdaWf493gpstP3r9vOV2sb2YcPSdIwXxKgKBVDvTUaPg/e3pLgPh&#10;gyaje0eo4Ac9bKvrq1IXxs30itMhNIJDyBdaQRvCUEjp6xat9is3IPHt241WB17HRppRzxxue5lE&#10;0UZa3RF/aPWAuxbr0+FsFbzsU9MPm4/sefanz690N7klkUrd3iyPDyACLuEPhos+q0PFTkd3JuNF&#10;r2Ad5zmjPNxzJwayPE5BHBUkebQGWZXyf4XqFwAA//8DAFBLAQItABQABgAIAAAAIQC2gziS/gAA&#10;AOEBAAATAAAAAAAAAAAAAAAAAAAAAABbQ29udGVudF9UeXBlc10ueG1sUEsBAi0AFAAGAAgAAAAh&#10;ADj9If/WAAAAlAEAAAsAAAAAAAAAAAAAAAAALwEAAF9yZWxzLy5yZWxzUEsBAi0AFAAGAAgAAAAh&#10;AA3wU6ZNAgAAjAQAAA4AAAAAAAAAAAAAAAAALgIAAGRycy9lMm9Eb2MueG1sUEsBAi0AFAAGAAgA&#10;AAAhAGJOkBLfAAAACgEAAA8AAAAAAAAAAAAAAAAApwQAAGRycy9kb3ducmV2LnhtbFBLBQYAAAAA&#10;BAAEAPMAAACzBQAAAAA=&#10;" fillcolor="#bdd6ee [1300]">
                <v:textbox>
                  <w:txbxContent>
                    <w:p w14:paraId="62EE470B" w14:textId="77777777" w:rsidR="00FC1C70" w:rsidRDefault="00FC1C70" w:rsidP="00C11811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both"/>
                      </w:pPr>
                      <w:r w:rsidRPr="00FC1C70">
                        <w:rPr>
                          <w:rFonts w:ascii="TTE2983470t00" w:hAnsi="TTE2983470t00" w:cs="TTE2983470t00"/>
                        </w:rPr>
                        <w:t xml:space="preserve">La </w:t>
                      </w:r>
                      <w:proofErr w:type="spellStart"/>
                      <w:r w:rsidRPr="00FC1C70">
                        <w:rPr>
                          <w:rFonts w:ascii="TTE2983470t00" w:hAnsi="TTE2983470t00" w:cs="TTE2983470t00"/>
                        </w:rPr>
                        <w:t>Sugeval</w:t>
                      </w:r>
                      <w:proofErr w:type="spellEnd"/>
                      <w:r w:rsidRPr="00FC1C70">
                        <w:rPr>
                          <w:rFonts w:ascii="TTE2983470t00" w:hAnsi="TTE2983470t00" w:cs="TTE2983470t00"/>
                        </w:rPr>
                        <w:t xml:space="preserve"> dará curso a su queja si</w:t>
                      </w:r>
                      <w:r>
                        <w:rPr>
                          <w:rFonts w:ascii="TTE2983470t00" w:hAnsi="TTE2983470t00" w:cs="TTE2983470t00"/>
                        </w:rPr>
                        <w:t xml:space="preserve"> </w:t>
                      </w:r>
                      <w:r w:rsidRPr="00FC1C70">
                        <w:rPr>
                          <w:rFonts w:ascii="TTE2983470t00" w:hAnsi="TTE2983470t00" w:cs="TTE2983470t00"/>
                        </w:rPr>
                        <w:t>hay indicios razonables de que el</w:t>
                      </w:r>
                      <w:r>
                        <w:rPr>
                          <w:rFonts w:ascii="TTE2983470t00" w:hAnsi="TTE2983470t00" w:cs="TTE2983470t00"/>
                        </w:rPr>
                        <w:t xml:space="preserve"> </w:t>
                      </w:r>
                      <w:r w:rsidRPr="00FC1C70">
                        <w:rPr>
                          <w:rFonts w:ascii="TTE2983470t00" w:hAnsi="TTE2983470t00" w:cs="TTE2983470t00"/>
                        </w:rPr>
                        <w:t>puesto o la sociedad</w:t>
                      </w:r>
                      <w:r>
                        <w:rPr>
                          <w:rFonts w:ascii="TTE2983470t00" w:hAnsi="TTE2983470t00" w:cs="TTE2983470t00"/>
                        </w:rPr>
                        <w:t xml:space="preserve"> </w:t>
                      </w:r>
                      <w:r w:rsidRPr="00FC1C70">
                        <w:rPr>
                          <w:rFonts w:ascii="TTE2983470t00" w:hAnsi="TTE2983470t00" w:cs="TTE2983470t00"/>
                        </w:rPr>
                        <w:t>administradora han violado la</w:t>
                      </w:r>
                      <w:r>
                        <w:rPr>
                          <w:rFonts w:ascii="TTE2983470t00" w:hAnsi="TTE2983470t00" w:cs="TTE2983470t00"/>
                        </w:rPr>
                        <w:t xml:space="preserve"> </w:t>
                      </w:r>
                      <w:r w:rsidRPr="00FC1C70">
                        <w:rPr>
                          <w:rFonts w:ascii="TTE2983470t00" w:hAnsi="TTE2983470t00" w:cs="TTE2983470t00"/>
                        </w:rPr>
                        <w:t>normativa vigente. De lo contrario,</w:t>
                      </w:r>
                      <w:r>
                        <w:rPr>
                          <w:rFonts w:ascii="TTE2983470t00" w:hAnsi="TTE2983470t00" w:cs="TTE2983470t00"/>
                        </w:rPr>
                        <w:t xml:space="preserve"> </w:t>
                      </w:r>
                      <w:r w:rsidRPr="00FC1C70">
                        <w:rPr>
                          <w:rFonts w:ascii="TTE2983470t00" w:hAnsi="TTE2983470t00" w:cs="TTE2983470t00"/>
                        </w:rPr>
                        <w:t>su denuncia será desestimada y se</w:t>
                      </w:r>
                      <w:r>
                        <w:rPr>
                          <w:rFonts w:ascii="TTE2983470t00" w:hAnsi="TTE2983470t00" w:cs="TTE2983470t00"/>
                        </w:rPr>
                        <w:t xml:space="preserve"> </w:t>
                      </w:r>
                      <w:r w:rsidRPr="00FC1C70">
                        <w:rPr>
                          <w:rFonts w:ascii="TTE2983470t00" w:hAnsi="TTE2983470t00" w:cs="TTE2983470t00"/>
                        </w:rPr>
                        <w:t>le explicarán las razones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91F75">
        <w:rPr>
          <w:rFonts w:ascii="TTE2983470t00" w:hAnsi="TTE2983470t00" w:cs="TTE2983470t00"/>
          <w:color w:val="000000"/>
        </w:rPr>
        <w:t xml:space="preserve">Usted puede poner una denuncia en la </w:t>
      </w:r>
      <w:proofErr w:type="spellStart"/>
      <w:r w:rsidR="00191F75">
        <w:rPr>
          <w:rFonts w:ascii="TTE2983470t00" w:hAnsi="TTE2983470t00" w:cs="TTE2983470t00"/>
          <w:color w:val="000000"/>
        </w:rPr>
        <w:t>Sugeval</w:t>
      </w:r>
      <w:proofErr w:type="spellEnd"/>
      <w:r w:rsidR="00191F75">
        <w:rPr>
          <w:rFonts w:ascii="TTE2983470t00" w:hAnsi="TTE2983470t00" w:cs="TTE2983470t00"/>
          <w:color w:val="000000"/>
        </w:rPr>
        <w:t xml:space="preserve"> si considera</w:t>
      </w:r>
      <w:r w:rsidR="004E38A2">
        <w:rPr>
          <w:rFonts w:ascii="TTE2983470t00" w:hAnsi="TTE2983470t00" w:cs="TTE2983470t00"/>
          <w:color w:val="000000"/>
        </w:rPr>
        <w:t xml:space="preserve"> </w:t>
      </w:r>
      <w:r w:rsidR="00191F75">
        <w:rPr>
          <w:rFonts w:ascii="TTE2983470t00" w:hAnsi="TTE2983470t00" w:cs="TTE2983470t00"/>
          <w:color w:val="000000"/>
        </w:rPr>
        <w:t>que esos representantes no han cumplido con sus deberes y</w:t>
      </w:r>
      <w:r w:rsidR="004E38A2">
        <w:rPr>
          <w:rFonts w:ascii="TTE2983470t00" w:hAnsi="TTE2983470t00" w:cs="TTE2983470t00"/>
          <w:color w:val="000000"/>
        </w:rPr>
        <w:t xml:space="preserve"> </w:t>
      </w:r>
      <w:r w:rsidR="00191F75">
        <w:rPr>
          <w:rFonts w:ascii="TTE2983470t00" w:hAnsi="TTE2983470t00" w:cs="TTE2983470t00"/>
          <w:color w:val="000000"/>
        </w:rPr>
        <w:t>obligaciones, y que a raíz de ello sienta lesionados sus</w:t>
      </w:r>
      <w:r w:rsidR="004E38A2">
        <w:rPr>
          <w:rFonts w:ascii="TTE2983470t00" w:hAnsi="TTE2983470t00" w:cs="TTE2983470t00"/>
          <w:color w:val="000000"/>
        </w:rPr>
        <w:t xml:space="preserve"> </w:t>
      </w:r>
      <w:r w:rsidR="00191F75">
        <w:rPr>
          <w:rFonts w:ascii="TTE2983470t00" w:hAnsi="TTE2983470t00" w:cs="TTE2983470t00"/>
          <w:color w:val="000000"/>
        </w:rPr>
        <w:t>intereses como inversionista. También puede hacerlo si tiene</w:t>
      </w:r>
      <w:r w:rsidR="004E38A2">
        <w:rPr>
          <w:rFonts w:ascii="TTE2983470t00" w:hAnsi="TTE2983470t00" w:cs="TTE2983470t00"/>
          <w:color w:val="000000"/>
        </w:rPr>
        <w:t xml:space="preserve"> </w:t>
      </w:r>
      <w:r w:rsidR="00191F75">
        <w:rPr>
          <w:rFonts w:ascii="TTE2983470t00" w:hAnsi="TTE2983470t00" w:cs="TTE2983470t00"/>
          <w:color w:val="000000"/>
        </w:rPr>
        <w:t>indicios de irregularidades en el mercado de valores o entre</w:t>
      </w:r>
      <w:r w:rsidR="004E38A2">
        <w:rPr>
          <w:rFonts w:ascii="TTE2983470t00" w:hAnsi="TTE2983470t00" w:cs="TTE2983470t00"/>
          <w:color w:val="000000"/>
        </w:rPr>
        <w:t xml:space="preserve"> </w:t>
      </w:r>
      <w:r w:rsidR="00191F75">
        <w:rPr>
          <w:rFonts w:ascii="TTE2983470t00" w:hAnsi="TTE2983470t00" w:cs="TTE2983470t00"/>
          <w:color w:val="000000"/>
        </w:rPr>
        <w:t xml:space="preserve">sus participantes. Lo primero que hará la </w:t>
      </w:r>
      <w:proofErr w:type="spellStart"/>
      <w:r w:rsidR="00191F75">
        <w:rPr>
          <w:rFonts w:ascii="TTE2983470t00" w:hAnsi="TTE2983470t00" w:cs="TTE2983470t00"/>
          <w:color w:val="000000"/>
        </w:rPr>
        <w:t>Sugeval</w:t>
      </w:r>
      <w:proofErr w:type="spellEnd"/>
      <w:r w:rsidR="00191F75">
        <w:rPr>
          <w:rFonts w:ascii="TTE2983470t00" w:hAnsi="TTE2983470t00" w:cs="TTE2983470t00"/>
          <w:color w:val="000000"/>
        </w:rPr>
        <w:t xml:space="preserve"> es verificar si</w:t>
      </w:r>
      <w:r w:rsidR="004E38A2">
        <w:rPr>
          <w:rFonts w:ascii="TTE2983470t00" w:hAnsi="TTE2983470t00" w:cs="TTE2983470t00"/>
          <w:color w:val="000000"/>
        </w:rPr>
        <w:t xml:space="preserve"> </w:t>
      </w:r>
      <w:r w:rsidR="00191F75">
        <w:rPr>
          <w:rFonts w:ascii="TTE2983470t00" w:hAnsi="TTE2983470t00" w:cs="TTE2983470t00"/>
          <w:color w:val="000000"/>
        </w:rPr>
        <w:t>el motivo o razón de su denuncia constituye una violación a la</w:t>
      </w:r>
      <w:r w:rsidR="004E38A2">
        <w:rPr>
          <w:rFonts w:ascii="TTE2983470t00" w:hAnsi="TTE2983470t00" w:cs="TTE2983470t00"/>
          <w:color w:val="000000"/>
        </w:rPr>
        <w:t xml:space="preserve"> </w:t>
      </w:r>
      <w:r w:rsidR="00191F75">
        <w:rPr>
          <w:rFonts w:ascii="TTE2983470t00" w:hAnsi="TTE2983470t00" w:cs="TTE2983470t00"/>
          <w:color w:val="000000"/>
        </w:rPr>
        <w:t>Ley Reguladora del Mercado de Valores o a los reglamentos</w:t>
      </w:r>
      <w:r w:rsidR="004E38A2">
        <w:rPr>
          <w:rFonts w:ascii="TTE2983470t00" w:hAnsi="TTE2983470t00" w:cs="TTE2983470t00"/>
          <w:color w:val="000000"/>
        </w:rPr>
        <w:t xml:space="preserve"> </w:t>
      </w:r>
      <w:r w:rsidR="00191F75">
        <w:rPr>
          <w:rFonts w:ascii="TTE2983470t00" w:hAnsi="TTE2983470t00" w:cs="TTE2983470t00"/>
          <w:color w:val="000000"/>
        </w:rPr>
        <w:t xml:space="preserve">dictados por la </w:t>
      </w:r>
      <w:proofErr w:type="spellStart"/>
      <w:r w:rsidR="00191F75">
        <w:rPr>
          <w:rFonts w:ascii="TTE2983470t00" w:hAnsi="TTE2983470t00" w:cs="TTE2983470t00"/>
          <w:color w:val="000000"/>
        </w:rPr>
        <w:t>Sugeval</w:t>
      </w:r>
      <w:proofErr w:type="spellEnd"/>
      <w:r w:rsidR="00191F75">
        <w:rPr>
          <w:rFonts w:ascii="TTE2983470t00" w:hAnsi="TTE2983470t00" w:cs="TTE2983470t00"/>
          <w:color w:val="000000"/>
        </w:rPr>
        <w:t xml:space="preserve"> y la Bolsa Nacional de Valores. Sólo si</w:t>
      </w:r>
      <w:r w:rsidR="004E38A2">
        <w:rPr>
          <w:rFonts w:ascii="TTE2983470t00" w:hAnsi="TTE2983470t00" w:cs="TTE2983470t00"/>
          <w:color w:val="000000"/>
        </w:rPr>
        <w:t xml:space="preserve"> </w:t>
      </w:r>
      <w:r w:rsidR="00191F75">
        <w:rPr>
          <w:rFonts w:ascii="TTE2983470t00" w:hAnsi="TTE2983470t00" w:cs="TTE2983470t00"/>
          <w:color w:val="000000"/>
        </w:rPr>
        <w:t>constituye una violación al marco jurídico, la Superintendencia podrá darle curso a su denuncia.</w:t>
      </w:r>
    </w:p>
    <w:p w14:paraId="52A2E066" w14:textId="77777777" w:rsidR="004E38A2" w:rsidRDefault="004E38A2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</w:p>
    <w:p w14:paraId="4D878990" w14:textId="77777777" w:rsidR="00191F75" w:rsidRDefault="00191F75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>
        <w:rPr>
          <w:rFonts w:ascii="TTE2983470t00" w:hAnsi="TTE2983470t00" w:cs="TTE2983470t00"/>
          <w:color w:val="000000"/>
        </w:rPr>
        <w:t>Para que se dé una idea, se exponen a continuación algunos ejemplos de posibles situaciones en las que</w:t>
      </w:r>
      <w:r w:rsidR="004E38A2">
        <w:rPr>
          <w:rFonts w:ascii="TTE2983470t00" w:hAnsi="TTE2983470t00" w:cs="TTE2983470t00"/>
          <w:color w:val="000000"/>
        </w:rPr>
        <w:t xml:space="preserve"> </w:t>
      </w:r>
      <w:r>
        <w:rPr>
          <w:rFonts w:ascii="TTE2983470t00" w:hAnsi="TTE2983470t00" w:cs="TTE2983470t00"/>
          <w:color w:val="000000"/>
        </w:rPr>
        <w:t>se atentaría contra sus derechos como inversionista:</w:t>
      </w:r>
    </w:p>
    <w:p w14:paraId="63B5315A" w14:textId="77777777" w:rsidR="004E38A2" w:rsidRDefault="004E38A2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</w:p>
    <w:p w14:paraId="393333F2" w14:textId="77777777" w:rsidR="00191F75" w:rsidRPr="00FC1C70" w:rsidRDefault="00191F75" w:rsidP="00FC1C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 w:rsidRPr="00FC1C70">
        <w:rPr>
          <w:rFonts w:ascii="TTE2983470t00" w:hAnsi="TTE2983470t00" w:cs="TTE2983470t00"/>
          <w:color w:val="000000"/>
        </w:rPr>
        <w:t>Si usted percibe que el puesto de bolsa o la sociedad administradora de fondos lo ha</w:t>
      </w:r>
      <w:r w:rsidR="00FC1C70" w:rsidRPr="00FC1C70">
        <w:rPr>
          <w:rFonts w:ascii="TTE2983470t00" w:hAnsi="TTE2983470t00" w:cs="TTE2983470t00"/>
          <w:color w:val="000000"/>
        </w:rPr>
        <w:t xml:space="preserve"> </w:t>
      </w:r>
      <w:r w:rsidRPr="00FC1C70">
        <w:rPr>
          <w:rFonts w:ascii="TTE2983470t00" w:hAnsi="TTE2983470t00" w:cs="TTE2983470t00"/>
          <w:color w:val="000000"/>
        </w:rPr>
        <w:t>inducido a realizar un determinado negocio sin advertirle claramente los riesgos que ese</w:t>
      </w:r>
      <w:r w:rsidR="00FC1C70" w:rsidRPr="00FC1C70">
        <w:rPr>
          <w:rFonts w:ascii="TTE2983470t00" w:hAnsi="TTE2983470t00" w:cs="TTE2983470t00"/>
          <w:color w:val="000000"/>
        </w:rPr>
        <w:t xml:space="preserve"> </w:t>
      </w:r>
      <w:r w:rsidRPr="00FC1C70">
        <w:rPr>
          <w:rFonts w:ascii="TTE2983470t00" w:hAnsi="TTE2983470t00" w:cs="TTE2983470t00"/>
          <w:color w:val="000000"/>
        </w:rPr>
        <w:t>negocio entrañaba.</w:t>
      </w:r>
    </w:p>
    <w:p w14:paraId="7C5C941E" w14:textId="77777777" w:rsidR="00FC1C70" w:rsidRDefault="00FC1C70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</w:p>
    <w:p w14:paraId="06AB2E80" w14:textId="77777777" w:rsidR="00191F75" w:rsidRPr="00FC1C70" w:rsidRDefault="00191F75" w:rsidP="00FC1C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 w:rsidRPr="00FC1C70">
        <w:rPr>
          <w:rFonts w:ascii="TTE2983470t00" w:hAnsi="TTE2983470t00" w:cs="TTE2983470t00"/>
          <w:color w:val="000000"/>
        </w:rPr>
        <w:t>Si usted percibe que en una determinada operación el puesto de bolsa no ha antepuesto</w:t>
      </w:r>
      <w:r w:rsidR="00FC1C70" w:rsidRPr="00FC1C70">
        <w:rPr>
          <w:rFonts w:ascii="TTE2983470t00" w:hAnsi="TTE2983470t00" w:cs="TTE2983470t00"/>
          <w:color w:val="000000"/>
        </w:rPr>
        <w:t xml:space="preserve"> </w:t>
      </w:r>
      <w:r w:rsidRPr="00FC1C70">
        <w:rPr>
          <w:rFonts w:ascii="TTE2983470t00" w:hAnsi="TTE2983470t00" w:cs="TTE2983470t00"/>
          <w:color w:val="000000"/>
        </w:rPr>
        <w:t>los intereses suyos como cliente a los del puesto de bolsa o a los del grupo financiero al que</w:t>
      </w:r>
      <w:r w:rsidR="00FC1C70" w:rsidRPr="00FC1C70">
        <w:rPr>
          <w:rFonts w:ascii="TTE2983470t00" w:hAnsi="TTE2983470t00" w:cs="TTE2983470t00"/>
          <w:color w:val="000000"/>
        </w:rPr>
        <w:t xml:space="preserve"> </w:t>
      </w:r>
      <w:r w:rsidRPr="00FC1C70">
        <w:rPr>
          <w:rFonts w:ascii="TTE2983470t00" w:hAnsi="TTE2983470t00" w:cs="TTE2983470t00"/>
          <w:color w:val="000000"/>
        </w:rPr>
        <w:t>su puesto pertenece.</w:t>
      </w:r>
    </w:p>
    <w:p w14:paraId="702391AE" w14:textId="77777777" w:rsidR="00FC1C70" w:rsidRDefault="00FC1C70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FFFFFF"/>
        </w:rPr>
      </w:pPr>
    </w:p>
    <w:p w14:paraId="1F98AE5C" w14:textId="77777777" w:rsidR="00191F75" w:rsidRPr="00FC1C70" w:rsidRDefault="00191F75" w:rsidP="00FC1C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 w:rsidRPr="00FC1C70">
        <w:rPr>
          <w:rFonts w:ascii="TTE2983470t00" w:hAnsi="TTE2983470t00" w:cs="TTE2983470t00"/>
          <w:color w:val="000000"/>
        </w:rPr>
        <w:t>Si la información que el puesto de bolsa o la sociedad le brinda es confusa o ambigua y ello</w:t>
      </w:r>
      <w:r w:rsidR="00FC1C70" w:rsidRPr="00FC1C70">
        <w:rPr>
          <w:rFonts w:ascii="TTE2983470t00" w:hAnsi="TTE2983470t00" w:cs="TTE2983470t00"/>
          <w:color w:val="000000"/>
        </w:rPr>
        <w:t xml:space="preserve"> </w:t>
      </w:r>
      <w:r w:rsidRPr="00FC1C70">
        <w:rPr>
          <w:rFonts w:ascii="TTE2983470t00" w:hAnsi="TTE2983470t00" w:cs="TTE2983470t00"/>
          <w:color w:val="000000"/>
        </w:rPr>
        <w:t>lo induce a tomar una decisión de inversión equivocada.</w:t>
      </w:r>
    </w:p>
    <w:p w14:paraId="3F65B37F" w14:textId="77777777" w:rsidR="00FC1C70" w:rsidRDefault="00FC1C70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886C88t00" w:hAnsi="TTE2886C88t00" w:cs="TTE2886C88t00"/>
          <w:color w:val="000000"/>
        </w:rPr>
      </w:pPr>
    </w:p>
    <w:p w14:paraId="3BA3F231" w14:textId="77777777" w:rsidR="00191F75" w:rsidRPr="00FC1C70" w:rsidRDefault="00191F75" w:rsidP="00FC1C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 w:rsidRPr="00FC1C70">
        <w:rPr>
          <w:rFonts w:ascii="TTE2983470t00" w:hAnsi="TTE2983470t00" w:cs="TTE2983470t00"/>
          <w:color w:val="000000"/>
        </w:rPr>
        <w:t>Si usted siente que el puesto de bolsa no se ha preocupado lo suficiente por realizar las</w:t>
      </w:r>
      <w:r w:rsidR="00FC1C70" w:rsidRPr="00FC1C70">
        <w:rPr>
          <w:rFonts w:ascii="TTE2983470t00" w:hAnsi="TTE2983470t00" w:cs="TTE2983470t00"/>
          <w:color w:val="000000"/>
        </w:rPr>
        <w:t xml:space="preserve"> </w:t>
      </w:r>
      <w:r w:rsidRPr="00FC1C70">
        <w:rPr>
          <w:rFonts w:ascii="TTE2983470t00" w:hAnsi="TTE2983470t00" w:cs="TTE2983470t00"/>
          <w:color w:val="000000"/>
        </w:rPr>
        <w:t>operaciones que usted le ha ordenado en las condiciones más favorables posibles para</w:t>
      </w:r>
      <w:r w:rsidR="00FC1C70" w:rsidRPr="00FC1C70">
        <w:rPr>
          <w:rFonts w:ascii="TTE2983470t00" w:hAnsi="TTE2983470t00" w:cs="TTE2983470t00"/>
          <w:color w:val="000000"/>
        </w:rPr>
        <w:t xml:space="preserve"> </w:t>
      </w:r>
      <w:r w:rsidRPr="00FC1C70">
        <w:rPr>
          <w:rFonts w:ascii="TTE2983470t00" w:hAnsi="TTE2983470t00" w:cs="TTE2983470t00"/>
          <w:color w:val="000000"/>
        </w:rPr>
        <w:t>usted.</w:t>
      </w:r>
    </w:p>
    <w:p w14:paraId="1B8F2096" w14:textId="77777777" w:rsidR="00FC1C70" w:rsidRDefault="00FC1C70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886C88t00" w:hAnsi="TTE2886C88t00" w:cs="TTE2886C88t00"/>
          <w:color w:val="000000"/>
        </w:rPr>
      </w:pPr>
    </w:p>
    <w:p w14:paraId="5CE1EBB7" w14:textId="77777777" w:rsidR="00FC1C70" w:rsidRPr="00FC1C70" w:rsidRDefault="00191F75" w:rsidP="00FC1C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 w:rsidRPr="00FC1C70">
        <w:rPr>
          <w:rFonts w:ascii="TTE2983470t00" w:hAnsi="TTE2983470t00" w:cs="TTE2983470t00"/>
          <w:color w:val="000000"/>
        </w:rPr>
        <w:t>Si el puesto de bolsa no realizó la operación para la cual usted lo había autorizado, sino que</w:t>
      </w:r>
      <w:r w:rsidR="00FC1C70" w:rsidRPr="00FC1C70">
        <w:rPr>
          <w:rFonts w:ascii="TTE2983470t00" w:hAnsi="TTE2983470t00" w:cs="TTE2983470t00"/>
          <w:color w:val="000000"/>
        </w:rPr>
        <w:t xml:space="preserve"> realizó una distinta.</w:t>
      </w:r>
    </w:p>
    <w:p w14:paraId="621CA16C" w14:textId="77777777" w:rsidR="00FC1C70" w:rsidRDefault="00FC1C70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</w:p>
    <w:p w14:paraId="7F69932F" w14:textId="77777777" w:rsidR="00191F75" w:rsidRPr="00FC1C70" w:rsidRDefault="00191F75" w:rsidP="00FC1C70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 w:rsidRPr="00FC1C70">
        <w:rPr>
          <w:rFonts w:ascii="TTE2983470t00" w:hAnsi="TTE2983470t00" w:cs="TTE2983470t00"/>
          <w:color w:val="000000"/>
        </w:rPr>
        <w:t>Si usted cree que el puesto de bolsa disponía de información ignorada por usted y que se</w:t>
      </w:r>
      <w:r w:rsidR="00FC1C70" w:rsidRPr="00FC1C70">
        <w:rPr>
          <w:rFonts w:ascii="TTE2983470t00" w:hAnsi="TTE2983470t00" w:cs="TTE2983470t00"/>
          <w:color w:val="000000"/>
        </w:rPr>
        <w:t xml:space="preserve"> </w:t>
      </w:r>
      <w:r w:rsidRPr="00FC1C70">
        <w:rPr>
          <w:rFonts w:ascii="TTE2983470t00" w:hAnsi="TTE2983470t00" w:cs="TTE2983470t00"/>
          <w:color w:val="000000"/>
        </w:rPr>
        <w:t>aprovechó de su desconocimiento.</w:t>
      </w:r>
    </w:p>
    <w:p w14:paraId="104061F2" w14:textId="77777777" w:rsidR="00FC1C70" w:rsidRDefault="00C11811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 w:rsidRPr="00FC1C70">
        <w:rPr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8947A4" wp14:editId="0B8E51AC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5601335" cy="716915"/>
                <wp:effectExtent l="0" t="0" r="18415" b="2603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7172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E8E95" w14:textId="77777777" w:rsidR="00C11811" w:rsidRPr="00C11811" w:rsidRDefault="00C11811" w:rsidP="003C2E0A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240" w:lineRule="auto"/>
                              <w:jc w:val="both"/>
                              <w:rPr>
                                <w:rFonts w:ascii="TTE2983470t00" w:hAnsi="TTE2983470t00" w:cs="TTE2983470t00"/>
                              </w:rPr>
                            </w:pPr>
                            <w:r w:rsidRPr="00C11811">
                              <w:rPr>
                                <w:rFonts w:ascii="TTE2983470t00" w:hAnsi="TTE2983470t00" w:cs="TTE2983470t00"/>
                              </w:rPr>
                              <w:t>Recuerde que usted es el responsable último de su decisión de inversión, y que el puesto de bolsa y la sociedad de fondos no están ahí para tomarla por usted</w:t>
                            </w:r>
                            <w:r w:rsidR="003C2E0A">
                              <w:rPr>
                                <w:rFonts w:ascii="TTE2983470t00" w:hAnsi="TTE2983470t00" w:cs="TTE2983470t00"/>
                              </w:rPr>
                              <w:t xml:space="preserve"> </w:t>
                            </w:r>
                            <w:r w:rsidRPr="00C11811">
                              <w:rPr>
                                <w:rFonts w:ascii="TTE2983470t00" w:hAnsi="TTE2983470t00" w:cs="TTE2983470t00"/>
                              </w:rPr>
                              <w:t>sino para ayudarle a tomarla.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947A4" id="_x0000_s1027" type="#_x0000_t202" style="position:absolute;left:0;text-align:left;margin-left:389.85pt;margin-top:28.8pt;width:441.05pt;height:56.4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o6TgIAAJAEAAAOAAAAZHJzL2Uyb0RvYy54bWysVMlu2zAQvRfoPxC817Id20mEyEHqNEWB&#10;dAHSfsCYpCyiJEclaUvu12dI2Y7T3orqQHAWvlnejG5ue2vYTvmg0VV8MhpzppxAqd2m4j++P7y7&#10;4ixEcBIMOlXxvQr8dvn2zU3XlmqKDRqpPCMQF8qurXgTY1sWRRCNshBG2CpHxhq9hUii3xTSQ0fo&#10;1hTT8XhRdOhl61GoEEh7Pxj5MuPXtRLxa10HFZmpOOUW8+nzuU5nsbyBcuOhbbQ4pAH/kIUF7Sjo&#10;CeoeIrCt139BWS08BqzjSKAtsK61ULkGqmYy/qOapwZalWuh5oT21Kbw/2DFl903z7Ss+IIzB5Yo&#10;Wm1BemRSsaj6iGyamtS1oSTfp5a8Y/8eeyI7FxzaRxQ/A3O4asBt1J332DUKJCU5SS+Ls6cDTkgg&#10;6+4zSooG24gZqK+9TR2knjBCJ7L2J4IoDyZIOV+MJxcXc84E2S4nl9OrWQ4B5fF160P8qNCydKm4&#10;pwHI6LB7DDFlA+XRJQULaLR80MZkIQ2dWhnPdkDjAkIoF4cqzdZSuoN+NqZvGBxS03gN6sVRTSHy&#10;+CakHPBVEONYV/Hr+XQ+tO9VAn6zPoVPcEOcBHjuZnWknTHaVvzq5ARlavoHJ/NER9BmuNNj4w4s&#10;pMYPFMR+3WfWM0WJoTXKPdHicVgRWmm6NOh/c9bRelQ8/NqCV5yZT46ovZ7MZmmfsjCbX05J8OeW&#10;9bkFnCCoikfOhusq5h1MXXd4RyNQ68zOSyaHlGnscw8PK5r26lzOXi8/kuUzAAAA//8DAFBLAwQU&#10;AAYACAAAACEA8GPLj94AAAAHAQAADwAAAGRycy9kb3ducmV2LnhtbEyPwU6DQBCG7ya+w2ZMvBi7&#10;tE0LQZbGmHDwYEyrDzDACAg7i+y2pT6940mPk//P93+T7WY7qBNNvnNsYLmIQBFXru64MfD+Vtwn&#10;oHxArnFwTAYu5GGXX19lmNbuzHs6HUKjBMI+RQNtCGOqta9asugXbiSW7MNNFoOcU6PrCc8Ct4Ne&#10;RdFWW+xYFloc6amlqj8crVD6/nIXay7W1fP6u9h/fr2+lGjM7c38+AAq0Bz+yvCrL+qQi1Ppjlx7&#10;NRiQR4KBTbwFJWmSrJagSqnF0QZ0nun//vkPAAAA//8DAFBLAQItABQABgAIAAAAIQC2gziS/gAA&#10;AOEBAAATAAAAAAAAAAAAAAAAAAAAAABbQ29udGVudF9UeXBlc10ueG1sUEsBAi0AFAAGAAgAAAAh&#10;ADj9If/WAAAAlAEAAAsAAAAAAAAAAAAAAAAALwEAAF9yZWxzLy5yZWxzUEsBAi0AFAAGAAgAAAAh&#10;AAUkqjpOAgAAkAQAAA4AAAAAAAAAAAAAAAAALgIAAGRycy9lMm9Eb2MueG1sUEsBAi0AFAAGAAgA&#10;AAAhAPBjy4/eAAAABwEAAA8AAAAAAAAAAAAAAAAAqAQAAGRycy9kb3ducmV2LnhtbFBLBQYAAAAA&#10;BAAEAPMAAACzBQAAAAA=&#10;" fillcolor="#bdd6ee [1300]">
                <v:textbox>
                  <w:txbxContent>
                    <w:p w14:paraId="2B8E8E95" w14:textId="77777777" w:rsidR="00C11811" w:rsidRPr="00C11811" w:rsidRDefault="00C11811" w:rsidP="003C2E0A">
                      <w:pPr>
                        <w:autoSpaceDE w:val="0"/>
                        <w:autoSpaceDN w:val="0"/>
                        <w:adjustRightInd w:val="0"/>
                        <w:spacing w:before="120" w:after="120" w:line="240" w:lineRule="auto"/>
                        <w:jc w:val="both"/>
                        <w:rPr>
                          <w:rFonts w:ascii="TTE2983470t00" w:hAnsi="TTE2983470t00" w:cs="TTE2983470t00"/>
                        </w:rPr>
                      </w:pPr>
                      <w:r w:rsidRPr="00C11811">
                        <w:rPr>
                          <w:rFonts w:ascii="TTE2983470t00" w:hAnsi="TTE2983470t00" w:cs="TTE2983470t00"/>
                        </w:rPr>
                        <w:t>Recuerde que usted es el responsable último de su decisión de inversión, y que el puesto de bolsa y la sociedad de fondos no están ahí para tomarla por usted</w:t>
                      </w:r>
                      <w:r w:rsidR="003C2E0A">
                        <w:rPr>
                          <w:rFonts w:ascii="TTE2983470t00" w:hAnsi="TTE2983470t00" w:cs="TTE2983470t00"/>
                        </w:rPr>
                        <w:t xml:space="preserve"> </w:t>
                      </w:r>
                      <w:r w:rsidRPr="00C11811">
                        <w:rPr>
                          <w:rFonts w:ascii="TTE2983470t00" w:hAnsi="TTE2983470t00" w:cs="TTE2983470t00"/>
                        </w:rPr>
                        <w:t>sino para ayudarle a tomarla.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FA3BBC" w14:textId="77777777" w:rsidR="00FC1C70" w:rsidRDefault="00FC1C70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</w:p>
    <w:p w14:paraId="6AD26553" w14:textId="77777777" w:rsidR="00FC1C70" w:rsidRDefault="00FC1C70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</w:p>
    <w:p w14:paraId="24860CAD" w14:textId="77777777" w:rsidR="00191F75" w:rsidRDefault="00191F75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19BDF50t00" w:hAnsi="TTE19BDF50t00" w:cs="TTE19BDF50t00"/>
          <w:b/>
          <w:color w:val="000000"/>
        </w:rPr>
      </w:pPr>
      <w:r w:rsidRPr="00E8757C">
        <w:rPr>
          <w:rFonts w:ascii="TTE19BDF50t00" w:hAnsi="TTE19BDF50t00" w:cs="TTE19BDF50t00"/>
          <w:b/>
          <w:color w:val="000000"/>
        </w:rPr>
        <w:t>CONTRA QUIÉNES PUEDE INTERPONER LA QUEJA</w:t>
      </w:r>
    </w:p>
    <w:p w14:paraId="45A11580" w14:textId="77777777" w:rsidR="00E8757C" w:rsidRPr="00E8757C" w:rsidRDefault="00E8757C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19BDF50t00" w:hAnsi="TTE19BDF50t00" w:cs="TTE19BDF50t00"/>
          <w:b/>
          <w:color w:val="000000"/>
        </w:rPr>
      </w:pPr>
    </w:p>
    <w:p w14:paraId="4FC2A25F" w14:textId="77777777" w:rsidR="00191F75" w:rsidRDefault="00191F75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>
        <w:rPr>
          <w:rFonts w:ascii="TTE2983470t00" w:hAnsi="TTE2983470t00" w:cs="TTE2983470t00"/>
          <w:color w:val="000000"/>
        </w:rPr>
        <w:t>La denuncia puede presentarse contra:</w:t>
      </w:r>
    </w:p>
    <w:p w14:paraId="78DBEC4D" w14:textId="77777777" w:rsidR="00E8757C" w:rsidRDefault="00E8757C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</w:p>
    <w:p w14:paraId="2805455A" w14:textId="77777777" w:rsidR="00191F75" w:rsidRPr="00E8757C" w:rsidRDefault="00191F75" w:rsidP="00E875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 w:rsidRPr="00E8757C">
        <w:rPr>
          <w:rFonts w:ascii="TTE2983470t00" w:hAnsi="TTE2983470t00" w:cs="TTE2983470t00"/>
          <w:color w:val="000000"/>
        </w:rPr>
        <w:t>Empresas emisoras</w:t>
      </w:r>
    </w:p>
    <w:p w14:paraId="6D425F71" w14:textId="77777777" w:rsidR="00191F75" w:rsidRPr="00E8757C" w:rsidRDefault="00191F75" w:rsidP="00E875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 w:rsidRPr="00E8757C">
        <w:rPr>
          <w:rFonts w:ascii="TTE2983470t00" w:hAnsi="TTE2983470t00" w:cs="TTE2983470t00"/>
          <w:color w:val="000000"/>
        </w:rPr>
        <w:t>Puestos de bolsa</w:t>
      </w:r>
    </w:p>
    <w:p w14:paraId="26545269" w14:textId="77777777" w:rsidR="00191F75" w:rsidRPr="00E8757C" w:rsidRDefault="00191F75" w:rsidP="00E875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 w:rsidRPr="00E8757C">
        <w:rPr>
          <w:rFonts w:ascii="TTE2983470t00" w:hAnsi="TTE2983470t00" w:cs="TTE2983470t00"/>
          <w:color w:val="000000"/>
        </w:rPr>
        <w:t>Sociedad administradora de fondos de inversión</w:t>
      </w:r>
    </w:p>
    <w:p w14:paraId="0BEA5067" w14:textId="77777777" w:rsidR="00191F75" w:rsidRPr="00E8757C" w:rsidRDefault="00191F75" w:rsidP="00E875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 w:rsidRPr="00E8757C">
        <w:rPr>
          <w:rFonts w:ascii="TTE2983470t00" w:hAnsi="TTE2983470t00" w:cs="TTE2983470t00"/>
          <w:color w:val="000000"/>
        </w:rPr>
        <w:t>Representantes de puestos de bolsa (agentes corredores)</w:t>
      </w:r>
    </w:p>
    <w:p w14:paraId="371B331F" w14:textId="77777777" w:rsidR="00191F75" w:rsidRPr="00E8757C" w:rsidRDefault="00191F75" w:rsidP="00E875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 w:rsidRPr="00E8757C">
        <w:rPr>
          <w:rFonts w:ascii="TTE2983470t00" w:hAnsi="TTE2983470t00" w:cs="TTE2983470t00"/>
          <w:color w:val="000000"/>
        </w:rPr>
        <w:t>Representantes de sociedades de fondos de inversión</w:t>
      </w:r>
    </w:p>
    <w:p w14:paraId="2984EC7A" w14:textId="77777777" w:rsidR="00191F75" w:rsidRPr="00E8757C" w:rsidRDefault="00191F75" w:rsidP="00E875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 w:rsidRPr="00E8757C">
        <w:rPr>
          <w:rFonts w:ascii="TTE2983470t00" w:hAnsi="TTE2983470t00" w:cs="TTE2983470t00"/>
          <w:color w:val="000000"/>
        </w:rPr>
        <w:t>Bolsa Nacional de Valores</w:t>
      </w:r>
    </w:p>
    <w:p w14:paraId="6B70D158" w14:textId="77777777" w:rsidR="00191F75" w:rsidRPr="00E8757C" w:rsidRDefault="00191F75" w:rsidP="00E875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 w:rsidRPr="00E8757C">
        <w:rPr>
          <w:rFonts w:ascii="TTE2983470t00" w:hAnsi="TTE2983470t00" w:cs="TTE2983470t00"/>
          <w:color w:val="000000"/>
        </w:rPr>
        <w:t>Central de Valores</w:t>
      </w:r>
    </w:p>
    <w:p w14:paraId="621C12AE" w14:textId="77777777" w:rsidR="00191F75" w:rsidRPr="00E8757C" w:rsidRDefault="00191F75" w:rsidP="00E8757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 w:rsidRPr="00E8757C">
        <w:rPr>
          <w:rFonts w:ascii="TTE2983470t00" w:hAnsi="TTE2983470t00" w:cs="TTE2983470t00"/>
          <w:color w:val="000000"/>
        </w:rPr>
        <w:t>Calificadoras de Riesgo</w:t>
      </w:r>
    </w:p>
    <w:p w14:paraId="6A0584D6" w14:textId="77777777" w:rsidR="00E8757C" w:rsidRDefault="00E8757C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</w:p>
    <w:p w14:paraId="70C5E799" w14:textId="77777777" w:rsidR="00E8757C" w:rsidRDefault="00E8757C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</w:p>
    <w:p w14:paraId="7352BAF6" w14:textId="77777777" w:rsidR="003C2E0A" w:rsidRDefault="003C2E0A">
      <w:pPr>
        <w:rPr>
          <w:rFonts w:ascii="TTE19BDF50t00" w:hAnsi="TTE19BDF50t00" w:cs="TTE19BDF50t00"/>
          <w:b/>
          <w:color w:val="000000"/>
        </w:rPr>
      </w:pPr>
      <w:r>
        <w:rPr>
          <w:rFonts w:ascii="TTE19BDF50t00" w:hAnsi="TTE19BDF50t00" w:cs="TTE19BDF50t00"/>
          <w:b/>
          <w:color w:val="000000"/>
        </w:rPr>
        <w:br w:type="page"/>
      </w:r>
    </w:p>
    <w:p w14:paraId="47DB5C3D" w14:textId="77777777" w:rsidR="00191F75" w:rsidRDefault="00191F75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19BDF50t00" w:hAnsi="TTE19BDF50t00" w:cs="TTE19BDF50t00"/>
          <w:b/>
          <w:color w:val="000000"/>
        </w:rPr>
      </w:pPr>
      <w:r w:rsidRPr="00E8757C">
        <w:rPr>
          <w:rFonts w:ascii="TTE19BDF50t00" w:hAnsi="TTE19BDF50t00" w:cs="TTE19BDF50t00"/>
          <w:b/>
          <w:color w:val="000000"/>
        </w:rPr>
        <w:t>COMO PUEDE PLANTEAR SU DENUNCIA</w:t>
      </w:r>
    </w:p>
    <w:p w14:paraId="456E6727" w14:textId="77777777" w:rsidR="00E8757C" w:rsidRPr="00E8757C" w:rsidRDefault="00E8757C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19BDF50t00" w:hAnsi="TTE19BDF50t00" w:cs="TTE19BDF50t00"/>
          <w:b/>
          <w:color w:val="000000"/>
        </w:rPr>
      </w:pPr>
    </w:p>
    <w:p w14:paraId="37781896" w14:textId="77777777" w:rsidR="00191F75" w:rsidRDefault="00191F75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</w:rPr>
      </w:pPr>
      <w:r>
        <w:rPr>
          <w:rFonts w:ascii="TTE2983470t00" w:hAnsi="TTE2983470t00" w:cs="TTE2983470t00"/>
          <w:color w:val="000000"/>
        </w:rPr>
        <w:t xml:space="preserve">Usted puede utilizar diferentes vías para presentar su denuncia ante la </w:t>
      </w:r>
      <w:proofErr w:type="spellStart"/>
      <w:r>
        <w:rPr>
          <w:rFonts w:ascii="TTE2983470t00" w:hAnsi="TTE2983470t00" w:cs="TTE2983470t00"/>
          <w:color w:val="000000"/>
        </w:rPr>
        <w:t>Sugeval</w:t>
      </w:r>
      <w:proofErr w:type="spellEnd"/>
      <w:r>
        <w:rPr>
          <w:rFonts w:ascii="TTE2983470t00" w:hAnsi="TTE2983470t00" w:cs="TTE2983470t00"/>
          <w:color w:val="000000"/>
        </w:rPr>
        <w:t>. Lo puede</w:t>
      </w:r>
      <w:r w:rsidR="00E8757C">
        <w:rPr>
          <w:rFonts w:ascii="TTE2983470t00" w:hAnsi="TTE2983470t00" w:cs="TTE2983470t00"/>
          <w:color w:val="000000"/>
        </w:rPr>
        <w:t xml:space="preserve"> </w:t>
      </w:r>
      <w:r>
        <w:rPr>
          <w:rFonts w:ascii="TTE2983470t00" w:hAnsi="TTE2983470t00" w:cs="TTE2983470t00"/>
          <w:color w:val="000000"/>
        </w:rPr>
        <w:t>hacer</w:t>
      </w:r>
      <w:r w:rsidR="00E8757C">
        <w:rPr>
          <w:rFonts w:ascii="TTE2983470t00" w:hAnsi="TTE2983470t00" w:cs="TTE2983470t00"/>
          <w:color w:val="000000"/>
        </w:rPr>
        <w:t xml:space="preserve"> </w:t>
      </w:r>
      <w:r>
        <w:rPr>
          <w:rFonts w:ascii="TTE2983470t00" w:hAnsi="TTE2983470t00" w:cs="TTE2983470t00"/>
          <w:color w:val="000000"/>
        </w:rPr>
        <w:t>personalmente</w:t>
      </w:r>
      <w:r w:rsidR="00C11811">
        <w:rPr>
          <w:rFonts w:ascii="TTE2983470t00" w:hAnsi="TTE2983470t00" w:cs="TTE2983470t00"/>
          <w:color w:val="000000"/>
        </w:rPr>
        <w:t xml:space="preserve"> (previa cita al tel. 2243-4700)</w:t>
      </w:r>
      <w:r>
        <w:rPr>
          <w:rFonts w:ascii="TTE2983470t00" w:hAnsi="TTE2983470t00" w:cs="TTE2983470t00"/>
          <w:color w:val="000000"/>
        </w:rPr>
        <w:t>, p</w:t>
      </w:r>
      <w:r w:rsidR="00C11811">
        <w:rPr>
          <w:rFonts w:ascii="TTE2983470t00" w:hAnsi="TTE2983470t00" w:cs="TTE2983470t00"/>
          <w:color w:val="000000"/>
        </w:rPr>
        <w:t xml:space="preserve">or fax o por correo electrónico a la cuenta: </w:t>
      </w:r>
      <w:hyperlink r:id="rId8" w:history="1">
        <w:r w:rsidR="00C11811" w:rsidRPr="005E6068">
          <w:rPr>
            <w:rStyle w:val="Hipervnculo"/>
            <w:rFonts w:ascii="TTE2983470t00" w:hAnsi="TTE2983470t00" w:cs="TTE2983470t00"/>
          </w:rPr>
          <w:t>denuncia@sugeval.fi.cr</w:t>
        </w:r>
      </w:hyperlink>
      <w:r w:rsidR="00C11811">
        <w:rPr>
          <w:rFonts w:ascii="TTE2983470t00" w:hAnsi="TTE2983470t00" w:cs="TTE2983470t00"/>
        </w:rPr>
        <w:t>.</w:t>
      </w:r>
    </w:p>
    <w:p w14:paraId="15540F08" w14:textId="77777777" w:rsidR="00C11811" w:rsidRDefault="00C11811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</w:rPr>
      </w:pPr>
    </w:p>
    <w:p w14:paraId="54D165E5" w14:textId="77777777" w:rsidR="00C11811" w:rsidRDefault="00C11811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</w:rPr>
      </w:pPr>
      <w:r>
        <w:rPr>
          <w:rFonts w:ascii="TTE2983470t00" w:hAnsi="TTE2983470t00" w:cs="TTE2983470t00"/>
        </w:rPr>
        <w:t xml:space="preserve">En caso de que deba presentar pruebas físicas o de gran tamaño puede presentarlas en nuestras oficinas en </w:t>
      </w:r>
      <w:r w:rsidRPr="00C11811">
        <w:rPr>
          <w:rFonts w:ascii="TTE2983470t00" w:hAnsi="TTE2983470t00" w:cs="TTE2983470t00"/>
          <w:u w:val="single"/>
        </w:rPr>
        <w:t>el horario establecido para la recepción de documentos</w:t>
      </w:r>
      <w:r>
        <w:rPr>
          <w:rFonts w:ascii="TTE2983470t00" w:hAnsi="TTE2983470t00" w:cs="TTE2983470t00"/>
        </w:rPr>
        <w:t xml:space="preserve"> que es:</w:t>
      </w:r>
    </w:p>
    <w:p w14:paraId="003EE0AE" w14:textId="77777777" w:rsidR="00C11811" w:rsidRDefault="00C11811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</w:rPr>
      </w:pPr>
    </w:p>
    <w:p w14:paraId="073E2890" w14:textId="77777777" w:rsidR="00C11811" w:rsidRPr="00E8757C" w:rsidRDefault="00C11811" w:rsidP="00C11811">
      <w:pPr>
        <w:spacing w:before="100" w:beforeAutospacing="1" w:after="0" w:line="240" w:lineRule="auto"/>
        <w:rPr>
          <w:rFonts w:ascii="TTE2983470t00" w:hAnsi="TTE2983470t00" w:cs="TTE2983470t00"/>
          <w:color w:val="000000"/>
        </w:rPr>
      </w:pPr>
      <w:r w:rsidRPr="003C2E0A">
        <w:rPr>
          <w:rFonts w:ascii="TTE2983470t00" w:hAnsi="TTE2983470t00" w:cs="TTE2983470t00"/>
          <w:b/>
        </w:rPr>
        <w:t>Martes</w:t>
      </w:r>
      <w:r w:rsidR="00DD7675">
        <w:rPr>
          <w:rFonts w:ascii="TTE2983470t00" w:hAnsi="TTE2983470t00" w:cs="TTE2983470t00"/>
          <w:b/>
        </w:rPr>
        <w:t xml:space="preserve"> </w:t>
      </w:r>
      <w:r w:rsidRPr="003C2E0A">
        <w:rPr>
          <w:rFonts w:ascii="TTE2983470t00" w:hAnsi="TTE2983470t00" w:cs="TTE2983470t00"/>
          <w:b/>
        </w:rPr>
        <w:t xml:space="preserve">de 9:00 a.m. a 12 </w:t>
      </w:r>
      <w:proofErr w:type="spellStart"/>
      <w:r w:rsidRPr="003C2E0A">
        <w:rPr>
          <w:rFonts w:ascii="TTE2983470t00" w:hAnsi="TTE2983470t00" w:cs="TTE2983470t00"/>
          <w:b/>
        </w:rPr>
        <w:t>m.d</w:t>
      </w:r>
      <w:proofErr w:type="spellEnd"/>
      <w:r w:rsidRPr="003C2E0A">
        <w:rPr>
          <w:rFonts w:ascii="TTE2983470t00" w:hAnsi="TTE2983470t00" w:cs="TTE2983470t00"/>
          <w:b/>
        </w:rPr>
        <w:t>.</w:t>
      </w:r>
      <w:r w:rsidRPr="003C2E0A">
        <w:rPr>
          <w:rFonts w:ascii="TTE2983470t00" w:hAnsi="TTE2983470t00" w:cs="TTE2983470t00"/>
          <w:b/>
        </w:rPr>
        <w:br/>
      </w:r>
      <w:r w:rsidRPr="003C2E0A">
        <w:rPr>
          <w:rFonts w:ascii="TTE2983470t00" w:hAnsi="TTE2983470t00" w:cs="TTE2983470t00"/>
          <w:b/>
          <w:color w:val="000000"/>
        </w:rPr>
        <w:t>Edificio ODM - Banco Central de Costa Rica</w:t>
      </w:r>
      <w:r w:rsidRPr="00E8757C">
        <w:rPr>
          <w:rFonts w:ascii="TTE2983470t00" w:hAnsi="TTE2983470t00" w:cs="TTE2983470t00"/>
          <w:color w:val="000000"/>
        </w:rPr>
        <w:t> </w:t>
      </w:r>
      <w:r w:rsidR="003C2E0A">
        <w:rPr>
          <w:rFonts w:ascii="TTE2983470t00" w:hAnsi="TTE2983470t00" w:cs="TTE2983470t00"/>
          <w:color w:val="000000"/>
        </w:rPr>
        <w:br/>
      </w:r>
      <w:r>
        <w:rPr>
          <w:rFonts w:ascii="TTE2983470t00" w:hAnsi="TTE2983470t00" w:cs="TTE2983470t00"/>
          <w:color w:val="000000"/>
        </w:rPr>
        <w:t>A</w:t>
      </w:r>
      <w:r w:rsidRPr="00E8757C">
        <w:rPr>
          <w:rFonts w:ascii="TTE2983470t00" w:hAnsi="TTE2983470t00" w:cs="TTE2983470t00"/>
          <w:color w:val="000000"/>
        </w:rPr>
        <w:t xml:space="preserve">venida 13 y 17, calle 3a, </w:t>
      </w:r>
      <w:r w:rsidRPr="00E8757C">
        <w:rPr>
          <w:rFonts w:ascii="TTE2983470t00" w:hAnsi="TTE2983470t00" w:cs="TTE2983470t00"/>
          <w:color w:val="000000"/>
        </w:rPr>
        <w:br/>
        <w:t xml:space="preserve">Barrio </w:t>
      </w:r>
      <w:proofErr w:type="spellStart"/>
      <w:r w:rsidRPr="00E8757C">
        <w:rPr>
          <w:rFonts w:ascii="TTE2983470t00" w:hAnsi="TTE2983470t00" w:cs="TTE2983470t00"/>
          <w:color w:val="000000"/>
        </w:rPr>
        <w:t>Tournón</w:t>
      </w:r>
      <w:proofErr w:type="spellEnd"/>
      <w:r w:rsidRPr="00E8757C">
        <w:rPr>
          <w:rFonts w:ascii="TTE2983470t00" w:hAnsi="TTE2983470t00" w:cs="TTE2983470t00"/>
          <w:color w:val="000000"/>
        </w:rPr>
        <w:t>,  San José.</w:t>
      </w:r>
      <w:r w:rsidRPr="00E8757C">
        <w:rPr>
          <w:rFonts w:ascii="TTE2983470t00" w:hAnsi="TTE2983470t00" w:cs="TTE2983470t00"/>
          <w:color w:val="000000"/>
        </w:rPr>
        <w:br/>
        <w:t xml:space="preserve">Entrada frente a las oficinas principales del Ministerio de Trabajo y Seguridad Social. </w:t>
      </w:r>
    </w:p>
    <w:p w14:paraId="76A6DC60" w14:textId="77777777" w:rsidR="00C11811" w:rsidRPr="00E8757C" w:rsidRDefault="00C11811" w:rsidP="00C11811">
      <w:pPr>
        <w:spacing w:after="0" w:line="240" w:lineRule="auto"/>
        <w:rPr>
          <w:rFonts w:ascii="Verdana" w:eastAsia="Times New Roman" w:hAnsi="Verdana" w:cs="Arial"/>
          <w:color w:val="000000"/>
          <w:sz w:val="21"/>
          <w:szCs w:val="21"/>
          <w:lang w:eastAsia="es-CR"/>
        </w:rPr>
      </w:pPr>
      <w:r w:rsidRPr="00E8757C">
        <w:rPr>
          <w:rFonts w:ascii="Verdana" w:eastAsia="Times New Roman" w:hAnsi="Verdana" w:cs="Arial"/>
          <w:color w:val="000000"/>
          <w:sz w:val="21"/>
          <w:szCs w:val="21"/>
          <w:lang w:eastAsia="es-CR"/>
        </w:rPr>
        <w:t> </w:t>
      </w:r>
      <w:hyperlink r:id="rId9" w:history="1">
        <w:r w:rsidRPr="00E8757C">
          <w:rPr>
            <w:rFonts w:ascii="Verdana" w:eastAsia="Times New Roman" w:hAnsi="Verdana" w:cs="Arial"/>
            <w:color w:val="0000FF"/>
            <w:sz w:val="21"/>
            <w:szCs w:val="21"/>
            <w:u w:val="single"/>
            <w:lang w:eastAsia="es-CR"/>
          </w:rPr>
          <w:t xml:space="preserve">Google </w:t>
        </w:r>
        <w:proofErr w:type="spellStart"/>
        <w:r w:rsidRPr="00E8757C">
          <w:rPr>
            <w:rFonts w:ascii="Verdana" w:eastAsia="Times New Roman" w:hAnsi="Verdana" w:cs="Arial"/>
            <w:color w:val="0000FF"/>
            <w:sz w:val="21"/>
            <w:szCs w:val="21"/>
            <w:u w:val="single"/>
            <w:lang w:eastAsia="es-CR"/>
          </w:rPr>
          <w:t>Maps</w:t>
        </w:r>
        <w:proofErr w:type="spellEnd"/>
      </w:hyperlink>
    </w:p>
    <w:p w14:paraId="7A6142B4" w14:textId="77777777" w:rsidR="00C11811" w:rsidRDefault="00C11811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</w:rPr>
      </w:pPr>
    </w:p>
    <w:p w14:paraId="0048DD6B" w14:textId="77777777" w:rsidR="00E8757C" w:rsidRDefault="00E8757C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</w:p>
    <w:p w14:paraId="06630640" w14:textId="77777777" w:rsidR="00191F75" w:rsidRDefault="00191F75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>
        <w:rPr>
          <w:rFonts w:ascii="TTE2983470t00" w:hAnsi="TTE2983470t00" w:cs="TTE2983470t00"/>
          <w:color w:val="000000"/>
        </w:rPr>
        <w:t>Su denuncia, si usted nos lo solicita, puede ser confidencial.</w:t>
      </w:r>
    </w:p>
    <w:p w14:paraId="1FF37775" w14:textId="77777777" w:rsidR="00C11811" w:rsidRDefault="00C11811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</w:p>
    <w:p w14:paraId="5A3A79D0" w14:textId="77777777" w:rsidR="00E8757C" w:rsidRDefault="00191F75" w:rsidP="004E38A2">
      <w:pPr>
        <w:autoSpaceDE w:val="0"/>
        <w:autoSpaceDN w:val="0"/>
        <w:adjustRightInd w:val="0"/>
        <w:spacing w:after="0" w:line="240" w:lineRule="auto"/>
        <w:jc w:val="both"/>
        <w:rPr>
          <w:rFonts w:ascii="TTE2983470t00" w:hAnsi="TTE2983470t00" w:cs="TTE2983470t00"/>
          <w:color w:val="000000"/>
        </w:rPr>
      </w:pPr>
      <w:r>
        <w:rPr>
          <w:rFonts w:ascii="TTE2983470t00" w:hAnsi="TTE2983470t00" w:cs="TTE2983470t00"/>
          <w:color w:val="000000"/>
        </w:rPr>
        <w:t>Para efectos de una correcta investigación, es importante que la</w:t>
      </w:r>
      <w:r w:rsidR="00E8757C">
        <w:rPr>
          <w:rFonts w:ascii="TTE2983470t00" w:hAnsi="TTE2983470t00" w:cs="TTE2983470t00"/>
          <w:color w:val="000000"/>
        </w:rPr>
        <w:t xml:space="preserve"> </w:t>
      </w:r>
      <w:proofErr w:type="spellStart"/>
      <w:r>
        <w:rPr>
          <w:rFonts w:ascii="TTE2983470t00" w:hAnsi="TTE2983470t00" w:cs="TTE2983470t00"/>
          <w:color w:val="000000"/>
        </w:rPr>
        <w:t>Sugeval</w:t>
      </w:r>
      <w:proofErr w:type="spellEnd"/>
      <w:r>
        <w:rPr>
          <w:rFonts w:ascii="TTE2983470t00" w:hAnsi="TTE2983470t00" w:cs="TTE2983470t00"/>
          <w:color w:val="000000"/>
        </w:rPr>
        <w:t xml:space="preserve"> tenga la posibilidad de localizar al denunciante para</w:t>
      </w:r>
      <w:r w:rsidR="00E8757C">
        <w:rPr>
          <w:rFonts w:ascii="TTE2983470t00" w:hAnsi="TTE2983470t00" w:cs="TTE2983470t00"/>
          <w:color w:val="000000"/>
        </w:rPr>
        <w:t xml:space="preserve"> </w:t>
      </w:r>
      <w:r>
        <w:rPr>
          <w:rFonts w:ascii="TTE2983470t00" w:hAnsi="TTE2983470t00" w:cs="TTE2983470t00"/>
          <w:color w:val="000000"/>
        </w:rPr>
        <w:t>que aclare los hechos o para que aporte prueba</w:t>
      </w:r>
    </w:p>
    <w:p w14:paraId="105FFDF7" w14:textId="77777777" w:rsidR="00E8757C" w:rsidRDefault="00E8757C" w:rsidP="00C11811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TE2983470t00" w:hAnsi="TTE2983470t00" w:cs="TTE2983470t00"/>
          <w:color w:val="000000"/>
        </w:rPr>
      </w:pPr>
    </w:p>
    <w:sectPr w:rsidR="00E875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72B9C" w14:textId="77777777" w:rsidR="0095658D" w:rsidRDefault="0095658D" w:rsidP="009803FC">
      <w:pPr>
        <w:spacing w:after="0" w:line="240" w:lineRule="auto"/>
      </w:pPr>
      <w:r>
        <w:separator/>
      </w:r>
    </w:p>
  </w:endnote>
  <w:endnote w:type="continuationSeparator" w:id="0">
    <w:p w14:paraId="633E95E9" w14:textId="77777777" w:rsidR="0095658D" w:rsidRDefault="0095658D" w:rsidP="0098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19BDF5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98347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886C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7EAF5" w14:textId="77777777" w:rsidR="0095658D" w:rsidRDefault="0095658D" w:rsidP="009803FC">
      <w:pPr>
        <w:spacing w:after="0" w:line="240" w:lineRule="auto"/>
      </w:pPr>
      <w:r>
        <w:separator/>
      </w:r>
    </w:p>
  </w:footnote>
  <w:footnote w:type="continuationSeparator" w:id="0">
    <w:p w14:paraId="794AED68" w14:textId="77777777" w:rsidR="0095658D" w:rsidRDefault="0095658D" w:rsidP="00980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90D7E"/>
    <w:multiLevelType w:val="hybridMultilevel"/>
    <w:tmpl w:val="7BDAC73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A0D59"/>
    <w:multiLevelType w:val="hybridMultilevel"/>
    <w:tmpl w:val="78C469B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F75"/>
    <w:rsid w:val="001273C0"/>
    <w:rsid w:val="00191F75"/>
    <w:rsid w:val="003C2E0A"/>
    <w:rsid w:val="004E38A2"/>
    <w:rsid w:val="007075B8"/>
    <w:rsid w:val="0095658D"/>
    <w:rsid w:val="009803FC"/>
    <w:rsid w:val="00C11811"/>
    <w:rsid w:val="00DD7675"/>
    <w:rsid w:val="00E8757C"/>
    <w:rsid w:val="00F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B99A1C-FACE-4B1D-9335-26DCFE95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C7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8757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118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7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91037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uncia@sugeval.fi.cr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o.gl/maps/aoWLXTxaAm5ycczb6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7898B7479C1C42957B282820F73CFC" ma:contentTypeVersion="1" ma:contentTypeDescription="Crear nuevo documento." ma:contentTypeScope="" ma:versionID="e5a1ee7353444da9765778a64192c372">
  <xsd:schema xmlns:xsd="http://www.w3.org/2001/XMLSchema" xmlns:xs="http://www.w3.org/2001/XMLSchema" xmlns:p="http://schemas.microsoft.com/office/2006/metadata/properties" xmlns:ns2="fc66ef79-2d66-4fa3-90bd-e4f186d8d369" targetNamespace="http://schemas.microsoft.com/office/2006/metadata/properties" ma:root="true" ma:fieldsID="68ead26b005841fcd29583e61466053f" ns2:_="">
    <xsd:import namespace="fc66ef79-2d66-4fa3-90bd-e4f186d8d36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6ef79-2d66-4fa3-90bd-e4f186d8d3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CDACA6-5B54-4712-A017-439556345962}"/>
</file>

<file path=customXml/itemProps2.xml><?xml version="1.0" encoding="utf-8"?>
<ds:datastoreItem xmlns:ds="http://schemas.openxmlformats.org/officeDocument/2006/customXml" ds:itemID="{4870C956-D566-4F15-8247-15797FFBA203}"/>
</file>

<file path=customXml/itemProps3.xml><?xml version="1.0" encoding="utf-8"?>
<ds:datastoreItem xmlns:ds="http://schemas.openxmlformats.org/officeDocument/2006/customXml" ds:itemID="{7687EDEA-89F9-4762-81CE-CE60C672F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753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BCCR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CHAN ISABEL MARIA</dc:creator>
  <cp:keywords/>
  <dc:description/>
  <cp:lastModifiedBy>TAN CHAN ISABEL MARIA</cp:lastModifiedBy>
  <cp:revision>3</cp:revision>
  <dcterms:created xsi:type="dcterms:W3CDTF">2020-09-23T15:48:00Z</dcterms:created>
  <dcterms:modified xsi:type="dcterms:W3CDTF">2021-05-12T17:35:00Z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0x010100AE7898B7479C1C42957B282820F73CFC</vt:lpwstr>
  </property>
</Properties>
</file>