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58EF4" w14:textId="4FDBE7F4" w:rsidR="004F2251" w:rsidRPr="004E4E4A" w:rsidRDefault="00B3105A" w:rsidP="00EB0DE8">
      <w:pPr>
        <w:ind w:right="-193"/>
        <w:jc w:val="both"/>
        <w:rPr>
          <w:rFonts w:ascii="Roboto" w:hAnsi="Roboto" w:cs="Arial"/>
          <w:b/>
          <w:color w:val="000000" w:themeColor="text1"/>
          <w:sz w:val="22"/>
          <w:szCs w:val="22"/>
        </w:rPr>
      </w:pPr>
      <w:r w:rsidRPr="004E4E4A">
        <w:rPr>
          <w:rFonts w:ascii="Roboto" w:hAnsi="Roboto" w:cs="Arial"/>
          <w:b/>
          <w:color w:val="000000" w:themeColor="text1"/>
        </w:rPr>
        <w:t>SGV-A-</w:t>
      </w:r>
      <w:sdt>
        <w:sdtPr>
          <w:rPr>
            <w:rFonts w:ascii="Roboto" w:hAnsi="Roboto" w:cs="Arial"/>
            <w:b/>
            <w:color w:val="000000" w:themeColor="text1"/>
          </w:rPr>
          <w:alias w:val="Consecutivo Interno"/>
          <w:tag w:val="ConsecutivoInterno"/>
          <w:id w:val="1939632274"/>
          <w:placeholder>
            <w:docPart w:val="8D93414DE8A146359A81E2ADB0073115"/>
          </w:placeholder>
          <w:showingPlcHdr/>
          <w:text/>
        </w:sdtPr>
        <w:sdtEndPr/>
        <w:sdtContent>
          <w:r w:rsidRPr="004E4E4A">
            <w:rPr>
              <w:rStyle w:val="Textodelmarcadordeposicin"/>
              <w:rFonts w:ascii="Roboto" w:eastAsiaTheme="minorHAnsi" w:hAnsi="Roboto"/>
              <w:b/>
              <w:color w:val="000000" w:themeColor="text1"/>
            </w:rPr>
            <w:t>15</w:t>
          </w:r>
        </w:sdtContent>
      </w:sdt>
      <w:r w:rsidRPr="004E4E4A">
        <w:rPr>
          <w:rFonts w:ascii="Roboto" w:hAnsi="Roboto" w:cs="Arial"/>
          <w:b/>
          <w:color w:val="000000" w:themeColor="text1"/>
        </w:rPr>
        <w:t>-</w:t>
      </w:r>
      <w:sdt>
        <w:sdtPr>
          <w:rPr>
            <w:rFonts w:ascii="Roboto" w:hAnsi="Roboto" w:cs="Arial"/>
            <w:b/>
            <w:color w:val="000000" w:themeColor="text1"/>
          </w:rPr>
          <w:alias w:val="Periodo"/>
          <w:tag w:val="Periodo"/>
          <w:id w:val="1738211727"/>
          <w:placeholder>
            <w:docPart w:val="C8A6597C799E47E789B68C8E0D38EA23"/>
          </w:placeholder>
          <w:showingPlcHdr/>
          <w:text/>
        </w:sdtPr>
        <w:sdtEndPr/>
        <w:sdtContent>
          <w:r w:rsidRPr="004E4E4A">
            <w:rPr>
              <w:rStyle w:val="Textodelmarcadordeposicin"/>
              <w:rFonts w:ascii="Roboto" w:eastAsiaTheme="minorHAnsi" w:hAnsi="Roboto"/>
              <w:b/>
              <w:color w:val="000000" w:themeColor="text1"/>
            </w:rPr>
            <w:t>2026</w:t>
          </w:r>
        </w:sdtContent>
      </w:sdt>
      <w:r w:rsidR="004F2251" w:rsidRPr="004E4E4A">
        <w:rPr>
          <w:rFonts w:ascii="Roboto" w:hAnsi="Roboto" w:cs="Arial"/>
          <w:b/>
          <w:color w:val="000000" w:themeColor="text1"/>
        </w:rPr>
        <w:t>.</w:t>
      </w:r>
      <w:r w:rsidR="00EE3D46" w:rsidRPr="004E4E4A">
        <w:rPr>
          <w:rFonts w:ascii="Arial" w:hAnsi="Arial" w:cs="Arial"/>
          <w:b/>
          <w:color w:val="000000" w:themeColor="text1"/>
        </w:rPr>
        <w:t xml:space="preserve"> </w:t>
      </w:r>
      <w:r w:rsidR="00DB7121" w:rsidRPr="004E4E4A">
        <w:rPr>
          <w:rFonts w:ascii="Roboto" w:hAnsi="Roboto" w:cs="Arial"/>
          <w:b/>
          <w:color w:val="000000" w:themeColor="text1"/>
          <w:sz w:val="22"/>
          <w:szCs w:val="22"/>
        </w:rPr>
        <w:t xml:space="preserve">REFORMA PARCIAL A LOS ACUERDOS “SGV-A-61. ACUERDO SOBRE HECHOS RELEVANTES”, “SGV-A-198 ACUERDO PARA LA IMPLANTACIÓN DEL REGLAMENTO DE CUSTODIA” Y “SGV-A-170 DISPOSICIONES OPERATIVAS DE LAS SOCIEDADES ADMINISTRADORAS DE FONDOS DE INVERSIÓN. </w:t>
      </w:r>
      <w:r w:rsidR="004E4E4A" w:rsidRPr="004E4E4A">
        <w:rPr>
          <w:rStyle w:val="Refdenotaalpie"/>
          <w:rFonts w:ascii="Roboto" w:hAnsi="Roboto" w:cs="Arial"/>
          <w:b/>
          <w:color w:val="000000" w:themeColor="text1"/>
          <w:sz w:val="22"/>
          <w:szCs w:val="22"/>
        </w:rPr>
        <w:footnoteReference w:id="1"/>
      </w:r>
    </w:p>
    <w:p w14:paraId="09A9E25D" w14:textId="77777777" w:rsidR="004F2251" w:rsidRPr="004E4E4A" w:rsidRDefault="004F2251" w:rsidP="00EB0DE8">
      <w:pPr>
        <w:ind w:right="-193"/>
        <w:jc w:val="both"/>
        <w:rPr>
          <w:rFonts w:ascii="Roboto" w:hAnsi="Roboto" w:cs="Arial"/>
          <w:b/>
          <w:bCs/>
          <w:iCs/>
          <w:noProof/>
          <w:sz w:val="22"/>
          <w:szCs w:val="22"/>
          <w:lang w:val="es-ES_tradnl"/>
        </w:rPr>
      </w:pPr>
    </w:p>
    <w:p w14:paraId="555DB458" w14:textId="77777777" w:rsidR="004F2251" w:rsidRPr="004E4E4A" w:rsidRDefault="004F2251" w:rsidP="00EB0DE8">
      <w:pPr>
        <w:spacing w:line="276" w:lineRule="auto"/>
        <w:ind w:right="-193"/>
        <w:jc w:val="both"/>
        <w:rPr>
          <w:rFonts w:ascii="Roboto" w:hAnsi="Roboto" w:cs="Arial"/>
          <w:b/>
          <w:bCs/>
          <w:sz w:val="22"/>
          <w:szCs w:val="22"/>
          <w:lang w:val="es-CR"/>
        </w:rPr>
      </w:pPr>
      <w:r w:rsidRPr="004E4E4A">
        <w:rPr>
          <w:rFonts w:ascii="Roboto" w:hAnsi="Roboto" w:cs="Arial"/>
          <w:b/>
          <w:bCs/>
          <w:sz w:val="22"/>
          <w:szCs w:val="22"/>
          <w:lang w:val="es-CR"/>
        </w:rPr>
        <w:t>Considerando que:</w:t>
      </w:r>
    </w:p>
    <w:p w14:paraId="6B3E067D" w14:textId="77777777" w:rsidR="005B752E" w:rsidRPr="004E4E4A" w:rsidRDefault="005B752E" w:rsidP="00EB0DE8">
      <w:pPr>
        <w:spacing w:line="276" w:lineRule="auto"/>
        <w:ind w:right="-193"/>
        <w:jc w:val="both"/>
        <w:rPr>
          <w:rFonts w:ascii="Roboto" w:hAnsi="Roboto" w:cs="Arial"/>
          <w:b/>
          <w:bCs/>
          <w:sz w:val="22"/>
          <w:szCs w:val="22"/>
          <w:lang w:val="es-CR"/>
        </w:rPr>
      </w:pPr>
    </w:p>
    <w:p w14:paraId="1C506C54" w14:textId="77777777" w:rsidR="005B752E" w:rsidRPr="004E4E4A" w:rsidRDefault="005B752E" w:rsidP="005B752E">
      <w:pPr>
        <w:jc w:val="both"/>
        <w:rPr>
          <w:b/>
          <w:bCs/>
          <w:sz w:val="22"/>
          <w:szCs w:val="22"/>
        </w:rPr>
      </w:pPr>
      <w:r w:rsidRPr="004E4E4A">
        <w:rPr>
          <w:rFonts w:ascii="Roboto" w:hAnsi="Roboto" w:cs="Arial"/>
          <w:b/>
          <w:bCs/>
          <w:sz w:val="22"/>
          <w:szCs w:val="22"/>
          <w:lang w:val="es-CR"/>
        </w:rPr>
        <w:t>Consideraciones legales y reglamentarias</w:t>
      </w:r>
    </w:p>
    <w:p w14:paraId="20778146" w14:textId="77777777" w:rsidR="005B752E" w:rsidRPr="004E4E4A" w:rsidRDefault="005B752E" w:rsidP="00EB0DE8">
      <w:pPr>
        <w:spacing w:line="276" w:lineRule="auto"/>
        <w:ind w:right="-193"/>
        <w:jc w:val="both"/>
        <w:rPr>
          <w:rFonts w:ascii="Roboto" w:hAnsi="Roboto" w:cs="Arial"/>
          <w:b/>
          <w:bCs/>
          <w:sz w:val="22"/>
          <w:szCs w:val="22"/>
          <w:lang w:val="es-CR"/>
        </w:rPr>
      </w:pPr>
    </w:p>
    <w:p w14:paraId="526A647D" w14:textId="0CE793BE" w:rsidR="004F2251" w:rsidRPr="004E4E4A" w:rsidRDefault="00AE1227"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El Artículo 8 inciso l) de la Ley Reguladora del Mercado de Valores, faculta al Superintendente a exigir a los sujetos fiscalizados toda la información razonablemente necesaria, en las condiciones y periodicidad que la Superintendencia determine, para cumplir adecuadamente con sus funciones supervisoras del mercado de valores, según lo disponga el reglamento.</w:t>
      </w:r>
      <w:r w:rsidR="004F2251" w:rsidRPr="004E4E4A">
        <w:rPr>
          <w:rFonts w:ascii="Roboto" w:hAnsi="Roboto" w:cs="Arial"/>
          <w:sz w:val="22"/>
          <w:szCs w:val="22"/>
        </w:rPr>
        <w:t xml:space="preserve"> </w:t>
      </w:r>
    </w:p>
    <w:p w14:paraId="569DFDC7" w14:textId="77777777" w:rsidR="004F2251" w:rsidRPr="004E4E4A" w:rsidRDefault="004F2251" w:rsidP="00EB0DE8">
      <w:pPr>
        <w:tabs>
          <w:tab w:val="left" w:pos="567"/>
        </w:tabs>
        <w:ind w:left="567" w:right="-193"/>
        <w:jc w:val="both"/>
        <w:rPr>
          <w:rFonts w:ascii="Roboto" w:hAnsi="Roboto" w:cs="Arial"/>
          <w:sz w:val="22"/>
          <w:szCs w:val="22"/>
        </w:rPr>
      </w:pPr>
    </w:p>
    <w:p w14:paraId="061DAA7E" w14:textId="283EE98C" w:rsidR="004F2251" w:rsidRPr="004E4E4A" w:rsidRDefault="001D2769"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El Código de Comercio dispone en cuanto a las convocatorias de asambleas de accionistas, en su artículo 164 que, durante el periodo de convocatoria para una asamblea, los libros y documentos relacionados con los fines de la asamblea estarán en las oficinas de la sociedad, a disposición de los accionistas.</w:t>
      </w:r>
    </w:p>
    <w:p w14:paraId="3B22462B" w14:textId="77777777" w:rsidR="004F2251" w:rsidRPr="004E4E4A" w:rsidRDefault="004F2251" w:rsidP="00EB0DE8">
      <w:pPr>
        <w:tabs>
          <w:tab w:val="left" w:pos="567"/>
        </w:tabs>
        <w:ind w:left="567" w:right="-193"/>
        <w:jc w:val="both"/>
        <w:rPr>
          <w:rFonts w:ascii="Roboto" w:hAnsi="Roboto" w:cs="Arial"/>
          <w:sz w:val="22"/>
          <w:szCs w:val="22"/>
        </w:rPr>
      </w:pPr>
    </w:p>
    <w:p w14:paraId="2D817F60" w14:textId="2B9C5A3F" w:rsidR="003D7B58" w:rsidRPr="004E4E4A" w:rsidRDefault="003D7B58"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Mediante el Artículo 13 del Acta de la Sesión 81-99, celebrada el 18 de marzo de 1999, el Consejo Nacional de Supervisión del Sistema Financiero aprobó el Reglamento sobre el Suministro de Información Periódica, Hechos Relevantes y otras Obligaciones de Información con lineamientos sobre los deberes de comunicación de los diferentes participantes en el mercado de valores. En atención a lo dispuesto en este reglamento se ha emitido el acuerdo del Superintendente SGV-A-61.</w:t>
      </w:r>
    </w:p>
    <w:p w14:paraId="0897B713" w14:textId="77777777" w:rsidR="004276B7" w:rsidRPr="004E4E4A" w:rsidRDefault="004276B7" w:rsidP="004276B7">
      <w:pPr>
        <w:pStyle w:val="Prrafodelista"/>
        <w:spacing w:after="0"/>
        <w:rPr>
          <w:rFonts w:ascii="Roboto" w:hAnsi="Roboto" w:cs="Arial"/>
          <w:lang w:val="es-CR"/>
        </w:rPr>
      </w:pPr>
    </w:p>
    <w:p w14:paraId="57179A0A" w14:textId="16D81A17" w:rsidR="00222548" w:rsidRPr="004E4E4A" w:rsidRDefault="00B44EFE"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Mediante el Artículo 10 del Acta de la Sesión 1150-2015, celebrada el 23 de febrero de 2015, el Consejo Nacional de Supervisión del Sistema Financiero aprobó el Reglamento de Custodia Acuerdo SUGEVAL 17-15, que establece una serie de requerimientos que buscan definir los lineamientos que deben cumplir las entidades de custodia. En atención a lo dispuesto en este reglamento se ha emitido el acuerdo del Superintendente SGV-A-198.</w:t>
      </w:r>
    </w:p>
    <w:p w14:paraId="3F7D55AA" w14:textId="77777777" w:rsidR="00222548" w:rsidRPr="004E4E4A" w:rsidRDefault="00222548" w:rsidP="004276B7">
      <w:pPr>
        <w:pStyle w:val="Prrafodelista"/>
        <w:spacing w:after="0"/>
        <w:rPr>
          <w:rFonts w:ascii="Roboto" w:hAnsi="Roboto" w:cs="Arial"/>
          <w:lang w:val="es-CR"/>
        </w:rPr>
      </w:pPr>
    </w:p>
    <w:p w14:paraId="63D820C7" w14:textId="07BD59CB" w:rsidR="00222548" w:rsidRPr="004E4E4A" w:rsidRDefault="00222548"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Mediante el Artículo 17 del Acta de la Sesión 762-2008, celebrada el 19 de diciembre de 2008, el Consejo Nacional de Supervisión del Sistema Financiero aprobó el Reglamento General sobre Sociedades Administradoras y Fondos de Inversión. En atención a lo dispuesto en este reglamento se ha emitido el acuerdo del Superintendente SGV-A-170.</w:t>
      </w:r>
    </w:p>
    <w:p w14:paraId="345F98E6" w14:textId="77777777" w:rsidR="00C5389F" w:rsidRPr="004E4E4A" w:rsidRDefault="00C5389F" w:rsidP="004276B7">
      <w:pPr>
        <w:pStyle w:val="Prrafodelista"/>
        <w:spacing w:after="0"/>
        <w:rPr>
          <w:rFonts w:ascii="Roboto" w:hAnsi="Roboto" w:cs="Arial"/>
          <w:lang w:val="es-CR"/>
        </w:rPr>
      </w:pPr>
    </w:p>
    <w:p w14:paraId="314BF121" w14:textId="50EA8266" w:rsidR="007A5DB3" w:rsidRPr="004E4E4A" w:rsidRDefault="00CD084C" w:rsidP="007A5DB3">
      <w:pPr>
        <w:tabs>
          <w:tab w:val="left" w:pos="567"/>
        </w:tabs>
        <w:ind w:left="567" w:right="-193"/>
        <w:jc w:val="both"/>
        <w:rPr>
          <w:rFonts w:ascii="Roboto" w:hAnsi="Roboto" w:cs="Arial"/>
          <w:b/>
          <w:bCs/>
          <w:sz w:val="22"/>
          <w:szCs w:val="22"/>
        </w:rPr>
      </w:pPr>
      <w:r w:rsidRPr="004E4E4A">
        <w:rPr>
          <w:rFonts w:ascii="Roboto" w:hAnsi="Roboto" w:cs="Arial"/>
          <w:b/>
          <w:bCs/>
          <w:sz w:val="22"/>
          <w:szCs w:val="22"/>
        </w:rPr>
        <w:t>Consideraciones sobre asambleas de accionistas de emisores de valores accionarios y de inversionistas de fondos de inversión cerrados</w:t>
      </w:r>
    </w:p>
    <w:p w14:paraId="2F56738E" w14:textId="77777777" w:rsidR="00CD084C" w:rsidRPr="004E4E4A" w:rsidRDefault="00CD084C" w:rsidP="007A5DB3">
      <w:pPr>
        <w:tabs>
          <w:tab w:val="left" w:pos="567"/>
        </w:tabs>
        <w:ind w:left="567" w:right="-193"/>
        <w:jc w:val="both"/>
        <w:rPr>
          <w:rFonts w:ascii="Roboto" w:hAnsi="Roboto" w:cs="Arial"/>
          <w:sz w:val="22"/>
          <w:szCs w:val="22"/>
        </w:rPr>
      </w:pPr>
    </w:p>
    <w:p w14:paraId="50BC4345" w14:textId="71E45B30" w:rsidR="00B171DC" w:rsidRPr="004E4E4A" w:rsidRDefault="00323C9A"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Como parte de los Principios de Gobierno Corporativo de la OECD y del G20, se encuentra el principio II.C que dispone que “Los accionistas tendrán la oportunidad de participar de forma eficaz y de votar en las Juntas Generales de Accionistas, debiendo ser informados sobre las normas que las rigen, incluidos los procedimientos de votación: II.C.1. Con la antelación adecuada, se facilitará a los accionistas información suficiente sobre la fecha, el lugar y el orden del día de las Juntas Generales, así como información completa y oportuna acerca de los asuntos que van a someterse a decisión”.</w:t>
      </w:r>
    </w:p>
    <w:p w14:paraId="642DA0B2" w14:textId="77777777" w:rsidR="00323C9A" w:rsidRPr="004E4E4A" w:rsidRDefault="00323C9A" w:rsidP="00323C9A">
      <w:pPr>
        <w:tabs>
          <w:tab w:val="left" w:pos="567"/>
        </w:tabs>
        <w:ind w:left="567" w:right="-193"/>
        <w:jc w:val="both"/>
        <w:rPr>
          <w:rFonts w:ascii="Roboto" w:hAnsi="Roboto" w:cs="Arial"/>
          <w:sz w:val="22"/>
          <w:szCs w:val="22"/>
        </w:rPr>
      </w:pPr>
    </w:p>
    <w:p w14:paraId="271F280A" w14:textId="645FF80F" w:rsidR="007A5DB3" w:rsidRPr="004E4E4A" w:rsidRDefault="007A5DB3"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Con base en las consultas, quejas y denuncias recibidas durante los últimos años en la Superintendencia General de Valores, se ha detectado un incremento en consultas de los inversionistas sobre las formas de tener acceso a la información y documentación relativos a los asuntos a tratar en el orden del día de una convocatoria, lo cual brinda una oportunidad para promover el conocimiento y la comprensión de los derechos y responsabilidades de los inversionistas de emisores de valores accionarios y de los fondos de inversión de tipo cerrado.</w:t>
      </w:r>
    </w:p>
    <w:p w14:paraId="08E39603" w14:textId="77777777" w:rsidR="008822FA" w:rsidRPr="004E4E4A" w:rsidRDefault="008822FA" w:rsidP="008822FA">
      <w:pPr>
        <w:tabs>
          <w:tab w:val="left" w:pos="567"/>
        </w:tabs>
        <w:ind w:right="-193"/>
        <w:jc w:val="both"/>
        <w:rPr>
          <w:rFonts w:ascii="Roboto" w:hAnsi="Roboto" w:cs="Arial"/>
          <w:sz w:val="22"/>
          <w:szCs w:val="22"/>
        </w:rPr>
      </w:pPr>
    </w:p>
    <w:p w14:paraId="3CEB8424" w14:textId="0A19FB28" w:rsidR="00D167BC" w:rsidRPr="004E4E4A" w:rsidRDefault="00D167BC"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En este contexto, para garantizar que todos los accionistas puedan recibir la información de las asambleas con la antelación suficiente para su análisis, se considera adecuado y razonable exigir a los emisores de valores accionarios y a las sociedades administradoras de fondos de inversión de tipo cerrado, que divulguen como parte del Comunicado de Hecho Relevante en donde se informa de la convocatoria a una asamblea, la información y documentación relativos a los asuntos a tratar en el orden del día que la administración del emisor o entidad ha preparado, para los accionistas o inversionistas debidamente acreditados, según corresponda.  Esta disposición es adicional a los lugares y medios de divulgación revelados en los avisos de convocatoria, ya establecidos en el Código de Comercio y estatutos o prácticas de cada entidad.</w:t>
      </w:r>
    </w:p>
    <w:p w14:paraId="3239388A" w14:textId="77777777" w:rsidR="00D167BC" w:rsidRPr="004E4E4A" w:rsidRDefault="00D167BC" w:rsidP="004276B7">
      <w:pPr>
        <w:pStyle w:val="Prrafodelista"/>
        <w:spacing w:after="0"/>
        <w:rPr>
          <w:rFonts w:ascii="Roboto" w:hAnsi="Roboto" w:cs="Arial"/>
          <w:lang w:val="es-CR"/>
        </w:rPr>
      </w:pPr>
    </w:p>
    <w:p w14:paraId="2A9EF918" w14:textId="5E2148EF" w:rsidR="00027E16" w:rsidRPr="004E4E4A" w:rsidRDefault="00CF74BE"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Como parte de las medidas complementarias a adoptar para dar un adecuado tratamiento a los derechos de los inversionistas de fondos de inversión cerrados, brindándoles la información necesaria para una adecuada toma de decisiones; se considera necesario establecer expresamente la obligación a las sociedades administradoras de fondos de inversión la divulgación en su sitio web de las convocatorias a asambleas de inversionistas de los fondos bajo su responsabilidad, junto con información y documentación relacionadas con los asuntos a tratar en el orden del día para los inversionistas debidamente acreditados, desde el día de convocatoria y que se mantenga a disposición cuando menos hasta la fecha efectiva de la celebración de la asamblea.</w:t>
      </w:r>
    </w:p>
    <w:p w14:paraId="39B81CC4" w14:textId="77777777" w:rsidR="004276B7" w:rsidRPr="004E4E4A" w:rsidRDefault="004276B7" w:rsidP="004276B7">
      <w:pPr>
        <w:pStyle w:val="Prrafodelista"/>
        <w:rPr>
          <w:rFonts w:ascii="Roboto" w:hAnsi="Roboto" w:cs="Arial"/>
          <w:lang w:val="es-CR"/>
        </w:rPr>
      </w:pPr>
    </w:p>
    <w:p w14:paraId="6E716EA8" w14:textId="50205C1C" w:rsidR="00027E16" w:rsidRPr="004E4E4A" w:rsidRDefault="00576738" w:rsidP="00576738">
      <w:pPr>
        <w:rPr>
          <w:rFonts w:ascii="Roboto" w:hAnsi="Roboto" w:cs="Arial"/>
          <w:b/>
          <w:bCs/>
          <w:sz w:val="22"/>
          <w:szCs w:val="22"/>
          <w:lang w:val="es-CR"/>
        </w:rPr>
      </w:pPr>
      <w:r w:rsidRPr="004E4E4A">
        <w:rPr>
          <w:rFonts w:ascii="Roboto" w:hAnsi="Roboto" w:cs="Arial"/>
          <w:b/>
          <w:bCs/>
          <w:sz w:val="22"/>
          <w:szCs w:val="22"/>
          <w:lang w:val="es-CR"/>
        </w:rPr>
        <w:lastRenderedPageBreak/>
        <w:t>Consideraciones sobre el servicio de custodia a los inversionistas</w:t>
      </w:r>
    </w:p>
    <w:p w14:paraId="2A7A2B6A" w14:textId="77777777" w:rsidR="00027E16" w:rsidRPr="004E4E4A" w:rsidRDefault="00027E16" w:rsidP="00027E16">
      <w:pPr>
        <w:pStyle w:val="Prrafodelista"/>
        <w:rPr>
          <w:rFonts w:ascii="Roboto" w:hAnsi="Roboto" w:cs="Arial"/>
          <w:lang w:val="es-CR"/>
        </w:rPr>
      </w:pPr>
    </w:p>
    <w:p w14:paraId="4C5561A8" w14:textId="515BAB3B" w:rsidR="00194C30" w:rsidRPr="004E4E4A" w:rsidRDefault="006D7A4A"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Como parte de los Principios de Gobierno Corporativo de la OECD y del G20, se encuentra el principio III.B que dispone que “Los custodios o representantes votarán con arreglo a las instrucciones del beneficiario efectivo de las acciones”, agregando que “La normativa exigirá que los asesores en materia de inversión o las entidades de custodia proporcionen a los accionistas información sobre las opciones de las que disponen al ejercer sus derechos de voto con el tiempo necesario. Los accionistas pueden decidir votar ellos mismos</w:t>
      </w:r>
      <w:r w:rsidR="00645B9B" w:rsidRPr="004E4E4A">
        <w:rPr>
          <w:rFonts w:ascii="Roboto" w:hAnsi="Roboto" w:cs="Arial"/>
          <w:sz w:val="22"/>
          <w:szCs w:val="22"/>
        </w:rPr>
        <w:t xml:space="preserve"> o</w:t>
      </w:r>
      <w:r w:rsidRPr="004E4E4A">
        <w:rPr>
          <w:rFonts w:ascii="Roboto" w:hAnsi="Roboto" w:cs="Arial"/>
          <w:sz w:val="22"/>
          <w:szCs w:val="22"/>
        </w:rPr>
        <w:t xml:space="preserve"> delegar todos sus derechos de voto en los custodios. También pueden optar porque se les informe de las próximas votaciones de accionistas y decidir emitir algunos votos y delegar otros en el custodio”.</w:t>
      </w:r>
    </w:p>
    <w:p w14:paraId="485184B3" w14:textId="77777777" w:rsidR="006D7A4A" w:rsidRPr="004E4E4A" w:rsidRDefault="006D7A4A" w:rsidP="006D7A4A">
      <w:pPr>
        <w:tabs>
          <w:tab w:val="left" w:pos="567"/>
        </w:tabs>
        <w:ind w:left="567" w:right="-193"/>
        <w:jc w:val="both"/>
        <w:rPr>
          <w:rFonts w:ascii="Roboto" w:hAnsi="Roboto" w:cs="Arial"/>
          <w:sz w:val="22"/>
          <w:szCs w:val="22"/>
        </w:rPr>
      </w:pPr>
    </w:p>
    <w:p w14:paraId="319A1152" w14:textId="77777777" w:rsidR="00B33174" w:rsidRPr="004E4E4A" w:rsidRDefault="00B33174" w:rsidP="00B33174">
      <w:pPr>
        <w:tabs>
          <w:tab w:val="left" w:pos="567"/>
        </w:tabs>
        <w:ind w:left="567" w:right="-193"/>
        <w:jc w:val="both"/>
        <w:rPr>
          <w:rFonts w:ascii="Roboto" w:hAnsi="Roboto" w:cs="Arial"/>
          <w:sz w:val="22"/>
          <w:szCs w:val="22"/>
        </w:rPr>
      </w:pPr>
    </w:p>
    <w:p w14:paraId="2CEAA169" w14:textId="7C51FCBC" w:rsidR="004F2251" w:rsidRPr="004E4E4A" w:rsidRDefault="00B33174" w:rsidP="004F2251">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 xml:space="preserve">El Acuerdo SUGEVAL 17-15 dispone en su numeral 14 que el Superintendente indicará mediante acuerdo de alcance general el contenido mínimo de los contratos del servicio de custodia. Sobre el particular, actualmente el acuerdo SGV-A-198 desarrolla en su artículo 6. “Contratos de custodia” los elementos mínimos que deben contener, incluidas las obligaciones de remisión de información periódica, pero no señala expresamente el deber de los custodios de la remisión de los comunicados de hechos relevantes a los inversionistas, en especial aquellos relacionados con las convocatorias y celebración de asambleas de emisores </w:t>
      </w:r>
      <w:r w:rsidR="00CD084C" w:rsidRPr="004E4E4A">
        <w:rPr>
          <w:rFonts w:ascii="Roboto" w:hAnsi="Roboto" w:cs="Arial"/>
          <w:sz w:val="22"/>
          <w:szCs w:val="22"/>
        </w:rPr>
        <w:t>de valores accionarios</w:t>
      </w:r>
      <w:r w:rsidRPr="004E4E4A">
        <w:rPr>
          <w:rFonts w:ascii="Roboto" w:hAnsi="Roboto" w:cs="Arial"/>
          <w:sz w:val="22"/>
          <w:szCs w:val="22"/>
        </w:rPr>
        <w:t xml:space="preserve"> y fondos cerrados. Por lo tanto, existe el riesgo potencial de que algún inversionista no esté siendo informados oportunamente de dichas convocatorias</w:t>
      </w:r>
      <w:r w:rsidR="004F2251" w:rsidRPr="004E4E4A">
        <w:rPr>
          <w:rFonts w:ascii="Roboto" w:hAnsi="Roboto" w:cs="Arial"/>
          <w:sz w:val="22"/>
          <w:szCs w:val="22"/>
        </w:rPr>
        <w:t>.</w:t>
      </w:r>
    </w:p>
    <w:p w14:paraId="403EFF0E" w14:textId="77777777" w:rsidR="004F2251" w:rsidRPr="004E4E4A" w:rsidRDefault="004F2251" w:rsidP="00EB0DE8">
      <w:pPr>
        <w:tabs>
          <w:tab w:val="left" w:pos="567"/>
        </w:tabs>
        <w:ind w:left="567" w:right="-193"/>
        <w:jc w:val="both"/>
        <w:rPr>
          <w:rFonts w:ascii="Roboto" w:hAnsi="Roboto" w:cs="Arial"/>
          <w:sz w:val="22"/>
          <w:szCs w:val="22"/>
        </w:rPr>
      </w:pPr>
    </w:p>
    <w:p w14:paraId="107623F2" w14:textId="79C8C28C" w:rsidR="00FD125E" w:rsidRPr="004E4E4A" w:rsidRDefault="00FD125E" w:rsidP="00FD125E">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A partir de lo señalado, se considera necesario requerir a las entidades que brindan el servicio de custodia el deber de remitir la información de los Comunicados de Hechos Relevantes de las convocatorias a las asambleas de inversionistas de emisores de valores accionarios o de fondos cerrados, así como de los comunicados con los resultados, aplazamientos o suspensiones de dicha</w:t>
      </w:r>
      <w:r w:rsidR="004103BC" w:rsidRPr="004E4E4A">
        <w:rPr>
          <w:rFonts w:ascii="Roboto" w:hAnsi="Roboto" w:cs="Arial"/>
          <w:sz w:val="22"/>
          <w:szCs w:val="22"/>
        </w:rPr>
        <w:t>s</w:t>
      </w:r>
      <w:r w:rsidRPr="004E4E4A">
        <w:rPr>
          <w:rFonts w:ascii="Roboto" w:hAnsi="Roboto" w:cs="Arial"/>
          <w:sz w:val="22"/>
          <w:szCs w:val="22"/>
        </w:rPr>
        <w:t xml:space="preserve"> asambleas, con el fin de que estos inversionistas tengan acceso a la información en forma oportuna, lo cual será considerado como parte de las obligaciones de remisión de información, sin que esta obligación se encuentre estipulada expresamente en el contrato de servicio de custodia o que deba ser solicitado por el inversionista en el contrato específico que haya suscrito</w:t>
      </w:r>
    </w:p>
    <w:p w14:paraId="1F4DA673" w14:textId="77777777" w:rsidR="00FD125E" w:rsidRPr="004E4E4A" w:rsidRDefault="00FD125E" w:rsidP="004276B7">
      <w:pPr>
        <w:pStyle w:val="Prrafodelista"/>
        <w:spacing w:after="0"/>
        <w:rPr>
          <w:rFonts w:ascii="Roboto" w:hAnsi="Roboto" w:cs="Arial"/>
          <w:lang w:val="es-CR"/>
        </w:rPr>
      </w:pPr>
    </w:p>
    <w:p w14:paraId="4BCB819E" w14:textId="4721AF2F" w:rsidR="004F2251" w:rsidRPr="004E4E4A" w:rsidRDefault="00973D16" w:rsidP="00973D16">
      <w:pPr>
        <w:tabs>
          <w:tab w:val="left" w:pos="567"/>
        </w:tabs>
        <w:ind w:right="-193"/>
        <w:jc w:val="both"/>
        <w:rPr>
          <w:rFonts w:ascii="Roboto" w:hAnsi="Roboto" w:cs="Arial"/>
          <w:b/>
          <w:bCs/>
          <w:sz w:val="22"/>
          <w:szCs w:val="22"/>
        </w:rPr>
      </w:pPr>
      <w:r w:rsidRPr="004E4E4A">
        <w:rPr>
          <w:rFonts w:ascii="Roboto" w:hAnsi="Roboto" w:cs="Arial"/>
          <w:b/>
          <w:bCs/>
          <w:sz w:val="22"/>
          <w:szCs w:val="22"/>
        </w:rPr>
        <w:t>Otras Consideraciones</w:t>
      </w:r>
      <w:r w:rsidR="00FD125E" w:rsidRPr="004E4E4A">
        <w:rPr>
          <w:rFonts w:ascii="Roboto" w:hAnsi="Roboto" w:cs="Arial"/>
          <w:b/>
          <w:bCs/>
          <w:sz w:val="22"/>
          <w:szCs w:val="22"/>
        </w:rPr>
        <w:t>.</w:t>
      </w:r>
    </w:p>
    <w:p w14:paraId="593879D1" w14:textId="77777777" w:rsidR="004F2251" w:rsidRPr="004E4E4A" w:rsidRDefault="004F2251" w:rsidP="00EB0DE8">
      <w:pPr>
        <w:tabs>
          <w:tab w:val="left" w:pos="567"/>
        </w:tabs>
        <w:ind w:right="-193"/>
        <w:jc w:val="both"/>
        <w:rPr>
          <w:rFonts w:ascii="Roboto" w:eastAsia="Calibri" w:hAnsi="Roboto" w:cs="Arial"/>
          <w:color w:val="000000"/>
          <w:sz w:val="22"/>
          <w:szCs w:val="22"/>
          <w:lang w:eastAsia="es-CR"/>
        </w:rPr>
      </w:pPr>
    </w:p>
    <w:p w14:paraId="14F42088" w14:textId="35D28BE7" w:rsidR="008E623B" w:rsidRPr="004E4E4A" w:rsidRDefault="00FD6CAF" w:rsidP="00973D16">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 xml:space="preserve">Mediante artículos 8 y 9 de las actas de las sesiones 1876-2024 y 1877-2024, celebradas el 15 de julio del 2024, el CONASSIF aprobó el Reglamento general de gobierno y gestión de la tecnología de información (Acuerdo CONASSIF 5-24) el cual, establece los requerimientos mínimos para la gestión de la tecnología de información que deben acatar las entidades y empresas supervisadas del sistema financiero costarricense. Con la emisión de este reglamento, que debe ser acatado por las entidades que brindan el servicio de custodia, se hace necesario la derogatoria al </w:t>
      </w:r>
      <w:r w:rsidRPr="004E4E4A">
        <w:rPr>
          <w:rFonts w:ascii="Roboto" w:hAnsi="Roboto" w:cs="Arial"/>
          <w:sz w:val="22"/>
          <w:szCs w:val="22"/>
        </w:rPr>
        <w:lastRenderedPageBreak/>
        <w:t>numeral 4 del acuerdo del Superintendente SGV-A-198 que hace referencia a una disposición anterior al Acuerdo CONASSIF 5-24 17 y que fue derogada.</w:t>
      </w:r>
    </w:p>
    <w:p w14:paraId="26565629" w14:textId="77777777" w:rsidR="002B30F9" w:rsidRPr="004E4E4A" w:rsidRDefault="002B30F9" w:rsidP="002B30F9">
      <w:pPr>
        <w:tabs>
          <w:tab w:val="left" w:pos="567"/>
        </w:tabs>
        <w:ind w:left="567" w:right="-193"/>
        <w:jc w:val="both"/>
        <w:rPr>
          <w:rFonts w:ascii="Roboto" w:hAnsi="Roboto" w:cs="Arial"/>
          <w:sz w:val="22"/>
          <w:szCs w:val="22"/>
        </w:rPr>
      </w:pPr>
    </w:p>
    <w:p w14:paraId="4FC17320" w14:textId="4B77A702" w:rsidR="00FD6CAF" w:rsidRPr="004E4E4A" w:rsidRDefault="002B30F9" w:rsidP="00973D16">
      <w:pPr>
        <w:numPr>
          <w:ilvl w:val="0"/>
          <w:numId w:val="12"/>
        </w:numPr>
        <w:tabs>
          <w:tab w:val="left" w:pos="567"/>
        </w:tabs>
        <w:ind w:left="567" w:right="-193" w:hanging="567"/>
        <w:jc w:val="both"/>
        <w:rPr>
          <w:rFonts w:ascii="Roboto" w:hAnsi="Roboto" w:cs="Arial"/>
          <w:sz w:val="22"/>
          <w:szCs w:val="22"/>
        </w:rPr>
      </w:pPr>
      <w:r w:rsidRPr="004E4E4A">
        <w:rPr>
          <w:rFonts w:ascii="Roboto" w:hAnsi="Roboto" w:cs="Arial"/>
          <w:sz w:val="22"/>
          <w:szCs w:val="22"/>
        </w:rPr>
        <w:t>La Superintendencia, mediante el oficio C03/0 Ref: 1868 del 4 de setiembre de 2023 y con fundamento en el artículo 361 de la Ley General de la Administración Pública, remitió en consulta pública estas modificaciones con el propósito de recabar las observaciones y comentarios de las entidades sujetas a su alcance. Como resultado de este procedimiento, se elaboró la versión que se aprueba mediante el presente acto.</w:t>
      </w:r>
    </w:p>
    <w:p w14:paraId="3B10C537" w14:textId="77777777" w:rsidR="00FD6CAF" w:rsidRPr="004E4E4A" w:rsidRDefault="00FD6CAF" w:rsidP="00FD6CAF">
      <w:pPr>
        <w:tabs>
          <w:tab w:val="left" w:pos="567"/>
        </w:tabs>
        <w:ind w:right="-193"/>
        <w:jc w:val="both"/>
        <w:rPr>
          <w:rFonts w:ascii="Roboto" w:hAnsi="Roboto" w:cs="Arial"/>
          <w:sz w:val="22"/>
          <w:szCs w:val="22"/>
        </w:rPr>
      </w:pPr>
    </w:p>
    <w:p w14:paraId="66A62496" w14:textId="608B3553" w:rsidR="004F2251" w:rsidRPr="004E4E4A" w:rsidRDefault="004F2251" w:rsidP="00EB0DE8">
      <w:pPr>
        <w:jc w:val="both"/>
        <w:rPr>
          <w:rFonts w:ascii="Roboto" w:eastAsia="Calibri" w:hAnsi="Roboto" w:cs="Arial"/>
          <w:b/>
          <w:bCs/>
          <w:sz w:val="22"/>
          <w:szCs w:val="22"/>
        </w:rPr>
      </w:pPr>
      <w:r w:rsidRPr="004E4E4A">
        <w:rPr>
          <w:rFonts w:ascii="Roboto" w:eastAsia="Calibri" w:hAnsi="Roboto" w:cs="Arial"/>
          <w:b/>
          <w:bCs/>
          <w:sz w:val="22"/>
          <w:szCs w:val="22"/>
        </w:rPr>
        <w:t>Por tanto:</w:t>
      </w:r>
    </w:p>
    <w:p w14:paraId="0ED66A48" w14:textId="77777777" w:rsidR="004F2251" w:rsidRPr="004E4E4A" w:rsidRDefault="004F2251" w:rsidP="00EB0DE8">
      <w:pPr>
        <w:jc w:val="both"/>
        <w:rPr>
          <w:rFonts w:ascii="Arial" w:eastAsia="Calibri" w:hAnsi="Arial" w:cs="Arial"/>
          <w:szCs w:val="22"/>
          <w:lang w:eastAsia="en-US"/>
        </w:rPr>
      </w:pPr>
    </w:p>
    <w:p w14:paraId="52B81330" w14:textId="436E8A08" w:rsidR="004F2251" w:rsidRPr="004E4E4A" w:rsidRDefault="00B43615" w:rsidP="00DB7121">
      <w:pPr>
        <w:jc w:val="both"/>
        <w:rPr>
          <w:rFonts w:ascii="Roboto" w:hAnsi="Roboto" w:cs="Arial"/>
          <w:b/>
          <w:sz w:val="22"/>
          <w:szCs w:val="22"/>
        </w:rPr>
      </w:pPr>
      <w:r w:rsidRPr="004E4E4A">
        <w:rPr>
          <w:rFonts w:ascii="Roboto" w:hAnsi="Roboto" w:cs="Arial"/>
          <w:b/>
          <w:szCs w:val="22"/>
        </w:rPr>
        <w:t>SGV-A-</w:t>
      </w:r>
      <w:sdt>
        <w:sdtPr>
          <w:rPr>
            <w:rFonts w:ascii="Roboto" w:hAnsi="Roboto" w:cs="Arial"/>
            <w:b/>
            <w:szCs w:val="22"/>
          </w:rPr>
          <w:alias w:val="Consecutivo Interno"/>
          <w:tag w:val="ConsecutivoInterno"/>
          <w:id w:val="732668371"/>
          <w:placeholder>
            <w:docPart w:val="FC0CDEDD457D4069A920059EF7413440"/>
          </w:placeholder>
          <w:showingPlcHdr/>
          <w:text/>
        </w:sdtPr>
        <w:sdtEndPr/>
        <w:sdtContent>
          <w:r w:rsidRPr="004E4E4A">
            <w:rPr>
              <w:rStyle w:val="Textodelmarcadordeposicin"/>
              <w:rFonts w:ascii="Roboto" w:eastAsiaTheme="minorHAnsi" w:hAnsi="Roboto"/>
            </w:rPr>
            <w:t>15</w:t>
          </w:r>
        </w:sdtContent>
      </w:sdt>
      <w:r w:rsidRPr="004E4E4A">
        <w:rPr>
          <w:rFonts w:ascii="Roboto" w:hAnsi="Roboto" w:cs="Arial"/>
          <w:b/>
          <w:szCs w:val="22"/>
        </w:rPr>
        <w:t>-</w:t>
      </w:r>
      <w:sdt>
        <w:sdtPr>
          <w:rPr>
            <w:rFonts w:ascii="Roboto" w:hAnsi="Roboto" w:cs="Arial"/>
            <w:b/>
            <w:szCs w:val="22"/>
          </w:rPr>
          <w:alias w:val="Periodo"/>
          <w:tag w:val="Periodo"/>
          <w:id w:val="-1418706246"/>
          <w:placeholder>
            <w:docPart w:val="222F7813635D42E19CAD2EDADF860189"/>
          </w:placeholder>
          <w:showingPlcHdr/>
          <w:text/>
        </w:sdtPr>
        <w:sdtEndPr/>
        <w:sdtContent>
          <w:r w:rsidRPr="004E4E4A">
            <w:rPr>
              <w:rStyle w:val="Textodelmarcadordeposicin"/>
              <w:rFonts w:ascii="Roboto" w:eastAsiaTheme="minorHAnsi" w:hAnsi="Roboto"/>
            </w:rPr>
            <w:t>2026</w:t>
          </w:r>
        </w:sdtContent>
      </w:sdt>
      <w:r w:rsidR="004F2251" w:rsidRPr="004E4E4A">
        <w:rPr>
          <w:rFonts w:ascii="Roboto" w:hAnsi="Roboto" w:cs="Arial"/>
          <w:b/>
          <w:szCs w:val="22"/>
        </w:rPr>
        <w:t>.</w:t>
      </w:r>
      <w:r w:rsidR="004F2251" w:rsidRPr="004E4E4A">
        <w:rPr>
          <w:rFonts w:ascii="Arial" w:hAnsi="Arial" w:cs="Arial"/>
          <w:b/>
          <w:szCs w:val="22"/>
        </w:rPr>
        <w:t xml:space="preserve"> </w:t>
      </w:r>
      <w:r w:rsidR="00DB7121" w:rsidRPr="004E4E4A">
        <w:rPr>
          <w:rFonts w:ascii="Roboto" w:hAnsi="Roboto" w:cs="Arial"/>
          <w:b/>
          <w:sz w:val="22"/>
          <w:szCs w:val="22"/>
        </w:rPr>
        <w:t>REFORMA PARCIAL A LOS ACUERDOS “SGV-A-61. ACUERDO SOBRE HECHOS RELEVANTES”, “SGV-A-198 ACUERDO PARA LA IMPLANTACIÓN DEL REGLAMENTO DE CUSTODIA” Y “SGV-A-170 DISPOSICIONES OPERATIVAS DE LAS SOCIEDADES ADMINISTRADORAS DE FONDOS DE INVERSIÓN</w:t>
      </w:r>
    </w:p>
    <w:p w14:paraId="7AC4F9C4" w14:textId="77777777" w:rsidR="004F2251" w:rsidRPr="004E4E4A" w:rsidRDefault="004F2251" w:rsidP="00EB0DE8">
      <w:pPr>
        <w:jc w:val="center"/>
        <w:rPr>
          <w:rFonts w:ascii="Roboto" w:hAnsi="Roboto" w:cs="Arial"/>
          <w:b/>
          <w:sz w:val="22"/>
          <w:szCs w:val="22"/>
        </w:rPr>
      </w:pPr>
      <w:r w:rsidRPr="004E4E4A">
        <w:rPr>
          <w:rFonts w:ascii="Roboto" w:hAnsi="Roboto" w:cs="Arial"/>
          <w:b/>
          <w:sz w:val="22"/>
          <w:szCs w:val="22"/>
        </w:rPr>
        <w:t xml:space="preserve">  </w:t>
      </w:r>
    </w:p>
    <w:p w14:paraId="71AED288" w14:textId="3C192E03" w:rsidR="004F2251" w:rsidRPr="004E4E4A" w:rsidRDefault="004F2251" w:rsidP="00EB0DE8">
      <w:pPr>
        <w:jc w:val="both"/>
        <w:rPr>
          <w:rFonts w:ascii="Roboto" w:eastAsia="Calibri" w:hAnsi="Roboto" w:cs="Arial"/>
          <w:bCs/>
          <w:color w:val="000000"/>
          <w:sz w:val="22"/>
          <w:szCs w:val="22"/>
          <w:lang w:eastAsia="es-CR"/>
        </w:rPr>
      </w:pPr>
      <w:r w:rsidRPr="004E4E4A">
        <w:rPr>
          <w:rFonts w:ascii="Roboto" w:eastAsia="Calibri" w:hAnsi="Roboto" w:cs="Arial"/>
          <w:b/>
          <w:color w:val="000000"/>
          <w:sz w:val="22"/>
          <w:szCs w:val="22"/>
          <w:lang w:eastAsia="es-CR"/>
        </w:rPr>
        <w:t>Artículo 1.-</w:t>
      </w:r>
      <w:r w:rsidRPr="004E4E4A">
        <w:rPr>
          <w:rFonts w:ascii="Roboto" w:eastAsia="Calibri" w:hAnsi="Roboto" w:cs="Arial"/>
          <w:b/>
          <w:color w:val="000000"/>
          <w:sz w:val="22"/>
          <w:szCs w:val="22"/>
          <w:lang w:eastAsia="es-CR"/>
        </w:rPr>
        <w:tab/>
      </w:r>
      <w:r w:rsidR="002A044E" w:rsidRPr="004E4E4A">
        <w:rPr>
          <w:rFonts w:ascii="Roboto" w:eastAsia="Calibri" w:hAnsi="Roboto" w:cs="Arial"/>
          <w:bCs/>
          <w:color w:val="000000"/>
          <w:sz w:val="22"/>
          <w:szCs w:val="22"/>
          <w:lang w:eastAsia="es-CR"/>
        </w:rPr>
        <w:t>Modifíquese la cuarta línea del Anexo del Acuerdo del Superintendente SGV-A-61 Acuerdo sobre Hechos Relevantes, para que se lea de la siguiente manera:</w:t>
      </w:r>
    </w:p>
    <w:p w14:paraId="02A90362" w14:textId="77777777" w:rsidR="002A044E" w:rsidRPr="004E4E4A" w:rsidRDefault="002A044E" w:rsidP="00EB0DE8">
      <w:pPr>
        <w:jc w:val="both"/>
        <w:rPr>
          <w:rFonts w:ascii="Roboto" w:eastAsia="Calibri" w:hAnsi="Roboto" w:cs="Arial"/>
          <w:bCs/>
          <w:color w:val="000000"/>
          <w:sz w:val="22"/>
          <w:szCs w:val="22"/>
          <w:lang w:eastAsia="es-CR"/>
        </w:rPr>
      </w:pPr>
    </w:p>
    <w:tbl>
      <w:tblPr>
        <w:tblW w:w="9390" w:type="dxa"/>
        <w:tblInd w:w="40" w:type="dxa"/>
        <w:tblCellMar>
          <w:left w:w="70" w:type="dxa"/>
          <w:right w:w="70" w:type="dxa"/>
        </w:tblCellMar>
        <w:tblLook w:val="04A0" w:firstRow="1" w:lastRow="0" w:firstColumn="1" w:lastColumn="0" w:noHBand="0" w:noVBand="1"/>
      </w:tblPr>
      <w:tblGrid>
        <w:gridCol w:w="2672"/>
        <w:gridCol w:w="1219"/>
        <w:gridCol w:w="1602"/>
        <w:gridCol w:w="3897"/>
      </w:tblGrid>
      <w:tr w:rsidR="003A1385" w:rsidRPr="004E4E4A" w14:paraId="04C3D6B0" w14:textId="77777777" w:rsidTr="004276B7">
        <w:trPr>
          <w:trHeight w:val="900"/>
          <w:tblHeader/>
        </w:trPr>
        <w:tc>
          <w:tcPr>
            <w:tcW w:w="2705" w:type="dxa"/>
            <w:tcBorders>
              <w:top w:val="single" w:sz="4" w:space="0" w:color="auto"/>
              <w:left w:val="single" w:sz="4" w:space="0" w:color="auto"/>
              <w:bottom w:val="single" w:sz="4" w:space="0" w:color="auto"/>
              <w:right w:val="single" w:sz="4" w:space="0" w:color="auto"/>
            </w:tcBorders>
            <w:vAlign w:val="center"/>
            <w:hideMark/>
          </w:tcPr>
          <w:p w14:paraId="314AC900" w14:textId="77777777" w:rsidR="003A1385" w:rsidRPr="004E4E4A" w:rsidRDefault="003A1385" w:rsidP="005F341A">
            <w:pPr>
              <w:jc w:val="center"/>
              <w:rPr>
                <w:rFonts w:ascii="Roboto" w:hAnsi="Roboto" w:cs="Arial"/>
                <w:b/>
                <w:bCs/>
                <w:i/>
                <w:iCs/>
                <w:color w:val="000000" w:themeColor="text1"/>
                <w:sz w:val="22"/>
                <w:szCs w:val="22"/>
                <w:lang w:eastAsia="es-CR"/>
              </w:rPr>
            </w:pPr>
            <w:r w:rsidRPr="004E4E4A">
              <w:rPr>
                <w:rFonts w:ascii="Roboto" w:hAnsi="Roboto" w:cs="Arial"/>
                <w:b/>
                <w:bCs/>
                <w:i/>
                <w:iCs/>
                <w:color w:val="000000" w:themeColor="text1"/>
                <w:sz w:val="22"/>
                <w:szCs w:val="22"/>
                <w:lang w:val="es-CR" w:eastAsia="es-CR"/>
              </w:rPr>
              <w:t>“LISTA NO EXHAUSTIVA DE HECHOS RELEVANTES</w:t>
            </w:r>
          </w:p>
        </w:tc>
        <w:tc>
          <w:tcPr>
            <w:tcW w:w="1219" w:type="dxa"/>
            <w:tcBorders>
              <w:top w:val="single" w:sz="4" w:space="0" w:color="auto"/>
              <w:left w:val="nil"/>
              <w:bottom w:val="single" w:sz="4" w:space="0" w:color="auto"/>
              <w:right w:val="single" w:sz="4" w:space="0" w:color="auto"/>
            </w:tcBorders>
            <w:vAlign w:val="center"/>
            <w:hideMark/>
          </w:tcPr>
          <w:p w14:paraId="1D0DD64D" w14:textId="77777777" w:rsidR="003A1385" w:rsidRPr="004E4E4A" w:rsidRDefault="003A1385" w:rsidP="005F341A">
            <w:pPr>
              <w:jc w:val="center"/>
              <w:rPr>
                <w:rFonts w:ascii="Roboto" w:hAnsi="Roboto" w:cs="Arial"/>
                <w:b/>
                <w:bCs/>
                <w:color w:val="000000" w:themeColor="text1"/>
                <w:sz w:val="22"/>
                <w:szCs w:val="22"/>
                <w:lang w:eastAsia="es-CR"/>
              </w:rPr>
            </w:pPr>
            <w:r w:rsidRPr="004E4E4A">
              <w:rPr>
                <w:rFonts w:ascii="Roboto" w:hAnsi="Roboto" w:cs="Arial"/>
                <w:b/>
                <w:bCs/>
                <w:color w:val="000000" w:themeColor="text1"/>
                <w:sz w:val="22"/>
                <w:szCs w:val="22"/>
                <w:lang w:eastAsia="es-CR"/>
              </w:rPr>
              <w:t>EMISORES DE DEUDA</w:t>
            </w:r>
          </w:p>
        </w:tc>
        <w:tc>
          <w:tcPr>
            <w:tcW w:w="1473" w:type="dxa"/>
            <w:tcBorders>
              <w:top w:val="single" w:sz="4" w:space="0" w:color="auto"/>
              <w:left w:val="nil"/>
              <w:bottom w:val="single" w:sz="4" w:space="0" w:color="auto"/>
              <w:right w:val="single" w:sz="4" w:space="0" w:color="auto"/>
            </w:tcBorders>
            <w:vAlign w:val="center"/>
            <w:hideMark/>
          </w:tcPr>
          <w:p w14:paraId="36E2FE85" w14:textId="77777777" w:rsidR="003A1385" w:rsidRPr="004E4E4A" w:rsidRDefault="003A1385" w:rsidP="005F341A">
            <w:pPr>
              <w:jc w:val="center"/>
              <w:rPr>
                <w:rFonts w:ascii="Roboto" w:hAnsi="Roboto" w:cs="Arial"/>
                <w:b/>
                <w:bCs/>
                <w:color w:val="000000" w:themeColor="text1"/>
                <w:sz w:val="22"/>
                <w:szCs w:val="22"/>
                <w:lang w:val="es-CR" w:eastAsia="es-CR"/>
              </w:rPr>
            </w:pPr>
            <w:r w:rsidRPr="004E4E4A">
              <w:rPr>
                <w:rFonts w:ascii="Roboto" w:hAnsi="Roboto" w:cs="Arial"/>
                <w:b/>
                <w:bCs/>
                <w:color w:val="000000" w:themeColor="text1"/>
                <w:sz w:val="22"/>
                <w:szCs w:val="22"/>
                <w:lang w:val="es-CR" w:eastAsia="es-CR"/>
              </w:rPr>
              <w:t>EMISORES DE VALORES DE CONTENIDO PATRIMONIAL O MIXTO</w:t>
            </w:r>
          </w:p>
        </w:tc>
        <w:tc>
          <w:tcPr>
            <w:tcW w:w="3993" w:type="dxa"/>
            <w:tcBorders>
              <w:top w:val="single" w:sz="4" w:space="0" w:color="auto"/>
              <w:left w:val="nil"/>
              <w:bottom w:val="single" w:sz="4" w:space="0" w:color="auto"/>
              <w:right w:val="single" w:sz="4" w:space="0" w:color="auto"/>
            </w:tcBorders>
            <w:shd w:val="clear" w:color="auto" w:fill="FFFFFF"/>
            <w:vAlign w:val="center"/>
            <w:hideMark/>
          </w:tcPr>
          <w:p w14:paraId="3D4B1726" w14:textId="77777777" w:rsidR="003A1385" w:rsidRPr="004E4E4A" w:rsidRDefault="003A1385" w:rsidP="005F341A">
            <w:pPr>
              <w:jc w:val="center"/>
              <w:rPr>
                <w:rFonts w:ascii="Roboto" w:hAnsi="Roboto" w:cs="Arial"/>
                <w:b/>
                <w:bCs/>
                <w:color w:val="000000" w:themeColor="text1"/>
                <w:sz w:val="22"/>
                <w:szCs w:val="22"/>
                <w:lang w:eastAsia="es-CR"/>
              </w:rPr>
            </w:pPr>
            <w:r w:rsidRPr="004E4E4A">
              <w:rPr>
                <w:rFonts w:ascii="Roboto" w:hAnsi="Roboto" w:cs="Arial"/>
                <w:b/>
                <w:bCs/>
                <w:color w:val="000000" w:themeColor="text1"/>
                <w:sz w:val="22"/>
                <w:szCs w:val="22"/>
                <w:lang w:eastAsia="es-CR"/>
              </w:rPr>
              <w:t>OTROS</w:t>
            </w:r>
          </w:p>
        </w:tc>
      </w:tr>
      <w:tr w:rsidR="003A1385" w:rsidRPr="004E4E4A" w14:paraId="11B1E9A3" w14:textId="77777777" w:rsidTr="004276B7">
        <w:trPr>
          <w:trHeight w:val="705"/>
          <w:tblHeader/>
        </w:trPr>
        <w:tc>
          <w:tcPr>
            <w:tcW w:w="9390" w:type="dxa"/>
            <w:gridSpan w:val="4"/>
            <w:tcBorders>
              <w:top w:val="single" w:sz="4" w:space="0" w:color="auto"/>
              <w:left w:val="single" w:sz="4" w:space="0" w:color="auto"/>
              <w:bottom w:val="single" w:sz="4" w:space="0" w:color="auto"/>
              <w:right w:val="single" w:sz="4" w:space="0" w:color="000000"/>
            </w:tcBorders>
            <w:shd w:val="clear" w:color="auto" w:fill="B4C6E7"/>
            <w:vAlign w:val="center"/>
            <w:hideMark/>
          </w:tcPr>
          <w:p w14:paraId="680FD528" w14:textId="77777777" w:rsidR="003A1385" w:rsidRPr="004E4E4A" w:rsidRDefault="003A1385" w:rsidP="005F341A">
            <w:pPr>
              <w:jc w:val="center"/>
              <w:rPr>
                <w:rFonts w:ascii="Roboto" w:hAnsi="Roboto" w:cs="Arial"/>
                <w:b/>
                <w:bCs/>
                <w:i/>
                <w:iCs/>
                <w:color w:val="0070C0"/>
                <w:sz w:val="22"/>
                <w:szCs w:val="22"/>
                <w:lang w:eastAsia="es-CR"/>
              </w:rPr>
            </w:pPr>
            <w:r w:rsidRPr="004E4E4A">
              <w:rPr>
                <w:rFonts w:ascii="Roboto" w:hAnsi="Roboto" w:cs="Arial"/>
                <w:b/>
                <w:bCs/>
                <w:i/>
                <w:iCs/>
                <w:color w:val="0070C0"/>
                <w:sz w:val="22"/>
                <w:szCs w:val="22"/>
                <w:lang w:eastAsia="es-CR"/>
              </w:rPr>
              <w:t>“Gobierno Corporativo</w:t>
            </w:r>
          </w:p>
          <w:p w14:paraId="42715AB7" w14:textId="77777777" w:rsidR="003A1385" w:rsidRPr="004E4E4A" w:rsidRDefault="003A1385" w:rsidP="005F341A">
            <w:pPr>
              <w:jc w:val="center"/>
              <w:rPr>
                <w:rFonts w:ascii="Roboto" w:hAnsi="Roboto" w:cs="Arial"/>
                <w:i/>
                <w:iCs/>
                <w:color w:val="0070C0"/>
                <w:sz w:val="22"/>
                <w:szCs w:val="22"/>
                <w:lang w:eastAsia="es-CR"/>
              </w:rPr>
            </w:pPr>
            <w:r w:rsidRPr="004E4E4A">
              <w:rPr>
                <w:rFonts w:ascii="Roboto" w:hAnsi="Roboto" w:cs="Arial"/>
                <w:i/>
                <w:iCs/>
                <w:color w:val="0070C0"/>
                <w:sz w:val="22"/>
                <w:szCs w:val="22"/>
                <w:lang w:eastAsia="es-CR"/>
              </w:rPr>
              <w:t> </w:t>
            </w:r>
          </w:p>
        </w:tc>
      </w:tr>
      <w:tr w:rsidR="003A1385" w:rsidRPr="004E4E4A" w14:paraId="0B324127" w14:textId="77777777" w:rsidTr="00E06B22">
        <w:trPr>
          <w:trHeight w:val="410"/>
        </w:trPr>
        <w:tc>
          <w:tcPr>
            <w:tcW w:w="2705" w:type="dxa"/>
            <w:tcBorders>
              <w:top w:val="single" w:sz="4" w:space="0" w:color="auto"/>
              <w:left w:val="single" w:sz="4" w:space="0" w:color="auto"/>
              <w:bottom w:val="single" w:sz="4" w:space="0" w:color="auto"/>
              <w:right w:val="single" w:sz="4" w:space="0" w:color="auto"/>
            </w:tcBorders>
          </w:tcPr>
          <w:p w14:paraId="715CCCCE" w14:textId="77777777" w:rsidR="003A1385" w:rsidRPr="004E4E4A" w:rsidRDefault="003A1385" w:rsidP="005F341A">
            <w:pPr>
              <w:jc w:val="both"/>
              <w:rPr>
                <w:rFonts w:ascii="Roboto" w:hAnsi="Roboto" w:cs="Arial"/>
                <w:i/>
                <w:iCs/>
                <w:color w:val="000000" w:themeColor="text1"/>
                <w:sz w:val="22"/>
                <w:szCs w:val="22"/>
                <w:lang w:val="es-CR" w:eastAsia="es-CR"/>
              </w:rPr>
            </w:pPr>
            <w:r w:rsidRPr="004E4E4A">
              <w:rPr>
                <w:rFonts w:ascii="Roboto" w:hAnsi="Roboto" w:cs="Arial"/>
                <w:i/>
                <w:iCs/>
                <w:color w:val="000000" w:themeColor="text1"/>
                <w:sz w:val="22"/>
                <w:szCs w:val="22"/>
                <w:lang w:val="es-CR" w:eastAsia="es-CR"/>
              </w:rPr>
              <w:t>(…)</w:t>
            </w:r>
          </w:p>
        </w:tc>
        <w:tc>
          <w:tcPr>
            <w:tcW w:w="1219" w:type="dxa"/>
            <w:tcBorders>
              <w:top w:val="nil"/>
              <w:left w:val="nil"/>
              <w:bottom w:val="single" w:sz="4" w:space="0" w:color="auto"/>
              <w:right w:val="single" w:sz="4" w:space="0" w:color="auto"/>
            </w:tcBorders>
            <w:noWrap/>
            <w:vAlign w:val="center"/>
          </w:tcPr>
          <w:p w14:paraId="1029FCB1" w14:textId="77777777" w:rsidR="003A1385" w:rsidRPr="004E4E4A" w:rsidRDefault="003A1385" w:rsidP="005F341A">
            <w:pPr>
              <w:jc w:val="center"/>
              <w:rPr>
                <w:rFonts w:ascii="Roboto" w:hAnsi="Roboto" w:cs="Arial"/>
                <w:color w:val="000000" w:themeColor="text1"/>
                <w:sz w:val="22"/>
                <w:szCs w:val="22"/>
                <w:lang w:eastAsia="es-CR"/>
              </w:rPr>
            </w:pPr>
          </w:p>
        </w:tc>
        <w:tc>
          <w:tcPr>
            <w:tcW w:w="1473" w:type="dxa"/>
            <w:tcBorders>
              <w:top w:val="nil"/>
              <w:left w:val="nil"/>
              <w:bottom w:val="single" w:sz="4" w:space="0" w:color="auto"/>
              <w:right w:val="single" w:sz="4" w:space="0" w:color="auto"/>
            </w:tcBorders>
            <w:vAlign w:val="center"/>
          </w:tcPr>
          <w:p w14:paraId="35CFBD89" w14:textId="77777777" w:rsidR="003A1385" w:rsidRPr="004E4E4A" w:rsidRDefault="003A1385" w:rsidP="005F341A">
            <w:pPr>
              <w:jc w:val="center"/>
              <w:rPr>
                <w:rFonts w:ascii="Roboto" w:hAnsi="Roboto" w:cs="Arial"/>
                <w:color w:val="000000" w:themeColor="text1"/>
                <w:sz w:val="22"/>
                <w:szCs w:val="22"/>
                <w:lang w:eastAsia="es-CR"/>
              </w:rPr>
            </w:pPr>
          </w:p>
        </w:tc>
        <w:tc>
          <w:tcPr>
            <w:tcW w:w="3993" w:type="dxa"/>
            <w:tcBorders>
              <w:top w:val="nil"/>
              <w:left w:val="nil"/>
              <w:bottom w:val="single" w:sz="4" w:space="0" w:color="auto"/>
              <w:right w:val="single" w:sz="4" w:space="0" w:color="auto"/>
            </w:tcBorders>
            <w:vAlign w:val="center"/>
          </w:tcPr>
          <w:p w14:paraId="7DA70330" w14:textId="77777777" w:rsidR="003A1385" w:rsidRPr="004E4E4A" w:rsidRDefault="003A1385" w:rsidP="005F341A">
            <w:pPr>
              <w:jc w:val="center"/>
              <w:rPr>
                <w:rFonts w:ascii="Roboto" w:hAnsi="Roboto" w:cs="Arial"/>
                <w:color w:val="000000" w:themeColor="text1"/>
                <w:sz w:val="22"/>
                <w:szCs w:val="22"/>
                <w:lang w:eastAsia="es-CR"/>
              </w:rPr>
            </w:pPr>
          </w:p>
        </w:tc>
      </w:tr>
      <w:tr w:rsidR="003A1385" w:rsidRPr="004E4E4A" w14:paraId="404093B9" w14:textId="77777777" w:rsidTr="00E06B22">
        <w:trPr>
          <w:trHeight w:val="1035"/>
        </w:trPr>
        <w:tc>
          <w:tcPr>
            <w:tcW w:w="2705" w:type="dxa"/>
            <w:tcBorders>
              <w:top w:val="single" w:sz="4" w:space="0" w:color="auto"/>
              <w:left w:val="single" w:sz="4" w:space="0" w:color="auto"/>
              <w:bottom w:val="single" w:sz="4" w:space="0" w:color="auto"/>
              <w:right w:val="nil"/>
            </w:tcBorders>
            <w:hideMark/>
          </w:tcPr>
          <w:p w14:paraId="21FA1A42" w14:textId="77777777" w:rsidR="003A1385" w:rsidRPr="004E4E4A" w:rsidRDefault="003A1385" w:rsidP="005F341A">
            <w:pPr>
              <w:jc w:val="both"/>
              <w:rPr>
                <w:rFonts w:ascii="Roboto" w:hAnsi="Roboto" w:cs="Arial"/>
                <w:i/>
                <w:iCs/>
                <w:color w:val="000000" w:themeColor="text1"/>
                <w:sz w:val="22"/>
                <w:szCs w:val="22"/>
                <w:lang w:val="es-CR"/>
              </w:rPr>
            </w:pPr>
            <w:r w:rsidRPr="004E4E4A">
              <w:rPr>
                <w:rFonts w:ascii="Roboto" w:hAnsi="Roboto" w:cs="Arial"/>
                <w:i/>
                <w:iCs/>
                <w:color w:val="000000" w:themeColor="text1"/>
                <w:sz w:val="22"/>
                <w:szCs w:val="22"/>
                <w:lang w:val="es-CR"/>
              </w:rPr>
              <w:t xml:space="preserve">Convocatoria a Asambleas ordinarias y extraordinarias de accionistas de un Emisor o un Fondo de Inversión. </w:t>
            </w:r>
          </w:p>
          <w:p w14:paraId="12CE2C72" w14:textId="5B63BEF8" w:rsidR="003A1385" w:rsidRPr="004E4E4A" w:rsidRDefault="003A1385" w:rsidP="005F341A">
            <w:pPr>
              <w:jc w:val="both"/>
              <w:rPr>
                <w:rFonts w:ascii="Roboto" w:hAnsi="Roboto" w:cs="Arial"/>
                <w:i/>
                <w:iCs/>
                <w:color w:val="000000" w:themeColor="text1"/>
                <w:sz w:val="22"/>
                <w:szCs w:val="22"/>
                <w:lang w:val="es-CR" w:eastAsia="es-CR"/>
              </w:rPr>
            </w:pPr>
            <w:r w:rsidRPr="004E4E4A">
              <w:rPr>
                <w:rFonts w:ascii="Roboto" w:hAnsi="Roboto" w:cs="Arial"/>
                <w:i/>
                <w:iCs/>
                <w:color w:val="000000" w:themeColor="text1"/>
                <w:sz w:val="22"/>
                <w:szCs w:val="22"/>
                <w:lang w:val="es-CR"/>
              </w:rPr>
              <w:t xml:space="preserve">Además, deberá indicarse la fecha de cierre del libro de accionistas o inversionistas para efectos de determinar cuáles tendrán derecho de asistir a la asamblea, </w:t>
            </w:r>
            <w:r w:rsidR="00CD084C" w:rsidRPr="004E4E4A">
              <w:rPr>
                <w:rFonts w:ascii="Roboto" w:hAnsi="Roboto" w:cs="Arial"/>
                <w:i/>
                <w:iCs/>
                <w:color w:val="000000" w:themeColor="text1"/>
                <w:sz w:val="22"/>
                <w:szCs w:val="22"/>
                <w:lang w:val="es-CR"/>
              </w:rPr>
              <w:t xml:space="preserve">así como el lugar o medio donde estará disponible, desde la fecha de la convocatoria, para los </w:t>
            </w:r>
            <w:r w:rsidR="00CD084C" w:rsidRPr="004E4E4A">
              <w:rPr>
                <w:rFonts w:ascii="Roboto" w:hAnsi="Roboto" w:cs="Arial"/>
                <w:i/>
                <w:iCs/>
                <w:color w:val="000000" w:themeColor="text1"/>
                <w:sz w:val="22"/>
                <w:szCs w:val="22"/>
                <w:lang w:val="es-CR"/>
              </w:rPr>
              <w:lastRenderedPageBreak/>
              <w:t>accionistas o inversionistas debidamente acreditados, según corresponda, la información y documentación relativa a los asuntos a tratar en el orden del día de la Asamblea.</w:t>
            </w:r>
            <w:r w:rsidRPr="004E4E4A">
              <w:rPr>
                <w:rFonts w:ascii="Roboto" w:hAnsi="Roboto" w:cs="Arial"/>
                <w:i/>
                <w:iCs/>
                <w:color w:val="000000" w:themeColor="text1"/>
                <w:sz w:val="22"/>
                <w:szCs w:val="22"/>
                <w:lang w:val="es-CR"/>
              </w:rPr>
              <w:t xml:space="preserve"> En el caso de fondos de capital de riesgo, esto aplica solo para aquellos cuyas participaciones estén registradas para su negociación en un mercado secundario organizado.</w:t>
            </w:r>
          </w:p>
        </w:tc>
        <w:tc>
          <w:tcPr>
            <w:tcW w:w="1219" w:type="dxa"/>
            <w:tcBorders>
              <w:top w:val="single" w:sz="4" w:space="0" w:color="auto"/>
              <w:left w:val="single" w:sz="4" w:space="0" w:color="auto"/>
              <w:bottom w:val="single" w:sz="4" w:space="0" w:color="auto"/>
              <w:right w:val="single" w:sz="4" w:space="0" w:color="auto"/>
            </w:tcBorders>
            <w:noWrap/>
            <w:vAlign w:val="center"/>
          </w:tcPr>
          <w:p w14:paraId="0A8BDC6C" w14:textId="77777777" w:rsidR="003A1385" w:rsidRPr="004E4E4A" w:rsidRDefault="003A1385" w:rsidP="005F341A">
            <w:pPr>
              <w:jc w:val="center"/>
              <w:rPr>
                <w:rFonts w:ascii="Roboto" w:hAnsi="Roboto" w:cs="Arial"/>
                <w:color w:val="000000" w:themeColor="text1"/>
                <w:sz w:val="22"/>
                <w:szCs w:val="22"/>
                <w:lang w:val="es-CR" w:eastAsia="es-CR"/>
              </w:rPr>
            </w:pPr>
          </w:p>
        </w:tc>
        <w:tc>
          <w:tcPr>
            <w:tcW w:w="1473" w:type="dxa"/>
            <w:tcBorders>
              <w:top w:val="single" w:sz="4" w:space="0" w:color="auto"/>
              <w:left w:val="nil"/>
              <w:bottom w:val="single" w:sz="4" w:space="0" w:color="auto"/>
              <w:right w:val="single" w:sz="4" w:space="0" w:color="auto"/>
            </w:tcBorders>
            <w:vAlign w:val="center"/>
            <w:hideMark/>
          </w:tcPr>
          <w:p w14:paraId="3293C7E5" w14:textId="77777777" w:rsidR="003A1385" w:rsidRPr="004E4E4A" w:rsidRDefault="003A1385" w:rsidP="005F341A">
            <w:pPr>
              <w:jc w:val="center"/>
              <w:rPr>
                <w:rFonts w:ascii="Roboto" w:hAnsi="Roboto" w:cs="Arial"/>
                <w:color w:val="000000" w:themeColor="text1"/>
                <w:sz w:val="22"/>
                <w:szCs w:val="22"/>
                <w:lang w:eastAsia="es-CR"/>
              </w:rPr>
            </w:pPr>
            <w:r w:rsidRPr="004E4E4A">
              <w:rPr>
                <w:rFonts w:ascii="Roboto" w:hAnsi="Roboto" w:cs="Arial"/>
                <w:color w:val="000000" w:themeColor="text1"/>
                <w:sz w:val="22"/>
                <w:szCs w:val="22"/>
              </w:rPr>
              <w:t>X</w:t>
            </w:r>
          </w:p>
        </w:tc>
        <w:tc>
          <w:tcPr>
            <w:tcW w:w="3993" w:type="dxa"/>
            <w:tcBorders>
              <w:top w:val="single" w:sz="4" w:space="0" w:color="auto"/>
              <w:left w:val="nil"/>
              <w:bottom w:val="single" w:sz="4" w:space="0" w:color="auto"/>
              <w:right w:val="single" w:sz="4" w:space="0" w:color="auto"/>
            </w:tcBorders>
            <w:vAlign w:val="center"/>
          </w:tcPr>
          <w:p w14:paraId="6A68598E" w14:textId="77777777" w:rsidR="003A1385" w:rsidRPr="004E4E4A" w:rsidRDefault="003A1385" w:rsidP="005F341A">
            <w:pPr>
              <w:jc w:val="center"/>
              <w:rPr>
                <w:rFonts w:ascii="Roboto" w:hAnsi="Roboto" w:cs="Arial"/>
                <w:color w:val="000000" w:themeColor="text1"/>
                <w:sz w:val="22"/>
                <w:szCs w:val="22"/>
                <w:lang w:eastAsia="es-CR"/>
              </w:rPr>
            </w:pPr>
          </w:p>
        </w:tc>
      </w:tr>
      <w:tr w:rsidR="003A1385" w:rsidRPr="004E4E4A" w14:paraId="6F47D455" w14:textId="77777777" w:rsidTr="00E06B22">
        <w:trPr>
          <w:trHeight w:val="283"/>
        </w:trPr>
        <w:tc>
          <w:tcPr>
            <w:tcW w:w="2705" w:type="dxa"/>
            <w:tcBorders>
              <w:top w:val="single" w:sz="4" w:space="0" w:color="auto"/>
              <w:left w:val="single" w:sz="4" w:space="0" w:color="auto"/>
              <w:bottom w:val="single" w:sz="4" w:space="0" w:color="auto"/>
              <w:right w:val="nil"/>
            </w:tcBorders>
          </w:tcPr>
          <w:p w14:paraId="086FF2B5" w14:textId="77777777" w:rsidR="003A1385" w:rsidRPr="004E4E4A" w:rsidRDefault="003A1385" w:rsidP="005F341A">
            <w:pPr>
              <w:jc w:val="both"/>
              <w:rPr>
                <w:rFonts w:ascii="Roboto" w:hAnsi="Roboto" w:cs="Arial"/>
                <w:i/>
                <w:iCs/>
                <w:color w:val="000000" w:themeColor="text1"/>
                <w:sz w:val="22"/>
                <w:szCs w:val="22"/>
                <w:lang w:val="es-CR"/>
              </w:rPr>
            </w:pPr>
            <w:r w:rsidRPr="004E4E4A">
              <w:rPr>
                <w:rFonts w:ascii="Roboto" w:hAnsi="Roboto" w:cs="Arial"/>
                <w:i/>
                <w:iCs/>
                <w:color w:val="000000" w:themeColor="text1"/>
                <w:sz w:val="22"/>
                <w:szCs w:val="22"/>
                <w:lang w:val="es-CR"/>
              </w:rPr>
              <w:t>(…)”</w:t>
            </w:r>
          </w:p>
        </w:tc>
        <w:tc>
          <w:tcPr>
            <w:tcW w:w="1219" w:type="dxa"/>
            <w:tcBorders>
              <w:top w:val="single" w:sz="4" w:space="0" w:color="auto"/>
              <w:left w:val="single" w:sz="4" w:space="0" w:color="auto"/>
              <w:bottom w:val="single" w:sz="4" w:space="0" w:color="auto"/>
              <w:right w:val="single" w:sz="4" w:space="0" w:color="auto"/>
            </w:tcBorders>
            <w:noWrap/>
            <w:vAlign w:val="center"/>
          </w:tcPr>
          <w:p w14:paraId="49BEBCB4" w14:textId="77777777" w:rsidR="003A1385" w:rsidRPr="004E4E4A" w:rsidRDefault="003A1385" w:rsidP="005F341A">
            <w:pPr>
              <w:jc w:val="center"/>
              <w:rPr>
                <w:rFonts w:ascii="Roboto" w:hAnsi="Roboto" w:cs="Arial"/>
                <w:color w:val="000000" w:themeColor="text1"/>
                <w:sz w:val="22"/>
                <w:szCs w:val="22"/>
                <w:lang w:val="es-CR" w:eastAsia="es-CR"/>
              </w:rPr>
            </w:pPr>
          </w:p>
        </w:tc>
        <w:tc>
          <w:tcPr>
            <w:tcW w:w="1473" w:type="dxa"/>
            <w:tcBorders>
              <w:top w:val="single" w:sz="4" w:space="0" w:color="auto"/>
              <w:left w:val="nil"/>
              <w:bottom w:val="single" w:sz="4" w:space="0" w:color="auto"/>
              <w:right w:val="single" w:sz="4" w:space="0" w:color="auto"/>
            </w:tcBorders>
            <w:vAlign w:val="center"/>
          </w:tcPr>
          <w:p w14:paraId="355A3303" w14:textId="77777777" w:rsidR="003A1385" w:rsidRPr="004E4E4A" w:rsidRDefault="003A1385" w:rsidP="005F341A">
            <w:pPr>
              <w:jc w:val="center"/>
              <w:rPr>
                <w:rFonts w:ascii="Roboto" w:hAnsi="Roboto" w:cs="Arial"/>
                <w:color w:val="000000" w:themeColor="text1"/>
                <w:sz w:val="22"/>
                <w:szCs w:val="22"/>
              </w:rPr>
            </w:pPr>
          </w:p>
        </w:tc>
        <w:tc>
          <w:tcPr>
            <w:tcW w:w="3993" w:type="dxa"/>
            <w:tcBorders>
              <w:top w:val="single" w:sz="4" w:space="0" w:color="auto"/>
              <w:left w:val="nil"/>
              <w:bottom w:val="single" w:sz="4" w:space="0" w:color="auto"/>
              <w:right w:val="single" w:sz="4" w:space="0" w:color="auto"/>
            </w:tcBorders>
            <w:vAlign w:val="center"/>
          </w:tcPr>
          <w:p w14:paraId="6063C9F6" w14:textId="77777777" w:rsidR="003A1385" w:rsidRPr="004E4E4A" w:rsidRDefault="003A1385" w:rsidP="005F341A">
            <w:pPr>
              <w:jc w:val="center"/>
              <w:rPr>
                <w:rFonts w:ascii="Roboto" w:hAnsi="Roboto" w:cs="Arial"/>
                <w:color w:val="000000" w:themeColor="text1"/>
                <w:sz w:val="22"/>
                <w:szCs w:val="22"/>
                <w:lang w:eastAsia="es-CR"/>
              </w:rPr>
            </w:pPr>
          </w:p>
        </w:tc>
      </w:tr>
    </w:tbl>
    <w:p w14:paraId="21FDA7A7" w14:textId="77777777" w:rsidR="002A044E" w:rsidRPr="004E4E4A" w:rsidRDefault="002A044E" w:rsidP="00EB0DE8">
      <w:pPr>
        <w:jc w:val="both"/>
        <w:rPr>
          <w:rFonts w:ascii="Roboto" w:hAnsi="Roboto" w:cs="Arial"/>
          <w:sz w:val="22"/>
          <w:szCs w:val="22"/>
        </w:rPr>
      </w:pPr>
    </w:p>
    <w:p w14:paraId="205C8037" w14:textId="0B8FE025" w:rsidR="004F2251" w:rsidRPr="004E4E4A" w:rsidRDefault="004F2251" w:rsidP="00EB0DE8">
      <w:pPr>
        <w:jc w:val="both"/>
        <w:rPr>
          <w:rFonts w:ascii="Roboto" w:eastAsia="Calibri" w:hAnsi="Roboto" w:cs="Arial"/>
          <w:bCs/>
          <w:color w:val="000000"/>
          <w:sz w:val="22"/>
          <w:szCs w:val="22"/>
          <w:lang w:eastAsia="es-CR"/>
        </w:rPr>
      </w:pPr>
      <w:r w:rsidRPr="004E4E4A">
        <w:rPr>
          <w:rFonts w:ascii="Roboto" w:eastAsia="Calibri" w:hAnsi="Roboto" w:cs="Arial"/>
          <w:b/>
          <w:color w:val="000000"/>
          <w:sz w:val="22"/>
          <w:szCs w:val="22"/>
          <w:lang w:eastAsia="es-CR"/>
        </w:rPr>
        <w:t>Artículo 2.-</w:t>
      </w:r>
      <w:r w:rsidRPr="004E4E4A">
        <w:rPr>
          <w:rFonts w:ascii="Roboto" w:eastAsia="Calibri" w:hAnsi="Roboto" w:cs="Arial"/>
          <w:b/>
          <w:color w:val="000000"/>
          <w:sz w:val="22"/>
          <w:szCs w:val="22"/>
          <w:lang w:eastAsia="es-CR"/>
        </w:rPr>
        <w:tab/>
      </w:r>
      <w:r w:rsidR="0044406C" w:rsidRPr="004E4E4A">
        <w:rPr>
          <w:rFonts w:ascii="Roboto" w:eastAsia="Calibri" w:hAnsi="Roboto" w:cs="Arial"/>
          <w:bCs/>
          <w:color w:val="000000"/>
          <w:sz w:val="22"/>
          <w:szCs w:val="22"/>
          <w:lang w:eastAsia="es-CR"/>
        </w:rPr>
        <w:t>Adiciónese el artículo 11bis del Acuerdo del Superintendente SGV-A-198 Acuerdo para la Implantación del Reglamento de Custodia, para que se lea de la siguiente manera:</w:t>
      </w:r>
    </w:p>
    <w:p w14:paraId="0B0ECC05" w14:textId="77777777" w:rsidR="008C33B5" w:rsidRPr="004E4E4A" w:rsidRDefault="008C33B5" w:rsidP="00EB0DE8">
      <w:pPr>
        <w:jc w:val="both"/>
        <w:rPr>
          <w:rFonts w:ascii="Roboto" w:eastAsia="Calibri" w:hAnsi="Roboto" w:cs="Arial"/>
          <w:bCs/>
          <w:color w:val="000000"/>
          <w:sz w:val="22"/>
          <w:szCs w:val="22"/>
          <w:lang w:eastAsia="es-CR"/>
        </w:rPr>
      </w:pPr>
    </w:p>
    <w:p w14:paraId="3F7788B3" w14:textId="2F9FC883" w:rsidR="008C33B5" w:rsidRPr="004E4E4A" w:rsidRDefault="008C33B5" w:rsidP="00AD72A9">
      <w:pPr>
        <w:ind w:left="284" w:right="426"/>
        <w:jc w:val="both"/>
        <w:rPr>
          <w:rFonts w:ascii="Roboto" w:eastAsia="Calibri" w:hAnsi="Roboto" w:cs="Arial"/>
          <w:b/>
          <w:color w:val="000000"/>
          <w:sz w:val="22"/>
          <w:szCs w:val="22"/>
          <w:lang w:eastAsia="es-CR"/>
        </w:rPr>
      </w:pPr>
      <w:r w:rsidRPr="004E4E4A">
        <w:rPr>
          <w:rFonts w:ascii="Roboto" w:eastAsia="Calibri" w:hAnsi="Roboto" w:cs="Arial"/>
          <w:b/>
          <w:color w:val="000000"/>
          <w:sz w:val="22"/>
          <w:szCs w:val="22"/>
          <w:lang w:eastAsia="es-CR"/>
        </w:rPr>
        <w:t>“Artículo 11bis.  Remisión de información sobre asambleas de inversionistas</w:t>
      </w:r>
    </w:p>
    <w:p w14:paraId="17AF91AE" w14:textId="4A1B8B6E" w:rsidR="004F2251" w:rsidRPr="004E4E4A" w:rsidRDefault="00704B29" w:rsidP="00AD72A9">
      <w:pPr>
        <w:ind w:left="284" w:right="426"/>
        <w:jc w:val="both"/>
        <w:rPr>
          <w:rFonts w:ascii="Roboto" w:hAnsi="Roboto" w:cs="Arial"/>
          <w:sz w:val="22"/>
          <w:szCs w:val="22"/>
          <w:lang w:val="es-CR"/>
        </w:rPr>
      </w:pPr>
      <w:r w:rsidRPr="004E4E4A">
        <w:rPr>
          <w:rFonts w:ascii="Roboto" w:hAnsi="Roboto" w:cs="Arial"/>
          <w:sz w:val="22"/>
          <w:szCs w:val="22"/>
          <w:lang w:val="es-CR"/>
        </w:rPr>
        <w:t>Todas las entidades de custodia deben remitir los Comunicados de Hechos Relevantes a cada titular de una cuenta que posea valores accionarios o participaciones de fondos de inversión cerrados, indistintamente de si este servicio le fue contratado o no, ante los siguientes eventos:</w:t>
      </w:r>
    </w:p>
    <w:p w14:paraId="3008F49B" w14:textId="77777777" w:rsidR="00AD72A9" w:rsidRPr="004E4E4A" w:rsidRDefault="00AD72A9" w:rsidP="00AD72A9">
      <w:pPr>
        <w:ind w:left="709" w:right="426"/>
        <w:jc w:val="both"/>
        <w:rPr>
          <w:rFonts w:ascii="Roboto" w:hAnsi="Roboto" w:cs="Arial"/>
          <w:sz w:val="22"/>
          <w:szCs w:val="22"/>
          <w:lang w:val="es-CR"/>
        </w:rPr>
      </w:pPr>
    </w:p>
    <w:p w14:paraId="5B1E48A9" w14:textId="7FF0958D" w:rsidR="00AF0ECF" w:rsidRPr="004E4E4A" w:rsidRDefault="00AF0ECF" w:rsidP="00AD72A9">
      <w:pPr>
        <w:pStyle w:val="Prrafodelista"/>
        <w:numPr>
          <w:ilvl w:val="0"/>
          <w:numId w:val="13"/>
        </w:numPr>
        <w:ind w:left="709" w:right="426"/>
        <w:jc w:val="both"/>
        <w:rPr>
          <w:rFonts w:ascii="Roboto" w:hAnsi="Roboto"/>
          <w:lang w:val="es-CR"/>
        </w:rPr>
      </w:pPr>
      <w:r w:rsidRPr="004E4E4A">
        <w:rPr>
          <w:rFonts w:ascii="Roboto" w:hAnsi="Roboto"/>
          <w:lang w:val="es-CR"/>
        </w:rPr>
        <w:t xml:space="preserve">Convocatoria a Asambleas ordinarias y extraordinarias de accionistas de un Emisor o un Fondo de Inversión. </w:t>
      </w:r>
    </w:p>
    <w:p w14:paraId="1537276F" w14:textId="28463CE8" w:rsidR="00DD1880" w:rsidRPr="004E4E4A" w:rsidRDefault="00DD1880" w:rsidP="00AD72A9">
      <w:pPr>
        <w:pStyle w:val="Prrafodelista"/>
        <w:numPr>
          <w:ilvl w:val="0"/>
          <w:numId w:val="13"/>
        </w:numPr>
        <w:ind w:left="709" w:right="426"/>
        <w:jc w:val="both"/>
        <w:rPr>
          <w:rFonts w:ascii="Roboto" w:hAnsi="Roboto"/>
          <w:lang w:val="es-CR"/>
        </w:rPr>
      </w:pPr>
      <w:r w:rsidRPr="004E4E4A">
        <w:rPr>
          <w:rFonts w:ascii="Roboto" w:hAnsi="Roboto"/>
          <w:lang w:val="es-CR"/>
        </w:rPr>
        <w:t>Resultados de la Asamblea de Accionistas de un Emisor o Fondo de Inversión.</w:t>
      </w:r>
    </w:p>
    <w:p w14:paraId="6D043B7B" w14:textId="05CD5690" w:rsidR="00AD72A9" w:rsidRPr="004E4E4A" w:rsidRDefault="00AD72A9" w:rsidP="00AD72A9">
      <w:pPr>
        <w:ind w:left="284" w:right="426"/>
        <w:jc w:val="both"/>
        <w:rPr>
          <w:rFonts w:ascii="Roboto" w:hAnsi="Roboto"/>
          <w:sz w:val="22"/>
          <w:szCs w:val="22"/>
          <w:lang w:val="es-CR"/>
        </w:rPr>
      </w:pPr>
      <w:r w:rsidRPr="004E4E4A">
        <w:rPr>
          <w:rFonts w:ascii="Roboto" w:hAnsi="Roboto"/>
          <w:sz w:val="22"/>
          <w:szCs w:val="22"/>
          <w:lang w:val="es-CR"/>
        </w:rPr>
        <w:t>Esta divulgación debe realizarse inmediatamente después de que la entidad ha tenido conocimiento, sin que este plazo pueda exceder de un día hábil de la publicación del Hecho Relevante en el Registro Nacional de Valores e Intermediarios.”</w:t>
      </w:r>
    </w:p>
    <w:p w14:paraId="45746F91" w14:textId="77777777" w:rsidR="004F2251" w:rsidRPr="004E4E4A" w:rsidRDefault="004F2251" w:rsidP="00EB0DE8">
      <w:pPr>
        <w:jc w:val="center"/>
        <w:rPr>
          <w:rFonts w:ascii="Roboto" w:hAnsi="Roboto" w:cs="Arial"/>
          <w:sz w:val="22"/>
          <w:szCs w:val="22"/>
        </w:rPr>
      </w:pPr>
    </w:p>
    <w:p w14:paraId="1EE8DFB9" w14:textId="1E8FD438" w:rsidR="004F2251" w:rsidRPr="004E4E4A" w:rsidRDefault="004F2251" w:rsidP="00EB0DE8">
      <w:pPr>
        <w:jc w:val="both"/>
        <w:rPr>
          <w:rFonts w:ascii="Roboto" w:eastAsiaTheme="minorHAnsi" w:hAnsi="Roboto" w:cs="Arial"/>
          <w:sz w:val="22"/>
          <w:szCs w:val="22"/>
        </w:rPr>
      </w:pPr>
      <w:r w:rsidRPr="004E4E4A">
        <w:rPr>
          <w:rFonts w:ascii="Roboto" w:eastAsia="Calibri" w:hAnsi="Roboto" w:cs="Arial"/>
          <w:b/>
          <w:color w:val="000000"/>
          <w:sz w:val="22"/>
          <w:szCs w:val="22"/>
          <w:lang w:eastAsia="es-CR"/>
        </w:rPr>
        <w:t>Artículo 3.-</w:t>
      </w:r>
      <w:r w:rsidRPr="004E4E4A">
        <w:rPr>
          <w:rFonts w:ascii="Roboto" w:eastAsiaTheme="minorHAnsi" w:hAnsi="Roboto" w:cs="Arial"/>
          <w:sz w:val="22"/>
          <w:szCs w:val="22"/>
        </w:rPr>
        <w:t xml:space="preserve"> </w:t>
      </w:r>
      <w:r w:rsidR="0093402B" w:rsidRPr="004E4E4A">
        <w:rPr>
          <w:rFonts w:ascii="Roboto" w:eastAsiaTheme="minorHAnsi" w:hAnsi="Roboto" w:cs="Arial"/>
          <w:sz w:val="22"/>
          <w:szCs w:val="22"/>
        </w:rPr>
        <w:t>Adiciónese el inciso i) al artículo 26 del Acuerdo del Superintendente SGV-A-170 Disposiciones Operativas de las Sociedades Administradoras de Fondos de Inversión, para que se lea de la siguiente manera:</w:t>
      </w:r>
    </w:p>
    <w:p w14:paraId="153227AC" w14:textId="77777777" w:rsidR="00301AC4" w:rsidRPr="004E4E4A" w:rsidRDefault="00301AC4" w:rsidP="00EB0DE8">
      <w:pPr>
        <w:jc w:val="both"/>
        <w:rPr>
          <w:rFonts w:ascii="Roboto" w:eastAsiaTheme="minorHAnsi" w:hAnsi="Roboto" w:cs="Arial"/>
          <w:sz w:val="22"/>
          <w:szCs w:val="22"/>
        </w:rPr>
      </w:pPr>
    </w:p>
    <w:p w14:paraId="66DB9213" w14:textId="521A7950" w:rsidR="004F2251" w:rsidRPr="004E4E4A" w:rsidRDefault="00DB4CB5" w:rsidP="00EB0DE8">
      <w:pPr>
        <w:pStyle w:val="Prrafodelista"/>
        <w:jc w:val="both"/>
        <w:rPr>
          <w:rFonts w:ascii="Roboto" w:eastAsia="Times New Roman" w:hAnsi="Roboto" w:cs="Arial"/>
          <w:lang w:val="es-CR" w:eastAsia="es-ES"/>
        </w:rPr>
      </w:pPr>
      <w:r w:rsidRPr="004E4E4A">
        <w:rPr>
          <w:rFonts w:ascii="Roboto" w:eastAsia="Times New Roman" w:hAnsi="Roboto" w:cs="Arial"/>
          <w:lang w:val="es-CR" w:eastAsia="es-ES"/>
        </w:rPr>
        <w:t>“Artículo 26. Contenido mínimo de la información a publicar en el sitio Web</w:t>
      </w:r>
    </w:p>
    <w:p w14:paraId="107FC2E4" w14:textId="73873D2E" w:rsidR="004F2251" w:rsidRPr="004E4E4A" w:rsidRDefault="00301AC4" w:rsidP="00967723">
      <w:pPr>
        <w:pStyle w:val="Prrafodelista"/>
        <w:jc w:val="both"/>
        <w:rPr>
          <w:rFonts w:ascii="Roboto" w:eastAsia="Times New Roman" w:hAnsi="Roboto" w:cs="Arial"/>
          <w:lang w:val="es-CR" w:eastAsia="es-ES"/>
        </w:rPr>
      </w:pPr>
      <w:bookmarkStart w:id="0" w:name="_Hlk101544405"/>
      <w:bookmarkStart w:id="1" w:name="_Hlk67579283"/>
      <w:r w:rsidRPr="004E4E4A">
        <w:rPr>
          <w:rFonts w:ascii="Roboto" w:eastAsia="Times New Roman" w:hAnsi="Roboto" w:cs="Arial"/>
          <w:lang w:val="es-CR" w:eastAsia="es-ES"/>
        </w:rPr>
        <w:t>(…)</w:t>
      </w:r>
    </w:p>
    <w:p w14:paraId="75A1D9F1" w14:textId="241DFCE1" w:rsidR="00301AC4" w:rsidRPr="004E4E4A" w:rsidRDefault="00301AC4" w:rsidP="00967723">
      <w:pPr>
        <w:pStyle w:val="Prrafodelista"/>
        <w:jc w:val="both"/>
        <w:rPr>
          <w:rFonts w:ascii="Roboto" w:eastAsia="Times New Roman" w:hAnsi="Roboto" w:cs="Arial"/>
          <w:lang w:val="es-CR" w:eastAsia="es-ES"/>
        </w:rPr>
      </w:pPr>
      <w:r w:rsidRPr="004E4E4A">
        <w:rPr>
          <w:rFonts w:ascii="Roboto" w:eastAsia="Times New Roman" w:hAnsi="Roboto" w:cs="Arial"/>
          <w:lang w:val="es-CR" w:eastAsia="es-ES"/>
        </w:rPr>
        <w:t>Los avisos de convocatoria a asamblea de inversionistas, así como la información y documentación relativos a los asuntos a tratar en el orden del día para los inversionistas debidamente acreditados.  La difusión debe realizarse desde la fecha de convocatoria y mantenerse cuando menos hasta la fecha efectiva de la celebración de la asamblea.</w:t>
      </w:r>
    </w:p>
    <w:p w14:paraId="0C794A24" w14:textId="0E7F0204" w:rsidR="00301AC4" w:rsidRPr="004E4E4A" w:rsidRDefault="00301AC4" w:rsidP="00967723">
      <w:pPr>
        <w:pStyle w:val="Prrafodelista"/>
        <w:jc w:val="both"/>
        <w:rPr>
          <w:rFonts w:ascii="Roboto" w:eastAsia="Times New Roman" w:hAnsi="Roboto" w:cs="Arial"/>
          <w:lang w:val="es-CR" w:eastAsia="es-ES"/>
        </w:rPr>
      </w:pPr>
      <w:r w:rsidRPr="004E4E4A">
        <w:rPr>
          <w:rFonts w:ascii="Roboto" w:eastAsia="Times New Roman" w:hAnsi="Roboto" w:cs="Arial"/>
          <w:lang w:val="es-CR" w:eastAsia="es-ES"/>
        </w:rPr>
        <w:t>(…)</w:t>
      </w:r>
    </w:p>
    <w:p w14:paraId="10644C18" w14:textId="77777777" w:rsidR="004F2251" w:rsidRPr="004E4E4A" w:rsidRDefault="004F2251" w:rsidP="00EB0DE8">
      <w:pPr>
        <w:tabs>
          <w:tab w:val="center" w:pos="4419"/>
        </w:tabs>
        <w:ind w:left="1276"/>
        <w:rPr>
          <w:rFonts w:ascii="Roboto" w:eastAsia="Calibri" w:hAnsi="Roboto" w:cs="Arial"/>
          <w:bCs/>
          <w:i/>
          <w:iCs/>
          <w:sz w:val="22"/>
          <w:szCs w:val="22"/>
        </w:rPr>
      </w:pPr>
    </w:p>
    <w:bookmarkEnd w:id="0"/>
    <w:p w14:paraId="23F6351B" w14:textId="41A87A5B" w:rsidR="00E17931" w:rsidRPr="004E4E4A" w:rsidRDefault="004F2251" w:rsidP="00EB0DE8">
      <w:pPr>
        <w:tabs>
          <w:tab w:val="center" w:pos="4419"/>
        </w:tabs>
        <w:rPr>
          <w:rFonts w:ascii="Roboto" w:eastAsia="Calibri" w:hAnsi="Roboto" w:cs="Arial"/>
          <w:sz w:val="22"/>
          <w:szCs w:val="22"/>
        </w:rPr>
      </w:pPr>
      <w:r w:rsidRPr="004E4E4A">
        <w:rPr>
          <w:rFonts w:ascii="Roboto" w:eastAsia="Calibri" w:hAnsi="Roboto" w:cs="Arial"/>
          <w:b/>
          <w:sz w:val="22"/>
          <w:szCs w:val="22"/>
        </w:rPr>
        <w:t>Artículo 4.-</w:t>
      </w:r>
      <w:r w:rsidRPr="004E4E4A">
        <w:rPr>
          <w:rFonts w:ascii="Roboto" w:eastAsia="Calibri" w:hAnsi="Roboto" w:cs="Arial"/>
          <w:sz w:val="22"/>
          <w:szCs w:val="22"/>
        </w:rPr>
        <w:t xml:space="preserve"> </w:t>
      </w:r>
      <w:bookmarkEnd w:id="1"/>
      <w:r w:rsidR="00E17931" w:rsidRPr="004E4E4A">
        <w:rPr>
          <w:rFonts w:ascii="Roboto" w:eastAsia="Calibri" w:hAnsi="Roboto" w:cs="Arial"/>
          <w:sz w:val="22"/>
          <w:szCs w:val="22"/>
        </w:rPr>
        <w:t>Deróguese el artículo 4 del Acuerdo del Superintendente SGV-A-198 Acuerdo para la Implantación del Reglamento de Custodia, denominado “Artículo 4.  Requerimientos de tecnología de información</w:t>
      </w:r>
      <w:r w:rsidR="001F2524" w:rsidRPr="004E4E4A">
        <w:rPr>
          <w:rFonts w:ascii="Roboto" w:eastAsia="Calibri" w:hAnsi="Roboto" w:cs="Arial"/>
          <w:sz w:val="22"/>
          <w:szCs w:val="22"/>
        </w:rPr>
        <w:t>.</w:t>
      </w:r>
    </w:p>
    <w:p w14:paraId="59536AEC" w14:textId="77777777" w:rsidR="001F2524" w:rsidRPr="004E4E4A" w:rsidRDefault="001F2524" w:rsidP="00EB0DE8">
      <w:pPr>
        <w:tabs>
          <w:tab w:val="center" w:pos="4419"/>
        </w:tabs>
        <w:rPr>
          <w:rFonts w:ascii="Roboto" w:eastAsia="Calibri" w:hAnsi="Roboto" w:cs="Arial"/>
          <w:sz w:val="22"/>
          <w:szCs w:val="22"/>
        </w:rPr>
      </w:pPr>
    </w:p>
    <w:p w14:paraId="235CBCE6" w14:textId="26AC4A23" w:rsidR="00A96523" w:rsidRPr="004E4E4A" w:rsidRDefault="001F2524" w:rsidP="001F2524">
      <w:pPr>
        <w:tabs>
          <w:tab w:val="center" w:pos="4419"/>
        </w:tabs>
        <w:rPr>
          <w:rFonts w:ascii="Roboto" w:eastAsia="Calibri" w:hAnsi="Roboto" w:cs="Arial"/>
          <w:sz w:val="22"/>
          <w:szCs w:val="22"/>
          <w:vertAlign w:val="subscript"/>
        </w:rPr>
      </w:pPr>
      <w:r w:rsidRPr="004E4E4A">
        <w:rPr>
          <w:rFonts w:ascii="Roboto" w:eastAsia="Calibri" w:hAnsi="Roboto" w:cs="Arial"/>
          <w:sz w:val="22"/>
          <w:szCs w:val="22"/>
        </w:rPr>
        <w:t xml:space="preserve">Rige a partir de 1 de </w:t>
      </w:r>
      <w:r w:rsidR="00022FAD" w:rsidRPr="004E4E4A">
        <w:rPr>
          <w:rFonts w:ascii="Roboto" w:eastAsia="Calibri" w:hAnsi="Roboto" w:cs="Arial"/>
          <w:sz w:val="22"/>
          <w:szCs w:val="22"/>
        </w:rPr>
        <w:t xml:space="preserve">octubre </w:t>
      </w:r>
      <w:r w:rsidRPr="004E4E4A">
        <w:rPr>
          <w:rFonts w:ascii="Roboto" w:eastAsia="Calibri" w:hAnsi="Roboto" w:cs="Arial"/>
          <w:sz w:val="22"/>
          <w:szCs w:val="22"/>
        </w:rPr>
        <w:t>de 2026.</w:t>
      </w:r>
    </w:p>
    <w:p w14:paraId="7E6143DA" w14:textId="77777777" w:rsidR="00E17931" w:rsidRPr="004E4E4A" w:rsidRDefault="00E17931" w:rsidP="00EB0DE8">
      <w:pPr>
        <w:tabs>
          <w:tab w:val="center" w:pos="4419"/>
        </w:tabs>
        <w:rPr>
          <w:rFonts w:ascii="Roboto" w:eastAsia="Calibri" w:hAnsi="Roboto" w:cs="Arial"/>
          <w:sz w:val="22"/>
          <w:szCs w:val="22"/>
        </w:rPr>
      </w:pPr>
    </w:p>
    <w:p w14:paraId="72C7EF16" w14:textId="37602467" w:rsidR="004F2251" w:rsidRPr="004E4E4A" w:rsidRDefault="004F2251" w:rsidP="00EB0DE8">
      <w:pPr>
        <w:tabs>
          <w:tab w:val="center" w:pos="4419"/>
        </w:tabs>
        <w:rPr>
          <w:rFonts w:ascii="Roboto" w:eastAsia="Calibri" w:hAnsi="Roboto" w:cs="Arial"/>
          <w:sz w:val="22"/>
          <w:szCs w:val="22"/>
        </w:rPr>
      </w:pPr>
      <w:r w:rsidRPr="004E4E4A">
        <w:rPr>
          <w:rFonts w:ascii="Roboto" w:eastAsia="Calibri" w:hAnsi="Roboto" w:cs="Arial"/>
          <w:sz w:val="22"/>
          <w:szCs w:val="22"/>
        </w:rPr>
        <w:tab/>
      </w:r>
    </w:p>
    <w:p w14:paraId="2AE98BBC" w14:textId="4B2F8C02" w:rsidR="004E4E4A" w:rsidRPr="0023282E" w:rsidRDefault="004F2251" w:rsidP="004E4E4A">
      <w:pPr>
        <w:rPr>
          <w:rFonts w:ascii="Arial" w:hAnsi="Arial" w:cs="Arial"/>
          <w:szCs w:val="22"/>
        </w:rPr>
      </w:pPr>
      <w:r w:rsidRPr="004E4E4A">
        <w:rPr>
          <w:rFonts w:ascii="Roboto" w:hAnsi="Roboto" w:cs="Arial"/>
          <w:sz w:val="22"/>
          <w:szCs w:val="22"/>
        </w:rPr>
        <w:tab/>
      </w:r>
    </w:p>
    <w:p w14:paraId="35124C6D" w14:textId="5829961B" w:rsidR="000D37F9" w:rsidRPr="0023282E" w:rsidRDefault="000D37F9" w:rsidP="000D37F9">
      <w:pPr>
        <w:ind w:left="4956" w:firstLine="708"/>
        <w:rPr>
          <w:rFonts w:ascii="Arial" w:hAnsi="Arial" w:cs="Arial"/>
          <w:szCs w:val="22"/>
        </w:rPr>
      </w:pPr>
    </w:p>
    <w:p w14:paraId="1A0AB376" w14:textId="77777777" w:rsidR="000D37F9" w:rsidRDefault="000D37F9" w:rsidP="000D37F9"/>
    <w:p w14:paraId="5F92DBA3" w14:textId="77777777" w:rsidR="00EB1CE5" w:rsidRPr="003117AF" w:rsidRDefault="00EB1CE5" w:rsidP="00EB0DE8">
      <w:pPr>
        <w:rPr>
          <w:rFonts w:ascii="Roboto" w:hAnsi="Roboto" w:cs="Arial"/>
          <w:szCs w:val="22"/>
        </w:rPr>
      </w:pPr>
    </w:p>
    <w:p w14:paraId="216FFAD5" w14:textId="77777777" w:rsidR="004F2251" w:rsidRPr="003117AF" w:rsidRDefault="004F2251" w:rsidP="00EB0DE8">
      <w:pPr>
        <w:rPr>
          <w:rFonts w:ascii="Roboto" w:hAnsi="Roboto" w:cs="Arial"/>
          <w:szCs w:val="22"/>
        </w:rPr>
      </w:pPr>
    </w:p>
    <w:p w14:paraId="5FF6726D" w14:textId="77777777" w:rsidR="004F2251" w:rsidRDefault="004F2251" w:rsidP="00EB0DE8">
      <w:pPr>
        <w:rPr>
          <w:rFonts w:ascii="Arial" w:hAnsi="Arial" w:cs="Arial"/>
          <w:szCs w:val="22"/>
        </w:rPr>
      </w:pPr>
    </w:p>
    <w:sectPr w:rsidR="004F2251" w:rsidSect="004276B7">
      <w:headerReference w:type="default" r:id="rId11"/>
      <w:footerReference w:type="even" r:id="rId12"/>
      <w:footerReference w:type="default" r:id="rId13"/>
      <w:headerReference w:type="first" r:id="rId14"/>
      <w:footerReference w:type="first" r:id="rId15"/>
      <w:pgSz w:w="12242" w:h="15842" w:code="1"/>
      <w:pgMar w:top="2361" w:right="1797" w:bottom="1440" w:left="1797" w:header="709" w:footer="1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1903" w14:textId="77777777" w:rsidR="00785376" w:rsidRDefault="00785376">
      <w:r>
        <w:separator/>
      </w:r>
    </w:p>
  </w:endnote>
  <w:endnote w:type="continuationSeparator" w:id="0">
    <w:p w14:paraId="0C2804E3" w14:textId="77777777" w:rsidR="00785376" w:rsidRDefault="0078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7CD8" w14:textId="73CA670A" w:rsidR="0027344D" w:rsidRDefault="0027344D">
    <w:pPr>
      <w:pStyle w:val="Piedepgina"/>
    </w:pPr>
    <w:r>
      <w:rPr>
        <w:noProof/>
      </w:rPr>
      <mc:AlternateContent>
        <mc:Choice Requires="wps">
          <w:drawing>
            <wp:anchor distT="0" distB="0" distL="0" distR="0" simplePos="0" relativeHeight="251666432" behindDoc="0" locked="0" layoutInCell="1" allowOverlap="1" wp14:anchorId="36DFF241" wp14:editId="5C9B3E08">
              <wp:simplePos x="635" y="635"/>
              <wp:positionH relativeFrom="page">
                <wp:align>center</wp:align>
              </wp:positionH>
              <wp:positionV relativeFrom="page">
                <wp:align>bottom</wp:align>
              </wp:positionV>
              <wp:extent cx="1083945" cy="345440"/>
              <wp:effectExtent l="0" t="0" r="1905" b="0"/>
              <wp:wrapNone/>
              <wp:docPr id="748102325"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14:paraId="44EE9FD0" w14:textId="1175D9A3"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6DFF241">
              <v:stroke joinstyle="miter"/>
              <v:path gradientshapeok="t" o:connecttype="rect"/>
            </v:shapetype>
            <v:shape id="Cuadro de texto 2" style="position:absolute;margin-left:0;margin-top:0;width:85.35pt;height:27.2pt;z-index:251666432;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">
              <v:textbox style="mso-fit-shape-to-text:t" inset="0,0,0,15pt">
                <w:txbxContent>
                  <w:p w:rsidRPr="0027344D" w:rsidR="0027344D" w:rsidP="0027344D" w:rsidRDefault="0027344D" w14:paraId="44EE9FD0" w14:textId="1175D9A3">
                    <w:pPr>
                      <w:rPr>
                        <w:rFonts w:ascii="Aptos" w:hAnsi="Aptos" w:eastAsia="Aptos" w:cs="Aptos"/>
                        <w:noProof/>
                        <w:color w:val="000000"/>
                        <w:sz w:val="20"/>
                      </w:rPr>
                    </w:pPr>
                    <w:r w:rsidRPr="0027344D">
                      <w:rPr>
                        <w:rFonts w:ascii="Aptos" w:hAnsi="Aptos" w:eastAsia="Aptos" w:cs="Aptos"/>
                        <w:noProof/>
                        <w:color w:val="000000"/>
                        <w:sz w:val="20"/>
                      </w:rPr>
                      <w:t>Uso Interno estricto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47073" w14:textId="5396E2A7" w:rsidR="00C20EC5" w:rsidRDefault="00C20EC5" w:rsidP="00C20EC5">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p w14:paraId="38BADA13" w14:textId="77777777" w:rsidR="00C20EC5" w:rsidRPr="00097CFB" w:rsidRDefault="00C20EC5" w:rsidP="00C20EC5">
    <w:pPr>
      <w:pStyle w:val="Piedepgina"/>
      <w:tabs>
        <w:tab w:val="right" w:pos="9498"/>
      </w:tabs>
      <w:ind w:left="-993" w:right="-999"/>
      <w:jc w:val="right"/>
      <w:rPr>
        <w:rFonts w:ascii="Arial" w:hAnsi="Arial" w:cs="Arial"/>
        <w:color w:val="204775"/>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A67D4" w14:textId="2A434266" w:rsidR="00CB2DE9" w:rsidRDefault="00CB2DE9" w:rsidP="00CB2DE9">
    <w:pPr>
      <w:pStyle w:val="Piedepgina"/>
      <w:tabs>
        <w:tab w:val="right" w:pos="9498"/>
      </w:tabs>
      <w:ind w:left="-993" w:right="-999"/>
      <w:jc w:val="right"/>
      <w:rPr>
        <w:rFonts w:ascii="Arial" w:hAnsi="Arial" w:cs="Arial"/>
        <w:color w:val="204775"/>
        <w:sz w:val="20"/>
      </w:rPr>
    </w:pPr>
    <w:r>
      <w:rPr>
        <w:rFonts w:ascii="Arial" w:hAnsi="Arial" w:cs="Arial"/>
        <w:color w:val="204775"/>
        <w:sz w:val="20"/>
      </w:rPr>
      <w:t>_______________________________________________________________________________________________</w:t>
    </w:r>
  </w:p>
  <w:p w14:paraId="035E2E93" w14:textId="77777777" w:rsidR="00CB2DE9" w:rsidRPr="00097CFB" w:rsidRDefault="00CB2DE9" w:rsidP="00CB2DE9">
    <w:pPr>
      <w:pStyle w:val="Piedepgina"/>
      <w:tabs>
        <w:tab w:val="right" w:pos="9498"/>
      </w:tabs>
      <w:ind w:left="-993" w:right="-999"/>
      <w:jc w:val="right"/>
      <w:rPr>
        <w:rFonts w:ascii="Arial" w:hAnsi="Arial" w:cs="Arial"/>
        <w:color w:val="204775"/>
        <w:sz w:val="20"/>
      </w:rPr>
    </w:pPr>
  </w:p>
  <w:p w14:paraId="4F2D68EF" w14:textId="77777777" w:rsidR="00CB2DE9" w:rsidRPr="004819BD" w:rsidRDefault="00CB2DE9" w:rsidP="00CB2DE9">
    <w:pPr>
      <w:pStyle w:val="Piedepgina"/>
      <w:tabs>
        <w:tab w:val="right" w:pos="9498"/>
      </w:tabs>
      <w:ind w:left="-993" w:right="-999"/>
      <w:jc w:val="right"/>
      <w:rPr>
        <w:rFonts w:ascii="Roboto" w:hAnsi="Roboto" w:cs="Arial"/>
        <w:sz w:val="22"/>
        <w:szCs w:val="22"/>
      </w:rPr>
    </w:pPr>
    <w:r w:rsidRPr="004819BD">
      <w:rPr>
        <w:rFonts w:ascii="Roboto" w:hAnsi="Roboto" w:cs="Arial"/>
        <w:sz w:val="22"/>
        <w:szCs w:val="22"/>
      </w:rPr>
      <w:t>Teléfono (506) 2243-4600    Fax (506) 2243-4646</w:t>
    </w:r>
  </w:p>
  <w:p w14:paraId="1C1F871F" w14:textId="77777777" w:rsidR="00CB2DE9" w:rsidRPr="004819BD" w:rsidRDefault="00CB2DE9" w:rsidP="00CB2DE9">
    <w:pPr>
      <w:pStyle w:val="Piedepgina"/>
      <w:tabs>
        <w:tab w:val="right" w:pos="9498"/>
      </w:tabs>
      <w:ind w:left="-993" w:right="-999"/>
      <w:jc w:val="right"/>
      <w:rPr>
        <w:rFonts w:ascii="Roboto" w:hAnsi="Roboto" w:cs="Arial"/>
        <w:sz w:val="22"/>
        <w:szCs w:val="22"/>
      </w:rPr>
    </w:pPr>
    <w:r w:rsidRPr="004819BD">
      <w:rPr>
        <w:rFonts w:ascii="Roboto" w:hAnsi="Roboto" w:cs="Arial"/>
        <w:sz w:val="22"/>
        <w:szCs w:val="22"/>
      </w:rPr>
      <w:t>Dirección: Edificio ODM del BCCR, Barrio Tournón, Piso 6</w:t>
    </w:r>
  </w:p>
  <w:p w14:paraId="21EE40AD" w14:textId="008F7221" w:rsidR="00CB2DE9" w:rsidRPr="00C20EC5" w:rsidRDefault="00CB2DE9" w:rsidP="00CB2DE9">
    <w:pPr>
      <w:pStyle w:val="Piedepgina"/>
      <w:ind w:right="-991"/>
      <w:jc w:val="right"/>
      <w:rPr>
        <w:sz w:val="22"/>
        <w:szCs w:val="22"/>
      </w:rPr>
    </w:pPr>
    <w:hyperlink r:id="rId1" w:history="1">
      <w:r w:rsidRPr="004819BD">
        <w:rPr>
          <w:rStyle w:val="Hipervnculo"/>
          <w:rFonts w:ascii="Roboto" w:hAnsi="Roboto" w:cs="Arial"/>
          <w:sz w:val="22"/>
          <w:szCs w:val="22"/>
        </w:rPr>
        <w:t>correo@sugeval.fi.cr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45B60" w14:textId="77777777" w:rsidR="00785376" w:rsidRDefault="00785376">
      <w:r>
        <w:separator/>
      </w:r>
    </w:p>
  </w:footnote>
  <w:footnote w:type="continuationSeparator" w:id="0">
    <w:p w14:paraId="02683379" w14:textId="77777777" w:rsidR="00785376" w:rsidRDefault="00785376">
      <w:r>
        <w:continuationSeparator/>
      </w:r>
    </w:p>
  </w:footnote>
  <w:footnote w:id="1">
    <w:p w14:paraId="6F10858D" w14:textId="7D88AF21" w:rsidR="004E4E4A" w:rsidRPr="004E4E4A" w:rsidRDefault="004E4E4A" w:rsidP="004E4E4A">
      <w:pPr>
        <w:ind w:right="-193"/>
        <w:jc w:val="both"/>
        <w:rPr>
          <w:rFonts w:ascii="Roboto" w:hAnsi="Roboto" w:cs="Arial"/>
          <w:bCs/>
          <w:sz w:val="22"/>
          <w:szCs w:val="22"/>
        </w:rPr>
      </w:pPr>
      <w:r>
        <w:rPr>
          <w:rStyle w:val="Refdenotaalpie"/>
        </w:rPr>
        <w:footnoteRef/>
      </w:r>
      <w:r>
        <w:t xml:space="preserve"> </w:t>
      </w:r>
      <w:r w:rsidRPr="004E4E4A">
        <w:rPr>
          <w:rFonts w:ascii="Roboto" w:hAnsi="Roboto" w:cs="Arial"/>
          <w:bCs/>
          <w:sz w:val="22"/>
          <w:szCs w:val="22"/>
          <w:highlight w:val="yellow"/>
        </w:rPr>
        <w:t>Superintendencia General de Valores. Despacho del Superintendente. A las doce horas y treinta minutos del primero de septiembre del 2026.</w:t>
      </w:r>
      <w:r w:rsidRPr="004E4E4A">
        <w:rPr>
          <w:rFonts w:ascii="Roboto" w:hAnsi="Roboto" w:cs="Arial"/>
          <w:bCs/>
          <w:sz w:val="22"/>
          <w:szCs w:val="22"/>
          <w:highlight w:val="yellow"/>
        </w:rPr>
        <w:t xml:space="preserve"> Pendiente de publicar en La Gaceta.  Rige a partir del 1 de octubre del 2026.</w:t>
      </w:r>
    </w:p>
    <w:p w14:paraId="7CE64CAF" w14:textId="67E06310" w:rsidR="004E4E4A" w:rsidRPr="004E4E4A" w:rsidRDefault="004E4E4A">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10CE0" w14:textId="059AA70B" w:rsidR="00C20EC5" w:rsidRDefault="000C3FBD" w:rsidP="00C20EC5">
    <w:pPr>
      <w:pStyle w:val="Encabezado"/>
      <w:jc w:val="center"/>
      <w:rPr>
        <w:rFonts w:ascii="Arial" w:hAnsi="Arial" w:cs="Arial"/>
        <w:i/>
        <w:sz w:val="22"/>
        <w:szCs w:val="22"/>
      </w:rPr>
    </w:pPr>
    <w:r>
      <w:rPr>
        <w:noProof/>
      </w:rPr>
      <w:drawing>
        <wp:anchor distT="0" distB="0" distL="114300" distR="114300" simplePos="0" relativeHeight="251664384" behindDoc="1" locked="0" layoutInCell="1" allowOverlap="1" wp14:anchorId="1906FE68" wp14:editId="771AD06E">
          <wp:simplePos x="0" y="0"/>
          <wp:positionH relativeFrom="column">
            <wp:posOffset>-1141171</wp:posOffset>
          </wp:positionH>
          <wp:positionV relativeFrom="paragraph">
            <wp:posOffset>-446862</wp:posOffset>
          </wp:positionV>
          <wp:extent cx="8116620" cy="746150"/>
          <wp:effectExtent l="0" t="0" r="0" b="0"/>
          <wp:wrapNone/>
          <wp:docPr id="214246818" name="Imagen 21424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116620" cy="746150"/>
                  </a:xfrm>
                  <a:prstGeom prst="rect">
                    <a:avLst/>
                  </a:prstGeom>
                </pic:spPr>
              </pic:pic>
            </a:graphicData>
          </a:graphic>
          <wp14:sizeRelH relativeFrom="margin">
            <wp14:pctWidth>0</wp14:pctWidth>
          </wp14:sizeRelH>
          <wp14:sizeRelV relativeFrom="margin">
            <wp14:pctHeight>0</wp14:pctHeight>
          </wp14:sizeRelV>
        </wp:anchor>
      </w:drawing>
    </w:r>
  </w:p>
  <w:p w14:paraId="5538D425" w14:textId="77777777" w:rsidR="000C3FBD" w:rsidRDefault="00CB2E9D" w:rsidP="00EB0DE8">
    <w:pPr>
      <w:autoSpaceDE w:val="0"/>
      <w:autoSpaceDN w:val="0"/>
      <w:adjustRightInd w:val="0"/>
      <w:contextualSpacing/>
      <w:jc w:val="both"/>
      <w:rPr>
        <w:rFonts w:ascii="Arial" w:hAnsi="Arial" w:cs="Arial"/>
        <w:sz w:val="18"/>
        <w:szCs w:val="18"/>
      </w:rPr>
    </w:pPr>
    <w:r>
      <w:rPr>
        <w:rFonts w:ascii="Arial" w:hAnsi="Arial" w:cs="Arial"/>
        <w:sz w:val="18"/>
        <w:szCs w:val="18"/>
      </w:rPr>
      <w:t xml:space="preserve">              </w:t>
    </w:r>
  </w:p>
  <w:p w14:paraId="35FADFEC" w14:textId="77777777" w:rsidR="000C3FBD" w:rsidRDefault="000C3FBD" w:rsidP="00EB0DE8">
    <w:pPr>
      <w:autoSpaceDE w:val="0"/>
      <w:autoSpaceDN w:val="0"/>
      <w:adjustRightInd w:val="0"/>
      <w:contextualSpacing/>
      <w:jc w:val="both"/>
      <w:rPr>
        <w:rFonts w:ascii="Arial" w:hAnsi="Arial" w:cs="Arial"/>
        <w:sz w:val="18"/>
        <w:szCs w:val="18"/>
      </w:rPr>
    </w:pPr>
  </w:p>
  <w:p w14:paraId="227D183B" w14:textId="0A6EF631" w:rsidR="00CB2E9D" w:rsidRPr="00EE3D46" w:rsidRDefault="000C3FBD" w:rsidP="00EB0DE8">
    <w:pPr>
      <w:autoSpaceDE w:val="0"/>
      <w:autoSpaceDN w:val="0"/>
      <w:adjustRightInd w:val="0"/>
      <w:contextualSpacing/>
      <w:jc w:val="both"/>
      <w:rPr>
        <w:rFonts w:ascii="Roboto" w:hAnsi="Roboto" w:cs="Arial"/>
        <w:sz w:val="18"/>
        <w:szCs w:val="18"/>
      </w:rPr>
    </w:pPr>
    <w:r w:rsidRPr="00EE3D46">
      <w:rPr>
        <w:rFonts w:ascii="Roboto" w:hAnsi="Roboto" w:cs="Arial"/>
        <w:sz w:val="18"/>
        <w:szCs w:val="18"/>
      </w:rPr>
      <w:t xml:space="preserve">             </w:t>
    </w:r>
    <w:r w:rsidR="00EE3D46">
      <w:rPr>
        <w:rFonts w:ascii="Roboto" w:hAnsi="Roboto" w:cs="Arial"/>
        <w:sz w:val="18"/>
        <w:szCs w:val="18"/>
      </w:rPr>
      <w:t xml:space="preserve">  </w:t>
    </w:r>
    <w:r w:rsidRPr="00EE3D46">
      <w:rPr>
        <w:rFonts w:ascii="Roboto" w:hAnsi="Roboto" w:cs="Arial"/>
        <w:sz w:val="18"/>
        <w:szCs w:val="18"/>
      </w:rPr>
      <w:t xml:space="preserve"> </w:t>
    </w:r>
    <w:r w:rsidR="00CB2E9D" w:rsidRPr="00EE3D46">
      <w:rPr>
        <w:rFonts w:ascii="Roboto" w:hAnsi="Roboto" w:cs="Arial"/>
        <w:sz w:val="18"/>
        <w:szCs w:val="18"/>
      </w:rPr>
      <w:t>SGV-A</w:t>
    </w:r>
    <w:r w:rsidR="00C8420C" w:rsidRPr="00EE3D46">
      <w:rPr>
        <w:rFonts w:ascii="Roboto" w:hAnsi="Roboto" w:cs="Arial"/>
        <w:sz w:val="18"/>
        <w:szCs w:val="18"/>
      </w:rPr>
      <w:t>-</w:t>
    </w:r>
    <w:sdt>
      <w:sdtPr>
        <w:rPr>
          <w:rFonts w:ascii="Roboto" w:hAnsi="Roboto" w:cs="Arial"/>
          <w:b/>
          <w:sz w:val="18"/>
          <w:szCs w:val="18"/>
        </w:rPr>
        <w:alias w:val="Consecutivo Interno"/>
        <w:tag w:val="ConsecutivoInterno"/>
        <w:id w:val="-1987775510"/>
        <w:placeholder>
          <w:docPart w:val="AE905498B1E84D2DB3235C551CFCD131"/>
        </w:placeholder>
        <w:showingPlcHdr/>
        <w:text/>
      </w:sdtPr>
      <w:sdtEndPr/>
      <w:sdtContent>
        <w:r w:rsidR="008B36D7" w:rsidRPr="00EE3D46">
          <w:rPr>
            <w:rStyle w:val="Textodelmarcadordeposicin"/>
            <w:rFonts w:ascii="Roboto" w:eastAsiaTheme="minorHAnsi" w:hAnsi="Roboto" w:cs="Arial"/>
            <w:sz w:val="18"/>
            <w:szCs w:val="18"/>
          </w:rPr>
          <w:t>15</w:t>
        </w:r>
      </w:sdtContent>
    </w:sdt>
    <w:r w:rsidR="00C8420C" w:rsidRPr="00EE3D46">
      <w:rPr>
        <w:rFonts w:ascii="Roboto" w:hAnsi="Roboto" w:cs="Arial"/>
        <w:sz w:val="18"/>
        <w:szCs w:val="18"/>
      </w:rPr>
      <w:t>-</w:t>
    </w:r>
    <w:sdt>
      <w:sdtPr>
        <w:rPr>
          <w:rFonts w:ascii="Roboto" w:hAnsi="Roboto" w:cs="Arial"/>
          <w:b/>
          <w:sz w:val="18"/>
          <w:szCs w:val="18"/>
        </w:rPr>
        <w:alias w:val="Periodo"/>
        <w:tag w:val="Periodo"/>
        <w:id w:val="861248837"/>
        <w:placeholder>
          <w:docPart w:val="E44DDD8A0D1C4BE397FDFBBF09A5A819"/>
        </w:placeholder>
        <w:showingPlcHdr/>
        <w:text/>
      </w:sdtPr>
      <w:sdtEndPr/>
      <w:sdtContent>
        <w:r w:rsidR="008B36D7" w:rsidRPr="00EE3D46">
          <w:rPr>
            <w:rStyle w:val="Textodelmarcadordeposicin"/>
            <w:rFonts w:ascii="Roboto" w:eastAsiaTheme="minorHAnsi" w:hAnsi="Roboto" w:cs="Arial"/>
            <w:sz w:val="18"/>
            <w:szCs w:val="18"/>
          </w:rPr>
          <w:t>2026</w:t>
        </w:r>
      </w:sdtContent>
    </w:sdt>
  </w:p>
  <w:p w14:paraId="3D792BFD" w14:textId="5894B707" w:rsidR="00D33A7F" w:rsidRPr="003117AF" w:rsidRDefault="00D33A7F" w:rsidP="00EB0DE8">
    <w:pPr>
      <w:autoSpaceDE w:val="0"/>
      <w:autoSpaceDN w:val="0"/>
      <w:adjustRightInd w:val="0"/>
      <w:contextualSpacing/>
      <w:jc w:val="both"/>
      <w:rPr>
        <w:rFonts w:ascii="Roboto" w:hAnsi="Roboto" w:cs="Arial"/>
        <w:sz w:val="18"/>
        <w:szCs w:val="18"/>
      </w:rPr>
    </w:pPr>
    <w:r w:rsidRPr="003117AF">
      <w:rPr>
        <w:rFonts w:ascii="Roboto" w:hAnsi="Roboto" w:cs="Arial"/>
        <w:sz w:val="18"/>
        <w:szCs w:val="18"/>
      </w:rPr>
      <w:t xml:space="preserve">             </w:t>
    </w:r>
    <w:r w:rsidR="003117AF">
      <w:rPr>
        <w:rFonts w:ascii="Roboto" w:hAnsi="Roboto" w:cs="Arial"/>
        <w:sz w:val="18"/>
        <w:szCs w:val="18"/>
      </w:rPr>
      <w:t xml:space="preserve"> </w:t>
    </w:r>
    <w:r w:rsidRPr="003117AF">
      <w:rPr>
        <w:rFonts w:ascii="Roboto" w:hAnsi="Roboto" w:cs="Arial"/>
        <w:sz w:val="18"/>
        <w:szCs w:val="18"/>
      </w:rPr>
      <w:t xml:space="preserve">  Pág. </w:t>
    </w:r>
    <w:r w:rsidRPr="003117AF">
      <w:rPr>
        <w:rFonts w:ascii="Roboto" w:hAnsi="Roboto" w:cs="Arial"/>
        <w:sz w:val="18"/>
        <w:szCs w:val="18"/>
      </w:rPr>
      <w:fldChar w:fldCharType="begin"/>
    </w:r>
    <w:r w:rsidRPr="003117AF">
      <w:rPr>
        <w:rFonts w:ascii="Roboto" w:hAnsi="Roboto" w:cs="Arial"/>
        <w:sz w:val="18"/>
        <w:szCs w:val="18"/>
      </w:rPr>
      <w:instrText>PAGE</w:instrText>
    </w:r>
    <w:r w:rsidRPr="003117AF">
      <w:rPr>
        <w:rFonts w:ascii="Roboto" w:hAnsi="Roboto" w:cs="Arial"/>
        <w:sz w:val="18"/>
        <w:szCs w:val="18"/>
      </w:rPr>
      <w:fldChar w:fldCharType="separate"/>
    </w:r>
    <w:r w:rsidRPr="003117AF">
      <w:rPr>
        <w:rFonts w:ascii="Roboto" w:hAnsi="Roboto" w:cs="Arial"/>
        <w:sz w:val="18"/>
        <w:szCs w:val="18"/>
      </w:rPr>
      <w:t>2</w:t>
    </w:r>
    <w:r w:rsidRPr="003117AF">
      <w:rPr>
        <w:rFonts w:ascii="Roboto" w:hAnsi="Roboto" w:cs="Arial"/>
        <w:sz w:val="18"/>
        <w:szCs w:val="18"/>
      </w:rPr>
      <w:fldChar w:fldCharType="end"/>
    </w:r>
    <w:r w:rsidRPr="003117AF">
      <w:rPr>
        <w:rFonts w:ascii="Roboto" w:hAnsi="Roboto" w:cs="Arial"/>
        <w:sz w:val="18"/>
        <w:szCs w:val="18"/>
      </w:rPr>
      <w:t xml:space="preserve"> de </w:t>
    </w:r>
    <w:r w:rsidRPr="003117AF">
      <w:rPr>
        <w:rFonts w:ascii="Roboto" w:hAnsi="Roboto" w:cs="Arial"/>
        <w:sz w:val="18"/>
        <w:szCs w:val="18"/>
      </w:rPr>
      <w:fldChar w:fldCharType="begin"/>
    </w:r>
    <w:r w:rsidRPr="003117AF">
      <w:rPr>
        <w:rFonts w:ascii="Roboto" w:hAnsi="Roboto" w:cs="Arial"/>
        <w:sz w:val="18"/>
        <w:szCs w:val="18"/>
      </w:rPr>
      <w:instrText>NUMPAGES</w:instrText>
    </w:r>
    <w:r w:rsidRPr="003117AF">
      <w:rPr>
        <w:rFonts w:ascii="Roboto" w:hAnsi="Roboto" w:cs="Arial"/>
        <w:sz w:val="18"/>
        <w:szCs w:val="18"/>
      </w:rPr>
      <w:fldChar w:fldCharType="separate"/>
    </w:r>
    <w:r w:rsidRPr="003117AF">
      <w:rPr>
        <w:rFonts w:ascii="Roboto" w:hAnsi="Roboto" w:cs="Arial"/>
        <w:sz w:val="18"/>
        <w:szCs w:val="18"/>
      </w:rPr>
      <w:t>2</w:t>
    </w:r>
    <w:r w:rsidRPr="003117AF">
      <w:rPr>
        <w:rFonts w:ascii="Roboto" w:hAnsi="Roboto" w:cs="Arial"/>
        <w:sz w:val="18"/>
        <w:szCs w:val="18"/>
      </w:rPr>
      <w:fldChar w:fldCharType="end"/>
    </w:r>
  </w:p>
  <w:p w14:paraId="0BE350CD" w14:textId="2A9F8744" w:rsidR="00C20EC5" w:rsidRDefault="00C20EC5">
    <w:pPr>
      <w:pStyle w:val="Encabezado"/>
      <w:rPr>
        <w:rFonts w:ascii="Arial" w:hAnsi="Arial" w:cs="Arial"/>
        <w:i/>
        <w:sz w:val="22"/>
        <w:szCs w:val="22"/>
      </w:rPr>
    </w:pPr>
  </w:p>
  <w:p w14:paraId="4514F76C" w14:textId="77777777" w:rsidR="00C20EC5" w:rsidRPr="008507A5" w:rsidRDefault="00C20EC5">
    <w:pPr>
      <w:pStyle w:val="Encabezado"/>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7211" w14:textId="06A9E5E1" w:rsidR="009C26D6" w:rsidRDefault="009C26D6" w:rsidP="00CB2DE9">
    <w:pPr>
      <w:pStyle w:val="Encabezado"/>
      <w:jc w:val="center"/>
    </w:pPr>
  </w:p>
  <w:p w14:paraId="3D6C6BF1" w14:textId="77777777" w:rsidR="008507A5" w:rsidRDefault="008507A5" w:rsidP="00AE3ED0">
    <w:pPr>
      <w:pStyle w:val="Encabezado"/>
      <w:tabs>
        <w:tab w:val="right" w:pos="9214"/>
      </w:tabs>
      <w:ind w:left="-851" w:right="-568"/>
      <w:rPr>
        <w:rFonts w:ascii="Arial" w:hAnsi="Arial" w:cs="Arial"/>
        <w:i/>
        <w:iCs/>
        <w:color w:val="333333"/>
        <w:shd w:val="clear" w:color="auto" w:fill="FFFFFF"/>
      </w:rPr>
    </w:pPr>
  </w:p>
  <w:p w14:paraId="169CDA0A" w14:textId="7CDF4F27" w:rsidR="00CB2DE9" w:rsidRDefault="00CB2DE9" w:rsidP="00CB2DE9">
    <w:pPr>
      <w:pStyle w:val="Encabezado"/>
    </w:pPr>
  </w:p>
  <w:p w14:paraId="40436511" w14:textId="360CFBDF" w:rsidR="00CB2DE9" w:rsidRPr="00C368EF" w:rsidRDefault="00CB2DE9" w:rsidP="00CB2D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82F"/>
    <w:multiLevelType w:val="hybridMultilevel"/>
    <w:tmpl w:val="ADCA9BC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4E32A0C"/>
    <w:multiLevelType w:val="hybridMultilevel"/>
    <w:tmpl w:val="028C2EEA"/>
    <w:lvl w:ilvl="0" w:tplc="0CCC61C8">
      <w:start w:val="1"/>
      <w:numFmt w:val="decimal"/>
      <w:pStyle w:val="Numeracin"/>
      <w:lvlText w:val="%1."/>
      <w:lvlJc w:val="left"/>
      <w:pPr>
        <w:ind w:left="1636" w:hanging="360"/>
      </w:pPr>
      <w:rPr>
        <w:color w:val="auto"/>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15:restartNumberingAfterBreak="0">
    <w:nsid w:val="0F5B3F22"/>
    <w:multiLevelType w:val="hybridMultilevel"/>
    <w:tmpl w:val="A39873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3" w15:restartNumberingAfterBreak="0">
    <w:nsid w:val="1DBF641B"/>
    <w:multiLevelType w:val="hybridMultilevel"/>
    <w:tmpl w:val="057E1BB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4" w15:restartNumberingAfterBreak="0">
    <w:nsid w:val="286263CC"/>
    <w:multiLevelType w:val="hybridMultilevel"/>
    <w:tmpl w:val="E78EF25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5" w15:restartNumberingAfterBreak="0">
    <w:nsid w:val="2C21213C"/>
    <w:multiLevelType w:val="hybridMultilevel"/>
    <w:tmpl w:val="99A60DB6"/>
    <w:lvl w:ilvl="0" w:tplc="85F81792">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FF4555B"/>
    <w:multiLevelType w:val="hybridMultilevel"/>
    <w:tmpl w:val="781A0B2E"/>
    <w:lvl w:ilvl="0" w:tplc="05FE3B90">
      <w:start w:val="1"/>
      <w:numFmt w:val="low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3A853B36"/>
    <w:multiLevelType w:val="hybridMultilevel"/>
    <w:tmpl w:val="A378AF22"/>
    <w:lvl w:ilvl="0" w:tplc="5F4C3FDC">
      <w:start w:val="1"/>
      <w:numFmt w:val="upperRoman"/>
      <w:lvlText w:val="%1."/>
      <w:lvlJc w:val="left"/>
      <w:pPr>
        <w:tabs>
          <w:tab w:val="num" w:pos="180"/>
        </w:tabs>
        <w:ind w:left="180" w:hanging="180"/>
      </w:pPr>
      <w:rPr>
        <w:rFonts w:hint="default"/>
        <w:b w:val="0"/>
        <w:bCs w:val="0"/>
        <w:color w:val="auto"/>
      </w:rPr>
    </w:lvl>
    <w:lvl w:ilvl="1" w:tplc="5C42D710">
      <w:start w:val="1"/>
      <w:numFmt w:val="lowerLetter"/>
      <w:lvlText w:val="%2."/>
      <w:lvlJc w:val="left"/>
      <w:pPr>
        <w:tabs>
          <w:tab w:val="num" w:pos="1440"/>
        </w:tabs>
        <w:ind w:left="1440" w:hanging="360"/>
      </w:pPr>
      <w:rPr>
        <w:rFonts w:hint="default"/>
      </w:rPr>
    </w:lvl>
    <w:lvl w:ilvl="2" w:tplc="88382F8C">
      <w:start w:val="1"/>
      <w:numFmt w:val="decimal"/>
      <w:lvlText w:val="%3"/>
      <w:lvlJc w:val="left"/>
      <w:pPr>
        <w:tabs>
          <w:tab w:val="num" w:pos="2340"/>
        </w:tabs>
        <w:ind w:left="2340" w:hanging="360"/>
      </w:pPr>
      <w:rPr>
        <w:rFont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57E4559"/>
    <w:multiLevelType w:val="hybridMultilevel"/>
    <w:tmpl w:val="D63C5F72"/>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475F48D4"/>
    <w:multiLevelType w:val="hybridMultilevel"/>
    <w:tmpl w:val="019C09DE"/>
    <w:lvl w:ilvl="0" w:tplc="140A0013">
      <w:start w:val="1"/>
      <w:numFmt w:val="upperRoman"/>
      <w:lvlText w:val="%1."/>
      <w:lvlJc w:val="right"/>
      <w:pPr>
        <w:tabs>
          <w:tab w:val="num" w:pos="1080"/>
        </w:tabs>
        <w:ind w:left="1080" w:hanging="720"/>
      </w:pPr>
      <w:rPr>
        <w:rFonts w:hint="default"/>
        <w:b/>
      </w:rPr>
    </w:lvl>
    <w:lvl w:ilvl="1" w:tplc="140A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9D6722"/>
    <w:multiLevelType w:val="hybridMultilevel"/>
    <w:tmpl w:val="BB52A874"/>
    <w:lvl w:ilvl="0" w:tplc="AB822032">
      <w:start w:val="1"/>
      <w:numFmt w:val="decimal"/>
      <w:lvlText w:val="%1."/>
      <w:lvlJc w:val="left"/>
      <w:pPr>
        <w:ind w:left="786" w:hanging="360"/>
      </w:pPr>
      <w:rPr>
        <w:rFonts w:hint="default"/>
        <w:b w:val="0"/>
        <w:bCs w:val="0"/>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6AAC087D"/>
    <w:multiLevelType w:val="hybridMultilevel"/>
    <w:tmpl w:val="C1BE52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12" w15:restartNumberingAfterBreak="0">
    <w:nsid w:val="6AD41E7A"/>
    <w:multiLevelType w:val="hybridMultilevel"/>
    <w:tmpl w:val="3BE2AA3A"/>
    <w:lvl w:ilvl="0" w:tplc="745C6D8C">
      <w:start w:val="1"/>
      <w:numFmt w:val="upperRoman"/>
      <w:lvlText w:val="%1."/>
      <w:lvlJc w:val="left"/>
      <w:pPr>
        <w:ind w:left="1080" w:hanging="72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550927129">
    <w:abstractNumId w:val="9"/>
  </w:num>
  <w:num w:numId="2" w16cid:durableId="96755781">
    <w:abstractNumId w:val="5"/>
  </w:num>
  <w:num w:numId="3" w16cid:durableId="1832603591">
    <w:abstractNumId w:val="12"/>
  </w:num>
  <w:num w:numId="4" w16cid:durableId="488063643">
    <w:abstractNumId w:val="11"/>
  </w:num>
  <w:num w:numId="5" w16cid:durableId="635140846">
    <w:abstractNumId w:val="2"/>
  </w:num>
  <w:num w:numId="6" w16cid:durableId="178011935">
    <w:abstractNumId w:val="4"/>
  </w:num>
  <w:num w:numId="7" w16cid:durableId="1876697737">
    <w:abstractNumId w:val="3"/>
  </w:num>
  <w:num w:numId="8" w16cid:durableId="318852005">
    <w:abstractNumId w:val="0"/>
  </w:num>
  <w:num w:numId="9" w16cid:durableId="663819387">
    <w:abstractNumId w:val="7"/>
  </w:num>
  <w:num w:numId="10" w16cid:durableId="1867131672">
    <w:abstractNumId w:val="10"/>
  </w:num>
  <w:num w:numId="11" w16cid:durableId="1808164648">
    <w:abstractNumId w:val="1"/>
  </w:num>
  <w:num w:numId="12" w16cid:durableId="1627546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5519001">
    <w:abstractNumId w:val="8"/>
  </w:num>
  <w:num w:numId="14" w16cid:durableId="284504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E38"/>
    <w:rsid w:val="00014673"/>
    <w:rsid w:val="00022FAD"/>
    <w:rsid w:val="00027E16"/>
    <w:rsid w:val="000356FF"/>
    <w:rsid w:val="00052C17"/>
    <w:rsid w:val="00052EB9"/>
    <w:rsid w:val="00085EB5"/>
    <w:rsid w:val="000924A5"/>
    <w:rsid w:val="00096CCC"/>
    <w:rsid w:val="000A2997"/>
    <w:rsid w:val="000B3882"/>
    <w:rsid w:val="000C3FBD"/>
    <w:rsid w:val="000D2FBC"/>
    <w:rsid w:val="000D37F9"/>
    <w:rsid w:val="000D6CE8"/>
    <w:rsid w:val="001015B2"/>
    <w:rsid w:val="00104F74"/>
    <w:rsid w:val="0011015B"/>
    <w:rsid w:val="001323C8"/>
    <w:rsid w:val="00147DD1"/>
    <w:rsid w:val="00185EA8"/>
    <w:rsid w:val="0019266D"/>
    <w:rsid w:val="00194C30"/>
    <w:rsid w:val="001A64F1"/>
    <w:rsid w:val="001D1C7E"/>
    <w:rsid w:val="001D2769"/>
    <w:rsid w:val="001D4F62"/>
    <w:rsid w:val="001F2524"/>
    <w:rsid w:val="001F6B07"/>
    <w:rsid w:val="00201A06"/>
    <w:rsid w:val="002150FD"/>
    <w:rsid w:val="00222548"/>
    <w:rsid w:val="002275FE"/>
    <w:rsid w:val="00237DE9"/>
    <w:rsid w:val="00250EB3"/>
    <w:rsid w:val="00261300"/>
    <w:rsid w:val="0026449D"/>
    <w:rsid w:val="00272829"/>
    <w:rsid w:val="002731A3"/>
    <w:rsid w:val="0027344D"/>
    <w:rsid w:val="00282E0D"/>
    <w:rsid w:val="002A044E"/>
    <w:rsid w:val="002A49D6"/>
    <w:rsid w:val="002B30F9"/>
    <w:rsid w:val="002D3E75"/>
    <w:rsid w:val="002E179D"/>
    <w:rsid w:val="002E5094"/>
    <w:rsid w:val="00301AC4"/>
    <w:rsid w:val="003117AF"/>
    <w:rsid w:val="00317F82"/>
    <w:rsid w:val="00321567"/>
    <w:rsid w:val="00321985"/>
    <w:rsid w:val="00323C9A"/>
    <w:rsid w:val="003418F4"/>
    <w:rsid w:val="00346E57"/>
    <w:rsid w:val="00347B62"/>
    <w:rsid w:val="0035557C"/>
    <w:rsid w:val="00360579"/>
    <w:rsid w:val="003612ED"/>
    <w:rsid w:val="00380AE8"/>
    <w:rsid w:val="00384131"/>
    <w:rsid w:val="00384C66"/>
    <w:rsid w:val="00387E52"/>
    <w:rsid w:val="0039334B"/>
    <w:rsid w:val="00394C88"/>
    <w:rsid w:val="00396B8C"/>
    <w:rsid w:val="003A1012"/>
    <w:rsid w:val="003A1385"/>
    <w:rsid w:val="003A64DD"/>
    <w:rsid w:val="003C1F62"/>
    <w:rsid w:val="003C62A3"/>
    <w:rsid w:val="003D2665"/>
    <w:rsid w:val="003D4D1C"/>
    <w:rsid w:val="003D690B"/>
    <w:rsid w:val="003D7B58"/>
    <w:rsid w:val="003E2D38"/>
    <w:rsid w:val="00402782"/>
    <w:rsid w:val="00403C78"/>
    <w:rsid w:val="004103BC"/>
    <w:rsid w:val="004276B7"/>
    <w:rsid w:val="00431F2F"/>
    <w:rsid w:val="0044406C"/>
    <w:rsid w:val="00452381"/>
    <w:rsid w:val="00456B92"/>
    <w:rsid w:val="00471431"/>
    <w:rsid w:val="00472965"/>
    <w:rsid w:val="00477574"/>
    <w:rsid w:val="004819BD"/>
    <w:rsid w:val="0048488E"/>
    <w:rsid w:val="0049118C"/>
    <w:rsid w:val="00497A67"/>
    <w:rsid w:val="004A6C39"/>
    <w:rsid w:val="004B1858"/>
    <w:rsid w:val="004B4891"/>
    <w:rsid w:val="004E4E4A"/>
    <w:rsid w:val="004F2251"/>
    <w:rsid w:val="004F6B5D"/>
    <w:rsid w:val="004F6EDE"/>
    <w:rsid w:val="00502DBC"/>
    <w:rsid w:val="005064C2"/>
    <w:rsid w:val="0051206C"/>
    <w:rsid w:val="00520477"/>
    <w:rsid w:val="00550013"/>
    <w:rsid w:val="00553FC5"/>
    <w:rsid w:val="00576738"/>
    <w:rsid w:val="00577937"/>
    <w:rsid w:val="00597B93"/>
    <w:rsid w:val="00597F75"/>
    <w:rsid w:val="005B2839"/>
    <w:rsid w:val="005B752E"/>
    <w:rsid w:val="005C3D4A"/>
    <w:rsid w:val="005D0073"/>
    <w:rsid w:val="005D5474"/>
    <w:rsid w:val="005D5C45"/>
    <w:rsid w:val="005E6139"/>
    <w:rsid w:val="006170CA"/>
    <w:rsid w:val="00645B9B"/>
    <w:rsid w:val="00654583"/>
    <w:rsid w:val="00661115"/>
    <w:rsid w:val="00666033"/>
    <w:rsid w:val="00666925"/>
    <w:rsid w:val="00673C6F"/>
    <w:rsid w:val="006B2AFA"/>
    <w:rsid w:val="006D7A4A"/>
    <w:rsid w:val="006F00EE"/>
    <w:rsid w:val="00704B29"/>
    <w:rsid w:val="00710FDF"/>
    <w:rsid w:val="0071175E"/>
    <w:rsid w:val="007159DD"/>
    <w:rsid w:val="0077157E"/>
    <w:rsid w:val="007715FF"/>
    <w:rsid w:val="00785376"/>
    <w:rsid w:val="007A134D"/>
    <w:rsid w:val="007A1854"/>
    <w:rsid w:val="007A5DB3"/>
    <w:rsid w:val="007B6EC4"/>
    <w:rsid w:val="007E24B6"/>
    <w:rsid w:val="007F2B5B"/>
    <w:rsid w:val="007F7F4E"/>
    <w:rsid w:val="0080309F"/>
    <w:rsid w:val="00803317"/>
    <w:rsid w:val="00806E8F"/>
    <w:rsid w:val="00813B81"/>
    <w:rsid w:val="00821054"/>
    <w:rsid w:val="008215F2"/>
    <w:rsid w:val="008230EC"/>
    <w:rsid w:val="0083673C"/>
    <w:rsid w:val="00845A76"/>
    <w:rsid w:val="008507A5"/>
    <w:rsid w:val="0086412B"/>
    <w:rsid w:val="008822FA"/>
    <w:rsid w:val="00886395"/>
    <w:rsid w:val="008A3DF0"/>
    <w:rsid w:val="008A60FB"/>
    <w:rsid w:val="008B36D7"/>
    <w:rsid w:val="008B4AA5"/>
    <w:rsid w:val="008C08A9"/>
    <w:rsid w:val="008C33B5"/>
    <w:rsid w:val="008C5513"/>
    <w:rsid w:val="008D2143"/>
    <w:rsid w:val="008D561F"/>
    <w:rsid w:val="008E623B"/>
    <w:rsid w:val="008F084A"/>
    <w:rsid w:val="008F2745"/>
    <w:rsid w:val="009017E8"/>
    <w:rsid w:val="0093402B"/>
    <w:rsid w:val="00943F34"/>
    <w:rsid w:val="009517FC"/>
    <w:rsid w:val="00967723"/>
    <w:rsid w:val="00973D16"/>
    <w:rsid w:val="009A1E0C"/>
    <w:rsid w:val="009A75B3"/>
    <w:rsid w:val="009C03C5"/>
    <w:rsid w:val="009C26D6"/>
    <w:rsid w:val="009C50CC"/>
    <w:rsid w:val="009D24FC"/>
    <w:rsid w:val="009D5923"/>
    <w:rsid w:val="009D6A39"/>
    <w:rsid w:val="009D6E38"/>
    <w:rsid w:val="00A0095C"/>
    <w:rsid w:val="00A127C9"/>
    <w:rsid w:val="00A134E4"/>
    <w:rsid w:val="00A1437E"/>
    <w:rsid w:val="00A21485"/>
    <w:rsid w:val="00A313BC"/>
    <w:rsid w:val="00A35411"/>
    <w:rsid w:val="00A43CC5"/>
    <w:rsid w:val="00A56811"/>
    <w:rsid w:val="00A625E8"/>
    <w:rsid w:val="00A72336"/>
    <w:rsid w:val="00A765DF"/>
    <w:rsid w:val="00A80340"/>
    <w:rsid w:val="00A8144C"/>
    <w:rsid w:val="00A96523"/>
    <w:rsid w:val="00AA7FB0"/>
    <w:rsid w:val="00AB468D"/>
    <w:rsid w:val="00AC09DE"/>
    <w:rsid w:val="00AD72A9"/>
    <w:rsid w:val="00AE1227"/>
    <w:rsid w:val="00AE20D5"/>
    <w:rsid w:val="00AE3ED0"/>
    <w:rsid w:val="00AF0ECF"/>
    <w:rsid w:val="00AF62BE"/>
    <w:rsid w:val="00AF6C49"/>
    <w:rsid w:val="00B171DC"/>
    <w:rsid w:val="00B3105A"/>
    <w:rsid w:val="00B33174"/>
    <w:rsid w:val="00B401C2"/>
    <w:rsid w:val="00B43615"/>
    <w:rsid w:val="00B44EFE"/>
    <w:rsid w:val="00B53206"/>
    <w:rsid w:val="00B754F8"/>
    <w:rsid w:val="00BA7766"/>
    <w:rsid w:val="00BB034D"/>
    <w:rsid w:val="00BD0403"/>
    <w:rsid w:val="00BD4AEE"/>
    <w:rsid w:val="00BE1CF8"/>
    <w:rsid w:val="00BE4A2D"/>
    <w:rsid w:val="00BF1B48"/>
    <w:rsid w:val="00BF645B"/>
    <w:rsid w:val="00C074E1"/>
    <w:rsid w:val="00C20EC5"/>
    <w:rsid w:val="00C305C4"/>
    <w:rsid w:val="00C368EF"/>
    <w:rsid w:val="00C4060B"/>
    <w:rsid w:val="00C43B07"/>
    <w:rsid w:val="00C4523A"/>
    <w:rsid w:val="00C51B43"/>
    <w:rsid w:val="00C5389F"/>
    <w:rsid w:val="00C60570"/>
    <w:rsid w:val="00C6058A"/>
    <w:rsid w:val="00C60B10"/>
    <w:rsid w:val="00C77F4C"/>
    <w:rsid w:val="00C8420C"/>
    <w:rsid w:val="00C853B7"/>
    <w:rsid w:val="00C8675F"/>
    <w:rsid w:val="00CB244B"/>
    <w:rsid w:val="00CB2DE9"/>
    <w:rsid w:val="00CB2E9D"/>
    <w:rsid w:val="00CB3BA9"/>
    <w:rsid w:val="00CD084C"/>
    <w:rsid w:val="00CD589E"/>
    <w:rsid w:val="00CE133D"/>
    <w:rsid w:val="00CE5D99"/>
    <w:rsid w:val="00CF74BE"/>
    <w:rsid w:val="00D021FF"/>
    <w:rsid w:val="00D10466"/>
    <w:rsid w:val="00D167BC"/>
    <w:rsid w:val="00D17348"/>
    <w:rsid w:val="00D225AF"/>
    <w:rsid w:val="00D33A7F"/>
    <w:rsid w:val="00D40411"/>
    <w:rsid w:val="00D43B60"/>
    <w:rsid w:val="00D4413A"/>
    <w:rsid w:val="00D4580F"/>
    <w:rsid w:val="00D66958"/>
    <w:rsid w:val="00D77CEE"/>
    <w:rsid w:val="00D833D2"/>
    <w:rsid w:val="00DB01B7"/>
    <w:rsid w:val="00DB4CB5"/>
    <w:rsid w:val="00DB65C8"/>
    <w:rsid w:val="00DB7121"/>
    <w:rsid w:val="00DD1880"/>
    <w:rsid w:val="00DD5DE3"/>
    <w:rsid w:val="00DE32A3"/>
    <w:rsid w:val="00DF1CF2"/>
    <w:rsid w:val="00DF4FEE"/>
    <w:rsid w:val="00E06B22"/>
    <w:rsid w:val="00E17931"/>
    <w:rsid w:val="00E54E86"/>
    <w:rsid w:val="00E55271"/>
    <w:rsid w:val="00E57E39"/>
    <w:rsid w:val="00E60F72"/>
    <w:rsid w:val="00E64680"/>
    <w:rsid w:val="00E677C6"/>
    <w:rsid w:val="00E72DF1"/>
    <w:rsid w:val="00E75985"/>
    <w:rsid w:val="00E847B5"/>
    <w:rsid w:val="00E93659"/>
    <w:rsid w:val="00EA0A5F"/>
    <w:rsid w:val="00EA50EB"/>
    <w:rsid w:val="00EA5A28"/>
    <w:rsid w:val="00EA7642"/>
    <w:rsid w:val="00EB1CE5"/>
    <w:rsid w:val="00EB2D7B"/>
    <w:rsid w:val="00EB2DC4"/>
    <w:rsid w:val="00EC7111"/>
    <w:rsid w:val="00EE3D46"/>
    <w:rsid w:val="00EE4CD8"/>
    <w:rsid w:val="00EE76EA"/>
    <w:rsid w:val="00F02EEC"/>
    <w:rsid w:val="00F05594"/>
    <w:rsid w:val="00F26D06"/>
    <w:rsid w:val="00F315B9"/>
    <w:rsid w:val="00F52363"/>
    <w:rsid w:val="00F613C2"/>
    <w:rsid w:val="00F857A3"/>
    <w:rsid w:val="00FA004A"/>
    <w:rsid w:val="00FA1985"/>
    <w:rsid w:val="00FA2FBD"/>
    <w:rsid w:val="00FC0407"/>
    <w:rsid w:val="00FD079F"/>
    <w:rsid w:val="00FD125E"/>
    <w:rsid w:val="00FD6B45"/>
    <w:rsid w:val="00FD6B7F"/>
    <w:rsid w:val="00FD6CAF"/>
    <w:rsid w:val="00FE2B93"/>
    <w:rsid w:val="00FE7E89"/>
    <w:rsid w:val="00FF5D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F635C"/>
  <w15:chartTrackingRefBased/>
  <w15:docId w15:val="{96587996-273D-4A58-AB1D-6C7770D45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E38"/>
    <w:pPr>
      <w:spacing w:after="0" w:line="240" w:lineRule="auto"/>
    </w:pPr>
    <w:rPr>
      <w:rFonts w:ascii="Times New Roman" w:eastAsia="Times New Roman" w:hAnsi="Times New Roman" w:cs="Times New Roman"/>
      <w:sz w:val="24"/>
      <w:szCs w:val="20"/>
      <w:lang w:val="es-ES" w:eastAsia="es-ES"/>
    </w:rPr>
  </w:style>
  <w:style w:type="paragraph" w:styleId="Ttulo2">
    <w:name w:val="heading 2"/>
    <w:basedOn w:val="Normal"/>
    <w:next w:val="Normal"/>
    <w:link w:val="Ttulo2Car"/>
    <w:qFormat/>
    <w:rsid w:val="00803317"/>
    <w:pPr>
      <w:keepNext/>
      <w:ind w:left="708" w:hanging="708"/>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9D6E38"/>
    <w:rPr>
      <w:color w:val="0000FF"/>
      <w:u w:val="single"/>
    </w:rPr>
  </w:style>
  <w:style w:type="paragraph" w:styleId="Encabezado">
    <w:name w:val="header"/>
    <w:basedOn w:val="Normal"/>
    <w:link w:val="EncabezadoCar"/>
    <w:rsid w:val="009D6E38"/>
    <w:pPr>
      <w:tabs>
        <w:tab w:val="center" w:pos="4419"/>
        <w:tab w:val="right" w:pos="8838"/>
      </w:tabs>
    </w:pPr>
  </w:style>
  <w:style w:type="character" w:customStyle="1" w:styleId="EncabezadoCar">
    <w:name w:val="Encabezado Car"/>
    <w:basedOn w:val="Fuentedeprrafopredeter"/>
    <w:link w:val="Encabezado"/>
    <w:rsid w:val="009D6E38"/>
    <w:rPr>
      <w:rFonts w:ascii="Times New Roman" w:eastAsia="Times New Roman" w:hAnsi="Times New Roman" w:cs="Times New Roman"/>
      <w:sz w:val="24"/>
      <w:szCs w:val="20"/>
      <w:lang w:val="es-ES" w:eastAsia="es-ES"/>
    </w:rPr>
  </w:style>
  <w:style w:type="paragraph" w:styleId="Piedepgina">
    <w:name w:val="footer"/>
    <w:basedOn w:val="Normal"/>
    <w:link w:val="PiedepginaCar"/>
    <w:rsid w:val="009D6E38"/>
    <w:pPr>
      <w:tabs>
        <w:tab w:val="center" w:pos="4419"/>
        <w:tab w:val="right" w:pos="8838"/>
      </w:tabs>
    </w:pPr>
  </w:style>
  <w:style w:type="character" w:customStyle="1" w:styleId="PiedepginaCar">
    <w:name w:val="Pie de página Car"/>
    <w:basedOn w:val="Fuentedeprrafopredeter"/>
    <w:link w:val="Piedepgina"/>
    <w:rsid w:val="009D6E38"/>
    <w:rPr>
      <w:rFonts w:ascii="Times New Roman" w:eastAsia="Times New Roman" w:hAnsi="Times New Roman" w:cs="Times New Roman"/>
      <w:sz w:val="24"/>
      <w:szCs w:val="20"/>
      <w:lang w:val="es-ES" w:eastAsia="es-ES"/>
    </w:rPr>
  </w:style>
  <w:style w:type="paragraph" w:styleId="Textodeglobo">
    <w:name w:val="Balloon Text"/>
    <w:basedOn w:val="Normal"/>
    <w:link w:val="TextodegloboCar"/>
    <w:uiPriority w:val="99"/>
    <w:semiHidden/>
    <w:unhideWhenUsed/>
    <w:rsid w:val="008367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673C"/>
    <w:rPr>
      <w:rFonts w:ascii="Segoe UI" w:eastAsia="Times New Roman" w:hAnsi="Segoe UI" w:cs="Segoe UI"/>
      <w:sz w:val="18"/>
      <w:szCs w:val="18"/>
      <w:lang w:val="es-ES" w:eastAsia="es-ES"/>
    </w:rPr>
  </w:style>
  <w:style w:type="character" w:customStyle="1" w:styleId="Ttulo2Car">
    <w:name w:val="Título 2 Car"/>
    <w:basedOn w:val="Fuentedeprrafopredeter"/>
    <w:link w:val="Ttulo2"/>
    <w:rsid w:val="00803317"/>
    <w:rPr>
      <w:rFonts w:ascii="Times New Roman" w:eastAsia="Times New Roman" w:hAnsi="Times New Roman" w:cs="Times New Roman"/>
      <w:sz w:val="24"/>
      <w:szCs w:val="20"/>
      <w:lang w:val="es-ES" w:eastAsia="es-ES"/>
    </w:rPr>
  </w:style>
  <w:style w:type="paragraph" w:styleId="Prrafodelista">
    <w:name w:val="List Paragraph"/>
    <w:aliases w:val="Titulo 2,Párrafo de Informe de Auditoría,Informe,Con viñetas,Normal con viñetas,3,Use Case List Paragraph,Bullet 1,List Paragraph 1,Numbered List Paragraph,Main numbered paragraph,Bullets,List Paragraph (numbered (a)),Akapit z listą BS"/>
    <w:basedOn w:val="Normal"/>
    <w:link w:val="PrrafodelistaCar"/>
    <w:uiPriority w:val="34"/>
    <w:qFormat/>
    <w:rsid w:val="00BD0403"/>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PrrafodelistaCar">
    <w:name w:val="Párrafo de lista Car"/>
    <w:aliases w:val="Titulo 2 Car,Párrafo de Informe de Auditoría Car,Informe Car,Con viñetas Car,Normal con viñetas Car,3 Car,Use Case List Paragraph Car,Bullet 1 Car,List Paragraph 1 Car,Numbered List Paragraph Car,Main numbered paragraph Car"/>
    <w:link w:val="Prrafodelista"/>
    <w:uiPriority w:val="34"/>
    <w:qFormat/>
    <w:locked/>
    <w:rsid w:val="00BD0403"/>
    <w:rPr>
      <w:lang w:val="en-US"/>
    </w:rPr>
  </w:style>
  <w:style w:type="paragraph" w:customStyle="1" w:styleId="Numeracin">
    <w:name w:val="Numeración"/>
    <w:basedOn w:val="Normal"/>
    <w:qFormat/>
    <w:rsid w:val="004F2251"/>
    <w:pPr>
      <w:numPr>
        <w:numId w:val="11"/>
      </w:numPr>
      <w:spacing w:before="120"/>
      <w:jc w:val="both"/>
    </w:pPr>
    <w:rPr>
      <w:sz w:val="22"/>
      <w:szCs w:val="24"/>
    </w:rPr>
  </w:style>
  <w:style w:type="character" w:styleId="Textodelmarcadordeposicin">
    <w:name w:val="Placeholder Text"/>
    <w:basedOn w:val="Fuentedeprrafopredeter"/>
    <w:uiPriority w:val="99"/>
    <w:semiHidden/>
    <w:rsid w:val="00B3105A"/>
    <w:rPr>
      <w:color w:val="666666"/>
    </w:rPr>
  </w:style>
  <w:style w:type="table" w:styleId="Tablaconcuadrcula">
    <w:name w:val="Table Grid"/>
    <w:basedOn w:val="Tablanormal"/>
    <w:uiPriority w:val="59"/>
    <w:rsid w:val="005B752E"/>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4E4E4A"/>
    <w:rPr>
      <w:sz w:val="20"/>
    </w:rPr>
  </w:style>
  <w:style w:type="character" w:customStyle="1" w:styleId="TextonotapieCar">
    <w:name w:val="Texto nota pie Car"/>
    <w:basedOn w:val="Fuentedeprrafopredeter"/>
    <w:link w:val="Textonotapie"/>
    <w:uiPriority w:val="99"/>
    <w:semiHidden/>
    <w:rsid w:val="004E4E4A"/>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4E4E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mailto:correo@sugeval.fi.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93414DE8A146359A81E2ADB0073115"/>
        <w:category>
          <w:name w:val="General"/>
          <w:gallery w:val="placeholder"/>
        </w:category>
        <w:types>
          <w:type w:val="bbPlcHdr"/>
        </w:types>
        <w:behaviors>
          <w:behavior w:val="content"/>
        </w:behaviors>
        <w:guid w:val="{FB6BC186-F216-4FC8-AF8C-191BDAC542C2}"/>
      </w:docPartPr>
      <w:docPartBody>
        <w:p w:rsidR="004F7985" w:rsidRDefault="004F7985">
          <w:r w:rsidRPr="00431CAE">
            <w:rPr>
              <w:rStyle w:val="Textodelmarcadordeposicin"/>
            </w:rPr>
            <w:t>[Consecutivo Interno]</w:t>
          </w:r>
        </w:p>
      </w:docPartBody>
    </w:docPart>
    <w:docPart>
      <w:docPartPr>
        <w:name w:val="C8A6597C799E47E789B68C8E0D38EA23"/>
        <w:category>
          <w:name w:val="General"/>
          <w:gallery w:val="placeholder"/>
        </w:category>
        <w:types>
          <w:type w:val="bbPlcHdr"/>
        </w:types>
        <w:behaviors>
          <w:behavior w:val="content"/>
        </w:behaviors>
        <w:guid w:val="{42FDBC23-3198-4F13-B070-695BCE3375F0}"/>
      </w:docPartPr>
      <w:docPartBody>
        <w:p w:rsidR="004F7985" w:rsidRDefault="004F7985">
          <w:r w:rsidRPr="00431CAE">
            <w:rPr>
              <w:rStyle w:val="Textodelmarcadordeposicin"/>
            </w:rPr>
            <w:t>[Periodo]</w:t>
          </w:r>
        </w:p>
      </w:docPartBody>
    </w:docPart>
    <w:docPart>
      <w:docPartPr>
        <w:name w:val="FC0CDEDD457D4069A920059EF7413440"/>
        <w:category>
          <w:name w:val="General"/>
          <w:gallery w:val="placeholder"/>
        </w:category>
        <w:types>
          <w:type w:val="bbPlcHdr"/>
        </w:types>
        <w:behaviors>
          <w:behavior w:val="content"/>
        </w:behaviors>
        <w:guid w:val="{5E8C93C6-F1B3-4395-9397-4D46183DC8A6}"/>
      </w:docPartPr>
      <w:docPartBody>
        <w:p w:rsidR="00582339" w:rsidRDefault="00582339">
          <w:r w:rsidRPr="00C17DF1">
            <w:rPr>
              <w:rStyle w:val="Textodelmarcadordeposicin"/>
            </w:rPr>
            <w:t>[Consecutivo Interno]</w:t>
          </w:r>
        </w:p>
      </w:docPartBody>
    </w:docPart>
    <w:docPart>
      <w:docPartPr>
        <w:name w:val="222F7813635D42E19CAD2EDADF860189"/>
        <w:category>
          <w:name w:val="General"/>
          <w:gallery w:val="placeholder"/>
        </w:category>
        <w:types>
          <w:type w:val="bbPlcHdr"/>
        </w:types>
        <w:behaviors>
          <w:behavior w:val="content"/>
        </w:behaviors>
        <w:guid w:val="{1D97B0C1-6493-4742-A503-8009E61DD1B2}"/>
      </w:docPartPr>
      <w:docPartBody>
        <w:p w:rsidR="00582339" w:rsidRDefault="00582339">
          <w:r w:rsidRPr="00C17DF1">
            <w:rPr>
              <w:rStyle w:val="Textodelmarcadordeposicin"/>
            </w:rPr>
            <w:t>[Periodo]</w:t>
          </w:r>
        </w:p>
      </w:docPartBody>
    </w:docPart>
    <w:docPart>
      <w:docPartPr>
        <w:name w:val="AE905498B1E84D2DB3235C551CFCD131"/>
        <w:category>
          <w:name w:val="General"/>
          <w:gallery w:val="placeholder"/>
        </w:category>
        <w:types>
          <w:type w:val="bbPlcHdr"/>
        </w:types>
        <w:behaviors>
          <w:behavior w:val="content"/>
        </w:behaviors>
        <w:guid w:val="{9849EB22-1851-4699-92E5-2157FC5919DB}"/>
      </w:docPartPr>
      <w:docPartBody>
        <w:p w:rsidR="00CB673A" w:rsidRDefault="007B7494" w:rsidP="007B7494">
          <w:pPr>
            <w:pStyle w:val="AE905498B1E84D2DB3235C551CFCD131"/>
          </w:pPr>
          <w:r w:rsidRPr="00C17DF1">
            <w:rPr>
              <w:rStyle w:val="Textodelmarcadordeposicin"/>
            </w:rPr>
            <w:t>[Consecutivo Interno]</w:t>
          </w:r>
        </w:p>
      </w:docPartBody>
    </w:docPart>
    <w:docPart>
      <w:docPartPr>
        <w:name w:val="E44DDD8A0D1C4BE397FDFBBF09A5A819"/>
        <w:category>
          <w:name w:val="General"/>
          <w:gallery w:val="placeholder"/>
        </w:category>
        <w:types>
          <w:type w:val="bbPlcHdr"/>
        </w:types>
        <w:behaviors>
          <w:behavior w:val="content"/>
        </w:behaviors>
        <w:guid w:val="{488EE79B-2572-4F3A-8AF3-05AA5ED9F601}"/>
      </w:docPartPr>
      <w:docPartBody>
        <w:p w:rsidR="00CB673A" w:rsidRDefault="007B7494" w:rsidP="007B7494">
          <w:pPr>
            <w:pStyle w:val="E44DDD8A0D1C4BE397FDFBBF09A5A819"/>
          </w:pPr>
          <w:r w:rsidRPr="00C17DF1">
            <w:rPr>
              <w:rStyle w:val="Textodelmarcadordeposicin"/>
            </w:rPr>
            <w:t>[Periodo]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7B"/>
    <w:rsid w:val="0008686F"/>
    <w:rsid w:val="00096CCC"/>
    <w:rsid w:val="001323C8"/>
    <w:rsid w:val="00274AD4"/>
    <w:rsid w:val="002A1094"/>
    <w:rsid w:val="002F3CDD"/>
    <w:rsid w:val="00384805"/>
    <w:rsid w:val="00431F2F"/>
    <w:rsid w:val="004F7985"/>
    <w:rsid w:val="00502DBC"/>
    <w:rsid w:val="00582339"/>
    <w:rsid w:val="007B6EC4"/>
    <w:rsid w:val="007B7494"/>
    <w:rsid w:val="007E132C"/>
    <w:rsid w:val="008215F2"/>
    <w:rsid w:val="008A3DF0"/>
    <w:rsid w:val="008B4143"/>
    <w:rsid w:val="009A75B3"/>
    <w:rsid w:val="009C2172"/>
    <w:rsid w:val="009D5923"/>
    <w:rsid w:val="00AC3268"/>
    <w:rsid w:val="00B17D5F"/>
    <w:rsid w:val="00C15150"/>
    <w:rsid w:val="00C7387B"/>
    <w:rsid w:val="00C77F4C"/>
    <w:rsid w:val="00CB673A"/>
    <w:rsid w:val="00D021FF"/>
    <w:rsid w:val="00D66958"/>
    <w:rsid w:val="00DD6B0D"/>
    <w:rsid w:val="00E04E75"/>
    <w:rsid w:val="00EF32BE"/>
    <w:rsid w:val="00F02EEC"/>
    <w:rsid w:val="00F2676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C2172"/>
    <w:rPr>
      <w:color w:val="666666"/>
    </w:rPr>
  </w:style>
  <w:style w:type="paragraph" w:customStyle="1" w:styleId="AE905498B1E84D2DB3235C551CFCD131">
    <w:name w:val="AE905498B1E84D2DB3235C551CFCD131"/>
    <w:rsid w:val="007B7494"/>
    <w:pPr>
      <w:spacing w:line="278" w:lineRule="auto"/>
    </w:pPr>
    <w:rPr>
      <w:kern w:val="2"/>
      <w:sz w:val="24"/>
      <w:szCs w:val="24"/>
      <w14:ligatures w14:val="standardContextual"/>
    </w:rPr>
  </w:style>
  <w:style w:type="paragraph" w:customStyle="1" w:styleId="E44DDD8A0D1C4BE397FDFBBF09A5A819">
    <w:name w:val="E44DDD8A0D1C4BE397FDFBBF09A5A819"/>
    <w:rsid w:val="007B7494"/>
    <w:pPr>
      <w:spacing w:line="278" w:lineRule="auto"/>
    </w:pPr>
    <w:rPr>
      <w:kern w:val="2"/>
      <w:sz w:val="24"/>
      <w:szCs w:val="24"/>
      <w14:ligatures w14:val="standardContextual"/>
    </w:rPr>
  </w:style>
  <w:style w:type="paragraph" w:customStyle="1" w:styleId="032F0DB0FE3D454184EEAB9EA856AD78">
    <w:name w:val="032F0DB0FE3D454184EEAB9EA856AD78"/>
    <w:rsid w:val="009C217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785E07C44598B4EB54A23AE39BCA0CA" ma:contentTypeVersion="14" ma:contentTypeDescription="Crear nuevo documento." ma:contentTypeScope="" ma:versionID="4348568f3c23e1e6d69c353c17037c96">
  <xsd:schema xmlns:xsd="http://www.w3.org/2001/XMLSchema" xmlns:xs="http://www.w3.org/2001/XMLSchema" xmlns:p="http://schemas.microsoft.com/office/2006/metadata/properties" xmlns:ns2="5c361f75-b654-42ca-a44c-62c3284acfc9" xmlns:ns3="70ce6b0a-8cae-44d7-bf13-86a314df0ce4" targetNamespace="http://schemas.microsoft.com/office/2006/metadata/properties" ma:root="true" ma:fieldsID="3e0d40dfaf3cb388518651d2eaac8870" ns2:_="" ns3:_="">
    <xsd:import namespace="5c361f75-b654-42ca-a44c-62c3284acfc9"/>
    <xsd:import namespace="70ce6b0a-8cae-44d7-bf13-86a314df0c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61f75-b654-42ca-a44c-62c3284ac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b0adf84e-870a-453e-bcaf-71f8aafc26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ce6b0a-8cae-44d7-bf13-86a314df0c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df1753-4a7c-49d3-865b-24fc9cb36639}" ma:internalName="TaxCatchAll" ma:showField="CatchAllData" ma:web="70ce6b0a-8cae-44d7-bf13-86a314df0ce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361f75-b654-42ca-a44c-62c3284acfc9">
      <Terms xmlns="http://schemas.microsoft.com/office/infopath/2007/PartnerControls"/>
    </lcf76f155ced4ddcb4097134ff3c332f>
    <TaxCatchAll xmlns="70ce6b0a-8cae-44d7-bf13-86a314df0c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475BB-4ED7-4B4F-8640-69C56AA6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61f75-b654-42ca-a44c-62c3284acfc9"/>
    <ds:schemaRef ds:uri="70ce6b0a-8cae-44d7-bf13-86a314df0c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DC382C-D9E7-4D29-A0BA-37DAFC44001F}">
  <ds:schemaRefs>
    <ds:schemaRef ds:uri="http://schemas.microsoft.com/sharepoint/v3/contenttype/forms"/>
  </ds:schemaRefs>
</ds:datastoreItem>
</file>

<file path=customXml/itemProps3.xml><?xml version="1.0" encoding="utf-8"?>
<ds:datastoreItem xmlns:ds="http://schemas.openxmlformats.org/officeDocument/2006/customXml" ds:itemID="{41C07311-202B-4BEC-AFBE-1CC12C23150C}">
  <ds:schemaRefs>
    <ds:schemaRef ds:uri="http://schemas.microsoft.com/office/2006/metadata/properties"/>
    <ds:schemaRef ds:uri="http://schemas.microsoft.com/office/infopath/2007/PartnerControls"/>
    <ds:schemaRef ds:uri="5c361f75-b654-42ca-a44c-62c3284acfc9"/>
    <ds:schemaRef ds:uri="70ce6b0a-8cae-44d7-bf13-86a314df0ce4"/>
  </ds:schemaRefs>
</ds:datastoreItem>
</file>

<file path=customXml/itemProps4.xml><?xml version="1.0" encoding="utf-8"?>
<ds:datastoreItem xmlns:ds="http://schemas.openxmlformats.org/officeDocument/2006/customXml" ds:itemID="{3218E16F-3AC3-4F3C-9AE0-0A742C3A0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1842</Words>
  <Characters>9969</Characters>
  <Application>Microsoft Office Word</Application>
  <DocSecurity>0</DocSecurity>
  <Lines>226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CAMPOS MAYORGA JUAN CARLOS</dc:creator>
  <cp:keywords/>
  <dc:description/>
  <cp:lastModifiedBy>MORALES ROJAS ILIANA</cp:lastModifiedBy>
  <cp:revision>2</cp:revision>
  <dcterms:created xsi:type="dcterms:W3CDTF">2026-09-02T17:12:00Z</dcterms:created>
  <dcterms:modified xsi:type="dcterms:W3CDTF">2026-09-02T17:12:00Z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65048664,2c9722b5,469576e8</vt:lpwstr>
  </property>
  <property fmtid="{D5CDD505-2E9C-101B-9397-08002B2CF9AE}" pid="3" name="ClassificationContentMarkingFooterFontProps">
    <vt:lpwstr>#000000,10,Aptos</vt:lpwstr>
  </property>
  <property fmtid="{D5CDD505-2E9C-101B-9397-08002B2CF9AE}" pid="4" name="ClassificationContentMarkingFooterText">
    <vt:lpwstr>Uso Interno estricto</vt:lpwstr>
  </property>
  <property fmtid="{D5CDD505-2E9C-101B-9397-08002B2CF9AE}" pid="5" name="MSIP_Label_b8b4be34-365a-4a68-b9fb-75c1b6874315_Enabled">
    <vt:lpwstr>true</vt:lpwstr>
  </property>
  <property fmtid="{D5CDD505-2E9C-101B-9397-08002B2CF9AE}" pid="6" name="MSIP_Label_b8b4be34-365a-4a68-b9fb-75c1b6874315_SetDate">
    <vt:lpwstr>2026-03-11T02:11:46Z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aa2c3179-582d-40f5-b2a8-fbe97c1a3d3d</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y fmtid="{D5CDD505-2E9C-101B-9397-08002B2CF9AE}" pid="13" name="ContentTypeId">
    <vt:lpwstr>0x0101002785E07C44598B4EB54A23AE39BCA0CA</vt:lpwstr>
  </property>
</Properties>
</file>