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74F4" w:rsidRPr="00771C33" w:rsidRDefault="000C639A" w:rsidP="00B874F4">
      <w:pPr>
        <w:ind w:right="-193"/>
        <w:jc w:val="both"/>
        <w:rPr>
          <w:rFonts w:ascii="Roboto" w:hAnsi="Roboto" w:cs="Arial"/>
          <w:b/>
          <w:szCs w:val="24"/>
        </w:rPr>
      </w:pPr>
      <w:r w:rsidRPr="00771C33">
        <w:rPr>
          <w:rFonts w:ascii="Roboto" w:hAnsi="Roboto" w:cs="Arial"/>
          <w:b/>
          <w:szCs w:val="24"/>
          <w:lang w:val="es-ES"/>
        </w:rPr>
        <w:t>S</w:t>
      </w:r>
      <w:r w:rsidR="008B2237" w:rsidRPr="00771C33">
        <w:rPr>
          <w:rFonts w:ascii="Roboto" w:hAnsi="Roboto" w:cs="Arial"/>
          <w:b/>
          <w:szCs w:val="24"/>
          <w:lang w:val="es-ES"/>
        </w:rPr>
        <w:t>GV-A-</w:t>
      </w:r>
      <w:r w:rsidR="00161105" w:rsidRPr="00771C33">
        <w:rPr>
          <w:rFonts w:ascii="Roboto" w:hAnsi="Roboto" w:cs="Arial"/>
          <w:b/>
          <w:szCs w:val="24"/>
          <w:lang w:val="es-ES"/>
        </w:rPr>
        <w:t>XX</w:t>
      </w:r>
      <w:r w:rsidR="008B2237" w:rsidRPr="00771C33">
        <w:rPr>
          <w:rFonts w:ascii="Roboto" w:hAnsi="Roboto" w:cs="Arial"/>
          <w:b/>
          <w:szCs w:val="24"/>
          <w:lang w:val="es-ES"/>
        </w:rPr>
        <w:t>-2026</w:t>
      </w:r>
      <w:r w:rsidR="00161105" w:rsidRPr="00771C33">
        <w:rPr>
          <w:rFonts w:ascii="Roboto" w:hAnsi="Roboto" w:cs="Arial"/>
          <w:b/>
          <w:szCs w:val="24"/>
          <w:lang w:val="es-ES"/>
        </w:rPr>
        <w:t>.</w:t>
      </w:r>
      <w:r w:rsidR="008B2237" w:rsidRPr="00771C33">
        <w:rPr>
          <w:rFonts w:ascii="Roboto" w:hAnsi="Roboto" w:cs="Arial"/>
          <w:b/>
          <w:szCs w:val="24"/>
          <w:lang w:val="es-ES"/>
        </w:rPr>
        <w:t xml:space="preserve"> </w:t>
      </w:r>
      <w:r w:rsidR="000A54B7" w:rsidRPr="00771C33">
        <w:rPr>
          <w:rFonts w:ascii="Roboto" w:hAnsi="Roboto" w:cs="Arial"/>
          <w:b/>
          <w:szCs w:val="24"/>
        </w:rPr>
        <w:t>MODIFICACIÓN DEL APARTADO “CONDICIONES PARA VALORES DE RENTA FIJA” DEL PUNTO 4A.1 DE LA SECCIÓN “POLÍTICA DE INVERSIÓN Y DISPOSICIONES OPERATIVAS” DEL ANEXO 1, CONTENIDO EN EL</w:t>
      </w:r>
      <w:r w:rsidR="00220858" w:rsidRPr="00771C33">
        <w:rPr>
          <w:rFonts w:ascii="Roboto" w:hAnsi="Roboto" w:cs="Arial"/>
          <w:b/>
          <w:szCs w:val="24"/>
        </w:rPr>
        <w:t xml:space="preserve"> ACUERDO</w:t>
      </w:r>
      <w:r w:rsidR="000A54B7" w:rsidRPr="00771C33">
        <w:rPr>
          <w:rFonts w:ascii="Roboto" w:hAnsi="Roboto" w:cs="Arial"/>
          <w:b/>
          <w:szCs w:val="24"/>
        </w:rPr>
        <w:t xml:space="preserve"> </w:t>
      </w:r>
      <w:r w:rsidR="00386F56" w:rsidRPr="00771C33">
        <w:rPr>
          <w:rFonts w:ascii="Roboto" w:hAnsi="Roboto" w:cs="Arial"/>
          <w:b/>
          <w:szCs w:val="24"/>
          <w:lang w:val="es-ES"/>
        </w:rPr>
        <w:t>SGV-A-158</w:t>
      </w:r>
      <w:r w:rsidR="00220858" w:rsidRPr="00771C33">
        <w:rPr>
          <w:rFonts w:ascii="Roboto" w:hAnsi="Roboto" w:cs="Arial"/>
          <w:b/>
          <w:szCs w:val="24"/>
        </w:rPr>
        <w:t xml:space="preserve"> “GUÍA PARA LA ELABORACIÓN Y REMISIÓN DE PROSPECTOS DE FONDOS DE INVERSIÓN”.</w:t>
      </w:r>
    </w:p>
    <w:p w:rsidR="00B874F4" w:rsidRPr="00E56609" w:rsidRDefault="00B874F4" w:rsidP="00B874F4">
      <w:pPr>
        <w:ind w:right="-193"/>
        <w:jc w:val="both"/>
        <w:rPr>
          <w:rFonts w:ascii="Roboto" w:hAnsi="Roboto" w:cs="Arial"/>
          <w:b/>
          <w:bCs/>
          <w:iCs/>
          <w:noProof/>
          <w:szCs w:val="24"/>
          <w:lang w:val="es-ES"/>
        </w:rPr>
      </w:pPr>
    </w:p>
    <w:p w:rsidR="00B874F4" w:rsidRPr="00CC710D" w:rsidRDefault="00B874F4" w:rsidP="00B874F4">
      <w:pPr>
        <w:spacing w:line="276" w:lineRule="auto"/>
        <w:ind w:right="-193"/>
        <w:jc w:val="both"/>
        <w:rPr>
          <w:rFonts w:ascii="Roboto" w:hAnsi="Roboto" w:cs="Arial"/>
          <w:b/>
          <w:bCs/>
          <w:szCs w:val="24"/>
        </w:rPr>
      </w:pPr>
      <w:r w:rsidRPr="00CC710D">
        <w:rPr>
          <w:rFonts w:ascii="Roboto" w:hAnsi="Roboto" w:cs="Arial"/>
          <w:b/>
          <w:bCs/>
          <w:szCs w:val="24"/>
        </w:rPr>
        <w:t>Considerando que:</w:t>
      </w:r>
    </w:p>
    <w:p w:rsidR="00B874F4" w:rsidRPr="00CC710D" w:rsidRDefault="00B874F4" w:rsidP="00B874F4">
      <w:pPr>
        <w:tabs>
          <w:tab w:val="left" w:pos="567"/>
        </w:tabs>
        <w:ind w:left="567" w:right="-193"/>
        <w:jc w:val="both"/>
        <w:rPr>
          <w:rFonts w:ascii="Roboto" w:hAnsi="Roboto" w:cs="Arial"/>
          <w:szCs w:val="24"/>
          <w:lang w:val="es-ES"/>
        </w:rPr>
      </w:pPr>
    </w:p>
    <w:p w:rsidR="00B874F4" w:rsidRPr="00CC710D" w:rsidRDefault="00B874F4" w:rsidP="00B874F4">
      <w:pPr>
        <w:numPr>
          <w:ilvl w:val="0"/>
          <w:numId w:val="12"/>
        </w:numPr>
        <w:tabs>
          <w:tab w:val="left" w:pos="567"/>
        </w:tabs>
        <w:ind w:left="567" w:right="-193" w:hanging="567"/>
        <w:jc w:val="both"/>
        <w:rPr>
          <w:rFonts w:ascii="Roboto" w:hAnsi="Roboto" w:cs="Arial"/>
          <w:szCs w:val="24"/>
          <w:lang w:val="es-ES"/>
        </w:rPr>
      </w:pPr>
      <w:r w:rsidRPr="00CC710D">
        <w:rPr>
          <w:rFonts w:ascii="Roboto" w:hAnsi="Roboto" w:cs="Arial"/>
          <w:szCs w:val="24"/>
          <w:lang w:val="es-ES"/>
        </w:rPr>
        <w:t>De conformidad con el artículo 8 de la Ley Reguladora del Mercado de Valores</w:t>
      </w:r>
      <w:r w:rsidR="00CC710D" w:rsidRPr="00CC710D">
        <w:rPr>
          <w:rFonts w:ascii="Roboto" w:hAnsi="Roboto" w:cs="Arial"/>
          <w:szCs w:val="24"/>
          <w:lang w:val="es-ES"/>
        </w:rPr>
        <w:t>,</w:t>
      </w:r>
      <w:r w:rsidRPr="00CC710D">
        <w:rPr>
          <w:rFonts w:ascii="Roboto" w:hAnsi="Roboto" w:cs="Arial"/>
          <w:szCs w:val="24"/>
          <w:lang w:val="es-ES"/>
        </w:rPr>
        <w:t xml:space="preserve"> corresponde al Superintendente General de Valores adoptar las acciones necesarias para el cumplimiento efectivo de las funciones de regulación, fiscalización y supervisión que competen a la Superintendencia General de Valores.</w:t>
      </w:r>
    </w:p>
    <w:p w:rsidR="00F175AC" w:rsidRPr="00CC710D" w:rsidRDefault="00F175AC" w:rsidP="00F175AC">
      <w:pPr>
        <w:numPr>
          <w:ilvl w:val="0"/>
          <w:numId w:val="12"/>
        </w:numPr>
        <w:tabs>
          <w:tab w:val="left" w:pos="567"/>
        </w:tabs>
        <w:spacing w:before="120"/>
        <w:ind w:left="567" w:right="-193" w:hanging="567"/>
        <w:jc w:val="both"/>
        <w:rPr>
          <w:rFonts w:ascii="Roboto" w:hAnsi="Roboto" w:cs="Arial"/>
          <w:szCs w:val="24"/>
          <w:lang w:val="es-ES"/>
        </w:rPr>
      </w:pPr>
      <w:r w:rsidRPr="00CC710D">
        <w:rPr>
          <w:rFonts w:ascii="Roboto" w:hAnsi="Roboto" w:cs="Arial"/>
          <w:szCs w:val="24"/>
          <w:lang w:val="es-ES"/>
        </w:rPr>
        <w:t xml:space="preserve">El Consejo Nacional de Supervisión del Sistema Financiero, mediante el artículo 9 del acta de la </w:t>
      </w:r>
      <w:r w:rsidRPr="00F72521">
        <w:rPr>
          <w:rFonts w:ascii="Roboto" w:hAnsi="Roboto" w:cs="Arial"/>
          <w:szCs w:val="24"/>
          <w:lang w:val="es-ES"/>
        </w:rPr>
        <w:t>sesión 1970-2025</w:t>
      </w:r>
      <w:r w:rsidRPr="00CC710D">
        <w:rPr>
          <w:rFonts w:ascii="Roboto" w:hAnsi="Roboto" w:cs="Arial"/>
          <w:szCs w:val="24"/>
          <w:lang w:val="es-ES"/>
        </w:rPr>
        <w:t>, celebrada el 16 de setiembre de 2025, publicado en el Alcance N.125 a La Gaceta del 30 de setiembre de 2025, aprobó un conjunto de modificación al Acuerdo SUGEVAL 08-09, Reglamento sobre Sociedades Administradoras y Fondos de Inversión.</w:t>
      </w:r>
    </w:p>
    <w:p w:rsidR="00F175AC" w:rsidRPr="00CC710D" w:rsidRDefault="00F175AC" w:rsidP="00F175AC">
      <w:pPr>
        <w:numPr>
          <w:ilvl w:val="0"/>
          <w:numId w:val="12"/>
        </w:numPr>
        <w:tabs>
          <w:tab w:val="left" w:pos="567"/>
        </w:tabs>
        <w:spacing w:before="120"/>
        <w:ind w:left="567" w:right="-193" w:hanging="567"/>
        <w:jc w:val="both"/>
        <w:rPr>
          <w:rFonts w:ascii="Roboto" w:hAnsi="Roboto" w:cs="Arial"/>
          <w:szCs w:val="24"/>
          <w:lang w:val="es-ES"/>
        </w:rPr>
      </w:pPr>
      <w:r w:rsidRPr="00CC710D">
        <w:rPr>
          <w:rFonts w:ascii="Roboto" w:hAnsi="Roboto" w:cs="Arial"/>
          <w:szCs w:val="24"/>
          <w:lang w:val="es-ES"/>
        </w:rPr>
        <w:t>A partir de estas modificaciones, y de acuerdo con lo dispuesto en el</w:t>
      </w:r>
      <w:r w:rsidRPr="00CC710D">
        <w:rPr>
          <w:rFonts w:ascii="Roboto" w:eastAsia="Calibri" w:hAnsi="Roboto" w:cs="Arial"/>
          <w:szCs w:val="24"/>
          <w:lang w:eastAsia="en-US"/>
        </w:rPr>
        <w:t xml:space="preserve"> artículo 56 -Diversificación- del citado reglamento, </w:t>
      </w:r>
      <w:r w:rsidRPr="00CC710D">
        <w:rPr>
          <w:rFonts w:ascii="Roboto" w:hAnsi="Roboto" w:cs="Arial"/>
          <w:szCs w:val="24"/>
        </w:rPr>
        <w:t>para cada fondo de inversión se debe revelar, en la política de inversión, una exposición clara y detallada de su estrategia de diversificación, que al menos se refiera a los siguientes elementos:</w:t>
      </w:r>
    </w:p>
    <w:p w:rsidR="00F175AC" w:rsidRPr="00CC710D" w:rsidRDefault="00F175AC" w:rsidP="00F175AC">
      <w:pPr>
        <w:ind w:left="993" w:hanging="426"/>
        <w:jc w:val="both"/>
        <w:rPr>
          <w:rFonts w:ascii="Roboto" w:hAnsi="Roboto" w:cs="Arial"/>
          <w:szCs w:val="24"/>
        </w:rPr>
      </w:pPr>
      <w:r w:rsidRPr="00CC710D">
        <w:rPr>
          <w:rFonts w:ascii="Roboto" w:hAnsi="Roboto" w:cs="Arial"/>
          <w:szCs w:val="24"/>
        </w:rPr>
        <w:t>a.</w:t>
      </w:r>
      <w:r w:rsidRPr="00CC710D">
        <w:rPr>
          <w:rFonts w:ascii="Roboto" w:hAnsi="Roboto" w:cs="Arial"/>
          <w:szCs w:val="24"/>
        </w:rPr>
        <w:tab/>
        <w:t>Los tipos de valores, emisores, monedas y mercados aceptables para invertir.</w:t>
      </w:r>
    </w:p>
    <w:p w:rsidR="00F175AC" w:rsidRPr="00CC710D" w:rsidRDefault="00F175AC" w:rsidP="00F175AC">
      <w:pPr>
        <w:ind w:left="993" w:hanging="426"/>
        <w:jc w:val="both"/>
        <w:rPr>
          <w:rFonts w:ascii="Roboto" w:hAnsi="Roboto" w:cs="Arial"/>
          <w:szCs w:val="24"/>
        </w:rPr>
      </w:pPr>
      <w:r w:rsidRPr="00CC710D">
        <w:rPr>
          <w:rFonts w:ascii="Roboto" w:hAnsi="Roboto" w:cs="Arial"/>
          <w:szCs w:val="24"/>
        </w:rPr>
        <w:t>b.</w:t>
      </w:r>
      <w:r w:rsidRPr="00CC710D">
        <w:rPr>
          <w:rFonts w:ascii="Roboto" w:hAnsi="Roboto" w:cs="Arial"/>
          <w:szCs w:val="24"/>
        </w:rPr>
        <w:tab/>
        <w:t>Los límites mínimos y máximos por tipo de valor, por tipo de emisor, por moneda y por mercado.</w:t>
      </w:r>
    </w:p>
    <w:p w:rsidR="00F175AC" w:rsidRPr="00CC710D" w:rsidRDefault="00F175AC" w:rsidP="00F175AC">
      <w:pPr>
        <w:ind w:left="993" w:hanging="426"/>
        <w:jc w:val="both"/>
        <w:rPr>
          <w:rFonts w:ascii="Roboto" w:hAnsi="Roboto" w:cs="Arial"/>
          <w:szCs w:val="24"/>
        </w:rPr>
      </w:pPr>
      <w:r w:rsidRPr="00CC710D">
        <w:rPr>
          <w:rFonts w:ascii="Roboto" w:hAnsi="Roboto" w:cs="Arial"/>
          <w:szCs w:val="24"/>
        </w:rPr>
        <w:t>c.</w:t>
      </w:r>
      <w:r w:rsidRPr="00CC710D">
        <w:rPr>
          <w:rFonts w:ascii="Roboto" w:hAnsi="Roboto" w:cs="Arial"/>
          <w:szCs w:val="24"/>
        </w:rPr>
        <w:tab/>
        <w:t xml:space="preserve">En el caso de fondos de inversión abiertos, niveles mínimos y máximos de recursos necesarios para gestionar el riesgo de liquidez y especificar los instrumentos que se utilizan para gestionar la liquidez. </w:t>
      </w:r>
    </w:p>
    <w:p w:rsidR="00F175AC" w:rsidRPr="00CC710D" w:rsidRDefault="00F175AC" w:rsidP="00F175AC">
      <w:pPr>
        <w:ind w:left="993" w:hanging="426"/>
        <w:jc w:val="both"/>
        <w:rPr>
          <w:rFonts w:ascii="Roboto" w:hAnsi="Roboto" w:cs="Arial"/>
          <w:szCs w:val="24"/>
        </w:rPr>
      </w:pPr>
      <w:r w:rsidRPr="00CC710D">
        <w:rPr>
          <w:rFonts w:ascii="Roboto" w:hAnsi="Roboto" w:cs="Arial"/>
          <w:szCs w:val="24"/>
        </w:rPr>
        <w:t>d.</w:t>
      </w:r>
      <w:r w:rsidRPr="00CC710D">
        <w:rPr>
          <w:rFonts w:ascii="Roboto" w:hAnsi="Roboto" w:cs="Arial"/>
          <w:szCs w:val="24"/>
        </w:rPr>
        <w:tab/>
        <w:t>La política en relación con los depósitos a la vista.</w:t>
      </w:r>
    </w:p>
    <w:p w:rsidR="00B874F4" w:rsidRPr="00CC710D" w:rsidRDefault="00F175AC" w:rsidP="00F175AC">
      <w:pPr>
        <w:ind w:left="993" w:hanging="426"/>
        <w:jc w:val="both"/>
        <w:rPr>
          <w:rFonts w:ascii="Roboto" w:hAnsi="Roboto" w:cs="Arial"/>
          <w:szCs w:val="24"/>
        </w:rPr>
      </w:pPr>
      <w:r w:rsidRPr="00CC710D">
        <w:rPr>
          <w:rFonts w:ascii="Roboto" w:hAnsi="Roboto" w:cs="Arial"/>
          <w:szCs w:val="24"/>
        </w:rPr>
        <w:t>e.</w:t>
      </w:r>
      <w:r w:rsidRPr="00CC710D">
        <w:rPr>
          <w:rFonts w:ascii="Roboto" w:hAnsi="Roboto" w:cs="Arial"/>
          <w:szCs w:val="24"/>
        </w:rPr>
        <w:tab/>
        <w:t>Duración mínima, máxima y promedio de las inversiones tratándose de valores de renta fija.</w:t>
      </w:r>
    </w:p>
    <w:p w:rsidR="00155EAB" w:rsidRPr="00CC710D" w:rsidRDefault="00EB3187" w:rsidP="00155EAB">
      <w:pPr>
        <w:numPr>
          <w:ilvl w:val="0"/>
          <w:numId w:val="12"/>
        </w:numPr>
        <w:tabs>
          <w:tab w:val="left" w:pos="567"/>
        </w:tabs>
        <w:spacing w:before="120"/>
        <w:ind w:left="567" w:right="-193" w:hanging="567"/>
        <w:jc w:val="both"/>
        <w:rPr>
          <w:rFonts w:ascii="Roboto" w:hAnsi="Roboto" w:cs="Arial"/>
          <w:szCs w:val="24"/>
          <w:lang w:val="es-ES"/>
        </w:rPr>
      </w:pPr>
      <w:r w:rsidRPr="00CC710D">
        <w:rPr>
          <w:rFonts w:ascii="Roboto" w:hAnsi="Roboto" w:cs="Arial"/>
          <w:szCs w:val="24"/>
          <w:lang w:val="es-ES"/>
        </w:rPr>
        <w:t xml:space="preserve">Mediante Acuerdo </w:t>
      </w:r>
      <w:r w:rsidR="00EA06DD" w:rsidRPr="00CC710D">
        <w:rPr>
          <w:rFonts w:ascii="Roboto" w:hAnsi="Roboto" w:cs="Arial"/>
          <w:szCs w:val="24"/>
          <w:lang w:val="es-ES"/>
        </w:rPr>
        <w:t>SGV</w:t>
      </w:r>
      <w:r w:rsidRPr="00CC710D">
        <w:rPr>
          <w:rFonts w:ascii="Roboto" w:hAnsi="Roboto" w:cs="Arial"/>
          <w:szCs w:val="24"/>
          <w:lang w:val="es-ES"/>
        </w:rPr>
        <w:t>-A-</w:t>
      </w:r>
      <w:r w:rsidR="00381E2A">
        <w:rPr>
          <w:rFonts w:ascii="Roboto" w:hAnsi="Roboto" w:cs="Arial"/>
          <w:szCs w:val="24"/>
          <w:lang w:val="es-ES"/>
        </w:rPr>
        <w:t>11</w:t>
      </w:r>
      <w:r w:rsidRPr="00CC710D">
        <w:rPr>
          <w:rFonts w:ascii="Roboto" w:hAnsi="Roboto" w:cs="Arial"/>
          <w:szCs w:val="24"/>
          <w:lang w:val="es-ES"/>
        </w:rPr>
        <w:t>-2026</w:t>
      </w:r>
      <w:r w:rsidR="00382E1A" w:rsidRPr="00CC710D">
        <w:rPr>
          <w:rFonts w:ascii="Roboto" w:hAnsi="Roboto" w:cs="Arial"/>
          <w:szCs w:val="24"/>
          <w:lang w:val="es-ES"/>
        </w:rPr>
        <w:t xml:space="preserve"> del </w:t>
      </w:r>
      <w:r w:rsidR="00381E2A">
        <w:rPr>
          <w:rFonts w:ascii="Roboto" w:hAnsi="Roboto" w:cs="Arial"/>
          <w:szCs w:val="24"/>
          <w:lang w:val="es-ES"/>
        </w:rPr>
        <w:t>18</w:t>
      </w:r>
      <w:r w:rsidR="00382E1A" w:rsidRPr="00CC710D">
        <w:rPr>
          <w:rFonts w:ascii="Roboto" w:hAnsi="Roboto" w:cs="Arial"/>
          <w:szCs w:val="24"/>
          <w:lang w:val="es-ES"/>
        </w:rPr>
        <w:t xml:space="preserve"> de </w:t>
      </w:r>
      <w:r w:rsidR="00381E2A">
        <w:rPr>
          <w:rFonts w:ascii="Roboto" w:hAnsi="Roboto" w:cs="Arial"/>
          <w:szCs w:val="24"/>
          <w:lang w:val="es-ES"/>
        </w:rPr>
        <w:t>mayo</w:t>
      </w:r>
      <w:r w:rsidR="00382E1A" w:rsidRPr="00CC710D">
        <w:rPr>
          <w:rFonts w:ascii="Roboto" w:hAnsi="Roboto" w:cs="Arial"/>
          <w:szCs w:val="24"/>
          <w:lang w:val="es-ES"/>
        </w:rPr>
        <w:t xml:space="preserve"> de 2026</w:t>
      </w:r>
      <w:r w:rsidR="00D233D3" w:rsidRPr="00CC710D">
        <w:rPr>
          <w:rFonts w:ascii="Roboto" w:hAnsi="Roboto" w:cs="Arial"/>
          <w:szCs w:val="24"/>
          <w:lang w:val="es-ES"/>
        </w:rPr>
        <w:t xml:space="preserve"> se </w:t>
      </w:r>
      <w:r w:rsidR="00F175AC" w:rsidRPr="00CC710D">
        <w:rPr>
          <w:rFonts w:ascii="Roboto" w:hAnsi="Roboto" w:cs="Arial"/>
          <w:szCs w:val="24"/>
          <w:lang w:val="es-ES"/>
        </w:rPr>
        <w:t>modificó</w:t>
      </w:r>
      <w:r w:rsidR="00D233D3" w:rsidRPr="00CC710D">
        <w:rPr>
          <w:rFonts w:ascii="Roboto" w:hAnsi="Roboto" w:cs="Arial"/>
          <w:szCs w:val="24"/>
          <w:lang w:val="es-ES"/>
        </w:rPr>
        <w:t xml:space="preserve"> la Guía </w:t>
      </w:r>
      <w:r w:rsidR="00D233D3" w:rsidRPr="00CC710D">
        <w:rPr>
          <w:rFonts w:ascii="Roboto" w:eastAsia="Calibri" w:hAnsi="Roboto" w:cs="Arial"/>
          <w:bCs/>
          <w:color w:val="000000"/>
          <w:szCs w:val="24"/>
          <w:lang w:val="es-ES" w:eastAsia="es-CR"/>
        </w:rPr>
        <w:t xml:space="preserve">para la </w:t>
      </w:r>
      <w:r w:rsidR="00F175AC" w:rsidRPr="00CC710D">
        <w:rPr>
          <w:rFonts w:ascii="Roboto" w:eastAsia="Calibri" w:hAnsi="Roboto" w:cs="Arial"/>
          <w:bCs/>
          <w:color w:val="000000"/>
          <w:szCs w:val="24"/>
          <w:lang w:val="es-ES" w:eastAsia="es-CR"/>
        </w:rPr>
        <w:t>e</w:t>
      </w:r>
      <w:r w:rsidR="00D233D3" w:rsidRPr="00CC710D">
        <w:rPr>
          <w:rFonts w:ascii="Roboto" w:eastAsia="Calibri" w:hAnsi="Roboto" w:cs="Arial"/>
          <w:bCs/>
          <w:color w:val="000000"/>
          <w:szCs w:val="24"/>
          <w:lang w:val="es-ES" w:eastAsia="es-CR"/>
        </w:rPr>
        <w:t xml:space="preserve">laboración y </w:t>
      </w:r>
      <w:r w:rsidR="00F175AC" w:rsidRPr="00CC710D">
        <w:rPr>
          <w:rFonts w:ascii="Roboto" w:eastAsia="Calibri" w:hAnsi="Roboto" w:cs="Arial"/>
          <w:bCs/>
          <w:color w:val="000000"/>
          <w:szCs w:val="24"/>
          <w:lang w:val="es-ES" w:eastAsia="es-CR"/>
        </w:rPr>
        <w:t>r</w:t>
      </w:r>
      <w:r w:rsidR="00D233D3" w:rsidRPr="00CC710D">
        <w:rPr>
          <w:rFonts w:ascii="Roboto" w:eastAsia="Calibri" w:hAnsi="Roboto" w:cs="Arial"/>
          <w:bCs/>
          <w:color w:val="000000"/>
          <w:szCs w:val="24"/>
          <w:lang w:val="es-ES" w:eastAsia="es-CR"/>
        </w:rPr>
        <w:t xml:space="preserve">emisión de </w:t>
      </w:r>
      <w:r w:rsidR="00F175AC" w:rsidRPr="00CC710D">
        <w:rPr>
          <w:rFonts w:ascii="Roboto" w:eastAsia="Calibri" w:hAnsi="Roboto" w:cs="Arial"/>
          <w:bCs/>
          <w:color w:val="000000"/>
          <w:szCs w:val="24"/>
          <w:lang w:val="es-ES" w:eastAsia="es-CR"/>
        </w:rPr>
        <w:t>p</w:t>
      </w:r>
      <w:r w:rsidR="00D233D3" w:rsidRPr="00CC710D">
        <w:rPr>
          <w:rFonts w:ascii="Roboto" w:eastAsia="Calibri" w:hAnsi="Roboto" w:cs="Arial"/>
          <w:bCs/>
          <w:color w:val="000000"/>
          <w:szCs w:val="24"/>
          <w:lang w:val="es-ES" w:eastAsia="es-CR"/>
        </w:rPr>
        <w:t xml:space="preserve">rospectos de </w:t>
      </w:r>
      <w:r w:rsidR="00F175AC" w:rsidRPr="00CC710D">
        <w:rPr>
          <w:rFonts w:ascii="Roboto" w:eastAsia="Calibri" w:hAnsi="Roboto" w:cs="Arial"/>
          <w:bCs/>
          <w:color w:val="000000"/>
          <w:szCs w:val="24"/>
          <w:lang w:val="es-ES" w:eastAsia="es-CR"/>
        </w:rPr>
        <w:t>f</w:t>
      </w:r>
      <w:r w:rsidR="00D233D3" w:rsidRPr="00CC710D">
        <w:rPr>
          <w:rFonts w:ascii="Roboto" w:eastAsia="Calibri" w:hAnsi="Roboto" w:cs="Arial"/>
          <w:bCs/>
          <w:color w:val="000000"/>
          <w:szCs w:val="24"/>
          <w:lang w:val="es-ES" w:eastAsia="es-CR"/>
        </w:rPr>
        <w:t xml:space="preserve">ondos de </w:t>
      </w:r>
      <w:r w:rsidR="00F175AC" w:rsidRPr="00CC710D">
        <w:rPr>
          <w:rFonts w:ascii="Roboto" w:eastAsia="Calibri" w:hAnsi="Roboto" w:cs="Arial"/>
          <w:bCs/>
          <w:color w:val="000000"/>
          <w:szCs w:val="24"/>
          <w:lang w:val="es-ES" w:eastAsia="es-CR"/>
        </w:rPr>
        <w:t>i</w:t>
      </w:r>
      <w:r w:rsidR="00D233D3" w:rsidRPr="00CC710D">
        <w:rPr>
          <w:rFonts w:ascii="Roboto" w:eastAsia="Calibri" w:hAnsi="Roboto" w:cs="Arial"/>
          <w:bCs/>
          <w:color w:val="000000"/>
          <w:szCs w:val="24"/>
          <w:lang w:val="es-ES" w:eastAsia="es-CR"/>
        </w:rPr>
        <w:t>nversión</w:t>
      </w:r>
      <w:r w:rsidR="00F175AC" w:rsidRPr="00CC710D">
        <w:rPr>
          <w:rFonts w:ascii="Roboto" w:eastAsia="Calibri" w:hAnsi="Roboto" w:cs="Arial"/>
          <w:bCs/>
          <w:color w:val="000000"/>
          <w:szCs w:val="24"/>
          <w:lang w:val="es-ES" w:eastAsia="es-CR"/>
        </w:rPr>
        <w:t xml:space="preserve">, contenida en el </w:t>
      </w:r>
      <w:r w:rsidR="00CC710D" w:rsidRPr="00CC710D">
        <w:rPr>
          <w:rFonts w:ascii="Roboto" w:eastAsia="Calibri" w:hAnsi="Roboto" w:cs="Arial"/>
          <w:bCs/>
          <w:color w:val="000000"/>
          <w:szCs w:val="24"/>
          <w:lang w:val="es-ES" w:eastAsia="es-CR"/>
        </w:rPr>
        <w:t xml:space="preserve">Acuerdo SGV-A-158 </w:t>
      </w:r>
      <w:r w:rsidR="00607D5F" w:rsidRPr="00CC710D">
        <w:rPr>
          <w:rFonts w:ascii="Roboto" w:hAnsi="Roboto" w:cs="Arial"/>
          <w:szCs w:val="24"/>
          <w:lang w:val="es-ES"/>
        </w:rPr>
        <w:t xml:space="preserve">para adecuar </w:t>
      </w:r>
      <w:r w:rsidR="00F175AC" w:rsidRPr="00CC710D">
        <w:rPr>
          <w:rFonts w:ascii="Roboto" w:hAnsi="Roboto" w:cs="Arial"/>
          <w:szCs w:val="24"/>
          <w:lang w:val="es-ES"/>
        </w:rPr>
        <w:t>su</w:t>
      </w:r>
      <w:r w:rsidR="00607D5F" w:rsidRPr="00CC710D">
        <w:rPr>
          <w:rFonts w:ascii="Roboto" w:hAnsi="Roboto" w:cs="Arial"/>
          <w:szCs w:val="24"/>
          <w:lang w:val="es-ES"/>
        </w:rPr>
        <w:t xml:space="preserve"> contenido </w:t>
      </w:r>
      <w:r w:rsidR="00F175AC" w:rsidRPr="00CC710D">
        <w:rPr>
          <w:rFonts w:ascii="Roboto" w:hAnsi="Roboto" w:cs="Arial"/>
          <w:szCs w:val="24"/>
          <w:lang w:val="es-ES"/>
        </w:rPr>
        <w:t xml:space="preserve">al nuevo marco regulatorio, según las normas aprobadas por el Conassif en la </w:t>
      </w:r>
      <w:r w:rsidR="00F175AC" w:rsidRPr="00F72521">
        <w:rPr>
          <w:rFonts w:ascii="Roboto" w:hAnsi="Roboto" w:cs="Arial"/>
          <w:szCs w:val="24"/>
          <w:lang w:val="es-ES"/>
        </w:rPr>
        <w:t>sesión 1970-</w:t>
      </w:r>
      <w:r w:rsidR="00F175AC" w:rsidRPr="00CC710D">
        <w:rPr>
          <w:rFonts w:ascii="Roboto" w:hAnsi="Roboto" w:cs="Arial"/>
          <w:szCs w:val="24"/>
          <w:lang w:val="es-ES"/>
        </w:rPr>
        <w:t>2025 del 16 de setiembre de 2025.</w:t>
      </w:r>
    </w:p>
    <w:p w:rsidR="00F175AC" w:rsidRPr="00CC710D" w:rsidRDefault="001A6492" w:rsidP="00B874F4">
      <w:pPr>
        <w:numPr>
          <w:ilvl w:val="0"/>
          <w:numId w:val="12"/>
        </w:numPr>
        <w:tabs>
          <w:tab w:val="left" w:pos="567"/>
        </w:tabs>
        <w:spacing w:before="120"/>
        <w:ind w:left="567" w:right="-193" w:hanging="567"/>
        <w:jc w:val="both"/>
        <w:rPr>
          <w:rFonts w:ascii="Roboto" w:hAnsi="Roboto" w:cs="Arial"/>
          <w:szCs w:val="24"/>
          <w:lang w:val="es-ES"/>
        </w:rPr>
      </w:pPr>
      <w:r w:rsidRPr="00CC710D">
        <w:rPr>
          <w:rFonts w:ascii="Roboto" w:hAnsi="Roboto" w:cs="Arial"/>
          <w:szCs w:val="24"/>
          <w:lang w:val="es-ES"/>
        </w:rPr>
        <w:t>La</w:t>
      </w:r>
      <w:r w:rsidR="000817EA" w:rsidRPr="00CC710D">
        <w:rPr>
          <w:rFonts w:ascii="Roboto" w:hAnsi="Roboto" w:cs="Arial"/>
          <w:szCs w:val="24"/>
          <w:lang w:val="es-ES"/>
        </w:rPr>
        <w:t xml:space="preserve"> </w:t>
      </w:r>
      <w:r w:rsidR="00663C04" w:rsidRPr="00CC710D">
        <w:rPr>
          <w:rFonts w:ascii="Roboto" w:hAnsi="Roboto" w:cs="Arial"/>
          <w:szCs w:val="24"/>
          <w:lang w:val="es-ES"/>
        </w:rPr>
        <w:t xml:space="preserve">“Duración promedio </w:t>
      </w:r>
      <w:r w:rsidR="00CC710D">
        <w:rPr>
          <w:rFonts w:ascii="Roboto" w:hAnsi="Roboto" w:cs="Arial"/>
          <w:szCs w:val="24"/>
          <w:lang w:val="es-ES"/>
        </w:rPr>
        <w:t>de los activos</w:t>
      </w:r>
      <w:r w:rsidR="00663C04" w:rsidRPr="00CC710D">
        <w:rPr>
          <w:rFonts w:ascii="Roboto" w:hAnsi="Roboto" w:cs="Arial"/>
          <w:szCs w:val="24"/>
          <w:lang w:val="es-ES"/>
        </w:rPr>
        <w:t xml:space="preserve"> de renta fija,</w:t>
      </w:r>
      <w:r w:rsidR="00F175AC" w:rsidRPr="00CC710D">
        <w:rPr>
          <w:rFonts w:ascii="Roboto" w:hAnsi="Roboto" w:cs="Arial"/>
          <w:szCs w:val="24"/>
          <w:lang w:val="es-ES"/>
        </w:rPr>
        <w:t xml:space="preserve"> refleja </w:t>
      </w:r>
      <w:r w:rsidR="00CC710D">
        <w:rPr>
          <w:rFonts w:ascii="Roboto" w:hAnsi="Roboto" w:cs="Arial"/>
          <w:szCs w:val="24"/>
          <w:lang w:val="es-ES"/>
        </w:rPr>
        <w:t>una característica</w:t>
      </w:r>
      <w:r w:rsidR="00F175AC" w:rsidRPr="00CC710D">
        <w:rPr>
          <w:rFonts w:ascii="Roboto" w:hAnsi="Roboto" w:cs="Arial"/>
          <w:szCs w:val="24"/>
          <w:lang w:val="es-ES"/>
        </w:rPr>
        <w:t xml:space="preserve"> de la cartera en un momento determinado y puede variar, entre otros factores, por movimientos en las tasas de interés, cambios en la valoración de los instrumentos, vencimientos, suscripciones, reembolsos y operaciones propias de la gestión del portafolio, consecuentemente, la revelación del promedio en el prospecto constituye un valor objetivo de gestión, hacia el cual debe orientarse la administración de la cartera, y no un límite puntual de cumplimiento permanente, como sí lo son los límites mínimo y máximo establecidos en el prospecto.</w:t>
      </w:r>
    </w:p>
    <w:p w:rsidR="00A11D6B" w:rsidRPr="00CC710D" w:rsidRDefault="00F175AC" w:rsidP="00F31ED0">
      <w:pPr>
        <w:numPr>
          <w:ilvl w:val="0"/>
          <w:numId w:val="12"/>
        </w:numPr>
        <w:tabs>
          <w:tab w:val="left" w:pos="567"/>
        </w:tabs>
        <w:spacing w:before="120"/>
        <w:ind w:left="567" w:right="-193" w:hanging="567"/>
        <w:jc w:val="both"/>
        <w:rPr>
          <w:rFonts w:ascii="Roboto" w:eastAsia="Calibri" w:hAnsi="Roboto" w:cs="Arial"/>
          <w:b/>
          <w:bCs/>
          <w:szCs w:val="24"/>
          <w:lang w:val="es-ES"/>
        </w:rPr>
      </w:pPr>
      <w:r w:rsidRPr="00CC710D">
        <w:rPr>
          <w:rFonts w:ascii="Roboto" w:hAnsi="Roboto" w:cs="Arial"/>
          <w:szCs w:val="24"/>
          <w:lang w:val="es-ES"/>
        </w:rPr>
        <w:t xml:space="preserve">Los términos en que se requiere la revelación de la Duración promedio en días, en la guía de prospectos sugiere el cumplimiento de un valor permanente, por lo que es necesario modificar su </w:t>
      </w:r>
      <w:r w:rsidR="00CC710D" w:rsidRPr="00CC710D">
        <w:rPr>
          <w:rFonts w:ascii="Roboto" w:hAnsi="Roboto" w:cs="Arial"/>
          <w:szCs w:val="24"/>
          <w:lang w:val="es-ES"/>
        </w:rPr>
        <w:t>descripción</w:t>
      </w:r>
      <w:r w:rsidRPr="00CC710D">
        <w:rPr>
          <w:rFonts w:ascii="Roboto" w:hAnsi="Roboto" w:cs="Arial"/>
          <w:szCs w:val="24"/>
          <w:lang w:val="es-ES"/>
        </w:rPr>
        <w:t xml:space="preserve"> de manera que se recoja el carácter variable del dato.</w:t>
      </w:r>
    </w:p>
    <w:p w:rsidR="00F175AC" w:rsidRPr="00CC710D" w:rsidRDefault="00F175AC" w:rsidP="00F175AC">
      <w:pPr>
        <w:tabs>
          <w:tab w:val="left" w:pos="567"/>
        </w:tabs>
        <w:spacing w:before="120"/>
        <w:ind w:left="567" w:right="-193"/>
        <w:jc w:val="both"/>
        <w:rPr>
          <w:rFonts w:ascii="Roboto" w:eastAsia="Calibri" w:hAnsi="Roboto" w:cs="Arial"/>
          <w:b/>
          <w:bCs/>
          <w:szCs w:val="24"/>
          <w:lang w:val="es-ES"/>
        </w:rPr>
      </w:pPr>
    </w:p>
    <w:p w:rsidR="00B874F4" w:rsidRPr="00CC710D" w:rsidRDefault="00B874F4" w:rsidP="00F31ED0">
      <w:pPr>
        <w:tabs>
          <w:tab w:val="left" w:pos="567"/>
        </w:tabs>
        <w:spacing w:before="120"/>
        <w:ind w:right="-193"/>
        <w:jc w:val="both"/>
        <w:rPr>
          <w:rFonts w:ascii="Roboto" w:hAnsi="Roboto" w:cs="Arial"/>
          <w:szCs w:val="24"/>
          <w:lang w:val="es-ES"/>
        </w:rPr>
      </w:pPr>
      <w:r w:rsidRPr="00CC710D">
        <w:rPr>
          <w:rFonts w:ascii="Roboto" w:eastAsia="Calibri" w:hAnsi="Roboto" w:cs="Arial"/>
          <w:b/>
          <w:bCs/>
          <w:szCs w:val="24"/>
          <w:lang w:val="es-ES"/>
        </w:rPr>
        <w:t>Dispone:</w:t>
      </w:r>
    </w:p>
    <w:p w:rsidR="00B874F4" w:rsidRPr="00CC710D" w:rsidRDefault="00B874F4" w:rsidP="00B874F4">
      <w:pPr>
        <w:jc w:val="both"/>
        <w:rPr>
          <w:rFonts w:ascii="Roboto" w:eastAsia="Calibri" w:hAnsi="Roboto" w:cs="Arial"/>
          <w:szCs w:val="24"/>
          <w:lang w:val="es-ES" w:eastAsia="en-US"/>
        </w:rPr>
      </w:pPr>
    </w:p>
    <w:p w:rsidR="00FB74B0" w:rsidRPr="00CC710D" w:rsidRDefault="00B874F4" w:rsidP="00D75A94">
      <w:pPr>
        <w:jc w:val="both"/>
        <w:rPr>
          <w:rFonts w:ascii="Roboto" w:eastAsia="Calibri" w:hAnsi="Roboto" w:cs="Arial"/>
          <w:bCs/>
          <w:color w:val="000000"/>
          <w:szCs w:val="24"/>
          <w:lang w:val="es-ES" w:eastAsia="es-CR"/>
        </w:rPr>
      </w:pPr>
      <w:r w:rsidRPr="00CC710D">
        <w:rPr>
          <w:rFonts w:ascii="Roboto" w:eastAsia="Calibri" w:hAnsi="Roboto" w:cs="Arial"/>
          <w:b/>
          <w:color w:val="000000"/>
          <w:szCs w:val="24"/>
          <w:lang w:val="es-ES" w:eastAsia="es-CR"/>
        </w:rPr>
        <w:t xml:space="preserve">Único:  </w:t>
      </w:r>
      <w:r w:rsidR="00D75A94" w:rsidRPr="00CC710D">
        <w:rPr>
          <w:rFonts w:ascii="Roboto" w:eastAsia="Calibri" w:hAnsi="Roboto" w:cs="Arial"/>
          <w:bCs/>
          <w:color w:val="000000"/>
          <w:szCs w:val="24"/>
          <w:lang w:val="es-ES" w:eastAsia="es-CR"/>
        </w:rPr>
        <w:t>Modificar lo dispuesto en el apartado “Condiciones para valores de renta fija” del punto 4A.1 de la sección “Política de inversión y disposiciones operativas” del Anexo 1 “Guía para la elaboración de prospectos de fondos de inversión”, contenido en el Acuerdo SGV-A-</w:t>
      </w:r>
      <w:r w:rsidR="00CC710D">
        <w:rPr>
          <w:rFonts w:ascii="Roboto" w:eastAsia="Calibri" w:hAnsi="Roboto" w:cs="Arial"/>
          <w:bCs/>
          <w:color w:val="000000"/>
          <w:szCs w:val="24"/>
          <w:lang w:val="es-ES" w:eastAsia="es-CR"/>
        </w:rPr>
        <w:t>158</w:t>
      </w:r>
      <w:r w:rsidR="00D75A94" w:rsidRPr="00CC710D">
        <w:rPr>
          <w:rFonts w:ascii="Roboto" w:eastAsia="Calibri" w:hAnsi="Roboto" w:cs="Arial"/>
          <w:bCs/>
          <w:color w:val="000000"/>
          <w:szCs w:val="24"/>
          <w:lang w:val="es-ES" w:eastAsia="es-CR"/>
        </w:rPr>
        <w:t>, de conformidad con el siguiente texto</w:t>
      </w:r>
      <w:r w:rsidR="00FB74B0" w:rsidRPr="00CC710D">
        <w:rPr>
          <w:rFonts w:ascii="Roboto" w:eastAsia="Calibri" w:hAnsi="Roboto" w:cs="Arial"/>
          <w:bCs/>
          <w:color w:val="000000"/>
          <w:szCs w:val="24"/>
          <w:lang w:val="es-ES" w:eastAsia="es-CR"/>
        </w:rPr>
        <w:t>:</w:t>
      </w:r>
    </w:p>
    <w:p w:rsidR="00CF06FE" w:rsidRPr="00CC710D" w:rsidRDefault="00CF06FE" w:rsidP="00B874F4">
      <w:pPr>
        <w:jc w:val="both"/>
        <w:rPr>
          <w:rFonts w:ascii="Roboto" w:eastAsia="Calibri" w:hAnsi="Roboto" w:cs="Arial"/>
          <w:b/>
          <w:bCs/>
          <w:color w:val="000000"/>
          <w:szCs w:val="24"/>
          <w:lang w:val="es-ES" w:eastAsia="es-CR"/>
        </w:rPr>
      </w:pPr>
    </w:p>
    <w:p w:rsidR="00155EAB" w:rsidRPr="00CC710D" w:rsidRDefault="0088737E" w:rsidP="00155EAB">
      <w:pPr>
        <w:jc w:val="both"/>
        <w:rPr>
          <w:rFonts w:ascii="Roboto" w:eastAsia="Calibri" w:hAnsi="Roboto" w:cs="Arial"/>
          <w:b/>
          <w:color w:val="000000"/>
          <w:szCs w:val="24"/>
          <w:lang w:val="es-ES" w:eastAsia="es-CR"/>
        </w:rPr>
      </w:pPr>
      <w:r w:rsidRPr="00CC710D">
        <w:rPr>
          <w:rFonts w:ascii="Roboto" w:eastAsia="Calibri" w:hAnsi="Roboto" w:cs="Arial"/>
          <w:b/>
          <w:color w:val="000000"/>
          <w:szCs w:val="24"/>
          <w:lang w:val="es-ES" w:eastAsia="es-CR"/>
        </w:rPr>
        <w:t>“</w:t>
      </w:r>
      <w:r w:rsidR="00155EAB" w:rsidRPr="00CC710D">
        <w:rPr>
          <w:rFonts w:ascii="Roboto" w:eastAsia="Calibri" w:hAnsi="Roboto" w:cs="Arial"/>
          <w:b/>
          <w:color w:val="000000"/>
          <w:szCs w:val="24"/>
          <w:lang w:val="es-ES" w:eastAsia="es-CR"/>
        </w:rPr>
        <w:t>2.</w:t>
      </w:r>
      <w:r w:rsidR="00155EAB" w:rsidRPr="00CC710D">
        <w:rPr>
          <w:rFonts w:ascii="Roboto" w:eastAsia="Calibri" w:hAnsi="Roboto" w:cs="Arial"/>
          <w:b/>
          <w:color w:val="000000"/>
          <w:szCs w:val="24"/>
          <w:lang w:val="es-ES" w:eastAsia="es-CR"/>
        </w:rPr>
        <w:tab/>
        <w:t xml:space="preserve">POLÍTICA DE INVERSIÓN Y DISPOSICIONES OPERATIVAS  </w:t>
      </w:r>
    </w:p>
    <w:p w:rsidR="00155EAB" w:rsidRPr="00CC710D" w:rsidRDefault="00155EAB" w:rsidP="00155EAB">
      <w:pPr>
        <w:jc w:val="both"/>
        <w:rPr>
          <w:rFonts w:ascii="Roboto" w:eastAsia="Calibri" w:hAnsi="Roboto" w:cs="Arial"/>
          <w:b/>
          <w:color w:val="000000"/>
          <w:szCs w:val="24"/>
          <w:lang w:val="es-ES" w:eastAsia="es-CR"/>
        </w:rPr>
      </w:pPr>
    </w:p>
    <w:p w:rsidR="00155EAB" w:rsidRPr="00CC710D" w:rsidRDefault="00155EAB" w:rsidP="00155EAB">
      <w:pPr>
        <w:jc w:val="both"/>
        <w:rPr>
          <w:rFonts w:ascii="Roboto" w:eastAsia="Calibri" w:hAnsi="Roboto" w:cs="Arial"/>
          <w:b/>
          <w:color w:val="000000"/>
          <w:szCs w:val="24"/>
          <w:lang w:val="es-ES" w:eastAsia="es-CR"/>
        </w:rPr>
      </w:pPr>
      <w:r w:rsidRPr="00CC710D">
        <w:rPr>
          <w:rFonts w:ascii="Roboto" w:eastAsia="Calibri" w:hAnsi="Roboto" w:cs="Arial"/>
          <w:b/>
          <w:color w:val="000000"/>
          <w:szCs w:val="24"/>
          <w:lang w:val="es-ES" w:eastAsia="es-CR"/>
        </w:rPr>
        <w:t>4A.</w:t>
      </w:r>
      <w:r w:rsidRPr="00CC710D">
        <w:rPr>
          <w:rFonts w:ascii="Roboto" w:eastAsia="Calibri" w:hAnsi="Roboto" w:cs="Arial"/>
          <w:b/>
          <w:color w:val="000000"/>
          <w:szCs w:val="24"/>
          <w:lang w:val="es-ES" w:eastAsia="es-CR"/>
        </w:rPr>
        <w:tab/>
        <w:t xml:space="preserve">   Política de inversión </w:t>
      </w:r>
    </w:p>
    <w:p w:rsidR="00155EAB" w:rsidRPr="00CC710D" w:rsidRDefault="00155EAB" w:rsidP="00155EAB">
      <w:pPr>
        <w:jc w:val="both"/>
        <w:rPr>
          <w:rFonts w:ascii="Roboto" w:eastAsia="Calibri" w:hAnsi="Roboto" w:cs="Arial"/>
          <w:b/>
          <w:color w:val="000000"/>
          <w:szCs w:val="24"/>
          <w:lang w:val="es-ES" w:eastAsia="es-CR"/>
        </w:rPr>
      </w:pPr>
    </w:p>
    <w:p w:rsidR="00CF06FE" w:rsidRPr="00CC710D" w:rsidRDefault="00155EAB" w:rsidP="00155EAB">
      <w:pPr>
        <w:jc w:val="both"/>
        <w:rPr>
          <w:rFonts w:ascii="Roboto" w:eastAsia="Calibri" w:hAnsi="Roboto" w:cs="Arial"/>
          <w:b/>
          <w:color w:val="000000"/>
          <w:szCs w:val="24"/>
          <w:lang w:val="es-ES" w:eastAsia="es-CR"/>
        </w:rPr>
      </w:pPr>
      <w:r w:rsidRPr="00CC710D">
        <w:rPr>
          <w:rFonts w:ascii="Roboto" w:eastAsia="Calibri" w:hAnsi="Roboto" w:cs="Arial"/>
          <w:b/>
          <w:color w:val="000000"/>
          <w:szCs w:val="24"/>
          <w:lang w:val="es-ES" w:eastAsia="es-CR"/>
        </w:rPr>
        <w:t>4A.</w:t>
      </w:r>
      <w:r w:rsidRPr="00CC710D">
        <w:rPr>
          <w:rFonts w:ascii="Roboto" w:eastAsia="Calibri" w:hAnsi="Roboto" w:cs="Arial"/>
          <w:b/>
          <w:color w:val="000000"/>
          <w:szCs w:val="24"/>
          <w:lang w:val="es-ES" w:eastAsia="es-CR"/>
        </w:rPr>
        <w:tab/>
        <w:t xml:space="preserve">1 </w:t>
      </w:r>
      <w:proofErr w:type="gramStart"/>
      <w:r w:rsidRPr="00CC710D">
        <w:rPr>
          <w:rFonts w:ascii="Roboto" w:eastAsia="Calibri" w:hAnsi="Roboto" w:cs="Arial"/>
          <w:b/>
          <w:color w:val="000000"/>
          <w:szCs w:val="24"/>
          <w:lang w:val="es-ES" w:eastAsia="es-CR"/>
        </w:rPr>
        <w:t>En</w:t>
      </w:r>
      <w:proofErr w:type="gramEnd"/>
      <w:r w:rsidRPr="00CC710D">
        <w:rPr>
          <w:rFonts w:ascii="Roboto" w:eastAsia="Calibri" w:hAnsi="Roboto" w:cs="Arial"/>
          <w:b/>
          <w:color w:val="000000"/>
          <w:szCs w:val="24"/>
          <w:lang w:val="es-ES" w:eastAsia="es-CR"/>
        </w:rPr>
        <w:t xml:space="preserve"> el caso de que el fondo invierta en activos financieros:</w:t>
      </w:r>
    </w:p>
    <w:p w:rsidR="00B874F4" w:rsidRPr="00CC710D" w:rsidRDefault="00B874F4" w:rsidP="00B874F4">
      <w:pPr>
        <w:jc w:val="both"/>
        <w:rPr>
          <w:rFonts w:ascii="Roboto" w:eastAsia="Calibri" w:hAnsi="Roboto" w:cs="Arial"/>
          <w:bCs/>
          <w:color w:val="000000"/>
          <w:szCs w:val="24"/>
          <w:lang w:val="es-ES" w:eastAsia="es-CR"/>
        </w:rPr>
      </w:pPr>
    </w:p>
    <w:tbl>
      <w:tblPr>
        <w:tblW w:w="9330"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95"/>
        <w:gridCol w:w="2267"/>
        <w:gridCol w:w="2268"/>
      </w:tblGrid>
      <w:tr w:rsidR="00FD2FB5" w:rsidRPr="00CC710D" w:rsidTr="00FD2FB5">
        <w:trPr>
          <w:trHeight w:val="525"/>
        </w:trPr>
        <w:tc>
          <w:tcPr>
            <w:tcW w:w="4795" w:type="dxa"/>
            <w:tcBorders>
              <w:left w:val="single" w:sz="18" w:space="0" w:color="auto"/>
            </w:tcBorders>
            <w:vAlign w:val="center"/>
          </w:tcPr>
          <w:p w:rsidR="00FD2FB5" w:rsidRPr="00CC710D" w:rsidRDefault="00FD2FB5" w:rsidP="00FD2FB5">
            <w:pPr>
              <w:tabs>
                <w:tab w:val="left" w:pos="744"/>
                <w:tab w:val="left" w:pos="8910"/>
              </w:tabs>
              <w:rPr>
                <w:rFonts w:ascii="Roboto" w:eastAsia="Aptos" w:hAnsi="Roboto" w:cs="Arial"/>
                <w:bCs/>
                <w:kern w:val="2"/>
                <w:szCs w:val="24"/>
                <w:lang w:eastAsia="en-US"/>
              </w:rPr>
            </w:pPr>
            <w:r w:rsidRPr="00CC710D">
              <w:rPr>
                <w:rFonts w:ascii="Roboto" w:eastAsia="Aptos" w:hAnsi="Roboto" w:cs="Arial"/>
                <w:bCs/>
                <w:kern w:val="2"/>
                <w:szCs w:val="24"/>
                <w:lang w:eastAsia="en-US"/>
              </w:rPr>
              <w:t>[…]</w:t>
            </w:r>
          </w:p>
        </w:tc>
        <w:tc>
          <w:tcPr>
            <w:tcW w:w="2267" w:type="dxa"/>
            <w:noWrap/>
            <w:vAlign w:val="center"/>
          </w:tcPr>
          <w:p w:rsidR="00FD2FB5" w:rsidRPr="00CC710D" w:rsidRDefault="00FD2FB5" w:rsidP="00D26D9D">
            <w:pPr>
              <w:tabs>
                <w:tab w:val="left" w:pos="744"/>
                <w:tab w:val="left" w:pos="8910"/>
              </w:tabs>
              <w:ind w:left="319"/>
              <w:rPr>
                <w:rFonts w:ascii="Roboto" w:eastAsia="Aptos" w:hAnsi="Roboto" w:cs="Arial"/>
                <w:kern w:val="2"/>
                <w:szCs w:val="24"/>
                <w:lang w:eastAsia="en-US"/>
              </w:rPr>
            </w:pPr>
          </w:p>
        </w:tc>
        <w:tc>
          <w:tcPr>
            <w:tcW w:w="2268" w:type="dxa"/>
            <w:tcBorders>
              <w:right w:val="single" w:sz="18" w:space="0" w:color="auto"/>
            </w:tcBorders>
            <w:noWrap/>
            <w:vAlign w:val="center"/>
          </w:tcPr>
          <w:p w:rsidR="00FD2FB5" w:rsidRPr="00CC710D" w:rsidRDefault="00FD2FB5" w:rsidP="00D26D9D">
            <w:pPr>
              <w:tabs>
                <w:tab w:val="left" w:pos="744"/>
                <w:tab w:val="left" w:pos="8910"/>
              </w:tabs>
              <w:ind w:left="319"/>
              <w:rPr>
                <w:rFonts w:ascii="Roboto" w:eastAsia="Aptos" w:hAnsi="Roboto" w:cs="Arial"/>
                <w:kern w:val="2"/>
                <w:szCs w:val="24"/>
                <w:lang w:eastAsia="en-US"/>
              </w:rPr>
            </w:pPr>
          </w:p>
        </w:tc>
      </w:tr>
      <w:tr w:rsidR="00FD2FB5" w:rsidRPr="00CC710D" w:rsidTr="00D26D9D">
        <w:trPr>
          <w:trHeight w:val="315"/>
        </w:trPr>
        <w:tc>
          <w:tcPr>
            <w:tcW w:w="9330" w:type="dxa"/>
            <w:gridSpan w:val="3"/>
            <w:tcBorders>
              <w:left w:val="single" w:sz="18" w:space="0" w:color="auto"/>
              <w:right w:val="single" w:sz="18" w:space="0" w:color="auto"/>
            </w:tcBorders>
            <w:shd w:val="clear" w:color="auto" w:fill="D9D9D9"/>
            <w:noWrap/>
            <w:vAlign w:val="center"/>
            <w:hideMark/>
          </w:tcPr>
          <w:p w:rsidR="00FD2FB5" w:rsidRPr="00CC710D" w:rsidRDefault="00FD2FB5" w:rsidP="00D26D9D">
            <w:pPr>
              <w:tabs>
                <w:tab w:val="left" w:pos="744"/>
                <w:tab w:val="left" w:pos="8910"/>
              </w:tabs>
              <w:rPr>
                <w:rFonts w:ascii="Roboto" w:eastAsia="Aptos" w:hAnsi="Roboto" w:cs="Arial"/>
                <w:b/>
                <w:bCs/>
                <w:kern w:val="2"/>
                <w:szCs w:val="24"/>
                <w:lang w:eastAsia="en-US"/>
              </w:rPr>
            </w:pPr>
            <w:r w:rsidRPr="00CC710D">
              <w:rPr>
                <w:rFonts w:ascii="Roboto" w:eastAsia="Aptos" w:hAnsi="Roboto" w:cs="Arial"/>
                <w:b/>
                <w:kern w:val="2"/>
                <w:szCs w:val="24"/>
                <w:lang w:eastAsia="en-US"/>
              </w:rPr>
              <w:t>CONDICIONES PARA VALORES DE RENTA FIJA</w:t>
            </w:r>
          </w:p>
        </w:tc>
      </w:tr>
      <w:tr w:rsidR="00FD2FB5" w:rsidRPr="00CC710D" w:rsidTr="00D26D9D">
        <w:trPr>
          <w:trHeight w:val="355"/>
        </w:trPr>
        <w:tc>
          <w:tcPr>
            <w:tcW w:w="4795" w:type="dxa"/>
            <w:tcBorders>
              <w:left w:val="single" w:sz="18" w:space="0" w:color="auto"/>
            </w:tcBorders>
            <w:noWrap/>
            <w:vAlign w:val="center"/>
            <w:hideMark/>
          </w:tcPr>
          <w:p w:rsidR="00FD2FB5" w:rsidRPr="00CC710D" w:rsidRDefault="00FD2FB5" w:rsidP="00D26D9D">
            <w:pPr>
              <w:tabs>
                <w:tab w:val="left" w:pos="744"/>
                <w:tab w:val="left" w:pos="8910"/>
              </w:tabs>
              <w:ind w:left="172"/>
              <w:rPr>
                <w:rFonts w:ascii="Roboto" w:eastAsia="Aptos" w:hAnsi="Roboto" w:cs="Arial"/>
                <w:b/>
                <w:bCs/>
                <w:kern w:val="2"/>
                <w:szCs w:val="24"/>
                <w:lang w:eastAsia="en-US"/>
              </w:rPr>
            </w:pPr>
            <w:r w:rsidRPr="00CC710D">
              <w:rPr>
                <w:rFonts w:ascii="Roboto" w:eastAsia="Aptos" w:hAnsi="Roboto" w:cs="Arial"/>
                <w:b/>
                <w:kern w:val="2"/>
                <w:szCs w:val="24"/>
                <w:lang w:eastAsia="en-US"/>
              </w:rPr>
              <w:t xml:space="preserve">Duración de la cartera de renta fija, en días </w:t>
            </w:r>
          </w:p>
        </w:tc>
        <w:tc>
          <w:tcPr>
            <w:tcW w:w="2267" w:type="dxa"/>
            <w:noWrap/>
            <w:vAlign w:val="center"/>
            <w:hideMark/>
          </w:tcPr>
          <w:p w:rsidR="00FD2FB5" w:rsidRPr="00CC710D" w:rsidRDefault="00FD2FB5" w:rsidP="00D26D9D">
            <w:pPr>
              <w:tabs>
                <w:tab w:val="left" w:pos="744"/>
                <w:tab w:val="left" w:pos="8910"/>
              </w:tabs>
              <w:ind w:left="319"/>
              <w:rPr>
                <w:rFonts w:ascii="Roboto" w:eastAsia="Aptos" w:hAnsi="Roboto" w:cs="Arial"/>
                <w:kern w:val="2"/>
                <w:szCs w:val="24"/>
                <w:lang w:eastAsia="en-US"/>
              </w:rPr>
            </w:pPr>
            <w:r w:rsidRPr="00CC710D">
              <w:rPr>
                <w:rFonts w:ascii="Roboto" w:eastAsia="Aptos" w:hAnsi="Roboto" w:cs="Arial"/>
                <w:kern w:val="2"/>
                <w:szCs w:val="24"/>
                <w:lang w:eastAsia="en-US"/>
              </w:rPr>
              <w:t>mínimo</w:t>
            </w:r>
          </w:p>
        </w:tc>
        <w:tc>
          <w:tcPr>
            <w:tcW w:w="2268" w:type="dxa"/>
            <w:tcBorders>
              <w:right w:val="single" w:sz="18" w:space="0" w:color="auto"/>
            </w:tcBorders>
            <w:noWrap/>
            <w:vAlign w:val="center"/>
            <w:hideMark/>
          </w:tcPr>
          <w:p w:rsidR="00FD2FB5" w:rsidRPr="00CC710D" w:rsidRDefault="00FD2FB5" w:rsidP="00D26D9D">
            <w:pPr>
              <w:tabs>
                <w:tab w:val="left" w:pos="744"/>
                <w:tab w:val="left" w:pos="8910"/>
              </w:tabs>
              <w:ind w:left="319"/>
              <w:rPr>
                <w:rFonts w:ascii="Roboto" w:eastAsia="Aptos" w:hAnsi="Roboto" w:cs="Arial"/>
                <w:kern w:val="2"/>
                <w:szCs w:val="24"/>
                <w:lang w:eastAsia="en-US"/>
              </w:rPr>
            </w:pPr>
            <w:r w:rsidRPr="00CC710D">
              <w:rPr>
                <w:rFonts w:ascii="Roboto" w:eastAsia="Aptos" w:hAnsi="Roboto" w:cs="Arial"/>
                <w:kern w:val="2"/>
                <w:szCs w:val="24"/>
                <w:lang w:eastAsia="en-US"/>
              </w:rPr>
              <w:t>máximo</w:t>
            </w:r>
          </w:p>
        </w:tc>
      </w:tr>
      <w:tr w:rsidR="00FD2FB5" w:rsidRPr="00CC710D" w:rsidTr="00D26D9D">
        <w:trPr>
          <w:trHeight w:val="315"/>
        </w:trPr>
        <w:tc>
          <w:tcPr>
            <w:tcW w:w="4795" w:type="dxa"/>
            <w:tcBorders>
              <w:left w:val="single" w:sz="18" w:space="0" w:color="auto"/>
            </w:tcBorders>
            <w:noWrap/>
            <w:vAlign w:val="center"/>
            <w:hideMark/>
          </w:tcPr>
          <w:p w:rsidR="00D967A8" w:rsidRPr="00CC710D" w:rsidRDefault="00FD2FB5" w:rsidP="00D967A8">
            <w:pPr>
              <w:tabs>
                <w:tab w:val="left" w:pos="744"/>
                <w:tab w:val="left" w:pos="8910"/>
              </w:tabs>
              <w:ind w:left="172"/>
              <w:rPr>
                <w:rFonts w:ascii="Roboto" w:eastAsia="Aptos" w:hAnsi="Roboto" w:cs="Arial"/>
                <w:b/>
                <w:kern w:val="2"/>
                <w:szCs w:val="24"/>
                <w:lang w:eastAsia="en-US"/>
              </w:rPr>
            </w:pPr>
            <w:r w:rsidRPr="00CC710D">
              <w:rPr>
                <w:rFonts w:ascii="Roboto" w:eastAsia="Aptos" w:hAnsi="Roboto" w:cs="Arial"/>
                <w:b/>
                <w:kern w:val="2"/>
                <w:szCs w:val="24"/>
                <w:lang w:eastAsia="en-US"/>
              </w:rPr>
              <w:t>Duración promedio de la cartera de renta fija, en días</w:t>
            </w:r>
            <w:r w:rsidR="00D967A8" w:rsidRPr="00CC710D">
              <w:rPr>
                <w:rFonts w:ascii="Roboto" w:eastAsia="Aptos" w:hAnsi="Roboto" w:cs="Arial"/>
                <w:b/>
                <w:kern w:val="2"/>
                <w:szCs w:val="24"/>
                <w:lang w:eastAsia="en-US"/>
              </w:rPr>
              <w:t xml:space="preserve"> (</w:t>
            </w:r>
            <w:r w:rsidR="00327937" w:rsidRPr="00CC710D">
              <w:rPr>
                <w:rFonts w:ascii="Roboto" w:eastAsia="Aptos" w:hAnsi="Roboto" w:cs="Arial"/>
                <w:b/>
                <w:kern w:val="2"/>
                <w:szCs w:val="24"/>
                <w:lang w:eastAsia="en-US"/>
              </w:rPr>
              <w:t>Valor objetivo de Gestión)</w:t>
            </w:r>
          </w:p>
          <w:p w:rsidR="00FD2FB5" w:rsidRPr="00CC710D" w:rsidRDefault="00FD2FB5" w:rsidP="00327937">
            <w:pPr>
              <w:tabs>
                <w:tab w:val="left" w:pos="744"/>
                <w:tab w:val="left" w:pos="8910"/>
              </w:tabs>
              <w:ind w:left="171"/>
              <w:jc w:val="both"/>
              <w:rPr>
                <w:rFonts w:ascii="Roboto" w:eastAsia="Aptos" w:hAnsi="Roboto" w:cs="Arial"/>
                <w:color w:val="000000" w:themeColor="text1"/>
                <w:kern w:val="2"/>
                <w:szCs w:val="24"/>
                <w:lang w:eastAsia="en-US"/>
              </w:rPr>
            </w:pPr>
            <w:r w:rsidRPr="00CC710D">
              <w:rPr>
                <w:rFonts w:ascii="Roboto" w:eastAsia="Aptos" w:hAnsi="Roboto" w:cs="Arial"/>
                <w:bCs/>
                <w:color w:val="000000" w:themeColor="text1"/>
                <w:kern w:val="2"/>
                <w:szCs w:val="24"/>
                <w:lang w:eastAsia="en-US"/>
              </w:rPr>
              <w:t>Nota:</w:t>
            </w:r>
            <w:r w:rsidRPr="00CC710D">
              <w:rPr>
                <w:rFonts w:ascii="Roboto" w:eastAsia="Aptos" w:hAnsi="Roboto" w:cs="Arial"/>
                <w:b/>
                <w:color w:val="000000" w:themeColor="text1"/>
                <w:kern w:val="2"/>
                <w:szCs w:val="24"/>
                <w:lang w:eastAsia="en-US"/>
              </w:rPr>
              <w:t xml:space="preserve"> </w:t>
            </w:r>
            <w:r w:rsidR="00C83B99" w:rsidRPr="00CC710D">
              <w:rPr>
                <w:rFonts w:ascii="Roboto" w:eastAsia="Aptos" w:hAnsi="Roboto" w:cs="Arial"/>
                <w:bCs/>
                <w:color w:val="000000" w:themeColor="text1"/>
                <w:kern w:val="2"/>
                <w:szCs w:val="24"/>
                <w:lang w:eastAsia="en-US"/>
              </w:rPr>
              <w:t>Este indicador puede variar como consecuencia de las condiciones de mercado y de la gestión ordinaria del portafolio. Las variaciones respecto de dicho valor no constituyen, por sí mismas, un incumplimiento de la política de inversión, siempre que la duración de la cartera se mantenga dentro de los límites mínimo y máximo establecidos en el prospecto.</w:t>
            </w:r>
          </w:p>
        </w:tc>
        <w:tc>
          <w:tcPr>
            <w:tcW w:w="4535" w:type="dxa"/>
            <w:gridSpan w:val="2"/>
            <w:tcBorders>
              <w:right w:val="single" w:sz="18" w:space="0" w:color="auto"/>
            </w:tcBorders>
            <w:vAlign w:val="center"/>
            <w:hideMark/>
          </w:tcPr>
          <w:p w:rsidR="00FD2FB5" w:rsidRPr="00CC710D" w:rsidRDefault="00FD2FB5" w:rsidP="00D26D9D">
            <w:pPr>
              <w:tabs>
                <w:tab w:val="left" w:pos="744"/>
                <w:tab w:val="left" w:pos="8910"/>
              </w:tabs>
              <w:ind w:left="319"/>
              <w:rPr>
                <w:rFonts w:ascii="Roboto" w:eastAsia="Aptos" w:hAnsi="Roboto" w:cs="Arial"/>
                <w:kern w:val="2"/>
                <w:szCs w:val="24"/>
                <w:lang w:eastAsia="en-US"/>
              </w:rPr>
            </w:pPr>
          </w:p>
        </w:tc>
      </w:tr>
      <w:tr w:rsidR="00FD2FB5" w:rsidRPr="00CC710D" w:rsidTr="00D26D9D">
        <w:trPr>
          <w:trHeight w:val="315"/>
        </w:trPr>
        <w:tc>
          <w:tcPr>
            <w:tcW w:w="4795" w:type="dxa"/>
            <w:tcBorders>
              <w:left w:val="single" w:sz="18" w:space="0" w:color="auto"/>
            </w:tcBorders>
            <w:noWrap/>
            <w:vAlign w:val="center"/>
            <w:hideMark/>
          </w:tcPr>
          <w:p w:rsidR="00FD2FB5" w:rsidRPr="00CC710D" w:rsidRDefault="00631BA0" w:rsidP="0039659C">
            <w:pPr>
              <w:tabs>
                <w:tab w:val="left" w:pos="744"/>
                <w:tab w:val="left" w:pos="8910"/>
              </w:tabs>
              <w:ind w:left="171"/>
              <w:rPr>
                <w:rFonts w:ascii="Roboto" w:eastAsia="Aptos" w:hAnsi="Roboto" w:cs="Arial"/>
                <w:bCs/>
                <w:kern w:val="2"/>
                <w:szCs w:val="24"/>
                <w:lang w:eastAsia="en-US"/>
              </w:rPr>
            </w:pPr>
            <w:r w:rsidRPr="00CC710D">
              <w:rPr>
                <w:rFonts w:ascii="Roboto" w:eastAsia="Aptos" w:hAnsi="Roboto" w:cs="Arial"/>
                <w:b/>
                <w:kern w:val="2"/>
                <w:szCs w:val="24"/>
                <w:lang w:eastAsia="en-US"/>
              </w:rPr>
              <w:t>Calificación de riesgo mínima exigida a los valores de renta fija</w:t>
            </w:r>
          </w:p>
        </w:tc>
        <w:tc>
          <w:tcPr>
            <w:tcW w:w="4535" w:type="dxa"/>
            <w:gridSpan w:val="2"/>
            <w:tcBorders>
              <w:right w:val="single" w:sz="18" w:space="0" w:color="auto"/>
            </w:tcBorders>
            <w:vAlign w:val="center"/>
            <w:hideMark/>
          </w:tcPr>
          <w:p w:rsidR="00FD2FB5" w:rsidRPr="00CC710D" w:rsidRDefault="00FD2FB5" w:rsidP="00D26D9D">
            <w:pPr>
              <w:tabs>
                <w:tab w:val="left" w:pos="744"/>
                <w:tab w:val="left" w:pos="8910"/>
              </w:tabs>
              <w:ind w:left="319"/>
              <w:rPr>
                <w:rFonts w:ascii="Roboto" w:eastAsia="Aptos" w:hAnsi="Roboto" w:cs="Arial"/>
                <w:b/>
                <w:bCs/>
                <w:i/>
                <w:iCs/>
                <w:kern w:val="2"/>
                <w:szCs w:val="24"/>
                <w:lang w:eastAsia="en-US"/>
              </w:rPr>
            </w:pPr>
          </w:p>
        </w:tc>
      </w:tr>
      <w:tr w:rsidR="00815FDC" w:rsidRPr="00CC710D" w:rsidTr="00D26D9D">
        <w:trPr>
          <w:trHeight w:val="315"/>
        </w:trPr>
        <w:tc>
          <w:tcPr>
            <w:tcW w:w="4795" w:type="dxa"/>
            <w:tcBorders>
              <w:left w:val="single" w:sz="18" w:space="0" w:color="auto"/>
            </w:tcBorders>
            <w:noWrap/>
            <w:vAlign w:val="center"/>
          </w:tcPr>
          <w:p w:rsidR="00815FDC" w:rsidRPr="00CC710D" w:rsidRDefault="00815FDC" w:rsidP="0039659C">
            <w:pPr>
              <w:tabs>
                <w:tab w:val="left" w:pos="744"/>
                <w:tab w:val="left" w:pos="8910"/>
              </w:tabs>
              <w:ind w:left="171"/>
              <w:rPr>
                <w:rFonts w:ascii="Roboto" w:eastAsia="Aptos" w:hAnsi="Roboto" w:cs="Arial"/>
                <w:b/>
                <w:kern w:val="2"/>
                <w:szCs w:val="24"/>
                <w:lang w:eastAsia="en-US"/>
              </w:rPr>
            </w:pPr>
            <w:r w:rsidRPr="00CC710D">
              <w:rPr>
                <w:rFonts w:ascii="Roboto" w:eastAsia="Aptos" w:hAnsi="Roboto" w:cs="Arial"/>
                <w:bCs/>
                <w:kern w:val="2"/>
                <w:szCs w:val="24"/>
                <w:lang w:eastAsia="en-US"/>
              </w:rPr>
              <w:t>[…]</w:t>
            </w:r>
          </w:p>
        </w:tc>
        <w:tc>
          <w:tcPr>
            <w:tcW w:w="4535" w:type="dxa"/>
            <w:gridSpan w:val="2"/>
            <w:tcBorders>
              <w:right w:val="single" w:sz="18" w:space="0" w:color="auto"/>
            </w:tcBorders>
            <w:vAlign w:val="center"/>
          </w:tcPr>
          <w:p w:rsidR="00815FDC" w:rsidRPr="00CC710D" w:rsidRDefault="00815FDC" w:rsidP="00D26D9D">
            <w:pPr>
              <w:tabs>
                <w:tab w:val="left" w:pos="744"/>
                <w:tab w:val="left" w:pos="8910"/>
              </w:tabs>
              <w:ind w:left="319"/>
              <w:rPr>
                <w:rFonts w:ascii="Roboto" w:eastAsia="Aptos" w:hAnsi="Roboto" w:cs="Arial"/>
                <w:b/>
                <w:bCs/>
                <w:i/>
                <w:iCs/>
                <w:kern w:val="2"/>
                <w:szCs w:val="24"/>
                <w:lang w:eastAsia="en-US"/>
              </w:rPr>
            </w:pPr>
          </w:p>
        </w:tc>
      </w:tr>
    </w:tbl>
    <w:p w:rsidR="00AE4FEC" w:rsidRPr="00CC710D" w:rsidRDefault="00AE4FEC" w:rsidP="00AE4FEC">
      <w:pPr>
        <w:jc w:val="right"/>
        <w:rPr>
          <w:rFonts w:ascii="Roboto" w:hAnsi="Roboto" w:cs="Arial"/>
          <w:bCs/>
          <w:szCs w:val="24"/>
        </w:rPr>
      </w:pPr>
      <w:r w:rsidRPr="00CC710D">
        <w:rPr>
          <w:rFonts w:ascii="Roboto" w:hAnsi="Roboto" w:cs="Arial"/>
          <w:bCs/>
          <w:szCs w:val="24"/>
        </w:rPr>
        <w:t xml:space="preserve">     </w:t>
      </w:r>
    </w:p>
    <w:p w:rsidR="00B874F4" w:rsidRPr="00CC710D" w:rsidRDefault="00AE4FEC" w:rsidP="00AE4FEC">
      <w:pPr>
        <w:jc w:val="right"/>
        <w:rPr>
          <w:rFonts w:ascii="Roboto" w:hAnsi="Roboto" w:cs="Arial"/>
          <w:bCs/>
          <w:szCs w:val="24"/>
        </w:rPr>
      </w:pPr>
      <w:r w:rsidRPr="00CC710D">
        <w:rPr>
          <w:rFonts w:ascii="Roboto" w:hAnsi="Roboto" w:cs="Arial"/>
          <w:bCs/>
          <w:szCs w:val="24"/>
        </w:rPr>
        <w:t>”</w:t>
      </w:r>
    </w:p>
    <w:p w:rsidR="00FD2FB5" w:rsidRPr="00CC710D" w:rsidRDefault="00FD2FB5" w:rsidP="00B874F4">
      <w:pPr>
        <w:jc w:val="both"/>
        <w:rPr>
          <w:rFonts w:ascii="Roboto" w:hAnsi="Roboto" w:cs="Arial"/>
          <w:bCs/>
          <w:szCs w:val="24"/>
          <w:lang w:val="es-ES"/>
        </w:rPr>
      </w:pPr>
    </w:p>
    <w:p w:rsidR="004F2251" w:rsidRPr="00CC710D" w:rsidRDefault="00B874F4" w:rsidP="00B874F4">
      <w:pPr>
        <w:rPr>
          <w:rFonts w:ascii="Roboto" w:hAnsi="Roboto" w:cs="Arial"/>
          <w:szCs w:val="24"/>
        </w:rPr>
      </w:pPr>
      <w:r w:rsidRPr="00CC710D">
        <w:rPr>
          <w:rFonts w:ascii="Roboto" w:eastAsia="Calibri" w:hAnsi="Roboto" w:cs="Arial"/>
          <w:bCs/>
          <w:color w:val="000000"/>
          <w:szCs w:val="24"/>
          <w:lang w:val="es-ES" w:eastAsia="es-CR"/>
        </w:rPr>
        <w:t>Rige a partir de su comunicación.</w:t>
      </w:r>
      <w:r w:rsidRPr="00CC710D">
        <w:rPr>
          <w:rFonts w:ascii="Roboto" w:eastAsia="Calibri" w:hAnsi="Roboto" w:cs="Arial"/>
          <w:bCs/>
          <w:szCs w:val="24"/>
          <w:lang w:val="es-ES"/>
        </w:rPr>
        <w:tab/>
      </w:r>
    </w:p>
    <w:p w:rsidR="009C26D6" w:rsidRPr="00E56609" w:rsidRDefault="004F2251" w:rsidP="00123749">
      <w:pPr>
        <w:rPr>
          <w:rFonts w:ascii="Arial" w:hAnsi="Arial" w:cs="Arial"/>
          <w:szCs w:val="24"/>
        </w:rPr>
      </w:pPr>
      <w:r w:rsidRPr="00CC710D">
        <w:rPr>
          <w:rFonts w:ascii="Roboto" w:hAnsi="Roboto" w:cs="Arial"/>
          <w:szCs w:val="24"/>
        </w:rPr>
        <w:tab/>
      </w:r>
      <w:r w:rsidRPr="00CC710D">
        <w:rPr>
          <w:rFonts w:ascii="Roboto" w:hAnsi="Roboto" w:cs="Arial"/>
          <w:szCs w:val="24"/>
        </w:rPr>
        <w:tab/>
      </w:r>
      <w:r w:rsidRPr="00E56609">
        <w:rPr>
          <w:rFonts w:ascii="Arial" w:hAnsi="Arial" w:cs="Arial"/>
          <w:szCs w:val="24"/>
        </w:rPr>
        <w:tab/>
      </w:r>
    </w:p>
    <w:sectPr w:rsidR="009C26D6" w:rsidRPr="00E56609" w:rsidSect="003409DF">
      <w:headerReference w:type="default" r:id="rId11"/>
      <w:footerReference w:type="even" r:id="rId12"/>
      <w:footerReference w:type="default" r:id="rId13"/>
      <w:headerReference w:type="first" r:id="rId14"/>
      <w:pgSz w:w="12242" w:h="15842" w:code="1"/>
      <w:pgMar w:top="2127" w:right="1797" w:bottom="1440" w:left="1797" w:header="709" w:footer="3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F0F" w:rsidRPr="008B4DAC" w:rsidRDefault="00433F0F">
      <w:r w:rsidRPr="008B4DAC">
        <w:separator/>
      </w:r>
    </w:p>
  </w:endnote>
  <w:endnote w:type="continuationSeparator" w:id="0">
    <w:p w:rsidR="00433F0F" w:rsidRPr="008B4DAC" w:rsidRDefault="00433F0F">
      <w:r w:rsidRPr="008B4D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44D" w:rsidRPr="008B4DAC" w:rsidRDefault="0027344D">
    <w:pPr>
      <w:pStyle w:val="Piedepgina"/>
    </w:pPr>
    <w:r w:rsidRPr="008B4DAC">
      <w:rPr>
        <w:noProof/>
      </w:rPr>
      <mc:AlternateContent>
        <mc:Choice Requires="wps">
          <w:drawing>
            <wp:anchor distT="0" distB="0" distL="0" distR="0" simplePos="0" relativeHeight="251666432" behindDoc="0" locked="0" layoutInCell="1" allowOverlap="1" wp14:anchorId="36DFF241" wp14:editId="5C9B3E08">
              <wp:simplePos x="635" y="635"/>
              <wp:positionH relativeFrom="page">
                <wp:align>center</wp:align>
              </wp:positionH>
              <wp:positionV relativeFrom="page">
                <wp:align>bottom</wp:align>
              </wp:positionV>
              <wp:extent cx="1083945" cy="345440"/>
              <wp:effectExtent l="0" t="0" r="1905" b="0"/>
              <wp:wrapNone/>
              <wp:docPr id="748102325"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0027344D" w:rsidRPr="008B4DAC" w:rsidRDefault="0027344D" w:rsidP="0027344D">
                          <w:pPr>
                            <w:rPr>
                              <w:rFonts w:ascii="Aptos" w:eastAsia="Aptos" w:hAnsi="Aptos" w:cs="Aptos"/>
                              <w:color w:val="000000"/>
                              <w:sz w:val="20"/>
                            </w:rPr>
                          </w:pPr>
                          <w:r w:rsidRPr="008B4DAC">
                            <w:rPr>
                              <w:rFonts w:ascii="Aptos" w:eastAsia="Aptos" w:hAnsi="Aptos" w:cs="Aptos"/>
                              <w:color w:val="000000"/>
                              <w:sz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DFF241" id="_x0000_t202" coordsize="21600,21600" o:spt="202" path="m,l,21600r21600,l21600,xe">
              <v:stroke joinstyle="miter"/>
              <v:path gradientshapeok="t" o:connecttype="rect"/>
            </v:shapetype>
            <v:shape id="Cuadro de texto 2" o:spid="_x0000_s1026" type="#_x0000_t202" alt="Uso Interno estricto" style="position:absolute;margin-left:0;margin-top:0;width:85.35pt;height:27.2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rsidR="0027344D" w:rsidRPr="008B4DAC" w:rsidRDefault="0027344D" w:rsidP="0027344D">
                    <w:pPr>
                      <w:rPr>
                        <w:rFonts w:ascii="Aptos" w:eastAsia="Aptos" w:hAnsi="Aptos" w:cs="Aptos"/>
                        <w:color w:val="000000"/>
                        <w:sz w:val="20"/>
                      </w:rPr>
                    </w:pPr>
                    <w:r w:rsidRPr="008B4DAC">
                      <w:rPr>
                        <w:rFonts w:ascii="Aptos" w:eastAsia="Aptos" w:hAnsi="Aptos" w:cs="Aptos"/>
                        <w:color w:val="000000"/>
                        <w:sz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C5" w:rsidRPr="008B4DAC" w:rsidRDefault="00C20EC5" w:rsidP="00C20EC5">
    <w:pPr>
      <w:pStyle w:val="Piedepgina"/>
      <w:tabs>
        <w:tab w:val="right" w:pos="9498"/>
      </w:tabs>
      <w:ind w:left="-993" w:right="-999"/>
      <w:jc w:val="right"/>
      <w:rPr>
        <w:rFonts w:ascii="Arial" w:hAnsi="Arial" w:cs="Arial"/>
        <w:color w:val="204775"/>
        <w:sz w:val="20"/>
      </w:rPr>
    </w:pPr>
  </w:p>
  <w:p w:rsidR="00C20EC5" w:rsidRPr="008B4DAC" w:rsidRDefault="003409DF" w:rsidP="008A558B">
    <w:pPr>
      <w:pStyle w:val="Piedepgina"/>
      <w:tabs>
        <w:tab w:val="left" w:pos="1910"/>
        <w:tab w:val="right" w:pos="9498"/>
        <w:tab w:val="right" w:pos="9647"/>
      </w:tabs>
      <w:ind w:left="-993" w:right="-999"/>
      <w:rPr>
        <w:sz w:val="22"/>
        <w:szCs w:val="22"/>
      </w:rPr>
    </w:pPr>
    <w:r>
      <w:rPr>
        <w:rFonts w:ascii="Roboto" w:hAnsi="Roboto" w:cs="Arial"/>
        <w:sz w:val="20"/>
      </w:rPr>
      <w:tab/>
    </w:r>
    <w:r>
      <w:rPr>
        <w:rFonts w:ascii="Roboto" w:hAnsi="Roboto" w:cs="Arial"/>
        <w:sz w:val="20"/>
      </w:rPr>
      <w:tab/>
    </w:r>
    <w:r>
      <w:rPr>
        <w:rFonts w:ascii="Roboto" w:hAnsi="Roboto"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F0F" w:rsidRPr="008B4DAC" w:rsidRDefault="00433F0F">
      <w:r w:rsidRPr="008B4DAC">
        <w:separator/>
      </w:r>
    </w:p>
  </w:footnote>
  <w:footnote w:type="continuationSeparator" w:id="0">
    <w:p w:rsidR="00433F0F" w:rsidRPr="008B4DAC" w:rsidRDefault="00433F0F">
      <w:r w:rsidRPr="008B4D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C5" w:rsidRPr="008B4DAC" w:rsidRDefault="000C3FBD" w:rsidP="00C20EC5">
    <w:pPr>
      <w:pStyle w:val="Encabezado"/>
      <w:jc w:val="center"/>
      <w:rPr>
        <w:rFonts w:ascii="Arial" w:hAnsi="Arial" w:cs="Arial"/>
        <w:i/>
        <w:sz w:val="22"/>
        <w:szCs w:val="22"/>
      </w:rPr>
    </w:pPr>
    <w:r w:rsidRPr="008B4DAC">
      <w:rPr>
        <w:noProof/>
      </w:rPr>
      <w:drawing>
        <wp:anchor distT="0" distB="0" distL="114300" distR="114300" simplePos="0" relativeHeight="251664384" behindDoc="1" locked="0" layoutInCell="1" allowOverlap="1" wp14:anchorId="1906FE68" wp14:editId="771AD06E">
          <wp:simplePos x="0" y="0"/>
          <wp:positionH relativeFrom="column">
            <wp:posOffset>-1141171</wp:posOffset>
          </wp:positionH>
          <wp:positionV relativeFrom="paragraph">
            <wp:posOffset>-446862</wp:posOffset>
          </wp:positionV>
          <wp:extent cx="8116620" cy="746150"/>
          <wp:effectExtent l="0" t="0" r="0" b="0"/>
          <wp:wrapNone/>
          <wp:docPr id="224239159" name="Imagen 224239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116620" cy="746150"/>
                  </a:xfrm>
                  <a:prstGeom prst="rect">
                    <a:avLst/>
                  </a:prstGeom>
                </pic:spPr>
              </pic:pic>
            </a:graphicData>
          </a:graphic>
          <wp14:sizeRelH relativeFrom="margin">
            <wp14:pctWidth>0</wp14:pctWidth>
          </wp14:sizeRelH>
          <wp14:sizeRelV relativeFrom="margin">
            <wp14:pctHeight>0</wp14:pctHeight>
          </wp14:sizeRelV>
        </wp:anchor>
      </w:drawing>
    </w:r>
  </w:p>
  <w:p w:rsidR="000C3FBD" w:rsidRPr="008B4DAC" w:rsidRDefault="00CB2E9D" w:rsidP="00EB0DE8">
    <w:pPr>
      <w:autoSpaceDE w:val="0"/>
      <w:autoSpaceDN w:val="0"/>
      <w:adjustRightInd w:val="0"/>
      <w:contextualSpacing/>
      <w:jc w:val="both"/>
      <w:rPr>
        <w:rFonts w:ascii="Arial" w:hAnsi="Arial" w:cs="Arial"/>
        <w:sz w:val="18"/>
        <w:szCs w:val="18"/>
      </w:rPr>
    </w:pPr>
    <w:r w:rsidRPr="008B4DAC">
      <w:rPr>
        <w:rFonts w:ascii="Arial" w:hAnsi="Arial" w:cs="Arial"/>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6D6" w:rsidRPr="008B4DAC" w:rsidRDefault="00152E41" w:rsidP="00CB2DE9">
    <w:pPr>
      <w:pStyle w:val="Encabezado"/>
      <w:jc w:val="center"/>
    </w:pPr>
    <w:r w:rsidRPr="008B4DAC">
      <w:rPr>
        <w:noProof/>
      </w:rPr>
      <w:drawing>
        <wp:anchor distT="0" distB="0" distL="114300" distR="114300" simplePos="0" relativeHeight="251668480" behindDoc="1" locked="0" layoutInCell="1" allowOverlap="1" wp14:anchorId="43F10EAE" wp14:editId="1A4BD0C8">
          <wp:simplePos x="0" y="0"/>
          <wp:positionH relativeFrom="page">
            <wp:align>left</wp:align>
          </wp:positionH>
          <wp:positionV relativeFrom="paragraph">
            <wp:posOffset>-382298</wp:posOffset>
          </wp:positionV>
          <wp:extent cx="8116620" cy="746150"/>
          <wp:effectExtent l="0" t="0" r="0" b="0"/>
          <wp:wrapNone/>
          <wp:docPr id="1803827122" name="Imagen 1803827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116620" cy="746150"/>
                  </a:xfrm>
                  <a:prstGeom prst="rect">
                    <a:avLst/>
                  </a:prstGeom>
                </pic:spPr>
              </pic:pic>
            </a:graphicData>
          </a:graphic>
          <wp14:sizeRelH relativeFrom="margin">
            <wp14:pctWidth>0</wp14:pctWidth>
          </wp14:sizeRelH>
          <wp14:sizeRelV relativeFrom="margin">
            <wp14:pctHeight>0</wp14:pctHeight>
          </wp14:sizeRelV>
        </wp:anchor>
      </w:drawing>
    </w:r>
  </w:p>
  <w:p w:rsidR="00CB2DE9" w:rsidRPr="008B4DAC" w:rsidRDefault="00CB2DE9" w:rsidP="00CB2D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82F"/>
    <w:multiLevelType w:val="hybridMultilevel"/>
    <w:tmpl w:val="ADCA9BC8"/>
    <w:lvl w:ilvl="0" w:tplc="140A0017">
      <w:start w:val="1"/>
      <w:numFmt w:val="lowerLetter"/>
      <w:lvlText w:val="%1)"/>
      <w:lvlJc w:val="left"/>
      <w:pPr>
        <w:ind w:left="4612" w:hanging="360"/>
      </w:pPr>
    </w:lvl>
    <w:lvl w:ilvl="1" w:tplc="140A0019" w:tentative="1">
      <w:start w:val="1"/>
      <w:numFmt w:val="lowerLetter"/>
      <w:lvlText w:val="%2."/>
      <w:lvlJc w:val="left"/>
      <w:pPr>
        <w:ind w:left="5332" w:hanging="360"/>
      </w:pPr>
    </w:lvl>
    <w:lvl w:ilvl="2" w:tplc="140A001B" w:tentative="1">
      <w:start w:val="1"/>
      <w:numFmt w:val="lowerRoman"/>
      <w:lvlText w:val="%3."/>
      <w:lvlJc w:val="right"/>
      <w:pPr>
        <w:ind w:left="6052" w:hanging="180"/>
      </w:pPr>
    </w:lvl>
    <w:lvl w:ilvl="3" w:tplc="140A000F" w:tentative="1">
      <w:start w:val="1"/>
      <w:numFmt w:val="decimal"/>
      <w:lvlText w:val="%4."/>
      <w:lvlJc w:val="left"/>
      <w:pPr>
        <w:ind w:left="6772" w:hanging="360"/>
      </w:pPr>
    </w:lvl>
    <w:lvl w:ilvl="4" w:tplc="140A0019" w:tentative="1">
      <w:start w:val="1"/>
      <w:numFmt w:val="lowerLetter"/>
      <w:lvlText w:val="%5."/>
      <w:lvlJc w:val="left"/>
      <w:pPr>
        <w:ind w:left="7492" w:hanging="360"/>
      </w:pPr>
    </w:lvl>
    <w:lvl w:ilvl="5" w:tplc="140A001B" w:tentative="1">
      <w:start w:val="1"/>
      <w:numFmt w:val="lowerRoman"/>
      <w:lvlText w:val="%6."/>
      <w:lvlJc w:val="right"/>
      <w:pPr>
        <w:ind w:left="8212" w:hanging="180"/>
      </w:pPr>
    </w:lvl>
    <w:lvl w:ilvl="6" w:tplc="140A000F" w:tentative="1">
      <w:start w:val="1"/>
      <w:numFmt w:val="decimal"/>
      <w:lvlText w:val="%7."/>
      <w:lvlJc w:val="left"/>
      <w:pPr>
        <w:ind w:left="8932" w:hanging="360"/>
      </w:pPr>
    </w:lvl>
    <w:lvl w:ilvl="7" w:tplc="140A0019" w:tentative="1">
      <w:start w:val="1"/>
      <w:numFmt w:val="lowerLetter"/>
      <w:lvlText w:val="%8."/>
      <w:lvlJc w:val="left"/>
      <w:pPr>
        <w:ind w:left="9652" w:hanging="360"/>
      </w:pPr>
    </w:lvl>
    <w:lvl w:ilvl="8" w:tplc="140A001B" w:tentative="1">
      <w:start w:val="1"/>
      <w:numFmt w:val="lowerRoman"/>
      <w:lvlText w:val="%9."/>
      <w:lvlJc w:val="right"/>
      <w:pPr>
        <w:ind w:left="10372" w:hanging="180"/>
      </w:pPr>
    </w:lvl>
  </w:abstractNum>
  <w:abstractNum w:abstractNumId="1"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6BD3EF7"/>
    <w:multiLevelType w:val="multilevel"/>
    <w:tmpl w:val="8970FCE8"/>
    <w:lvl w:ilvl="0">
      <w:start w:val="2"/>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sz w:val="16"/>
        <w:szCs w:val="16"/>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F5B3F22"/>
    <w:multiLevelType w:val="hybridMultilevel"/>
    <w:tmpl w:val="A39873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4" w15:restartNumberingAfterBreak="0">
    <w:nsid w:val="15466559"/>
    <w:multiLevelType w:val="multilevel"/>
    <w:tmpl w:val="00A64436"/>
    <w:lvl w:ilvl="0">
      <w:start w:val="4"/>
      <w:numFmt w:val="decimal"/>
      <w:lvlText w:val="%1A."/>
      <w:lvlJc w:val="left"/>
      <w:pPr>
        <w:tabs>
          <w:tab w:val="num" w:pos="360"/>
        </w:tabs>
        <w:ind w:left="360" w:hanging="360"/>
      </w:pPr>
      <w:rPr>
        <w:rFonts w:hint="default"/>
        <w:b/>
        <w:i w:val="0"/>
        <w:sz w:val="22"/>
        <w:szCs w:val="22"/>
      </w:rPr>
    </w:lvl>
    <w:lvl w:ilvl="1">
      <w:start w:val="1"/>
      <w:numFmt w:val="decimal"/>
      <w:lvlText w:val="%1.%2."/>
      <w:lvlJc w:val="left"/>
      <w:pPr>
        <w:tabs>
          <w:tab w:val="num" w:pos="432"/>
        </w:tabs>
        <w:ind w:left="432" w:hanging="432"/>
      </w:pPr>
      <w:rPr>
        <w:rFonts w:hint="default"/>
        <w:b w:val="0"/>
        <w:i w:val="0"/>
        <w:sz w:val="22"/>
        <w:szCs w:val="16"/>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C1E6492"/>
    <w:multiLevelType w:val="hybridMultilevel"/>
    <w:tmpl w:val="6D6C53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BF641B"/>
    <w:multiLevelType w:val="hybridMultilevel"/>
    <w:tmpl w:val="057E1BB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7" w15:restartNumberingAfterBreak="0">
    <w:nsid w:val="25E50095"/>
    <w:multiLevelType w:val="hybridMultilevel"/>
    <w:tmpl w:val="58CC18FC"/>
    <w:lvl w:ilvl="0" w:tplc="140A001B">
      <w:start w:val="1"/>
      <w:numFmt w:val="lowerRoman"/>
      <w:lvlText w:val="%1."/>
      <w:lvlJc w:val="right"/>
      <w:pPr>
        <w:ind w:left="755" w:hanging="360"/>
      </w:pPr>
    </w:lvl>
    <w:lvl w:ilvl="1" w:tplc="140A0019">
      <w:start w:val="1"/>
      <w:numFmt w:val="lowerLetter"/>
      <w:lvlText w:val="%2."/>
      <w:lvlJc w:val="left"/>
      <w:pPr>
        <w:ind w:left="1475" w:hanging="360"/>
      </w:pPr>
    </w:lvl>
    <w:lvl w:ilvl="2" w:tplc="140A001B">
      <w:start w:val="1"/>
      <w:numFmt w:val="lowerRoman"/>
      <w:lvlText w:val="%3."/>
      <w:lvlJc w:val="right"/>
      <w:pPr>
        <w:ind w:left="2375" w:hanging="360"/>
      </w:pPr>
    </w:lvl>
    <w:lvl w:ilvl="3" w:tplc="140A000F" w:tentative="1">
      <w:start w:val="1"/>
      <w:numFmt w:val="decimal"/>
      <w:lvlText w:val="%4."/>
      <w:lvlJc w:val="left"/>
      <w:pPr>
        <w:ind w:left="2915" w:hanging="360"/>
      </w:pPr>
    </w:lvl>
    <w:lvl w:ilvl="4" w:tplc="140A0019" w:tentative="1">
      <w:start w:val="1"/>
      <w:numFmt w:val="lowerLetter"/>
      <w:lvlText w:val="%5."/>
      <w:lvlJc w:val="left"/>
      <w:pPr>
        <w:ind w:left="3635" w:hanging="360"/>
      </w:pPr>
    </w:lvl>
    <w:lvl w:ilvl="5" w:tplc="140A001B" w:tentative="1">
      <w:start w:val="1"/>
      <w:numFmt w:val="lowerRoman"/>
      <w:lvlText w:val="%6."/>
      <w:lvlJc w:val="right"/>
      <w:pPr>
        <w:ind w:left="4355" w:hanging="180"/>
      </w:pPr>
    </w:lvl>
    <w:lvl w:ilvl="6" w:tplc="140A000F" w:tentative="1">
      <w:start w:val="1"/>
      <w:numFmt w:val="decimal"/>
      <w:lvlText w:val="%7."/>
      <w:lvlJc w:val="left"/>
      <w:pPr>
        <w:ind w:left="5075" w:hanging="360"/>
      </w:pPr>
    </w:lvl>
    <w:lvl w:ilvl="7" w:tplc="140A0019" w:tentative="1">
      <w:start w:val="1"/>
      <w:numFmt w:val="lowerLetter"/>
      <w:lvlText w:val="%8."/>
      <w:lvlJc w:val="left"/>
      <w:pPr>
        <w:ind w:left="5795" w:hanging="360"/>
      </w:pPr>
    </w:lvl>
    <w:lvl w:ilvl="8" w:tplc="140A001B" w:tentative="1">
      <w:start w:val="1"/>
      <w:numFmt w:val="lowerRoman"/>
      <w:lvlText w:val="%9."/>
      <w:lvlJc w:val="right"/>
      <w:pPr>
        <w:ind w:left="6515" w:hanging="180"/>
      </w:pPr>
    </w:lvl>
  </w:abstractNum>
  <w:abstractNum w:abstractNumId="8" w15:restartNumberingAfterBreak="0">
    <w:nsid w:val="286263CC"/>
    <w:multiLevelType w:val="hybridMultilevel"/>
    <w:tmpl w:val="E78EF25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9" w15:restartNumberingAfterBreak="0">
    <w:nsid w:val="2C21213C"/>
    <w:multiLevelType w:val="hybridMultilevel"/>
    <w:tmpl w:val="99A60DB6"/>
    <w:lvl w:ilvl="0" w:tplc="85F8179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D221D0E"/>
    <w:multiLevelType w:val="multilevel"/>
    <w:tmpl w:val="73A88BD0"/>
    <w:lvl w:ilvl="0">
      <w:start w:val="3"/>
      <w:numFmt w:val="decimal"/>
      <w:lvlText w:val="%1."/>
      <w:lvlJc w:val="left"/>
      <w:pPr>
        <w:tabs>
          <w:tab w:val="num" w:pos="360"/>
        </w:tabs>
        <w:ind w:left="360" w:hanging="360"/>
      </w:pPr>
      <w:rPr>
        <w:rFonts w:hint="default"/>
        <w:b/>
        <w:i w:val="0"/>
        <w:sz w:val="16"/>
        <w:szCs w:val="16"/>
      </w:rPr>
    </w:lvl>
    <w:lvl w:ilvl="1">
      <w:start w:val="1"/>
      <w:numFmt w:val="decimal"/>
      <w:lvlText w:val="%1.%2."/>
      <w:lvlJc w:val="left"/>
      <w:pPr>
        <w:tabs>
          <w:tab w:val="num" w:pos="432"/>
        </w:tabs>
        <w:ind w:left="432" w:hanging="432"/>
      </w:pPr>
      <w:rPr>
        <w:rFonts w:hint="default"/>
        <w:b w:val="0"/>
        <w:i w:val="0"/>
        <w:sz w:val="22"/>
        <w:szCs w:val="16"/>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1C168D2"/>
    <w:multiLevelType w:val="hybridMultilevel"/>
    <w:tmpl w:val="67302EAE"/>
    <w:lvl w:ilvl="0" w:tplc="FFFFFFFF">
      <w:start w:val="1"/>
      <w:numFmt w:val="lowerLetter"/>
      <w:lvlText w:val="%1)"/>
      <w:lvlJc w:val="left"/>
      <w:pPr>
        <w:ind w:left="395" w:hanging="360"/>
      </w:pPr>
    </w:lvl>
    <w:lvl w:ilvl="1" w:tplc="FFFFFFFF">
      <w:start w:val="1"/>
      <w:numFmt w:val="lowerRoman"/>
      <w:lvlText w:val="%2."/>
      <w:lvlJc w:val="right"/>
      <w:pPr>
        <w:ind w:left="1115" w:hanging="360"/>
      </w:pPr>
    </w:lvl>
    <w:lvl w:ilvl="2" w:tplc="FFFFFFFF">
      <w:start w:val="1"/>
      <w:numFmt w:val="lowerRoman"/>
      <w:lvlText w:val="%3."/>
      <w:lvlJc w:val="right"/>
      <w:pPr>
        <w:ind w:left="1835" w:hanging="180"/>
      </w:pPr>
      <w:rPr>
        <w:b/>
        <w:bCs/>
      </w:rPr>
    </w:lvl>
    <w:lvl w:ilvl="3" w:tplc="FFFFFFFF">
      <w:start w:val="1"/>
      <w:numFmt w:val="decimal"/>
      <w:lvlText w:val="%4."/>
      <w:lvlJc w:val="left"/>
      <w:pPr>
        <w:ind w:left="2555" w:hanging="360"/>
      </w:pPr>
    </w:lvl>
    <w:lvl w:ilvl="4" w:tplc="FFFFFFFF">
      <w:start w:val="1"/>
      <w:numFmt w:val="lowerLetter"/>
      <w:lvlText w:val="%5."/>
      <w:lvlJc w:val="left"/>
      <w:pPr>
        <w:ind w:left="3275" w:hanging="360"/>
      </w:pPr>
    </w:lvl>
    <w:lvl w:ilvl="5" w:tplc="FFFFFFFF">
      <w:start w:val="1"/>
      <w:numFmt w:val="lowerRoman"/>
      <w:lvlText w:val="%6."/>
      <w:lvlJc w:val="right"/>
      <w:pPr>
        <w:ind w:left="3995" w:hanging="180"/>
      </w:pPr>
    </w:lvl>
    <w:lvl w:ilvl="6" w:tplc="FFFFFFFF">
      <w:start w:val="1"/>
      <w:numFmt w:val="decimal"/>
      <w:lvlText w:val="%7."/>
      <w:lvlJc w:val="left"/>
      <w:pPr>
        <w:ind w:left="4715" w:hanging="360"/>
      </w:pPr>
    </w:lvl>
    <w:lvl w:ilvl="7" w:tplc="FFFFFFFF">
      <w:start w:val="1"/>
      <w:numFmt w:val="lowerLetter"/>
      <w:lvlText w:val="%8."/>
      <w:lvlJc w:val="left"/>
      <w:pPr>
        <w:ind w:left="5435" w:hanging="360"/>
      </w:pPr>
    </w:lvl>
    <w:lvl w:ilvl="8" w:tplc="FFFFFFFF">
      <w:start w:val="1"/>
      <w:numFmt w:val="lowerRoman"/>
      <w:lvlText w:val="%9."/>
      <w:lvlJc w:val="right"/>
      <w:pPr>
        <w:ind w:left="6155" w:hanging="180"/>
      </w:pPr>
    </w:lvl>
  </w:abstractNum>
  <w:abstractNum w:abstractNumId="12" w15:restartNumberingAfterBreak="0">
    <w:nsid w:val="338B1CBC"/>
    <w:multiLevelType w:val="multilevel"/>
    <w:tmpl w:val="00A64436"/>
    <w:lvl w:ilvl="0">
      <w:start w:val="4"/>
      <w:numFmt w:val="decimal"/>
      <w:lvlText w:val="%1A."/>
      <w:lvlJc w:val="left"/>
      <w:pPr>
        <w:tabs>
          <w:tab w:val="num" w:pos="360"/>
        </w:tabs>
        <w:ind w:left="360" w:hanging="360"/>
      </w:pPr>
      <w:rPr>
        <w:rFonts w:hint="default"/>
        <w:b/>
        <w:i w:val="0"/>
        <w:sz w:val="22"/>
        <w:szCs w:val="22"/>
      </w:rPr>
    </w:lvl>
    <w:lvl w:ilvl="1">
      <w:start w:val="1"/>
      <w:numFmt w:val="decimal"/>
      <w:lvlText w:val="%1.%2."/>
      <w:lvlJc w:val="left"/>
      <w:pPr>
        <w:tabs>
          <w:tab w:val="num" w:pos="432"/>
        </w:tabs>
        <w:ind w:left="432" w:hanging="432"/>
      </w:pPr>
      <w:rPr>
        <w:rFonts w:hint="default"/>
        <w:b w:val="0"/>
        <w:i w:val="0"/>
        <w:sz w:val="22"/>
        <w:szCs w:val="16"/>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A853B36"/>
    <w:multiLevelType w:val="hybridMultilevel"/>
    <w:tmpl w:val="A378AF22"/>
    <w:lvl w:ilvl="0" w:tplc="5F4C3FDC">
      <w:start w:val="1"/>
      <w:numFmt w:val="upperRoman"/>
      <w:lvlText w:val="%1."/>
      <w:lvlJc w:val="left"/>
      <w:pPr>
        <w:tabs>
          <w:tab w:val="num" w:pos="180"/>
        </w:tabs>
        <w:ind w:left="180" w:hanging="180"/>
      </w:pPr>
      <w:rPr>
        <w:rFonts w:hint="default"/>
        <w:b w:val="0"/>
        <w:bCs w:val="0"/>
        <w:color w:val="auto"/>
      </w:rPr>
    </w:lvl>
    <w:lvl w:ilvl="1" w:tplc="5C42D710">
      <w:start w:val="1"/>
      <w:numFmt w:val="lowerLetter"/>
      <w:lvlText w:val="%2."/>
      <w:lvlJc w:val="left"/>
      <w:pPr>
        <w:tabs>
          <w:tab w:val="num" w:pos="1440"/>
        </w:tabs>
        <w:ind w:left="1440" w:hanging="360"/>
      </w:pPr>
      <w:rPr>
        <w:rFonts w:hint="default"/>
      </w:rPr>
    </w:lvl>
    <w:lvl w:ilvl="2" w:tplc="88382F8C">
      <w:start w:val="1"/>
      <w:numFmt w:val="decimal"/>
      <w:lvlText w:val="%3"/>
      <w:lvlJc w:val="left"/>
      <w:pPr>
        <w:tabs>
          <w:tab w:val="num" w:pos="2340"/>
        </w:tabs>
        <w:ind w:left="2340" w:hanging="360"/>
      </w:pPr>
      <w:rPr>
        <w:rFont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75F48D4"/>
    <w:multiLevelType w:val="hybridMultilevel"/>
    <w:tmpl w:val="019C09DE"/>
    <w:lvl w:ilvl="0" w:tplc="140A0013">
      <w:start w:val="1"/>
      <w:numFmt w:val="upperRoman"/>
      <w:lvlText w:val="%1."/>
      <w:lvlJc w:val="right"/>
      <w:pPr>
        <w:tabs>
          <w:tab w:val="num" w:pos="1080"/>
        </w:tabs>
        <w:ind w:left="1080" w:hanging="720"/>
      </w:pPr>
      <w:rPr>
        <w:rFonts w:hint="default"/>
        <w:b/>
      </w:rPr>
    </w:lvl>
    <w:lvl w:ilvl="1" w:tplc="140A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BE4249F"/>
    <w:multiLevelType w:val="hybridMultilevel"/>
    <w:tmpl w:val="60761914"/>
    <w:lvl w:ilvl="0" w:tplc="DB0E45B2">
      <w:start w:val="1"/>
      <w:numFmt w:val="lowerRoman"/>
      <w:lvlText w:val="%1."/>
      <w:lvlJc w:val="right"/>
      <w:pPr>
        <w:ind w:left="540" w:hanging="18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09D6722"/>
    <w:multiLevelType w:val="hybridMultilevel"/>
    <w:tmpl w:val="BB52A874"/>
    <w:lvl w:ilvl="0" w:tplc="AB822032">
      <w:start w:val="1"/>
      <w:numFmt w:val="decimal"/>
      <w:lvlText w:val="%1."/>
      <w:lvlJc w:val="left"/>
      <w:pPr>
        <w:ind w:left="786" w:hanging="360"/>
      </w:pPr>
      <w:rPr>
        <w:rFonts w:hint="default"/>
        <w:b w:val="0"/>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3DC61B1"/>
    <w:multiLevelType w:val="hybridMultilevel"/>
    <w:tmpl w:val="67302EA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23D4D100">
      <w:start w:val="1"/>
      <w:numFmt w:val="lowerRoman"/>
      <w:lvlText w:val="%3."/>
      <w:lvlJc w:val="right"/>
      <w:pPr>
        <w:ind w:left="2160" w:hanging="180"/>
      </w:pPr>
      <w:rPr>
        <w:b/>
        <w:bCs/>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298374E"/>
    <w:multiLevelType w:val="hybridMultilevel"/>
    <w:tmpl w:val="5628B6F0"/>
    <w:lvl w:ilvl="0" w:tplc="3BE8C0F6">
      <w:start w:val="2"/>
      <w:numFmt w:val="bullet"/>
      <w:lvlText w:val="-"/>
      <w:lvlJc w:val="left"/>
      <w:pPr>
        <w:ind w:left="360" w:hanging="360"/>
      </w:pPr>
      <w:rPr>
        <w:rFonts w:ascii="Roboto" w:eastAsiaTheme="minorHAnsi" w:hAnsi="Roboto" w:cs="Aria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9" w15:restartNumberingAfterBreak="0">
    <w:nsid w:val="6AAC087D"/>
    <w:multiLevelType w:val="hybridMultilevel"/>
    <w:tmpl w:val="C1BE52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20" w15:restartNumberingAfterBreak="0">
    <w:nsid w:val="6AD41E7A"/>
    <w:multiLevelType w:val="hybridMultilevel"/>
    <w:tmpl w:val="3BE2AA3A"/>
    <w:lvl w:ilvl="0" w:tplc="745C6D8C">
      <w:start w:val="1"/>
      <w:numFmt w:val="upperRoman"/>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977185E"/>
    <w:multiLevelType w:val="hybridMultilevel"/>
    <w:tmpl w:val="134EDDAA"/>
    <w:lvl w:ilvl="0" w:tplc="53C411A8">
      <w:start w:val="1"/>
      <w:numFmt w:val="upperRoman"/>
      <w:lvlText w:val="%1)"/>
      <w:lvlJc w:val="left"/>
      <w:pPr>
        <w:ind w:left="755" w:hanging="360"/>
      </w:pPr>
      <w:rPr>
        <w:rFonts w:hint="default"/>
      </w:rPr>
    </w:lvl>
    <w:lvl w:ilvl="1" w:tplc="140A0019" w:tentative="1">
      <w:start w:val="1"/>
      <w:numFmt w:val="lowerLetter"/>
      <w:lvlText w:val="%2."/>
      <w:lvlJc w:val="left"/>
      <w:pPr>
        <w:ind w:left="1475" w:hanging="360"/>
      </w:pPr>
    </w:lvl>
    <w:lvl w:ilvl="2" w:tplc="140A001B" w:tentative="1">
      <w:start w:val="1"/>
      <w:numFmt w:val="lowerRoman"/>
      <w:lvlText w:val="%3."/>
      <w:lvlJc w:val="right"/>
      <w:pPr>
        <w:ind w:left="2195" w:hanging="180"/>
      </w:pPr>
    </w:lvl>
    <w:lvl w:ilvl="3" w:tplc="140A000F" w:tentative="1">
      <w:start w:val="1"/>
      <w:numFmt w:val="decimal"/>
      <w:lvlText w:val="%4."/>
      <w:lvlJc w:val="left"/>
      <w:pPr>
        <w:ind w:left="2915" w:hanging="360"/>
      </w:pPr>
    </w:lvl>
    <w:lvl w:ilvl="4" w:tplc="140A0019" w:tentative="1">
      <w:start w:val="1"/>
      <w:numFmt w:val="lowerLetter"/>
      <w:lvlText w:val="%5."/>
      <w:lvlJc w:val="left"/>
      <w:pPr>
        <w:ind w:left="3635" w:hanging="360"/>
      </w:pPr>
    </w:lvl>
    <w:lvl w:ilvl="5" w:tplc="140A001B" w:tentative="1">
      <w:start w:val="1"/>
      <w:numFmt w:val="lowerRoman"/>
      <w:lvlText w:val="%6."/>
      <w:lvlJc w:val="right"/>
      <w:pPr>
        <w:ind w:left="4355" w:hanging="180"/>
      </w:pPr>
    </w:lvl>
    <w:lvl w:ilvl="6" w:tplc="140A000F" w:tentative="1">
      <w:start w:val="1"/>
      <w:numFmt w:val="decimal"/>
      <w:lvlText w:val="%7."/>
      <w:lvlJc w:val="left"/>
      <w:pPr>
        <w:ind w:left="5075" w:hanging="360"/>
      </w:pPr>
    </w:lvl>
    <w:lvl w:ilvl="7" w:tplc="140A0019" w:tentative="1">
      <w:start w:val="1"/>
      <w:numFmt w:val="lowerLetter"/>
      <w:lvlText w:val="%8."/>
      <w:lvlJc w:val="left"/>
      <w:pPr>
        <w:ind w:left="5795" w:hanging="360"/>
      </w:pPr>
    </w:lvl>
    <w:lvl w:ilvl="8" w:tplc="140A001B" w:tentative="1">
      <w:start w:val="1"/>
      <w:numFmt w:val="lowerRoman"/>
      <w:lvlText w:val="%9."/>
      <w:lvlJc w:val="right"/>
      <w:pPr>
        <w:ind w:left="6515" w:hanging="180"/>
      </w:pPr>
    </w:lvl>
  </w:abstractNum>
  <w:num w:numId="1" w16cid:durableId="550927129">
    <w:abstractNumId w:val="14"/>
  </w:num>
  <w:num w:numId="2" w16cid:durableId="96755781">
    <w:abstractNumId w:val="9"/>
  </w:num>
  <w:num w:numId="3" w16cid:durableId="1832603591">
    <w:abstractNumId w:val="20"/>
  </w:num>
  <w:num w:numId="4" w16cid:durableId="488063643">
    <w:abstractNumId w:val="19"/>
  </w:num>
  <w:num w:numId="5" w16cid:durableId="635140846">
    <w:abstractNumId w:val="3"/>
  </w:num>
  <w:num w:numId="6" w16cid:durableId="178011935">
    <w:abstractNumId w:val="8"/>
  </w:num>
  <w:num w:numId="7" w16cid:durableId="1876697737">
    <w:abstractNumId w:val="6"/>
  </w:num>
  <w:num w:numId="8" w16cid:durableId="318852005">
    <w:abstractNumId w:val="0"/>
  </w:num>
  <w:num w:numId="9" w16cid:durableId="663819387">
    <w:abstractNumId w:val="13"/>
  </w:num>
  <w:num w:numId="10" w16cid:durableId="1867131672">
    <w:abstractNumId w:val="16"/>
  </w:num>
  <w:num w:numId="11" w16cid:durableId="1808164648">
    <w:abstractNumId w:val="1"/>
  </w:num>
  <w:num w:numId="12" w16cid:durableId="1627546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1005013">
    <w:abstractNumId w:val="21"/>
  </w:num>
  <w:num w:numId="14" w16cid:durableId="2116247186">
    <w:abstractNumId w:val="17"/>
  </w:num>
  <w:num w:numId="15" w16cid:durableId="1040132953">
    <w:abstractNumId w:val="7"/>
  </w:num>
  <w:num w:numId="16" w16cid:durableId="2073188968">
    <w:abstractNumId w:val="18"/>
  </w:num>
  <w:num w:numId="17" w16cid:durableId="112984509">
    <w:abstractNumId w:val="15"/>
  </w:num>
  <w:num w:numId="18" w16cid:durableId="402215640">
    <w:abstractNumId w:val="11"/>
  </w:num>
  <w:num w:numId="19" w16cid:durableId="1123696005">
    <w:abstractNumId w:val="5"/>
  </w:num>
  <w:num w:numId="20" w16cid:durableId="1718243156">
    <w:abstractNumId w:val="2"/>
  </w:num>
  <w:num w:numId="21" w16cid:durableId="195698710">
    <w:abstractNumId w:val="10"/>
  </w:num>
  <w:num w:numId="22" w16cid:durableId="1046024419">
    <w:abstractNumId w:val="12"/>
  </w:num>
  <w:num w:numId="23" w16cid:durableId="1667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38"/>
    <w:rsid w:val="0000733B"/>
    <w:rsid w:val="00014673"/>
    <w:rsid w:val="000356FF"/>
    <w:rsid w:val="000505AC"/>
    <w:rsid w:val="00052401"/>
    <w:rsid w:val="00052C17"/>
    <w:rsid w:val="00052EB9"/>
    <w:rsid w:val="0007146D"/>
    <w:rsid w:val="000817EA"/>
    <w:rsid w:val="000924A5"/>
    <w:rsid w:val="00093C23"/>
    <w:rsid w:val="000942EB"/>
    <w:rsid w:val="00096CCC"/>
    <w:rsid w:val="000A2997"/>
    <w:rsid w:val="000A3F1F"/>
    <w:rsid w:val="000A54B7"/>
    <w:rsid w:val="000A7A3E"/>
    <w:rsid w:val="000B3882"/>
    <w:rsid w:val="000B5A8F"/>
    <w:rsid w:val="000C3FBD"/>
    <w:rsid w:val="000C639A"/>
    <w:rsid w:val="000D2FBC"/>
    <w:rsid w:val="000D6CE8"/>
    <w:rsid w:val="000D7354"/>
    <w:rsid w:val="000E4902"/>
    <w:rsid w:val="001015B2"/>
    <w:rsid w:val="00104F74"/>
    <w:rsid w:val="0011015B"/>
    <w:rsid w:val="001214FC"/>
    <w:rsid w:val="00121E10"/>
    <w:rsid w:val="00123749"/>
    <w:rsid w:val="001323C8"/>
    <w:rsid w:val="00136E46"/>
    <w:rsid w:val="00147DD1"/>
    <w:rsid w:val="00152E41"/>
    <w:rsid w:val="001542CF"/>
    <w:rsid w:val="00155EAB"/>
    <w:rsid w:val="00157EA6"/>
    <w:rsid w:val="00161105"/>
    <w:rsid w:val="001671E5"/>
    <w:rsid w:val="00171DD6"/>
    <w:rsid w:val="00172500"/>
    <w:rsid w:val="00185EA8"/>
    <w:rsid w:val="001914D0"/>
    <w:rsid w:val="0019266D"/>
    <w:rsid w:val="001A6492"/>
    <w:rsid w:val="001D1C7E"/>
    <w:rsid w:val="001D4F62"/>
    <w:rsid w:val="001D5B1D"/>
    <w:rsid w:val="001F6B07"/>
    <w:rsid w:val="00201A06"/>
    <w:rsid w:val="00220858"/>
    <w:rsid w:val="00237DE9"/>
    <w:rsid w:val="00261300"/>
    <w:rsid w:val="0026449D"/>
    <w:rsid w:val="00272829"/>
    <w:rsid w:val="002731A3"/>
    <w:rsid w:val="0027344D"/>
    <w:rsid w:val="00282E0D"/>
    <w:rsid w:val="002961A6"/>
    <w:rsid w:val="002D3E75"/>
    <w:rsid w:val="002E179D"/>
    <w:rsid w:val="002E5094"/>
    <w:rsid w:val="003117AF"/>
    <w:rsid w:val="00312956"/>
    <w:rsid w:val="00317F82"/>
    <w:rsid w:val="00321567"/>
    <w:rsid w:val="00321985"/>
    <w:rsid w:val="00327937"/>
    <w:rsid w:val="003409DF"/>
    <w:rsid w:val="003418F4"/>
    <w:rsid w:val="00346E57"/>
    <w:rsid w:val="00347B62"/>
    <w:rsid w:val="00355360"/>
    <w:rsid w:val="0035557C"/>
    <w:rsid w:val="00360579"/>
    <w:rsid w:val="003612ED"/>
    <w:rsid w:val="00372EFD"/>
    <w:rsid w:val="0037447D"/>
    <w:rsid w:val="00380AE8"/>
    <w:rsid w:val="00381E2A"/>
    <w:rsid w:val="00382E1A"/>
    <w:rsid w:val="00384131"/>
    <w:rsid w:val="00384C66"/>
    <w:rsid w:val="00386F56"/>
    <w:rsid w:val="00387E52"/>
    <w:rsid w:val="0039334B"/>
    <w:rsid w:val="00394C88"/>
    <w:rsid w:val="0039659C"/>
    <w:rsid w:val="00396B8C"/>
    <w:rsid w:val="003A1012"/>
    <w:rsid w:val="003A64DD"/>
    <w:rsid w:val="003C62A3"/>
    <w:rsid w:val="003D00EC"/>
    <w:rsid w:val="003D2665"/>
    <w:rsid w:val="003D4D1C"/>
    <w:rsid w:val="003D690B"/>
    <w:rsid w:val="003E2D38"/>
    <w:rsid w:val="00402782"/>
    <w:rsid w:val="00403C78"/>
    <w:rsid w:val="004172A3"/>
    <w:rsid w:val="00433F0F"/>
    <w:rsid w:val="00437335"/>
    <w:rsid w:val="004400CB"/>
    <w:rsid w:val="00452381"/>
    <w:rsid w:val="00454359"/>
    <w:rsid w:val="00456B92"/>
    <w:rsid w:val="00471431"/>
    <w:rsid w:val="00472965"/>
    <w:rsid w:val="00477574"/>
    <w:rsid w:val="004819BD"/>
    <w:rsid w:val="0048488E"/>
    <w:rsid w:val="0049118C"/>
    <w:rsid w:val="00497A67"/>
    <w:rsid w:val="004A6C39"/>
    <w:rsid w:val="004B1858"/>
    <w:rsid w:val="004B4891"/>
    <w:rsid w:val="004C5D25"/>
    <w:rsid w:val="004E2AE7"/>
    <w:rsid w:val="004E40E6"/>
    <w:rsid w:val="004E62C5"/>
    <w:rsid w:val="004F12E1"/>
    <w:rsid w:val="004F2251"/>
    <w:rsid w:val="004F6B5D"/>
    <w:rsid w:val="004F6EDE"/>
    <w:rsid w:val="00502DBC"/>
    <w:rsid w:val="005064C2"/>
    <w:rsid w:val="0051206C"/>
    <w:rsid w:val="00520477"/>
    <w:rsid w:val="0054233F"/>
    <w:rsid w:val="00542DBD"/>
    <w:rsid w:val="005470CC"/>
    <w:rsid w:val="00547C82"/>
    <w:rsid w:val="00550013"/>
    <w:rsid w:val="00553FC5"/>
    <w:rsid w:val="00564590"/>
    <w:rsid w:val="00597B93"/>
    <w:rsid w:val="00597F75"/>
    <w:rsid w:val="005B2839"/>
    <w:rsid w:val="005C3159"/>
    <w:rsid w:val="005C3D4A"/>
    <w:rsid w:val="005C6D27"/>
    <w:rsid w:val="005D0073"/>
    <w:rsid w:val="005D5C45"/>
    <w:rsid w:val="005D6152"/>
    <w:rsid w:val="00604208"/>
    <w:rsid w:val="00607D5F"/>
    <w:rsid w:val="00610B4E"/>
    <w:rsid w:val="006170CA"/>
    <w:rsid w:val="00622225"/>
    <w:rsid w:val="00624E79"/>
    <w:rsid w:val="00631BA0"/>
    <w:rsid w:val="006322D2"/>
    <w:rsid w:val="006502C0"/>
    <w:rsid w:val="00654583"/>
    <w:rsid w:val="00661115"/>
    <w:rsid w:val="00663C04"/>
    <w:rsid w:val="00666033"/>
    <w:rsid w:val="00666925"/>
    <w:rsid w:val="00673C6F"/>
    <w:rsid w:val="006745B3"/>
    <w:rsid w:val="00681592"/>
    <w:rsid w:val="00682869"/>
    <w:rsid w:val="00691EE0"/>
    <w:rsid w:val="006B1188"/>
    <w:rsid w:val="006B2AFA"/>
    <w:rsid w:val="006B6591"/>
    <w:rsid w:val="006C08C7"/>
    <w:rsid w:val="006D21EC"/>
    <w:rsid w:val="006E1A9A"/>
    <w:rsid w:val="006E418E"/>
    <w:rsid w:val="00703F09"/>
    <w:rsid w:val="00704176"/>
    <w:rsid w:val="00707CCE"/>
    <w:rsid w:val="00710FDF"/>
    <w:rsid w:val="007141D9"/>
    <w:rsid w:val="007545E0"/>
    <w:rsid w:val="0075521E"/>
    <w:rsid w:val="0077157E"/>
    <w:rsid w:val="007715FF"/>
    <w:rsid w:val="00771C33"/>
    <w:rsid w:val="007A134D"/>
    <w:rsid w:val="007A1854"/>
    <w:rsid w:val="007A4892"/>
    <w:rsid w:val="007C3A39"/>
    <w:rsid w:val="007C6F6E"/>
    <w:rsid w:val="007D1952"/>
    <w:rsid w:val="007E24B6"/>
    <w:rsid w:val="007F2B5B"/>
    <w:rsid w:val="007F67AF"/>
    <w:rsid w:val="007F7F4E"/>
    <w:rsid w:val="0080309F"/>
    <w:rsid w:val="00803317"/>
    <w:rsid w:val="00806E8F"/>
    <w:rsid w:val="00813B81"/>
    <w:rsid w:val="00815FDC"/>
    <w:rsid w:val="00821054"/>
    <w:rsid w:val="008215F2"/>
    <w:rsid w:val="008230EC"/>
    <w:rsid w:val="0083673C"/>
    <w:rsid w:val="00836D7A"/>
    <w:rsid w:val="008408D2"/>
    <w:rsid w:val="00845A76"/>
    <w:rsid w:val="008507A5"/>
    <w:rsid w:val="0086412B"/>
    <w:rsid w:val="00866E13"/>
    <w:rsid w:val="00874786"/>
    <w:rsid w:val="00886395"/>
    <w:rsid w:val="0088737E"/>
    <w:rsid w:val="008A3DF0"/>
    <w:rsid w:val="008A558B"/>
    <w:rsid w:val="008A60FB"/>
    <w:rsid w:val="008B2237"/>
    <w:rsid w:val="008B36D7"/>
    <w:rsid w:val="008B4AA5"/>
    <w:rsid w:val="008B4DAC"/>
    <w:rsid w:val="008C5513"/>
    <w:rsid w:val="008D2143"/>
    <w:rsid w:val="008D561F"/>
    <w:rsid w:val="008D6DEF"/>
    <w:rsid w:val="008F084A"/>
    <w:rsid w:val="008F2745"/>
    <w:rsid w:val="008F4FBC"/>
    <w:rsid w:val="009517FC"/>
    <w:rsid w:val="0096445D"/>
    <w:rsid w:val="00985286"/>
    <w:rsid w:val="00986D45"/>
    <w:rsid w:val="009A0A9A"/>
    <w:rsid w:val="009A1E0C"/>
    <w:rsid w:val="009C00D9"/>
    <w:rsid w:val="009C03C5"/>
    <w:rsid w:val="009C0CA0"/>
    <w:rsid w:val="009C2039"/>
    <w:rsid w:val="009C26D6"/>
    <w:rsid w:val="009C50CC"/>
    <w:rsid w:val="009D24FC"/>
    <w:rsid w:val="009D5923"/>
    <w:rsid w:val="009D5D9E"/>
    <w:rsid w:val="009D6A39"/>
    <w:rsid w:val="009D6E38"/>
    <w:rsid w:val="009E2792"/>
    <w:rsid w:val="009F08FA"/>
    <w:rsid w:val="00A11D6B"/>
    <w:rsid w:val="00A127C9"/>
    <w:rsid w:val="00A134E4"/>
    <w:rsid w:val="00A1384C"/>
    <w:rsid w:val="00A1437E"/>
    <w:rsid w:val="00A14F19"/>
    <w:rsid w:val="00A16E3E"/>
    <w:rsid w:val="00A171B4"/>
    <w:rsid w:val="00A313BC"/>
    <w:rsid w:val="00A35411"/>
    <w:rsid w:val="00A43CC5"/>
    <w:rsid w:val="00A520C7"/>
    <w:rsid w:val="00A5242D"/>
    <w:rsid w:val="00A56811"/>
    <w:rsid w:val="00A625E8"/>
    <w:rsid w:val="00A72336"/>
    <w:rsid w:val="00A765DF"/>
    <w:rsid w:val="00A80340"/>
    <w:rsid w:val="00A8144C"/>
    <w:rsid w:val="00AA7FB0"/>
    <w:rsid w:val="00AB468D"/>
    <w:rsid w:val="00AC09DE"/>
    <w:rsid w:val="00AD14A2"/>
    <w:rsid w:val="00AE20D5"/>
    <w:rsid w:val="00AE3ED0"/>
    <w:rsid w:val="00AE4FEC"/>
    <w:rsid w:val="00AF62BE"/>
    <w:rsid w:val="00AF6C49"/>
    <w:rsid w:val="00B3105A"/>
    <w:rsid w:val="00B401C2"/>
    <w:rsid w:val="00B42208"/>
    <w:rsid w:val="00B43615"/>
    <w:rsid w:val="00B43778"/>
    <w:rsid w:val="00B502B2"/>
    <w:rsid w:val="00B53206"/>
    <w:rsid w:val="00B57C96"/>
    <w:rsid w:val="00B754F8"/>
    <w:rsid w:val="00B874F4"/>
    <w:rsid w:val="00B97931"/>
    <w:rsid w:val="00BA7766"/>
    <w:rsid w:val="00BB034D"/>
    <w:rsid w:val="00BC3C55"/>
    <w:rsid w:val="00BD0403"/>
    <w:rsid w:val="00BD1C37"/>
    <w:rsid w:val="00BD4AEE"/>
    <w:rsid w:val="00BE0362"/>
    <w:rsid w:val="00BE1CF8"/>
    <w:rsid w:val="00BE4A2D"/>
    <w:rsid w:val="00BE50D8"/>
    <w:rsid w:val="00BE5912"/>
    <w:rsid w:val="00BF1B48"/>
    <w:rsid w:val="00BF4FB8"/>
    <w:rsid w:val="00BF645B"/>
    <w:rsid w:val="00C03E10"/>
    <w:rsid w:val="00C074E1"/>
    <w:rsid w:val="00C20EC5"/>
    <w:rsid w:val="00C305C4"/>
    <w:rsid w:val="00C368EF"/>
    <w:rsid w:val="00C4060B"/>
    <w:rsid w:val="00C4523A"/>
    <w:rsid w:val="00C51B43"/>
    <w:rsid w:val="00C57434"/>
    <w:rsid w:val="00C6058A"/>
    <w:rsid w:val="00C66353"/>
    <w:rsid w:val="00C77F4C"/>
    <w:rsid w:val="00C83B99"/>
    <w:rsid w:val="00C8420C"/>
    <w:rsid w:val="00C853B7"/>
    <w:rsid w:val="00C8675F"/>
    <w:rsid w:val="00CA3795"/>
    <w:rsid w:val="00CB22C6"/>
    <w:rsid w:val="00CB244B"/>
    <w:rsid w:val="00CB2DE9"/>
    <w:rsid w:val="00CB2E9D"/>
    <w:rsid w:val="00CB3BA9"/>
    <w:rsid w:val="00CC710D"/>
    <w:rsid w:val="00CD589E"/>
    <w:rsid w:val="00CE133D"/>
    <w:rsid w:val="00CE50B7"/>
    <w:rsid w:val="00CE5D99"/>
    <w:rsid w:val="00CF06FE"/>
    <w:rsid w:val="00D021FF"/>
    <w:rsid w:val="00D03DD1"/>
    <w:rsid w:val="00D10466"/>
    <w:rsid w:val="00D117C9"/>
    <w:rsid w:val="00D17348"/>
    <w:rsid w:val="00D233D3"/>
    <w:rsid w:val="00D33A7F"/>
    <w:rsid w:val="00D33F9F"/>
    <w:rsid w:val="00D40411"/>
    <w:rsid w:val="00D43B60"/>
    <w:rsid w:val="00D4413A"/>
    <w:rsid w:val="00D4580F"/>
    <w:rsid w:val="00D75A94"/>
    <w:rsid w:val="00D77CEE"/>
    <w:rsid w:val="00D833D2"/>
    <w:rsid w:val="00D955C4"/>
    <w:rsid w:val="00D967A8"/>
    <w:rsid w:val="00D969F7"/>
    <w:rsid w:val="00DA5F7D"/>
    <w:rsid w:val="00DA6299"/>
    <w:rsid w:val="00DB01B7"/>
    <w:rsid w:val="00DB65C8"/>
    <w:rsid w:val="00DD5FD4"/>
    <w:rsid w:val="00DE32A3"/>
    <w:rsid w:val="00DF1CF2"/>
    <w:rsid w:val="00DF4FEE"/>
    <w:rsid w:val="00E1318D"/>
    <w:rsid w:val="00E25CB4"/>
    <w:rsid w:val="00E55271"/>
    <w:rsid w:val="00E56609"/>
    <w:rsid w:val="00E57B13"/>
    <w:rsid w:val="00E57E39"/>
    <w:rsid w:val="00E60F72"/>
    <w:rsid w:val="00E64680"/>
    <w:rsid w:val="00E677C6"/>
    <w:rsid w:val="00E72DF1"/>
    <w:rsid w:val="00E75985"/>
    <w:rsid w:val="00E847B5"/>
    <w:rsid w:val="00E84CCE"/>
    <w:rsid w:val="00E930B9"/>
    <w:rsid w:val="00EA06DD"/>
    <w:rsid w:val="00EA0A5F"/>
    <w:rsid w:val="00EA50EB"/>
    <w:rsid w:val="00EA5A28"/>
    <w:rsid w:val="00EA7642"/>
    <w:rsid w:val="00EB1CE5"/>
    <w:rsid w:val="00EB2D7B"/>
    <w:rsid w:val="00EB2DC4"/>
    <w:rsid w:val="00EB3187"/>
    <w:rsid w:val="00EC7111"/>
    <w:rsid w:val="00ED3F44"/>
    <w:rsid w:val="00EE3D46"/>
    <w:rsid w:val="00EE4CD8"/>
    <w:rsid w:val="00EE76EA"/>
    <w:rsid w:val="00F05594"/>
    <w:rsid w:val="00F122A3"/>
    <w:rsid w:val="00F1697E"/>
    <w:rsid w:val="00F175AC"/>
    <w:rsid w:val="00F26D06"/>
    <w:rsid w:val="00F315B9"/>
    <w:rsid w:val="00F31ED0"/>
    <w:rsid w:val="00F33D17"/>
    <w:rsid w:val="00F46E7B"/>
    <w:rsid w:val="00F5067C"/>
    <w:rsid w:val="00F52363"/>
    <w:rsid w:val="00F53CB1"/>
    <w:rsid w:val="00F613C2"/>
    <w:rsid w:val="00F637DB"/>
    <w:rsid w:val="00F71B26"/>
    <w:rsid w:val="00F72521"/>
    <w:rsid w:val="00F834D6"/>
    <w:rsid w:val="00F84447"/>
    <w:rsid w:val="00F857A3"/>
    <w:rsid w:val="00F97F17"/>
    <w:rsid w:val="00FA004A"/>
    <w:rsid w:val="00FA1985"/>
    <w:rsid w:val="00FA2776"/>
    <w:rsid w:val="00FA2FBD"/>
    <w:rsid w:val="00FA375B"/>
    <w:rsid w:val="00FB617A"/>
    <w:rsid w:val="00FB74B0"/>
    <w:rsid w:val="00FC0407"/>
    <w:rsid w:val="00FD2D56"/>
    <w:rsid w:val="00FD2FB5"/>
    <w:rsid w:val="00FD6B45"/>
    <w:rsid w:val="00FD6B7F"/>
    <w:rsid w:val="00FE2B93"/>
    <w:rsid w:val="00FE7E89"/>
    <w:rsid w:val="00FF5467"/>
    <w:rsid w:val="00FF5DE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F635C"/>
  <w15:chartTrackingRefBased/>
  <w15:docId w15:val="{398EDAFF-BF1A-418F-B645-04136CCA1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5AC"/>
    <w:pPr>
      <w:spacing w:after="0" w:line="240" w:lineRule="auto"/>
    </w:pPr>
    <w:rPr>
      <w:rFonts w:ascii="Times New Roman" w:eastAsia="Times New Roman" w:hAnsi="Times New Roman" w:cs="Times New Roman"/>
      <w:sz w:val="24"/>
      <w:szCs w:val="20"/>
      <w:lang w:eastAsia="es-ES"/>
    </w:rPr>
  </w:style>
  <w:style w:type="paragraph" w:styleId="Ttulo2">
    <w:name w:val="heading 2"/>
    <w:basedOn w:val="Normal"/>
    <w:next w:val="Normal"/>
    <w:link w:val="Ttulo2Car"/>
    <w:qFormat/>
    <w:rsid w:val="00803317"/>
    <w:pPr>
      <w:keepNext/>
      <w:ind w:left="708" w:hanging="708"/>
      <w:jc w:val="both"/>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D6E38"/>
    <w:rPr>
      <w:color w:val="0000FF"/>
      <w:u w:val="single"/>
    </w:rPr>
  </w:style>
  <w:style w:type="paragraph" w:styleId="Encabezado">
    <w:name w:val="header"/>
    <w:basedOn w:val="Normal"/>
    <w:link w:val="EncabezadoCar"/>
    <w:rsid w:val="009D6E38"/>
    <w:pPr>
      <w:tabs>
        <w:tab w:val="center" w:pos="4419"/>
        <w:tab w:val="right" w:pos="8838"/>
      </w:tabs>
    </w:pPr>
  </w:style>
  <w:style w:type="character" w:customStyle="1" w:styleId="EncabezadoCar">
    <w:name w:val="Encabezado Car"/>
    <w:basedOn w:val="Fuentedeprrafopredeter"/>
    <w:link w:val="Encabezado"/>
    <w:rsid w:val="009D6E38"/>
    <w:rPr>
      <w:rFonts w:ascii="Times New Roman" w:eastAsia="Times New Roman" w:hAnsi="Times New Roman" w:cs="Times New Roman"/>
      <w:sz w:val="24"/>
      <w:szCs w:val="20"/>
      <w:lang w:val="es-ES" w:eastAsia="es-ES"/>
    </w:rPr>
  </w:style>
  <w:style w:type="paragraph" w:styleId="Piedepgina">
    <w:name w:val="footer"/>
    <w:basedOn w:val="Normal"/>
    <w:link w:val="PiedepginaCar"/>
    <w:rsid w:val="009D6E38"/>
    <w:pPr>
      <w:tabs>
        <w:tab w:val="center" w:pos="4419"/>
        <w:tab w:val="right" w:pos="8838"/>
      </w:tabs>
    </w:pPr>
  </w:style>
  <w:style w:type="character" w:customStyle="1" w:styleId="PiedepginaCar">
    <w:name w:val="Pie de página Car"/>
    <w:basedOn w:val="Fuentedeprrafopredeter"/>
    <w:link w:val="Piedepgina"/>
    <w:rsid w:val="009D6E38"/>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uiPriority w:val="99"/>
    <w:semiHidden/>
    <w:unhideWhenUsed/>
    <w:rsid w:val="0083673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673C"/>
    <w:rPr>
      <w:rFonts w:ascii="Segoe UI" w:eastAsia="Times New Roman" w:hAnsi="Segoe UI" w:cs="Segoe UI"/>
      <w:sz w:val="18"/>
      <w:szCs w:val="18"/>
      <w:lang w:val="es-ES" w:eastAsia="es-ES"/>
    </w:rPr>
  </w:style>
  <w:style w:type="character" w:customStyle="1" w:styleId="Ttulo2Car">
    <w:name w:val="Título 2 Car"/>
    <w:basedOn w:val="Fuentedeprrafopredeter"/>
    <w:link w:val="Ttulo2"/>
    <w:uiPriority w:val="9"/>
    <w:rsid w:val="00803317"/>
    <w:rPr>
      <w:rFonts w:ascii="Times New Roman" w:eastAsia="Times New Roman" w:hAnsi="Times New Roman" w:cs="Times New Roman"/>
      <w:sz w:val="24"/>
      <w:szCs w:val="20"/>
      <w:lang w:val="es-ES" w:eastAsia="es-ES"/>
    </w:r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BD040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PrrafodelistaCar">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BD0403"/>
    <w:rPr>
      <w:lang w:val="en-US"/>
    </w:rPr>
  </w:style>
  <w:style w:type="paragraph" w:customStyle="1" w:styleId="Numeracin">
    <w:name w:val="Numeración"/>
    <w:basedOn w:val="Normal"/>
    <w:qFormat/>
    <w:rsid w:val="004F2251"/>
    <w:pPr>
      <w:numPr>
        <w:numId w:val="11"/>
      </w:numPr>
      <w:spacing w:before="120"/>
      <w:jc w:val="both"/>
    </w:pPr>
    <w:rPr>
      <w:sz w:val="22"/>
      <w:szCs w:val="24"/>
    </w:rPr>
  </w:style>
  <w:style w:type="character" w:styleId="Textodelmarcadordeposicin">
    <w:name w:val="Placeholder Text"/>
    <w:basedOn w:val="Fuentedeprrafopredeter"/>
    <w:uiPriority w:val="99"/>
    <w:semiHidden/>
    <w:rsid w:val="00B3105A"/>
    <w:rPr>
      <w:color w:val="666666"/>
    </w:rPr>
  </w:style>
  <w:style w:type="paragraph" w:customStyle="1" w:styleId="CNV">
    <w:name w:val="CNV"/>
    <w:basedOn w:val="Normal"/>
    <w:rsid w:val="00F97F17"/>
    <w:pPr>
      <w:jc w:val="both"/>
    </w:pPr>
    <w:rPr>
      <w:lang w:val="es-ES_tradnl" w:eastAsia="en-US"/>
    </w:rPr>
  </w:style>
  <w:style w:type="table" w:styleId="Tablaconcuadrcula">
    <w:name w:val="Table Grid"/>
    <w:basedOn w:val="Tablanormal"/>
    <w:uiPriority w:val="39"/>
    <w:rsid w:val="00F97F17"/>
    <w:pPr>
      <w:spacing w:after="0" w:line="240" w:lineRule="auto"/>
    </w:pPr>
    <w:rPr>
      <w:rFonts w:ascii="Calibri" w:eastAsia="Calibri" w:hAnsi="Calibri" w:cs="Times New Roman"/>
      <w:sz w:val="20"/>
      <w:szCs w:val="20"/>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basedOn w:val="Normal"/>
    <w:link w:val="TextonotapieCar"/>
    <w:unhideWhenUsed/>
    <w:rsid w:val="009F08FA"/>
    <w:rPr>
      <w:sz w:val="20"/>
    </w:rPr>
  </w:style>
  <w:style w:type="character" w:customStyle="1" w:styleId="TextonotapieCar">
    <w:name w:val="Texto nota pie Car"/>
    <w:basedOn w:val="Fuentedeprrafopredeter"/>
    <w:link w:val="Textonotapie"/>
    <w:rsid w:val="009F08FA"/>
    <w:rPr>
      <w:rFonts w:ascii="Times New Roman" w:eastAsia="Times New Roman" w:hAnsi="Times New Roman" w:cs="Times New Roman"/>
      <w:sz w:val="20"/>
      <w:szCs w:val="20"/>
      <w:lang w:eastAsia="es-ES"/>
    </w:rPr>
  </w:style>
  <w:style w:type="character" w:styleId="Refdenotaalpie">
    <w:name w:val="footnote reference"/>
    <w:basedOn w:val="Fuentedeprrafopredeter"/>
    <w:unhideWhenUsed/>
    <w:rsid w:val="009F08FA"/>
    <w:rPr>
      <w:vertAlign w:val="superscript"/>
    </w:rPr>
  </w:style>
  <w:style w:type="table" w:customStyle="1" w:styleId="Tablaconcuadrcula1">
    <w:name w:val="Tabla con cuadrícula1"/>
    <w:basedOn w:val="Tablanormal"/>
    <w:next w:val="Tablaconcuadrcula"/>
    <w:uiPriority w:val="59"/>
    <w:rsid w:val="00B874F4"/>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66477CF232ACD46B93353E93693837C" ma:contentTypeVersion="22" ma:contentTypeDescription="Crear nuevo documento." ma:contentTypeScope="" ma:versionID="771b5d109343a25d4f006d1cf9f2dd89">
  <xsd:schema xmlns:xsd="http://www.w3.org/2001/XMLSchema" xmlns:xs="http://www.w3.org/2001/XMLSchema" xmlns:p="http://schemas.microsoft.com/office/2006/metadata/properties" xmlns:ns2="315842a7-4cff-4ca6-8fb0-a6562d7ae952" xmlns:ns3="fc66ef79-2d66-4fa3-90bd-e4f186d8d369" targetNamespace="http://schemas.microsoft.com/office/2006/metadata/properties" ma:root="true" ma:fieldsID="92001fb5b952c810e9fd9ed66f8f92f8" ns2:_="" ns3:_="">
    <xsd:import namespace="315842a7-4cff-4ca6-8fb0-a6562d7ae952"/>
    <xsd:import namespace="fc66ef79-2d66-4fa3-90bd-e4f186d8d369"/>
    <xsd:element name="properties">
      <xsd:complexType>
        <xsd:sequence>
          <xsd:element name="documentManagement">
            <xsd:complexType>
              <xsd:all>
                <xsd:element ref="ns2:Estado" minOccurs="0"/>
                <xsd:element ref="ns2:Derogado_x0020_por_x003a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842a7-4cff-4ca6-8fb0-a6562d7ae952" elementFormDefault="qualified">
    <xsd:import namespace="http://schemas.microsoft.com/office/2006/documentManagement/types"/>
    <xsd:import namespace="http://schemas.microsoft.com/office/infopath/2007/PartnerControls"/>
    <xsd:element name="Estado" ma:index="8" nillable="true" ma:displayName="Estado" ma:default="Consulta" ma:format="Dropdown" ma:internalName="Estado">
      <xsd:simpleType>
        <xsd:restriction base="dms:Choice">
          <xsd:enumeration value="Consulta"/>
          <xsd:enumeration value="Derogado"/>
          <xsd:enumeration value="Vigente"/>
        </xsd:restriction>
      </xsd:simpleType>
    </xsd:element>
    <xsd:element name="Derogado_x0020_por_x003a_" ma:index="9" nillable="true" ma:displayName="Derogado por:" ma:internalName="Derogado_x0020_por_x003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6ef79-2d66-4fa3-90bd-e4f186d8d369" elementFormDefault="qualified">
    <xsd:import namespace="http://schemas.microsoft.com/office/2006/documentManagement/types"/>
    <xsd:import namespace="http://schemas.microsoft.com/office/infopath/2007/PartnerControls"/>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Nombre Acuerd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stado xmlns="315842a7-4cff-4ca6-8fb0-a6562d7ae952">Consulta</Estado>
    <Derogado_x0020_por_x003a_ xmlns="315842a7-4cff-4ca6-8fb0-a6562d7ae952" xsi:nil="true"/>
  </documentManagement>
</p:properties>
</file>

<file path=customXml/itemProps1.xml><?xml version="1.0" encoding="utf-8"?>
<ds:datastoreItem xmlns:ds="http://schemas.openxmlformats.org/officeDocument/2006/customXml" ds:itemID="{FCDC382C-D9E7-4D29-A0BA-37DAFC44001F}">
  <ds:schemaRefs>
    <ds:schemaRef ds:uri="http://schemas.microsoft.com/sharepoint/v3/contenttype/forms"/>
  </ds:schemaRefs>
</ds:datastoreItem>
</file>

<file path=customXml/itemProps2.xml><?xml version="1.0" encoding="utf-8"?>
<ds:datastoreItem xmlns:ds="http://schemas.openxmlformats.org/officeDocument/2006/customXml" ds:itemID="{BB363303-9111-40BF-958C-CD1698C0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842a7-4cff-4ca6-8fb0-a6562d7ae952"/>
    <ds:schemaRef ds:uri="fc66ef79-2d66-4fa3-90bd-e4f186d8d3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18E16F-3AC3-4F3C-9AE0-0A742C3A043D}">
  <ds:schemaRefs>
    <ds:schemaRef ds:uri="http://schemas.openxmlformats.org/officeDocument/2006/bibliography"/>
  </ds:schemaRefs>
</ds:datastoreItem>
</file>

<file path=customXml/itemProps4.xml><?xml version="1.0" encoding="utf-8"?>
<ds:datastoreItem xmlns:ds="http://schemas.openxmlformats.org/officeDocument/2006/customXml" ds:itemID="{41C07311-202B-4BEC-AFBE-1CC12C23150C}">
  <ds:schemaRefs>
    <ds:schemaRef ds:uri="http://schemas.microsoft.com/office/2006/metadata/properties"/>
    <ds:schemaRef ds:uri="http://schemas.microsoft.com/office/infopath/2007/PartnerControls"/>
    <ds:schemaRef ds:uri="315842a7-4cff-4ca6-8fb0-a6562d7ae95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641</Words>
  <Characters>3546</Characters>
  <Application>Microsoft Office Word</Application>
  <DocSecurity>0</DocSecurity>
  <Lines>101</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 SOLIS PATRICIA</dc:creator>
  <cp:keywords/>
  <dc:description/>
  <cp:lastModifiedBy>MORALES ROJAS ILIANA</cp:lastModifiedBy>
  <cp:revision>1</cp:revision>
  <dcterms:created xsi:type="dcterms:W3CDTF">2026-08-17T21:23:00Z</dcterms:created>
  <dcterms:modified xsi:type="dcterms:W3CDTF">2026-08-17T21:23:00Z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65048664,2c9722b5,469576e8</vt:lpwstr>
  </property>
  <property fmtid="{D5CDD505-2E9C-101B-9397-08002B2CF9AE}" pid="3" name="ClassificationContentMarkingFooterFontProps">
    <vt:lpwstr>#000000,10,Aptos</vt:lpwstr>
  </property>
  <property fmtid="{D5CDD505-2E9C-101B-9397-08002B2CF9AE}" pid="4" name="ClassificationContentMarkingFooterText">
    <vt:lpwstr>Uso Interno estricto</vt:lpwstr>
  </property>
  <property fmtid="{D5CDD505-2E9C-101B-9397-08002B2CF9AE}" pid="5" name="MSIP_Label_b8b4be34-365a-4a68-b9fb-75c1b6874315_Enabled">
    <vt:lpwstr>true</vt:lpwstr>
  </property>
  <property fmtid="{D5CDD505-2E9C-101B-9397-08002B2CF9AE}" pid="6" name="MSIP_Label_b8b4be34-365a-4a68-b9fb-75c1b6874315_SetDate">
    <vt:lpwstr>2026-03-11T02:11:46Z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aa2c3179-582d-40f5-b2a8-fbe97c1a3d3d</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0x010100C66477CF232ACD46B93353E93693837C</vt:lpwstr>
  </property>
</Properties>
</file>