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F2251" w:rsidRPr="00472965" w:rsidRDefault="004F2251" w:rsidP="00EB0DE8">
      <w:pPr>
        <w:jc w:val="center"/>
        <w:rPr>
          <w:rFonts w:ascii="Roboto" w:hAnsi="Roboto" w:cs="Arial"/>
          <w:b/>
        </w:rPr>
      </w:pPr>
    </w:p>
    <w:p w:rsidR="004F2251" w:rsidRPr="003117AF" w:rsidRDefault="00B3105A" w:rsidP="00EB0DE8">
      <w:pPr>
        <w:ind w:right="-193"/>
        <w:jc w:val="both"/>
        <w:rPr>
          <w:rFonts w:ascii="Roboto" w:hAnsi="Roboto" w:cs="Arial"/>
          <w:bCs/>
        </w:rPr>
      </w:pPr>
      <w:r w:rsidRPr="00EE3D46">
        <w:rPr>
          <w:rFonts w:ascii="Roboto" w:hAnsi="Roboto" w:cs="Arial"/>
          <w:b/>
        </w:rPr>
        <w:t>SGV-A-</w:t>
      </w:r>
      <w:sdt>
        <w:sdtPr>
          <w:rPr>
            <w:rFonts w:ascii="Roboto" w:hAnsi="Roboto" w:cs="Arial"/>
            <w:b/>
          </w:rPr>
          <w:alias w:val="Consecutivo Interno"/>
          <w:tag w:val="ConsecutivoInterno"/>
          <w:id w:val="1939632274"/>
          <w:placeholder>
            <w:docPart w:val="8D93414DE8A146359A81E2ADB0073115"/>
          </w:placeholder>
          <w:showingPlcHdr/>
          <w:text/>
        </w:sdtPr>
        <w:sdtContent>
          <w:r w:rsidRPr="00EE3D46">
            <w:rPr>
              <w:rStyle w:val="Textodelmarcadordeposicin"/>
              <w:rFonts w:ascii="Roboto" w:eastAsiaTheme="minorHAnsi" w:hAnsi="Roboto"/>
            </w:rPr>
            <w:t>[Consecutivo Interno]</w:t>
          </w:r>
        </w:sdtContent>
      </w:sdt>
      <w:r w:rsidRPr="00EE3D46">
        <w:rPr>
          <w:rFonts w:ascii="Roboto" w:hAnsi="Roboto" w:cs="Arial"/>
          <w:b/>
        </w:rPr>
        <w:t>-</w:t>
      </w:r>
      <w:sdt>
        <w:sdtPr>
          <w:rPr>
            <w:rFonts w:ascii="Roboto" w:hAnsi="Roboto" w:cs="Arial"/>
            <w:b/>
          </w:rPr>
          <w:alias w:val="Periodo"/>
          <w:tag w:val="Periodo"/>
          <w:id w:val="1738211727"/>
          <w:placeholder>
            <w:docPart w:val="C8A6597C799E47E789B68C8E0D38EA23"/>
          </w:placeholder>
          <w:showingPlcHdr/>
          <w:text/>
        </w:sdtPr>
        <w:sdtContent>
          <w:r w:rsidRPr="00EE3D46">
            <w:rPr>
              <w:rStyle w:val="Textodelmarcadordeposicin"/>
              <w:rFonts w:ascii="Roboto" w:eastAsiaTheme="minorHAnsi" w:hAnsi="Roboto"/>
            </w:rPr>
            <w:t>[Periodo]</w:t>
          </w:r>
        </w:sdtContent>
      </w:sdt>
      <w:r w:rsidR="004F2251" w:rsidRPr="00EE3D46">
        <w:rPr>
          <w:rFonts w:ascii="Roboto" w:hAnsi="Roboto" w:cs="Arial"/>
          <w:b/>
        </w:rPr>
        <w:t>.</w:t>
      </w:r>
      <w:r w:rsidR="00EE3D46">
        <w:rPr>
          <w:rFonts w:ascii="Arial" w:hAnsi="Arial" w:cs="Arial"/>
          <w:b/>
        </w:rPr>
        <w:t xml:space="preserve"> </w:t>
      </w:r>
      <w:r w:rsidR="007A5AFB" w:rsidRPr="007A5AFB">
        <w:rPr>
          <w:rFonts w:ascii="Roboto" w:hAnsi="Roboto" w:cs="Arial"/>
          <w:b/>
        </w:rPr>
        <w:t>Modificación a los Acuerdos “SGV-A-198 SGV, Acuerdo para la implantación del Reglamento de Custodia” y “Acuerdo SGV-A-134, Instrucciones para las entidades que presten el servicio de anotación en cuenta”, con el propósito de facilitar la convocatoria de asambleas virtuales</w:t>
      </w:r>
      <w:r w:rsidR="004F2251" w:rsidRPr="003117AF">
        <w:rPr>
          <w:rFonts w:ascii="Roboto" w:hAnsi="Roboto" w:cs="Arial"/>
          <w:b/>
        </w:rPr>
        <w:t xml:space="preserve">. </w:t>
      </w:r>
      <w:r w:rsidR="004F2251" w:rsidRPr="003117AF">
        <w:rPr>
          <w:rFonts w:ascii="Roboto" w:hAnsi="Roboto" w:cs="Arial"/>
          <w:bCs/>
        </w:rPr>
        <w:t>Superintendencia General de Valores. Despacho del Superintendente. A las xxxx horas y xxxx minutos del xxxx de xxx del xxxx.</w:t>
      </w:r>
    </w:p>
    <w:p w:rsidR="004F2251" w:rsidRPr="004B7B1B" w:rsidRDefault="004F2251" w:rsidP="00EB0DE8">
      <w:pPr>
        <w:ind w:right="-193"/>
        <w:jc w:val="both"/>
        <w:rPr>
          <w:rFonts w:ascii="Roboto" w:hAnsi="Roboto" w:cs="Arial"/>
          <w:b/>
          <w:bCs/>
          <w:iCs/>
          <w:noProof/>
          <w:szCs w:val="22"/>
        </w:rPr>
      </w:pPr>
    </w:p>
    <w:p w:rsidR="004B7B1B" w:rsidRPr="004B7B1B" w:rsidRDefault="004B7B1B" w:rsidP="004B7B1B">
      <w:pPr>
        <w:rPr>
          <w:rFonts w:ascii="Roboto" w:hAnsi="Roboto"/>
          <w:b/>
          <w:bCs/>
          <w:szCs w:val="24"/>
          <w:lang w:val="es-CR"/>
        </w:rPr>
      </w:pPr>
      <w:r w:rsidRPr="004B7B1B">
        <w:rPr>
          <w:rFonts w:ascii="Roboto" w:hAnsi="Roboto"/>
          <w:b/>
          <w:bCs/>
          <w:szCs w:val="24"/>
          <w:lang w:val="es-CR"/>
        </w:rPr>
        <w:t>Consideraciones de orden legal y reglamentario</w:t>
      </w:r>
    </w:p>
    <w:p w:rsidR="004B7B1B" w:rsidRPr="004B7B1B" w:rsidRDefault="00117075" w:rsidP="004B7B1B">
      <w:pPr>
        <w:pStyle w:val="Prrafodelista"/>
        <w:numPr>
          <w:ilvl w:val="0"/>
          <w:numId w:val="13"/>
        </w:numPr>
        <w:spacing w:before="120"/>
        <w:ind w:hanging="720"/>
        <w:contextualSpacing w:val="0"/>
        <w:jc w:val="both"/>
        <w:rPr>
          <w:rFonts w:ascii="Roboto" w:hAnsi="Roboto"/>
          <w:sz w:val="24"/>
          <w:szCs w:val="24"/>
          <w:lang w:val="es-CR"/>
        </w:rPr>
      </w:pPr>
      <w:r w:rsidRPr="00117075">
        <w:rPr>
          <w:rFonts w:ascii="Roboto" w:hAnsi="Roboto"/>
          <w:sz w:val="24"/>
          <w:szCs w:val="24"/>
          <w:lang w:val="es-CR"/>
        </w:rPr>
        <w:t>El Reglamento de Custodia, Acuerdo SUGEVAL 17-15, aprobado por el Consejo Nacional de Supervisión del Sistema Financiero</w:t>
      </w:r>
      <w:r>
        <w:rPr>
          <w:rFonts w:ascii="Roboto" w:hAnsi="Roboto"/>
          <w:sz w:val="24"/>
          <w:szCs w:val="24"/>
          <w:lang w:val="es-CR"/>
        </w:rPr>
        <w:t xml:space="preserve"> </w:t>
      </w:r>
      <w:r w:rsidRPr="00117075">
        <w:rPr>
          <w:rFonts w:ascii="Roboto" w:hAnsi="Roboto"/>
          <w:sz w:val="24"/>
          <w:szCs w:val="24"/>
          <w:lang w:val="es-CR"/>
        </w:rPr>
        <w:t>y sus reformas</w:t>
      </w:r>
      <w:r>
        <w:rPr>
          <w:rFonts w:ascii="Roboto" w:hAnsi="Roboto"/>
          <w:sz w:val="24"/>
          <w:szCs w:val="24"/>
          <w:lang w:val="es-CR"/>
        </w:rPr>
        <w:t>,</w:t>
      </w:r>
      <w:r w:rsidRPr="00117075">
        <w:rPr>
          <w:rFonts w:ascii="Roboto" w:hAnsi="Roboto"/>
          <w:sz w:val="24"/>
          <w:szCs w:val="24"/>
          <w:lang w:val="es-CR"/>
        </w:rPr>
        <w:t xml:space="preserve"> establecen las disposiciones aplicables a la prestación de los servicios de custodia, al funcionamiento de las centrales de valores y a la administración del libro de accionistas, así como los aspectos cuya instrumentación corresponde desarrollar mediante acuerdo del Superintendente General de Valores</w:t>
      </w:r>
      <w:r w:rsidR="004B7B1B" w:rsidRPr="004B7B1B">
        <w:rPr>
          <w:rFonts w:ascii="Roboto" w:hAnsi="Roboto"/>
          <w:sz w:val="24"/>
          <w:szCs w:val="24"/>
          <w:lang w:val="es-CR"/>
        </w:rPr>
        <w:t>.</w:t>
      </w:r>
    </w:p>
    <w:p w:rsidR="00117075" w:rsidRPr="00117075" w:rsidRDefault="00117075" w:rsidP="004B7B1B">
      <w:pPr>
        <w:pStyle w:val="Prrafodelista"/>
        <w:numPr>
          <w:ilvl w:val="0"/>
          <w:numId w:val="13"/>
        </w:numPr>
        <w:spacing w:before="120"/>
        <w:ind w:hanging="720"/>
        <w:contextualSpacing w:val="0"/>
        <w:jc w:val="both"/>
        <w:rPr>
          <w:rFonts w:ascii="Roboto" w:hAnsi="Roboto"/>
          <w:sz w:val="24"/>
          <w:szCs w:val="24"/>
          <w:lang w:val="es-CR"/>
        </w:rPr>
      </w:pPr>
      <w:r w:rsidRPr="00117075">
        <w:rPr>
          <w:rFonts w:ascii="Roboto" w:hAnsi="Roboto"/>
          <w:sz w:val="24"/>
          <w:szCs w:val="24"/>
          <w:lang w:val="es-ES"/>
        </w:rPr>
        <w:t>El Acuerdo SGV-A-198, “Acuerdo para la implantación del Reglamento de Custodia”, desarrolla las disposiciones operativas previstas en dicho Reglamento, con el propósito de uniformar los procedimientos que deben observar las entidades comprendidas en su ámbito de aplicación</w:t>
      </w:r>
    </w:p>
    <w:p w:rsidR="004B7B1B" w:rsidRPr="004B7B1B" w:rsidRDefault="004B7B1B" w:rsidP="004B7B1B">
      <w:pPr>
        <w:pStyle w:val="Prrafodelista"/>
        <w:numPr>
          <w:ilvl w:val="0"/>
          <w:numId w:val="13"/>
        </w:numPr>
        <w:spacing w:before="120"/>
        <w:ind w:hanging="720"/>
        <w:contextualSpacing w:val="0"/>
        <w:jc w:val="both"/>
        <w:rPr>
          <w:rFonts w:ascii="Roboto" w:hAnsi="Roboto"/>
          <w:sz w:val="24"/>
          <w:szCs w:val="24"/>
          <w:lang w:val="es-CR"/>
        </w:rPr>
      </w:pPr>
      <w:r w:rsidRPr="004B7B1B">
        <w:rPr>
          <w:rFonts w:ascii="Roboto" w:hAnsi="Roboto"/>
          <w:sz w:val="24"/>
          <w:szCs w:val="24"/>
          <w:lang w:val="es-CR"/>
        </w:rPr>
        <w:t>Mediante el Reglamento sobre el Sistema de Anotación en Cuenta, Acuerdo SUGEVAL 6-06, aprobado por el Consejo Nacional de Supervisión del Sistema Financiero y sus reformas, se regula la organización y funcionamiento del Sistema Nacional de Registro de Anotaciones en Cuenta, así como las responsabilidades de las entidades miembros encargadas de la administración de los registros de valores representados mediante anotación electrónica en cuenta.</w:t>
      </w:r>
    </w:p>
    <w:p w:rsidR="004B7B1B" w:rsidRPr="004B7B1B" w:rsidRDefault="004B7B1B" w:rsidP="004B7B1B">
      <w:pPr>
        <w:pStyle w:val="Prrafodelista"/>
        <w:numPr>
          <w:ilvl w:val="0"/>
          <w:numId w:val="13"/>
        </w:numPr>
        <w:spacing w:before="120"/>
        <w:ind w:hanging="720"/>
        <w:contextualSpacing w:val="0"/>
        <w:jc w:val="both"/>
        <w:rPr>
          <w:rFonts w:ascii="Roboto" w:hAnsi="Roboto"/>
          <w:sz w:val="24"/>
          <w:szCs w:val="24"/>
          <w:lang w:val="es-CR"/>
        </w:rPr>
      </w:pPr>
      <w:r w:rsidRPr="004B7B1B">
        <w:rPr>
          <w:rFonts w:ascii="Roboto" w:hAnsi="Roboto"/>
          <w:sz w:val="24"/>
          <w:szCs w:val="24"/>
          <w:lang w:val="es-CR"/>
        </w:rPr>
        <w:t>El Acuerdo SGV-A-134, “Instrucciones para las entidades que presten el servicio de anotación en cuenta”, desarrolla las disposiciones operativas previstas en el Reglamento sobre el Sistema de Anotación en Cuenta y establece disposiciones relacionadas con la confidencialidad de la información administrada por las entidades miembros del Sistema Nacional de Registro de Anotaciones en Cuenta.</w:t>
      </w:r>
    </w:p>
    <w:p w:rsidR="004B7B1B" w:rsidRPr="004B7B1B" w:rsidRDefault="004B7B1B" w:rsidP="004B7B1B">
      <w:pPr>
        <w:pStyle w:val="Prrafodelista"/>
        <w:numPr>
          <w:ilvl w:val="0"/>
          <w:numId w:val="13"/>
        </w:numPr>
        <w:spacing w:before="120"/>
        <w:ind w:hanging="720"/>
        <w:contextualSpacing w:val="0"/>
        <w:jc w:val="both"/>
        <w:rPr>
          <w:rFonts w:ascii="Roboto" w:hAnsi="Roboto"/>
          <w:sz w:val="24"/>
          <w:szCs w:val="24"/>
          <w:lang w:val="es-CR"/>
        </w:rPr>
      </w:pPr>
      <w:r w:rsidRPr="004B7B1B">
        <w:rPr>
          <w:rFonts w:ascii="Roboto" w:hAnsi="Roboto"/>
          <w:sz w:val="24"/>
          <w:szCs w:val="24"/>
          <w:lang w:val="es-CR"/>
        </w:rPr>
        <w:t>El Código de Comercio reconoce el derecho de los accionistas a participar en las asambleas y regula el registro de accionistas como instrumento para el ejercicio de los derechos derivados de la condición de socio.</w:t>
      </w:r>
    </w:p>
    <w:p w:rsidR="004B7B1B" w:rsidRPr="004B7B1B" w:rsidRDefault="004B7B1B" w:rsidP="004B7B1B">
      <w:pPr>
        <w:pStyle w:val="Prrafodelista"/>
        <w:numPr>
          <w:ilvl w:val="0"/>
          <w:numId w:val="13"/>
        </w:numPr>
        <w:spacing w:before="120"/>
        <w:ind w:hanging="720"/>
        <w:contextualSpacing w:val="0"/>
        <w:jc w:val="both"/>
        <w:rPr>
          <w:rFonts w:ascii="Roboto" w:hAnsi="Roboto"/>
          <w:sz w:val="24"/>
          <w:szCs w:val="24"/>
          <w:lang w:val="es-CR"/>
        </w:rPr>
      </w:pPr>
      <w:r w:rsidRPr="004B7B1B">
        <w:rPr>
          <w:rFonts w:ascii="Roboto" w:hAnsi="Roboto"/>
          <w:sz w:val="24"/>
          <w:szCs w:val="24"/>
          <w:lang w:val="es-CR"/>
        </w:rPr>
        <w:t xml:space="preserve">La </w:t>
      </w:r>
      <w:r w:rsidR="00024873" w:rsidRPr="00024873">
        <w:rPr>
          <w:rFonts w:ascii="Roboto" w:hAnsi="Roboto"/>
          <w:sz w:val="24"/>
          <w:szCs w:val="24"/>
          <w:lang w:val="es-CR"/>
        </w:rPr>
        <w:t>Ley de Protección de la Persona frente al Tratamiento de sus Datos Personales, Ley 8968, y el Decreto Ejecutivo N.° 37554-JP, Reglamento a la Ley de Protección de la Persona frente al Tratamiento de sus Datos Personales, permiten la comunicación de datos personales cuando exista consentimiento informado del titular y se respete el principio de finalidad, así como las demás garantías previstas en dicha normativa</w:t>
      </w:r>
      <w:r w:rsidRPr="004B7B1B">
        <w:rPr>
          <w:rFonts w:ascii="Roboto" w:hAnsi="Roboto"/>
          <w:sz w:val="24"/>
          <w:szCs w:val="24"/>
          <w:lang w:val="es-CR"/>
        </w:rPr>
        <w:t>.</w:t>
      </w:r>
    </w:p>
    <w:p w:rsidR="004B7B1B" w:rsidRPr="004B7B1B" w:rsidRDefault="004B7B1B" w:rsidP="004B7B1B">
      <w:pPr>
        <w:pStyle w:val="Prrafodelista"/>
        <w:numPr>
          <w:ilvl w:val="0"/>
          <w:numId w:val="13"/>
        </w:numPr>
        <w:spacing w:before="120"/>
        <w:ind w:hanging="720"/>
        <w:contextualSpacing w:val="0"/>
        <w:jc w:val="both"/>
        <w:rPr>
          <w:rFonts w:ascii="Roboto" w:hAnsi="Roboto"/>
          <w:sz w:val="24"/>
          <w:szCs w:val="24"/>
          <w:lang w:val="es-CR"/>
        </w:rPr>
      </w:pPr>
      <w:r w:rsidRPr="004B7B1B">
        <w:rPr>
          <w:rFonts w:ascii="Roboto" w:hAnsi="Roboto"/>
          <w:sz w:val="24"/>
          <w:szCs w:val="24"/>
          <w:lang w:val="es-CR"/>
        </w:rPr>
        <w:t>De conformidad con el artículo 8 de la Ley Reguladora del Mercado de Valores, Ley 7732, corresponde al Superintendente General de Valores adoptar las acciones necesarias para el cumplimiento efectivo de las funciones de regulación, supervisión y fiscalización atribuidas a la Superintendencia General de Valores.</w:t>
      </w:r>
    </w:p>
    <w:p w:rsidR="004B7B1B" w:rsidRDefault="004B7B1B" w:rsidP="004B7B1B">
      <w:pPr>
        <w:ind w:hanging="720"/>
        <w:jc w:val="both"/>
        <w:rPr>
          <w:rFonts w:ascii="Roboto" w:hAnsi="Roboto"/>
          <w:b/>
          <w:bCs/>
          <w:szCs w:val="24"/>
          <w:lang w:val="es-CR"/>
        </w:rPr>
      </w:pPr>
      <w:r w:rsidRPr="004B7B1B">
        <w:rPr>
          <w:rFonts w:ascii="Roboto" w:hAnsi="Roboto"/>
          <w:b/>
          <w:bCs/>
          <w:szCs w:val="24"/>
          <w:lang w:val="es-CR"/>
        </w:rPr>
        <w:t>Consideraciones técnicas y operativas</w:t>
      </w:r>
    </w:p>
    <w:p w:rsidR="00921A8E" w:rsidRPr="004B7B1B" w:rsidRDefault="00921A8E" w:rsidP="004B7B1B">
      <w:pPr>
        <w:ind w:hanging="720"/>
        <w:jc w:val="both"/>
        <w:rPr>
          <w:rFonts w:ascii="Roboto" w:hAnsi="Roboto"/>
          <w:b/>
          <w:bCs/>
          <w:szCs w:val="24"/>
          <w:lang w:val="es-CR"/>
        </w:rPr>
      </w:pP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El desarrollo y la utilización generalizada de las tecnologías de la información y la comunicación permiten a los emisores establecer mecanismos más eficientes de comunicación con sus accionistas, facilitan la convocatoria a las asambleas, la remisión de la documentación correspondiente y, en general, las comunicaciones necesarias para el ejercicio de los derechos societarios.</w:t>
      </w: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El suministro de la dirección de correo electrónico del accionista al emisor constituye una medida operativa que favorece la comunicación directa con los accionistas y facilita el ejercicio oportuno de los derechos derivados de su condición de socio, tales como la participación en asambleas y el acceso a la información correspondiente.</w:t>
      </w: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El administrador del libro de accionistas dispone de la información necesaria para la adecuada identificación y localización de los accionistas, por lo que resulta conveniente establecer las condiciones bajo las cuales podrá comunicar al emisor la dirección de correo electrónico de estos, respetando las disposiciones aplicables en materia de protección de datos personales.</w:t>
      </w: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 xml:space="preserve"> Resulta necesario establecer las condiciones que regulen la comunicación de la dirección de correo electrónico del accionista al emisor, a fin de brindar seguridad jurídica a las entidades involucradas, </w:t>
      </w:r>
      <w:r w:rsidR="00117075">
        <w:rPr>
          <w:rFonts w:ascii="Roboto" w:hAnsi="Roboto"/>
          <w:sz w:val="24"/>
          <w:szCs w:val="24"/>
          <w:lang w:val="es-CR"/>
        </w:rPr>
        <w:t>procurar</w:t>
      </w:r>
      <w:r w:rsidRPr="004B7B1B">
        <w:rPr>
          <w:rFonts w:ascii="Roboto" w:hAnsi="Roboto"/>
          <w:sz w:val="24"/>
          <w:szCs w:val="24"/>
          <w:lang w:val="es-CR"/>
        </w:rPr>
        <w:t xml:space="preserve"> la existencia del consentimiento informado del titular y garantizar que el tratamiento de la información se limite a las finalidades que justifican su suministro.</w:t>
      </w: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La implementación de este mecanismo requiere que las entidades de custodia, las centrales de valores y los emisores cuenten con reglas claras sobre la obtención, actualización, comunicación y utilización de las autorizaciones otorgadas por los titulares para el suministro de su dirección de correo electrónico.</w:t>
      </w:r>
    </w:p>
    <w:p w:rsidR="004B7B1B" w:rsidRPr="004B7B1B" w:rsidRDefault="004B7B1B" w:rsidP="004B7B1B">
      <w:pPr>
        <w:pStyle w:val="Prrafodelista"/>
        <w:numPr>
          <w:ilvl w:val="0"/>
          <w:numId w:val="13"/>
        </w:numPr>
        <w:ind w:hanging="720"/>
        <w:contextualSpacing w:val="0"/>
        <w:jc w:val="both"/>
        <w:rPr>
          <w:rFonts w:ascii="Roboto" w:hAnsi="Roboto"/>
          <w:sz w:val="24"/>
          <w:szCs w:val="24"/>
          <w:lang w:val="es-CR"/>
        </w:rPr>
      </w:pPr>
      <w:r w:rsidRPr="004B7B1B">
        <w:rPr>
          <w:rFonts w:ascii="Roboto" w:hAnsi="Roboto"/>
          <w:sz w:val="24"/>
          <w:szCs w:val="24"/>
          <w:lang w:val="es-CR"/>
        </w:rPr>
        <w:t>La presente reforma introduce un mecanismo operativo para facilitar la comunicación entre los emisores y sus accionistas, contribuye al ejercicio oportuno de los derechos políticos asociados a las acciones y fortalece la eficiencia operativa del mercado de valores, sin modificar la naturaleza jurídica del registro de accionistas ni las obligaciones sustantivas establecidas en la legislación vigente.</w:t>
      </w:r>
    </w:p>
    <w:p w:rsidR="004B7B1B" w:rsidRDefault="004B7B1B" w:rsidP="004B7B1B">
      <w:pPr>
        <w:rPr>
          <w:rFonts w:ascii="Roboto" w:hAnsi="Roboto"/>
          <w:b/>
          <w:bCs/>
          <w:szCs w:val="24"/>
          <w:lang w:val="es-CR"/>
        </w:rPr>
      </w:pPr>
      <w:r w:rsidRPr="004B7B1B">
        <w:rPr>
          <w:rFonts w:ascii="Roboto" w:hAnsi="Roboto"/>
          <w:b/>
          <w:bCs/>
          <w:szCs w:val="24"/>
          <w:lang w:val="es-CR"/>
        </w:rPr>
        <w:t>Dispone:</w:t>
      </w:r>
    </w:p>
    <w:p w:rsidR="007A5AFB" w:rsidRPr="004B7B1B" w:rsidRDefault="007A5AFB" w:rsidP="004B7B1B">
      <w:pPr>
        <w:rPr>
          <w:rFonts w:ascii="Roboto" w:hAnsi="Roboto"/>
          <w:b/>
          <w:bCs/>
          <w:szCs w:val="24"/>
          <w:lang w:val="es-CR"/>
        </w:rPr>
      </w:pPr>
    </w:p>
    <w:p w:rsidR="004B7B1B" w:rsidRPr="004B7B1B" w:rsidRDefault="004B7B1B" w:rsidP="004B7B1B">
      <w:pPr>
        <w:pStyle w:val="Prrafodelista"/>
        <w:numPr>
          <w:ilvl w:val="0"/>
          <w:numId w:val="14"/>
        </w:numPr>
        <w:rPr>
          <w:rFonts w:ascii="Roboto" w:hAnsi="Roboto"/>
          <w:b/>
          <w:bCs/>
          <w:sz w:val="24"/>
          <w:szCs w:val="24"/>
          <w:lang w:val="es-CR"/>
        </w:rPr>
      </w:pPr>
      <w:r w:rsidRPr="004B7B1B">
        <w:rPr>
          <w:rFonts w:ascii="Roboto" w:hAnsi="Roboto"/>
          <w:b/>
          <w:bCs/>
          <w:sz w:val="24"/>
          <w:szCs w:val="24"/>
          <w:lang w:val="es-CR"/>
        </w:rPr>
        <w:t>En lo pertinente al Acuerdo SGV-A-198, Acuerdo para la implantación del Reglamento de Custodia:</w:t>
      </w:r>
    </w:p>
    <w:p w:rsidR="004B7B1B" w:rsidRPr="004B7B1B" w:rsidRDefault="004B7B1B" w:rsidP="004B7B1B">
      <w:pPr>
        <w:pStyle w:val="Prrafodelista"/>
        <w:rPr>
          <w:rFonts w:ascii="Roboto" w:hAnsi="Roboto"/>
          <w:b/>
          <w:bCs/>
          <w:sz w:val="24"/>
          <w:szCs w:val="24"/>
          <w:lang w:val="es-CR"/>
        </w:rPr>
      </w:pPr>
    </w:p>
    <w:p w:rsidR="004B7B1B" w:rsidRPr="004B7B1B" w:rsidRDefault="004B7B1B" w:rsidP="004B7B1B">
      <w:pPr>
        <w:pStyle w:val="Prrafodelista"/>
        <w:numPr>
          <w:ilvl w:val="0"/>
          <w:numId w:val="15"/>
        </w:numPr>
        <w:jc w:val="both"/>
        <w:rPr>
          <w:rFonts w:ascii="Roboto" w:hAnsi="Roboto"/>
          <w:b/>
          <w:bCs/>
          <w:sz w:val="24"/>
          <w:szCs w:val="24"/>
          <w:lang w:val="es-CR"/>
        </w:rPr>
      </w:pPr>
      <w:r w:rsidRPr="004B7B1B">
        <w:rPr>
          <w:rFonts w:ascii="Roboto" w:hAnsi="Roboto"/>
          <w:b/>
          <w:bCs/>
          <w:sz w:val="24"/>
          <w:szCs w:val="24"/>
          <w:lang w:val="es-CR"/>
        </w:rPr>
        <w:t>Modificar el Artículo 9.  Identificación de titulares, para que en adelante se lea así:</w:t>
      </w:r>
    </w:p>
    <w:p w:rsidR="004B7B1B" w:rsidRPr="002C7379" w:rsidRDefault="004B7B1B" w:rsidP="004B7B1B">
      <w:pPr>
        <w:ind w:left="708"/>
        <w:jc w:val="both"/>
        <w:rPr>
          <w:rFonts w:ascii="Roboto" w:hAnsi="Roboto"/>
          <w:b/>
          <w:bCs/>
          <w:i/>
          <w:iCs/>
          <w:szCs w:val="24"/>
          <w:lang w:val="es-CR"/>
        </w:rPr>
      </w:pPr>
      <w:r w:rsidRPr="004B7B1B">
        <w:rPr>
          <w:rFonts w:ascii="Roboto" w:hAnsi="Roboto"/>
          <w:b/>
          <w:bCs/>
          <w:szCs w:val="24"/>
          <w:lang w:val="es-CR"/>
        </w:rPr>
        <w:t>“</w:t>
      </w:r>
      <w:r w:rsidRPr="004B7B1B">
        <w:rPr>
          <w:rFonts w:ascii="Roboto" w:hAnsi="Roboto"/>
          <w:b/>
          <w:bCs/>
          <w:i/>
          <w:iCs/>
          <w:szCs w:val="24"/>
          <w:lang w:val="es-CR"/>
        </w:rPr>
        <w:t xml:space="preserve">Artículo 9. Identificación de los </w:t>
      </w:r>
      <w:r w:rsidRPr="002C7379">
        <w:rPr>
          <w:rFonts w:ascii="Roboto" w:hAnsi="Roboto"/>
          <w:b/>
          <w:bCs/>
          <w:i/>
          <w:iCs/>
          <w:szCs w:val="24"/>
          <w:lang w:val="es-CR"/>
        </w:rPr>
        <w:t>titulares y consentimiento para el suministro de información de contacto</w:t>
      </w:r>
    </w:p>
    <w:p w:rsidR="00630DCC" w:rsidRPr="004B7B1B" w:rsidRDefault="00630DCC" w:rsidP="004B7B1B">
      <w:pPr>
        <w:ind w:left="708"/>
        <w:jc w:val="both"/>
        <w:rPr>
          <w:rFonts w:ascii="Roboto" w:hAnsi="Roboto"/>
          <w:b/>
          <w:bCs/>
          <w:i/>
          <w:iCs/>
          <w:szCs w:val="24"/>
          <w:lang w:val="es-CR"/>
        </w:rPr>
      </w:pPr>
    </w:p>
    <w:p w:rsidR="004B7B1B" w:rsidRDefault="004B7B1B" w:rsidP="004B7B1B">
      <w:pPr>
        <w:ind w:left="708"/>
        <w:jc w:val="both"/>
        <w:rPr>
          <w:rFonts w:ascii="Roboto" w:hAnsi="Roboto"/>
          <w:i/>
          <w:iCs/>
          <w:szCs w:val="24"/>
          <w:lang w:val="es-CR"/>
        </w:rPr>
      </w:pPr>
      <w:r w:rsidRPr="004B7B1B">
        <w:rPr>
          <w:rFonts w:ascii="Roboto" w:hAnsi="Roboto"/>
          <w:i/>
          <w:iCs/>
          <w:szCs w:val="24"/>
          <w:lang w:val="es-CR"/>
        </w:rPr>
        <w:t>Para efectos de lo dispuesto en el Reglamento, respecto de la identificación de los titulares y la comunicación de información al emisor, se establecen los siguientes requerimientos:</w:t>
      </w:r>
    </w:p>
    <w:p w:rsidR="00630DCC" w:rsidRPr="004B7B1B" w:rsidRDefault="00630DCC" w:rsidP="004B7B1B">
      <w:pPr>
        <w:ind w:left="708"/>
        <w:jc w:val="both"/>
        <w:rPr>
          <w:rFonts w:ascii="Roboto" w:hAnsi="Roboto"/>
          <w:i/>
          <w:iCs/>
          <w:szCs w:val="24"/>
          <w:lang w:val="es-CR"/>
        </w:rPr>
      </w:pPr>
    </w:p>
    <w:p w:rsidR="004B7B1B" w:rsidRDefault="004B7B1B" w:rsidP="004B7B1B">
      <w:pPr>
        <w:ind w:left="708"/>
        <w:jc w:val="both"/>
        <w:rPr>
          <w:rFonts w:ascii="Roboto" w:hAnsi="Roboto"/>
          <w:i/>
          <w:iCs/>
          <w:szCs w:val="24"/>
          <w:lang w:val="es-CR"/>
        </w:rPr>
      </w:pPr>
      <w:r w:rsidRPr="004B7B1B">
        <w:rPr>
          <w:rFonts w:ascii="Roboto" w:hAnsi="Roboto"/>
          <w:i/>
          <w:iCs/>
          <w:szCs w:val="24"/>
          <w:lang w:val="es-CR"/>
        </w:rPr>
        <w:t>1. La entidad de custodia debe identificar las cuentas de los titulares de los valores bajo custodia, tanto en sus registros internos como en los de las entidades de primer nivel del Sistema Nacional de Registro de Anotaciones en Cuenta, conforme a lo dispuesto en el SGV-A-223 "Acuerdo para la identificación de los clientes titulares de las cuentas de valores en el Sistema Nacional de Registro de Anotaciones en Cuenta y la administración de cuentas de valores</w:t>
      </w:r>
      <w:r w:rsidR="006630A5">
        <w:rPr>
          <w:rFonts w:ascii="Roboto" w:hAnsi="Roboto"/>
          <w:i/>
          <w:iCs/>
          <w:szCs w:val="24"/>
          <w:lang w:val="es-CR"/>
        </w:rPr>
        <w:t>”</w:t>
      </w:r>
      <w:r w:rsidRPr="004B7B1B">
        <w:rPr>
          <w:rFonts w:ascii="Roboto" w:hAnsi="Roboto"/>
          <w:i/>
          <w:iCs/>
          <w:szCs w:val="24"/>
          <w:lang w:val="es-CR"/>
        </w:rPr>
        <w:t>.</w:t>
      </w:r>
    </w:p>
    <w:p w:rsidR="002732CC" w:rsidRPr="004B7B1B" w:rsidRDefault="002732CC" w:rsidP="004B7B1B">
      <w:pPr>
        <w:ind w:left="708"/>
        <w:jc w:val="both"/>
        <w:rPr>
          <w:rFonts w:ascii="Roboto" w:hAnsi="Roboto"/>
          <w:i/>
          <w:iCs/>
          <w:szCs w:val="24"/>
          <w:lang w:val="es-CR"/>
        </w:rPr>
      </w:pPr>
    </w:p>
    <w:p w:rsidR="004B7B1B" w:rsidRDefault="004B7B1B" w:rsidP="004B7B1B">
      <w:pPr>
        <w:ind w:left="708"/>
        <w:jc w:val="both"/>
        <w:rPr>
          <w:rFonts w:ascii="Roboto" w:hAnsi="Roboto"/>
          <w:i/>
          <w:iCs/>
          <w:szCs w:val="24"/>
          <w:lang w:val="es-CR"/>
        </w:rPr>
      </w:pPr>
      <w:r w:rsidRPr="004B7B1B">
        <w:rPr>
          <w:rFonts w:ascii="Roboto" w:hAnsi="Roboto"/>
          <w:i/>
          <w:iCs/>
          <w:szCs w:val="24"/>
          <w:lang w:val="es-CR"/>
        </w:rPr>
        <w:t>2. La entidad de custodia debe mantener un único expediente de registro del titular de los valores, el cual debe cumplir con lo establecido en la Normativa para el cumplimiento de la Ley 8204.</w:t>
      </w:r>
    </w:p>
    <w:p w:rsidR="002732CC" w:rsidRPr="004B7B1B" w:rsidRDefault="002732CC" w:rsidP="004B7B1B">
      <w:pPr>
        <w:ind w:left="708"/>
        <w:jc w:val="both"/>
        <w:rPr>
          <w:rFonts w:ascii="Roboto" w:hAnsi="Roboto"/>
          <w:i/>
          <w:iCs/>
          <w:szCs w:val="24"/>
          <w:lang w:val="es-CR"/>
        </w:rPr>
      </w:pPr>
    </w:p>
    <w:p w:rsidR="004B7B1B" w:rsidRDefault="004B7B1B" w:rsidP="004B7B1B">
      <w:pPr>
        <w:ind w:left="708"/>
        <w:jc w:val="both"/>
        <w:rPr>
          <w:rFonts w:ascii="Roboto" w:hAnsi="Roboto"/>
          <w:i/>
          <w:iCs/>
          <w:szCs w:val="24"/>
          <w:lang w:val="es-CR"/>
        </w:rPr>
      </w:pPr>
      <w:r w:rsidRPr="004B7B1B">
        <w:rPr>
          <w:rFonts w:ascii="Roboto" w:hAnsi="Roboto"/>
          <w:i/>
          <w:iCs/>
          <w:szCs w:val="24"/>
          <w:lang w:val="es-CR"/>
        </w:rPr>
        <w:t>3. La entidad de custodia debe contar con un registro de firmas actualizado de los titulares, en el caso de personas físicas; del representante legal, en el caso de personas jurídicas; así como de los ordenantes y de las personas autorizadas para el retiro de cheques y otros documentos. Asimismo, debe conservar copia legible del documento de identificación de estas personas. Este registro puede mantenerse en documentos físicos o por medios electrónicos que cuenten con las medidas de seguridad correspondientes. Toda modificación debe registrar la fecha a partir de la cual entra en vigor</w:t>
      </w:r>
      <w:r w:rsidR="002732CC">
        <w:rPr>
          <w:rFonts w:ascii="Roboto" w:hAnsi="Roboto"/>
          <w:i/>
          <w:iCs/>
          <w:szCs w:val="24"/>
          <w:lang w:val="es-CR"/>
        </w:rPr>
        <w:t>.</w:t>
      </w:r>
    </w:p>
    <w:p w:rsidR="002732CC" w:rsidRPr="00BE0BCD" w:rsidRDefault="002732CC" w:rsidP="004B7B1B">
      <w:pPr>
        <w:ind w:left="708"/>
        <w:jc w:val="both"/>
        <w:rPr>
          <w:rFonts w:ascii="Roboto" w:hAnsi="Roboto"/>
          <w:i/>
          <w:iCs/>
          <w:color w:val="000000" w:themeColor="text1"/>
          <w:szCs w:val="24"/>
          <w:lang w:val="es-CR"/>
        </w:rPr>
      </w:pPr>
    </w:p>
    <w:p w:rsidR="004B7B1B" w:rsidRPr="00BE0BCD" w:rsidRDefault="004B7B1B" w:rsidP="004B7B1B">
      <w:pPr>
        <w:ind w:left="708"/>
        <w:jc w:val="both"/>
        <w:rPr>
          <w:rFonts w:ascii="Roboto" w:hAnsi="Roboto"/>
          <w:i/>
          <w:iCs/>
          <w:color w:val="000000" w:themeColor="text1"/>
          <w:szCs w:val="24"/>
          <w:lang w:val="es-CR"/>
        </w:rPr>
      </w:pPr>
      <w:r w:rsidRPr="00BE0BCD">
        <w:rPr>
          <w:rFonts w:ascii="Roboto" w:hAnsi="Roboto"/>
          <w:i/>
          <w:iCs/>
          <w:color w:val="000000" w:themeColor="text1"/>
          <w:szCs w:val="24"/>
          <w:lang w:val="es-CR"/>
        </w:rPr>
        <w:t>4. La entidad de custodia deberá solicitar al titular su consentimiento informado para que la dirección de correo electrónico registrada para efectos de comunicaciones pueda ser suministrada por la central de valores a los emisores de los valores de los cuales sea titular. Dicha información únicamente podrá utilizarse para la convocatoria a asambleas, el envío de documentación e información relacionada con estas y las demás comunicaciones necesarias para el ejercicio de los derechos inherentes a la condición de accionista o inversionista. La entidad de custodia deberá conservar evidencia de la gestión realizada y d</w:t>
      </w:r>
      <w:r w:rsidR="000C675D" w:rsidRPr="00BE0BCD">
        <w:rPr>
          <w:rFonts w:ascii="Roboto" w:hAnsi="Roboto"/>
          <w:i/>
          <w:iCs/>
          <w:color w:val="000000" w:themeColor="text1"/>
          <w:szCs w:val="24"/>
          <w:lang w:val="es-CR"/>
        </w:rPr>
        <w:t>e la</w:t>
      </w:r>
      <w:r w:rsidRPr="00BE0BCD">
        <w:rPr>
          <w:rFonts w:ascii="Roboto" w:hAnsi="Roboto"/>
          <w:i/>
          <w:iCs/>
          <w:color w:val="000000" w:themeColor="text1"/>
          <w:szCs w:val="24"/>
          <w:lang w:val="es-CR"/>
        </w:rPr>
        <w:t xml:space="preserve"> manifestación expresa de voluntad del titular respecto de dicha autorización cuando esta se otorgue.</w:t>
      </w:r>
    </w:p>
    <w:p w:rsidR="006630A5" w:rsidRPr="00BE0BCD" w:rsidRDefault="006630A5" w:rsidP="004B7B1B">
      <w:pPr>
        <w:ind w:left="708"/>
        <w:jc w:val="both"/>
        <w:rPr>
          <w:rFonts w:ascii="Roboto" w:hAnsi="Roboto"/>
          <w:i/>
          <w:iCs/>
          <w:color w:val="000000" w:themeColor="text1"/>
          <w:szCs w:val="24"/>
          <w:lang w:val="es-CR"/>
        </w:rPr>
      </w:pPr>
    </w:p>
    <w:p w:rsidR="004B7B1B" w:rsidRPr="00BE0BCD" w:rsidRDefault="004B7B1B" w:rsidP="004B7B1B">
      <w:pPr>
        <w:ind w:left="708"/>
        <w:jc w:val="both"/>
        <w:rPr>
          <w:rFonts w:ascii="Roboto" w:hAnsi="Roboto"/>
          <w:i/>
          <w:iCs/>
          <w:color w:val="000000" w:themeColor="text1"/>
          <w:szCs w:val="24"/>
          <w:lang w:val="es-CR"/>
        </w:rPr>
      </w:pPr>
      <w:r w:rsidRPr="00BE0BCD">
        <w:rPr>
          <w:rFonts w:ascii="Roboto" w:hAnsi="Roboto"/>
          <w:i/>
          <w:iCs/>
          <w:color w:val="000000" w:themeColor="text1"/>
          <w:szCs w:val="24"/>
          <w:lang w:val="es-CR"/>
        </w:rPr>
        <w:t>La entidad de custodia deberá informar a la central de valores la existencia, modificación o revocación de las autorizaciones otorgadas por los titulares para el suministro de sus direcciones de correo electrónico a los emisores, mediante los mecanismos que establezca la central de valores para tales efectos.”</w:t>
      </w:r>
    </w:p>
    <w:p w:rsidR="007A5AFB" w:rsidRPr="004B7B1B" w:rsidRDefault="007A5AFB" w:rsidP="004B7B1B">
      <w:pPr>
        <w:ind w:left="708"/>
        <w:jc w:val="both"/>
        <w:rPr>
          <w:rFonts w:ascii="Roboto" w:hAnsi="Roboto"/>
          <w:i/>
          <w:iCs/>
          <w:szCs w:val="24"/>
          <w:lang w:val="es-CR"/>
        </w:rPr>
      </w:pPr>
    </w:p>
    <w:p w:rsidR="004B7B1B" w:rsidRPr="004B7B1B" w:rsidRDefault="004B7B1B" w:rsidP="004B7B1B">
      <w:pPr>
        <w:pStyle w:val="Prrafodelista"/>
        <w:numPr>
          <w:ilvl w:val="0"/>
          <w:numId w:val="14"/>
        </w:numPr>
        <w:rPr>
          <w:rFonts w:ascii="Roboto" w:hAnsi="Roboto"/>
          <w:b/>
          <w:bCs/>
          <w:sz w:val="24"/>
          <w:szCs w:val="24"/>
          <w:lang w:val="es-CR"/>
        </w:rPr>
      </w:pPr>
      <w:r w:rsidRPr="004B7B1B">
        <w:rPr>
          <w:rFonts w:ascii="Roboto" w:hAnsi="Roboto"/>
          <w:b/>
          <w:bCs/>
          <w:sz w:val="24"/>
          <w:szCs w:val="24"/>
          <w:lang w:val="es-CR"/>
        </w:rPr>
        <w:t>En lo pertinente al Acuerdo SGV-A-134, Instrucciones para las entidades que presten el servicio de anotación en cuenta:</w:t>
      </w:r>
    </w:p>
    <w:p w:rsidR="004B7B1B" w:rsidRPr="004B7B1B" w:rsidRDefault="004B7B1B" w:rsidP="004B7B1B">
      <w:pPr>
        <w:pStyle w:val="Prrafodelista"/>
        <w:rPr>
          <w:rFonts w:ascii="Roboto" w:hAnsi="Roboto"/>
          <w:b/>
          <w:bCs/>
          <w:sz w:val="24"/>
          <w:szCs w:val="24"/>
          <w:lang w:val="es-CR"/>
        </w:rPr>
      </w:pPr>
    </w:p>
    <w:p w:rsidR="004B7B1B" w:rsidRPr="004B7B1B" w:rsidRDefault="004B7B1B" w:rsidP="004B7B1B">
      <w:pPr>
        <w:pStyle w:val="Prrafodelista"/>
        <w:numPr>
          <w:ilvl w:val="0"/>
          <w:numId w:val="16"/>
        </w:numPr>
        <w:jc w:val="both"/>
        <w:rPr>
          <w:rFonts w:ascii="Roboto" w:hAnsi="Roboto"/>
          <w:b/>
          <w:bCs/>
          <w:sz w:val="24"/>
          <w:szCs w:val="24"/>
          <w:lang w:val="es-CR"/>
        </w:rPr>
      </w:pPr>
      <w:r w:rsidRPr="004B7B1B">
        <w:rPr>
          <w:rFonts w:ascii="Roboto" w:hAnsi="Roboto"/>
          <w:b/>
          <w:bCs/>
          <w:sz w:val="24"/>
          <w:szCs w:val="24"/>
          <w:lang w:val="es-CR"/>
        </w:rPr>
        <w:t>Agregar un inciso f) en el Artículo 7.  Identificación de titulares, de conformidad con el siguiente texto:</w:t>
      </w:r>
    </w:p>
    <w:p w:rsidR="004B7B1B" w:rsidRPr="004B7B1B" w:rsidRDefault="004B7B1B" w:rsidP="004B7B1B">
      <w:pPr>
        <w:pStyle w:val="Prrafodelista"/>
        <w:rPr>
          <w:rFonts w:ascii="Roboto" w:hAnsi="Roboto"/>
          <w:b/>
          <w:bCs/>
          <w:sz w:val="24"/>
          <w:szCs w:val="24"/>
          <w:lang w:val="es-CR"/>
        </w:rPr>
      </w:pPr>
    </w:p>
    <w:p w:rsidR="004B7B1B" w:rsidRPr="004B7B1B" w:rsidRDefault="004B7B1B" w:rsidP="004B7B1B">
      <w:pPr>
        <w:pStyle w:val="Prrafodelista"/>
        <w:ind w:left="993" w:hanging="284"/>
        <w:jc w:val="both"/>
        <w:rPr>
          <w:rFonts w:ascii="Roboto" w:hAnsi="Roboto"/>
          <w:b/>
          <w:bCs/>
          <w:i/>
          <w:iCs/>
          <w:sz w:val="24"/>
          <w:szCs w:val="24"/>
          <w:lang w:val="es-MX"/>
        </w:rPr>
      </w:pPr>
      <w:r w:rsidRPr="004B7B1B">
        <w:rPr>
          <w:rFonts w:ascii="Roboto" w:hAnsi="Roboto"/>
          <w:i/>
          <w:iCs/>
          <w:sz w:val="24"/>
          <w:szCs w:val="24"/>
          <w:lang w:val="es-MX"/>
        </w:rPr>
        <w:t>“</w:t>
      </w:r>
      <w:r w:rsidRPr="004B7B1B">
        <w:rPr>
          <w:rFonts w:ascii="Roboto" w:hAnsi="Roboto"/>
          <w:b/>
          <w:bCs/>
          <w:i/>
          <w:iCs/>
          <w:sz w:val="24"/>
          <w:szCs w:val="24"/>
          <w:lang w:val="es-MX"/>
        </w:rPr>
        <w:t xml:space="preserve">Artículo 7.  </w:t>
      </w:r>
      <w:r w:rsidR="005674CB">
        <w:rPr>
          <w:rFonts w:ascii="Roboto" w:hAnsi="Roboto"/>
          <w:b/>
          <w:bCs/>
          <w:i/>
          <w:iCs/>
          <w:sz w:val="24"/>
          <w:szCs w:val="24"/>
          <w:lang w:val="es-MX"/>
        </w:rPr>
        <w:t>Confidencialidad</w:t>
      </w:r>
    </w:p>
    <w:p w:rsidR="00CB19C9" w:rsidRDefault="00CB19C9" w:rsidP="004B7B1B">
      <w:pPr>
        <w:pStyle w:val="Prrafodelista"/>
        <w:ind w:left="993" w:hanging="284"/>
        <w:jc w:val="both"/>
        <w:rPr>
          <w:rFonts w:ascii="Roboto" w:hAnsi="Roboto"/>
          <w:i/>
          <w:iCs/>
          <w:sz w:val="24"/>
          <w:szCs w:val="24"/>
          <w:lang w:val="es-MX"/>
        </w:rPr>
      </w:pPr>
    </w:p>
    <w:p w:rsidR="004B7B1B" w:rsidRDefault="004B7B1B" w:rsidP="004B7B1B">
      <w:pPr>
        <w:pStyle w:val="Prrafodelista"/>
        <w:ind w:left="993" w:hanging="284"/>
        <w:jc w:val="both"/>
        <w:rPr>
          <w:rFonts w:ascii="Roboto" w:hAnsi="Roboto"/>
          <w:i/>
          <w:iCs/>
          <w:sz w:val="24"/>
          <w:szCs w:val="24"/>
          <w:lang w:val="es-MX"/>
        </w:rPr>
      </w:pPr>
      <w:r w:rsidRPr="004B7B1B">
        <w:rPr>
          <w:rFonts w:ascii="Roboto" w:hAnsi="Roboto"/>
          <w:i/>
          <w:iCs/>
          <w:sz w:val="24"/>
          <w:szCs w:val="24"/>
          <w:lang w:val="es-MX"/>
        </w:rPr>
        <w:t>[…]</w:t>
      </w:r>
    </w:p>
    <w:p w:rsidR="00CB19C9" w:rsidRDefault="00CB19C9" w:rsidP="00CB19C9">
      <w:pPr>
        <w:pStyle w:val="Prrafodelista"/>
        <w:ind w:left="993"/>
        <w:jc w:val="both"/>
        <w:rPr>
          <w:rFonts w:ascii="Roboto" w:hAnsi="Roboto"/>
          <w:i/>
          <w:iCs/>
          <w:sz w:val="24"/>
          <w:szCs w:val="24"/>
          <w:lang w:val="es-MX"/>
        </w:rPr>
      </w:pPr>
      <w:r w:rsidRPr="00CB19C9">
        <w:rPr>
          <w:rFonts w:ascii="Roboto" w:hAnsi="Roboto"/>
          <w:i/>
          <w:iCs/>
          <w:sz w:val="24"/>
          <w:szCs w:val="24"/>
          <w:lang w:val="es-MX"/>
        </w:rPr>
        <w:t>Las entidades miembros del Sistema Nacional de Registro de Anotaciones en Cuenta podrán brindar información cuando exista solicitud expresa d</w:t>
      </w:r>
      <w:r w:rsidR="005674CB">
        <w:rPr>
          <w:rFonts w:ascii="Roboto" w:hAnsi="Roboto"/>
          <w:i/>
          <w:iCs/>
          <w:sz w:val="24"/>
          <w:szCs w:val="24"/>
          <w:lang w:val="es-MX"/>
        </w:rPr>
        <w:t>e</w:t>
      </w:r>
      <w:r>
        <w:rPr>
          <w:rFonts w:ascii="Roboto" w:hAnsi="Roboto"/>
          <w:i/>
          <w:iCs/>
          <w:sz w:val="24"/>
          <w:szCs w:val="24"/>
          <w:lang w:val="es-MX"/>
        </w:rPr>
        <w:t>:</w:t>
      </w:r>
    </w:p>
    <w:p w:rsidR="00CB19C9" w:rsidRDefault="00CB19C9" w:rsidP="00CB19C9">
      <w:pPr>
        <w:pStyle w:val="Prrafodelista"/>
        <w:ind w:left="993"/>
        <w:jc w:val="both"/>
        <w:rPr>
          <w:rFonts w:ascii="Roboto" w:hAnsi="Roboto"/>
          <w:i/>
          <w:iCs/>
          <w:sz w:val="24"/>
          <w:szCs w:val="24"/>
          <w:lang w:val="es-MX"/>
        </w:rPr>
      </w:pPr>
    </w:p>
    <w:p w:rsidR="00CB19C9" w:rsidRDefault="00CB19C9" w:rsidP="00CB19C9">
      <w:pPr>
        <w:pStyle w:val="Prrafodelista"/>
        <w:ind w:left="993" w:hanging="284"/>
        <w:jc w:val="both"/>
        <w:rPr>
          <w:rFonts w:ascii="Roboto" w:hAnsi="Roboto"/>
          <w:i/>
          <w:iCs/>
          <w:sz w:val="24"/>
          <w:szCs w:val="24"/>
          <w:lang w:val="es-MX"/>
        </w:rPr>
      </w:pPr>
      <w:r w:rsidRPr="004B7B1B">
        <w:rPr>
          <w:rFonts w:ascii="Roboto" w:hAnsi="Roboto"/>
          <w:i/>
          <w:iCs/>
          <w:sz w:val="24"/>
          <w:szCs w:val="24"/>
          <w:lang w:val="es-MX"/>
        </w:rPr>
        <w:t>[…]</w:t>
      </w:r>
    </w:p>
    <w:p w:rsidR="00CB19C9" w:rsidRPr="00CB19C9" w:rsidRDefault="00CB19C9" w:rsidP="00CB19C9">
      <w:pPr>
        <w:jc w:val="both"/>
        <w:rPr>
          <w:rFonts w:ascii="Roboto" w:hAnsi="Roboto"/>
          <w:i/>
          <w:iCs/>
          <w:szCs w:val="24"/>
          <w:lang w:val="es-MX"/>
        </w:rPr>
      </w:pPr>
    </w:p>
    <w:p w:rsidR="004B7B1B" w:rsidRPr="00BE0BCD" w:rsidRDefault="004B7B1B" w:rsidP="004B7B1B">
      <w:pPr>
        <w:pStyle w:val="Prrafodelista"/>
        <w:ind w:left="993" w:hanging="284"/>
        <w:jc w:val="both"/>
        <w:rPr>
          <w:rFonts w:ascii="Roboto" w:eastAsia="Times New Roman" w:hAnsi="Roboto" w:cs="Arial"/>
          <w:i/>
          <w:iCs/>
          <w:color w:val="000000" w:themeColor="text1"/>
          <w:sz w:val="24"/>
          <w:szCs w:val="20"/>
          <w:lang w:val="es-CR" w:eastAsia="es-ES"/>
        </w:rPr>
      </w:pPr>
      <w:r w:rsidRPr="00BE0BCD">
        <w:rPr>
          <w:rFonts w:ascii="Roboto" w:eastAsia="Times New Roman" w:hAnsi="Roboto" w:cs="Arial"/>
          <w:i/>
          <w:iCs/>
          <w:color w:val="000000" w:themeColor="text1"/>
          <w:sz w:val="24"/>
          <w:szCs w:val="20"/>
          <w:lang w:val="es-CR" w:eastAsia="es-ES"/>
        </w:rPr>
        <w:t>f)</w:t>
      </w:r>
      <w:r w:rsidRPr="00BE0BCD">
        <w:rPr>
          <w:rFonts w:ascii="Roboto" w:hAnsi="Roboto"/>
          <w:i/>
          <w:iCs/>
          <w:color w:val="000000" w:themeColor="text1"/>
          <w:sz w:val="24"/>
          <w:szCs w:val="24"/>
          <w:lang w:val="es-MX"/>
        </w:rPr>
        <w:t xml:space="preserve"> </w:t>
      </w:r>
      <w:r w:rsidR="000C0440" w:rsidRPr="00BE0BCD">
        <w:rPr>
          <w:rFonts w:ascii="Roboto" w:hAnsi="Roboto"/>
          <w:i/>
          <w:iCs/>
          <w:color w:val="000000" w:themeColor="text1"/>
          <w:sz w:val="24"/>
          <w:szCs w:val="24"/>
          <w:lang w:val="es-MX"/>
        </w:rPr>
        <w:t xml:space="preserve"> </w:t>
      </w:r>
      <w:r w:rsidRPr="00BE0BCD">
        <w:rPr>
          <w:rFonts w:ascii="Roboto" w:eastAsia="Times New Roman" w:hAnsi="Roboto" w:cs="Arial"/>
          <w:i/>
          <w:iCs/>
          <w:color w:val="000000" w:themeColor="text1"/>
          <w:sz w:val="24"/>
          <w:szCs w:val="20"/>
          <w:lang w:val="es-CR" w:eastAsia="es-ES"/>
        </w:rPr>
        <w:t xml:space="preserve">Los emisores de valores, únicamente para el suministro de la dirección de correo electrónico de los titulares de los valores emitidos por estos, cuando la entidad de custodia haya informado a la central de valores que cuenta con el consentimiento informado del titular obtenido de conformidad con la regulación </w:t>
      </w:r>
      <w:r w:rsidR="00C04049" w:rsidRPr="00BE0BCD">
        <w:rPr>
          <w:rFonts w:ascii="Roboto" w:eastAsia="Times New Roman" w:hAnsi="Roboto" w:cs="Arial"/>
          <w:i/>
          <w:iCs/>
          <w:color w:val="000000" w:themeColor="text1"/>
          <w:sz w:val="24"/>
          <w:szCs w:val="20"/>
          <w:lang w:val="es-CR" w:eastAsia="es-ES"/>
        </w:rPr>
        <w:t>vigente.</w:t>
      </w:r>
    </w:p>
    <w:p w:rsidR="004B7B1B" w:rsidRPr="00BE0BCD" w:rsidRDefault="004B7B1B" w:rsidP="004B7B1B">
      <w:pPr>
        <w:pStyle w:val="Prrafodelista"/>
        <w:ind w:left="993" w:hanging="284"/>
        <w:jc w:val="both"/>
        <w:rPr>
          <w:rFonts w:ascii="Roboto" w:eastAsia="Times New Roman" w:hAnsi="Roboto" w:cs="Arial"/>
          <w:i/>
          <w:iCs/>
          <w:color w:val="000000" w:themeColor="text1"/>
          <w:sz w:val="24"/>
          <w:szCs w:val="20"/>
          <w:lang w:val="es-CR" w:eastAsia="es-ES"/>
        </w:rPr>
      </w:pPr>
    </w:p>
    <w:p w:rsidR="004B7B1B" w:rsidRPr="00BE0BCD" w:rsidRDefault="004B7B1B" w:rsidP="004B7B1B">
      <w:pPr>
        <w:pStyle w:val="Prrafodelista"/>
        <w:ind w:left="993"/>
        <w:jc w:val="both"/>
        <w:rPr>
          <w:rFonts w:ascii="Roboto" w:eastAsia="Times New Roman" w:hAnsi="Roboto" w:cs="Arial"/>
          <w:i/>
          <w:iCs/>
          <w:color w:val="000000" w:themeColor="text1"/>
          <w:sz w:val="24"/>
          <w:szCs w:val="20"/>
          <w:lang w:val="es-CR" w:eastAsia="es-ES"/>
        </w:rPr>
      </w:pPr>
      <w:r w:rsidRPr="00BE0BCD">
        <w:rPr>
          <w:rFonts w:ascii="Roboto" w:eastAsia="Times New Roman" w:hAnsi="Roboto" w:cs="Arial"/>
          <w:i/>
          <w:iCs/>
          <w:color w:val="000000" w:themeColor="text1"/>
          <w:sz w:val="24"/>
          <w:szCs w:val="20"/>
          <w:lang w:val="es-CR" w:eastAsia="es-ES"/>
        </w:rPr>
        <w:t xml:space="preserve">La central de valores deberá contar con mecanismos que le permitan recibir, registrar y mantener actualizada la información relativa a la existencia, modificación o revocación de las autorizaciones otorgadas por los titulares para el suministro de sus direcciones de correo electrónico a los emisores. </w:t>
      </w:r>
    </w:p>
    <w:p w:rsidR="004B7B1B" w:rsidRPr="00BE0BCD" w:rsidRDefault="004B7B1B" w:rsidP="004B7B1B">
      <w:pPr>
        <w:pStyle w:val="Prrafodelista"/>
        <w:ind w:left="993"/>
        <w:jc w:val="both"/>
        <w:rPr>
          <w:rFonts w:ascii="Roboto" w:eastAsia="Times New Roman" w:hAnsi="Roboto" w:cs="Arial"/>
          <w:i/>
          <w:iCs/>
          <w:color w:val="000000" w:themeColor="text1"/>
          <w:sz w:val="24"/>
          <w:szCs w:val="20"/>
          <w:lang w:val="es-CR" w:eastAsia="es-ES"/>
        </w:rPr>
      </w:pPr>
    </w:p>
    <w:p w:rsidR="00236B60" w:rsidRPr="00BE0BCD" w:rsidRDefault="004B7B1B" w:rsidP="00236B60">
      <w:pPr>
        <w:pStyle w:val="Prrafodelista"/>
        <w:ind w:left="993"/>
        <w:jc w:val="both"/>
        <w:rPr>
          <w:rFonts w:ascii="Roboto" w:eastAsia="Times New Roman" w:hAnsi="Roboto" w:cs="Arial"/>
          <w:i/>
          <w:iCs/>
          <w:color w:val="000000" w:themeColor="text1"/>
          <w:sz w:val="24"/>
          <w:szCs w:val="20"/>
          <w:lang w:val="es-CR" w:eastAsia="es-ES"/>
        </w:rPr>
      </w:pPr>
      <w:r w:rsidRPr="00BE0BCD">
        <w:rPr>
          <w:rFonts w:ascii="Roboto" w:eastAsia="Times New Roman" w:hAnsi="Roboto" w:cs="Arial"/>
          <w:i/>
          <w:iCs/>
          <w:color w:val="000000" w:themeColor="text1"/>
          <w:sz w:val="24"/>
          <w:szCs w:val="20"/>
          <w:lang w:val="es-CR" w:eastAsia="es-ES"/>
        </w:rPr>
        <w:t>La dirección de correo electrónico únicamente podrá ser suministrada para la convocatoria a asambleas, el envío de documentación e información relacionada con estas y las demás comunicaciones necesarias para el ejercicio de los derechos inherentes a la condición de accionista o inversionista.”</w:t>
      </w:r>
    </w:p>
    <w:p w:rsidR="00236B60" w:rsidRPr="00236B60" w:rsidRDefault="00236B60" w:rsidP="00236B60">
      <w:pPr>
        <w:pStyle w:val="Prrafodelista"/>
        <w:ind w:left="993"/>
        <w:jc w:val="both"/>
        <w:rPr>
          <w:rFonts w:ascii="Roboto" w:eastAsia="Times New Roman" w:hAnsi="Roboto" w:cs="Arial"/>
          <w:i/>
          <w:iCs/>
          <w:color w:val="2E74B5" w:themeColor="accent1" w:themeShade="BF"/>
          <w:sz w:val="24"/>
          <w:szCs w:val="24"/>
          <w:u w:val="single"/>
          <w:lang w:val="es-CR" w:eastAsia="es-ES"/>
        </w:rPr>
      </w:pPr>
    </w:p>
    <w:p w:rsidR="00236B60" w:rsidRDefault="00236B60" w:rsidP="00236B60">
      <w:pPr>
        <w:pStyle w:val="Prrafodelista"/>
        <w:numPr>
          <w:ilvl w:val="0"/>
          <w:numId w:val="14"/>
        </w:numPr>
        <w:rPr>
          <w:rFonts w:ascii="Roboto" w:eastAsia="Times New Roman" w:hAnsi="Roboto" w:cs="Times New Roman"/>
          <w:b/>
          <w:bCs/>
          <w:sz w:val="24"/>
          <w:szCs w:val="24"/>
          <w:lang w:val="es-CR" w:eastAsia="es-ES"/>
        </w:rPr>
      </w:pPr>
      <w:r w:rsidRPr="00236B60">
        <w:rPr>
          <w:rFonts w:ascii="Roboto" w:eastAsia="Times New Roman" w:hAnsi="Roboto" w:cs="Times New Roman"/>
          <w:b/>
          <w:bCs/>
          <w:sz w:val="24"/>
          <w:szCs w:val="24"/>
          <w:lang w:val="es-CR" w:eastAsia="es-ES"/>
        </w:rPr>
        <w:t>En lo pertinente a la implementación de las disposiciones incorporadas mediante el presente Acuerdo:</w:t>
      </w:r>
    </w:p>
    <w:p w:rsidR="00BE0BCD" w:rsidRPr="00236B60" w:rsidRDefault="00BE0BCD" w:rsidP="00BE0BCD">
      <w:pPr>
        <w:pStyle w:val="Prrafodelista"/>
        <w:rPr>
          <w:rFonts w:ascii="Roboto" w:eastAsia="Times New Roman" w:hAnsi="Roboto" w:cs="Times New Roman"/>
          <w:b/>
          <w:bCs/>
          <w:sz w:val="24"/>
          <w:szCs w:val="24"/>
          <w:lang w:val="es-CR" w:eastAsia="es-ES"/>
        </w:rPr>
      </w:pPr>
    </w:p>
    <w:p w:rsidR="00236B60" w:rsidRPr="00236B60" w:rsidRDefault="00236B60" w:rsidP="00236B60">
      <w:pPr>
        <w:pStyle w:val="Prrafodelista"/>
        <w:rPr>
          <w:rFonts w:ascii="Roboto" w:eastAsia="Times New Roman" w:hAnsi="Roboto" w:cs="Times New Roman"/>
          <w:b/>
          <w:bCs/>
          <w:sz w:val="24"/>
          <w:szCs w:val="24"/>
          <w:lang w:val="es-CR" w:eastAsia="es-ES"/>
        </w:rPr>
      </w:pPr>
    </w:p>
    <w:p w:rsidR="00236B60" w:rsidRPr="00DF65A7" w:rsidRDefault="00236B60" w:rsidP="00236B60">
      <w:pPr>
        <w:pStyle w:val="Prrafodelista"/>
        <w:ind w:left="993"/>
        <w:jc w:val="both"/>
        <w:rPr>
          <w:rFonts w:ascii="Roboto" w:hAnsi="Roboto" w:cs="Arial"/>
          <w:i/>
          <w:iCs/>
          <w:color w:val="000000" w:themeColor="text1"/>
          <w:sz w:val="24"/>
          <w:szCs w:val="24"/>
          <w:lang w:val="es-CR"/>
        </w:rPr>
      </w:pPr>
      <w:r w:rsidRPr="00DF65A7">
        <w:rPr>
          <w:rFonts w:ascii="Roboto" w:hAnsi="Roboto" w:cs="Arial"/>
          <w:i/>
          <w:iCs/>
          <w:color w:val="000000" w:themeColor="text1"/>
          <w:sz w:val="24"/>
          <w:szCs w:val="24"/>
          <w:lang w:val="es-CR"/>
        </w:rPr>
        <w:t>"Transitorio Único</w:t>
      </w:r>
    </w:p>
    <w:p w:rsidR="00236B60" w:rsidRPr="00DF65A7" w:rsidRDefault="00236B60" w:rsidP="00236B60">
      <w:pPr>
        <w:pStyle w:val="Prrafodelista"/>
        <w:ind w:left="993"/>
        <w:jc w:val="both"/>
        <w:rPr>
          <w:rFonts w:ascii="Roboto" w:hAnsi="Roboto" w:cs="Arial"/>
          <w:i/>
          <w:iCs/>
          <w:color w:val="000000" w:themeColor="text1"/>
          <w:sz w:val="24"/>
          <w:szCs w:val="24"/>
          <w:lang w:val="es-CR"/>
        </w:rPr>
      </w:pPr>
    </w:p>
    <w:p w:rsidR="00C04049" w:rsidRPr="00C04049" w:rsidRDefault="00C04049" w:rsidP="00C04049">
      <w:pPr>
        <w:pStyle w:val="Prrafodelista"/>
        <w:ind w:left="993"/>
        <w:jc w:val="both"/>
        <w:rPr>
          <w:rFonts w:ascii="Roboto" w:hAnsi="Roboto" w:cs="Arial"/>
          <w:i/>
          <w:iCs/>
          <w:color w:val="000000" w:themeColor="text1"/>
          <w:szCs w:val="24"/>
          <w:lang w:val="es-CR"/>
        </w:rPr>
      </w:pPr>
      <w:r w:rsidRPr="00C04049">
        <w:rPr>
          <w:rFonts w:ascii="Roboto" w:hAnsi="Roboto" w:cs="Arial"/>
          <w:b/>
          <w:bCs/>
          <w:i/>
          <w:iCs/>
          <w:color w:val="000000" w:themeColor="text1"/>
          <w:szCs w:val="24"/>
          <w:lang w:val="es-CR"/>
        </w:rPr>
        <w:t>Transitorio único</w:t>
      </w:r>
    </w:p>
    <w:p w:rsidR="00C04049" w:rsidRDefault="00C04049" w:rsidP="00C04049">
      <w:pPr>
        <w:pStyle w:val="Prrafodelista"/>
        <w:ind w:left="993"/>
        <w:jc w:val="both"/>
        <w:rPr>
          <w:rFonts w:ascii="Roboto" w:hAnsi="Roboto" w:cs="Arial"/>
          <w:i/>
          <w:iCs/>
          <w:color w:val="000000" w:themeColor="text1"/>
          <w:szCs w:val="24"/>
          <w:lang w:val="es-CR"/>
        </w:rPr>
      </w:pPr>
      <w:r w:rsidRPr="00C04049">
        <w:rPr>
          <w:rFonts w:ascii="Roboto" w:hAnsi="Roboto" w:cs="Arial"/>
          <w:i/>
          <w:iCs/>
          <w:color w:val="000000" w:themeColor="text1"/>
          <w:szCs w:val="24"/>
          <w:lang w:val="es-CR"/>
        </w:rPr>
        <w:t>Las entidades de custodia dispondrán de un plazo de tres meses, contado a partir de la entrada en vigor del presente Acuerdo, para solicitar el consentimiento informado previsto en el inciso 4 del artículo 9 del Acuerdo SGV-A-198 a los titulares que, a esa fecha, mantengan cuentas de valores en dichas entidades.</w:t>
      </w:r>
    </w:p>
    <w:p w:rsidR="00C04049" w:rsidRPr="00C04049" w:rsidRDefault="00C04049" w:rsidP="00C04049">
      <w:pPr>
        <w:pStyle w:val="Prrafodelista"/>
        <w:ind w:left="993"/>
        <w:jc w:val="both"/>
        <w:rPr>
          <w:rFonts w:ascii="Roboto" w:hAnsi="Roboto" w:cs="Arial"/>
          <w:i/>
          <w:iCs/>
          <w:color w:val="000000" w:themeColor="text1"/>
          <w:szCs w:val="24"/>
          <w:lang w:val="es-CR"/>
        </w:rPr>
      </w:pPr>
    </w:p>
    <w:p w:rsidR="00C04049" w:rsidRDefault="00C04049" w:rsidP="00C04049">
      <w:pPr>
        <w:pStyle w:val="Prrafodelista"/>
        <w:ind w:left="993"/>
        <w:jc w:val="both"/>
        <w:rPr>
          <w:rFonts w:ascii="Roboto" w:hAnsi="Roboto" w:cs="Arial"/>
          <w:i/>
          <w:iCs/>
          <w:color w:val="000000" w:themeColor="text1"/>
          <w:szCs w:val="24"/>
          <w:lang w:val="es-CR"/>
        </w:rPr>
      </w:pPr>
      <w:r w:rsidRPr="00C04049">
        <w:rPr>
          <w:rFonts w:ascii="Roboto" w:hAnsi="Roboto" w:cs="Arial"/>
          <w:i/>
          <w:iCs/>
          <w:color w:val="000000" w:themeColor="text1"/>
          <w:szCs w:val="24"/>
          <w:lang w:val="es-CR"/>
        </w:rPr>
        <w:t>Asimismo, las centrales de valores dispondrán de un plazo de tres meses, contado a partir de la entrada en vigor del presente Acuerdo, para adecuar sus procedimientos y sistemas a fin de dar cumplimiento a las obligaciones establecidas en el artículo 7 del Acuerdo SGV-A-134.</w:t>
      </w:r>
    </w:p>
    <w:p w:rsidR="00C04049" w:rsidRPr="00C04049" w:rsidRDefault="00C04049" w:rsidP="00C04049">
      <w:pPr>
        <w:pStyle w:val="Prrafodelista"/>
        <w:ind w:left="993"/>
        <w:jc w:val="both"/>
        <w:rPr>
          <w:rFonts w:ascii="Roboto" w:hAnsi="Roboto" w:cs="Arial"/>
          <w:i/>
          <w:iCs/>
          <w:color w:val="000000" w:themeColor="text1"/>
          <w:szCs w:val="24"/>
          <w:lang w:val="es-CR"/>
        </w:rPr>
      </w:pPr>
    </w:p>
    <w:p w:rsidR="00C04049" w:rsidRPr="00C04049" w:rsidRDefault="00C04049" w:rsidP="00C04049">
      <w:pPr>
        <w:pStyle w:val="Prrafodelista"/>
        <w:ind w:left="993"/>
        <w:jc w:val="both"/>
        <w:rPr>
          <w:rFonts w:ascii="Roboto" w:hAnsi="Roboto" w:cs="Arial"/>
          <w:i/>
          <w:iCs/>
          <w:color w:val="000000" w:themeColor="text1"/>
          <w:szCs w:val="24"/>
          <w:lang w:val="es-CR"/>
        </w:rPr>
      </w:pPr>
      <w:r w:rsidRPr="00C04049">
        <w:rPr>
          <w:rFonts w:ascii="Roboto" w:hAnsi="Roboto" w:cs="Arial"/>
          <w:i/>
          <w:iCs/>
          <w:color w:val="000000" w:themeColor="text1"/>
          <w:szCs w:val="24"/>
          <w:lang w:val="es-CR"/>
        </w:rPr>
        <w:t>Durante ese plazo, las entidades de custodia deberán conservar la información que corresponda comunicar a las centrales de valores y remitirla una vez que estas habiliten los mecanismos operativos para su recepción, a más tardar al vencimiento del plazo indicado.</w:t>
      </w:r>
    </w:p>
    <w:p w:rsidR="00236B60" w:rsidRPr="00236B60" w:rsidRDefault="00236B60" w:rsidP="00236B60">
      <w:pPr>
        <w:pStyle w:val="Prrafodelista"/>
        <w:ind w:left="993"/>
        <w:jc w:val="both"/>
        <w:rPr>
          <w:rFonts w:ascii="Roboto" w:hAnsi="Roboto" w:cs="Arial"/>
          <w:i/>
          <w:iCs/>
          <w:color w:val="2E74B5" w:themeColor="accent1" w:themeShade="BF"/>
          <w:u w:val="single"/>
          <w:lang w:val="es-CR"/>
        </w:rPr>
      </w:pPr>
    </w:p>
    <w:p w:rsidR="00C01223" w:rsidRPr="00C01223" w:rsidRDefault="00C01223" w:rsidP="00C01223">
      <w:pPr>
        <w:pStyle w:val="Prrafodelista"/>
        <w:numPr>
          <w:ilvl w:val="0"/>
          <w:numId w:val="14"/>
        </w:numPr>
        <w:rPr>
          <w:rFonts w:ascii="Roboto" w:hAnsi="Roboto"/>
          <w:b/>
          <w:bCs/>
          <w:szCs w:val="24"/>
          <w:lang w:val="es-CR"/>
        </w:rPr>
      </w:pPr>
      <w:r w:rsidRPr="00C01223">
        <w:rPr>
          <w:rFonts w:ascii="Roboto" w:eastAsia="Times New Roman" w:hAnsi="Roboto" w:cs="Times New Roman"/>
          <w:b/>
          <w:bCs/>
          <w:szCs w:val="24"/>
          <w:lang w:val="es-CR" w:eastAsia="es-ES"/>
        </w:rPr>
        <w:t>Vigencia</w:t>
      </w:r>
    </w:p>
    <w:p w:rsidR="00C01223" w:rsidRDefault="00C01223" w:rsidP="00C01223">
      <w:pPr>
        <w:pStyle w:val="Prrafodelista"/>
        <w:jc w:val="both"/>
        <w:rPr>
          <w:rFonts w:ascii="Roboto" w:hAnsi="Roboto"/>
          <w:i/>
          <w:iCs/>
          <w:szCs w:val="24"/>
          <w:lang w:val="es-CR"/>
        </w:rPr>
      </w:pPr>
    </w:p>
    <w:p w:rsidR="004F2251" w:rsidRPr="00C01223" w:rsidRDefault="004B7B1B" w:rsidP="00C01223">
      <w:pPr>
        <w:pStyle w:val="Prrafodelista"/>
        <w:jc w:val="both"/>
        <w:rPr>
          <w:rFonts w:ascii="Roboto" w:hAnsi="Roboto"/>
          <w:i/>
          <w:iCs/>
          <w:szCs w:val="24"/>
          <w:lang w:val="es-CR"/>
        </w:rPr>
      </w:pPr>
      <w:r w:rsidRPr="00C01223">
        <w:rPr>
          <w:rFonts w:ascii="Roboto" w:hAnsi="Roboto"/>
          <w:i/>
          <w:iCs/>
          <w:sz w:val="24"/>
          <w:szCs w:val="24"/>
          <w:lang w:val="es-ES"/>
        </w:rPr>
        <w:t xml:space="preserve">Rige a partir de </w:t>
      </w:r>
      <w:r w:rsidR="00640B8D">
        <w:rPr>
          <w:rFonts w:ascii="Roboto" w:hAnsi="Roboto"/>
          <w:i/>
          <w:iCs/>
          <w:sz w:val="24"/>
          <w:szCs w:val="24"/>
          <w:lang w:val="es-ES"/>
        </w:rPr>
        <w:t xml:space="preserve">su publicación en el </w:t>
      </w:r>
      <w:r w:rsidR="000803EA">
        <w:rPr>
          <w:rFonts w:ascii="Roboto" w:hAnsi="Roboto"/>
          <w:i/>
          <w:iCs/>
          <w:sz w:val="24"/>
          <w:szCs w:val="24"/>
          <w:lang w:val="es-ES"/>
        </w:rPr>
        <w:t>D</w:t>
      </w:r>
      <w:r w:rsidR="00640B8D">
        <w:rPr>
          <w:rFonts w:ascii="Roboto" w:hAnsi="Roboto"/>
          <w:i/>
          <w:iCs/>
          <w:sz w:val="24"/>
          <w:szCs w:val="24"/>
          <w:lang w:val="es-ES"/>
        </w:rPr>
        <w:t xml:space="preserve">iario </w:t>
      </w:r>
      <w:r w:rsidR="000803EA">
        <w:rPr>
          <w:rFonts w:ascii="Roboto" w:hAnsi="Roboto"/>
          <w:i/>
          <w:iCs/>
          <w:sz w:val="24"/>
          <w:szCs w:val="24"/>
          <w:lang w:val="es-ES"/>
        </w:rPr>
        <w:t>O</w:t>
      </w:r>
      <w:r w:rsidR="00640B8D">
        <w:rPr>
          <w:rFonts w:ascii="Roboto" w:hAnsi="Roboto"/>
          <w:i/>
          <w:iCs/>
          <w:sz w:val="24"/>
          <w:szCs w:val="24"/>
          <w:lang w:val="es-ES"/>
        </w:rPr>
        <w:t>ficial La Gaceta</w:t>
      </w:r>
      <w:r w:rsidRPr="00C01223">
        <w:rPr>
          <w:rFonts w:ascii="Roboto" w:hAnsi="Roboto"/>
          <w:i/>
          <w:iCs/>
          <w:sz w:val="24"/>
          <w:szCs w:val="24"/>
          <w:lang w:val="es-ES"/>
        </w:rPr>
        <w:t>.</w:t>
      </w:r>
    </w:p>
    <w:p w:rsidR="004F2251" w:rsidRPr="00937935" w:rsidRDefault="004F2251" w:rsidP="00EB0DE8">
      <w:pPr>
        <w:rPr>
          <w:rFonts w:ascii="Roboto" w:hAnsi="Roboto" w:cs="Arial"/>
          <w:szCs w:val="22"/>
        </w:rPr>
      </w:pPr>
    </w:p>
    <w:p w:rsidR="004F2251" w:rsidRPr="003117AF" w:rsidRDefault="004F2251" w:rsidP="00EB0DE8">
      <w:pPr>
        <w:rPr>
          <w:rFonts w:ascii="Roboto" w:hAnsi="Roboto" w:cs="Arial"/>
          <w:szCs w:val="22"/>
        </w:rPr>
      </w:pP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Pr>
          <w:rFonts w:ascii="Arial" w:hAnsi="Arial" w:cs="Arial"/>
          <w:szCs w:val="22"/>
        </w:rPr>
        <w:tab/>
      </w:r>
      <w:r w:rsidRPr="003117AF">
        <w:rPr>
          <w:rFonts w:ascii="Roboto" w:hAnsi="Roboto" w:cs="Arial"/>
          <w:szCs w:val="22"/>
        </w:rPr>
        <w:t>Refiérase a:</w:t>
      </w:r>
      <w:r w:rsidRPr="003117AF">
        <w:rPr>
          <w:rFonts w:ascii="Roboto" w:hAnsi="Roboto" w:cs="Arial"/>
          <w:szCs w:val="22"/>
        </w:rPr>
        <w:tab/>
      </w:r>
    </w:p>
    <w:sdt>
      <w:sdtPr>
        <w:rPr>
          <w:rFonts w:ascii="Arial" w:hAnsi="Arial" w:cs="Arial"/>
          <w:szCs w:val="22"/>
        </w:rPr>
        <w:alias w:val="Consecutivo"/>
        <w:tag w:val="Consecutivo"/>
        <w:id w:val="351305624"/>
        <w:placeholder>
          <w:docPart w:val="98F74742735949D497701469FA99F653"/>
        </w:placeholder>
        <w:showingPlcHdr/>
        <w:text/>
      </w:sdtPr>
      <w:sdtContent>
        <w:p w:rsidR="004653DA" w:rsidRPr="00937935" w:rsidRDefault="00845A76" w:rsidP="00937935">
          <w:pPr>
            <w:ind w:left="4956" w:firstLine="708"/>
            <w:rPr>
              <w:rFonts w:ascii="Arial" w:hAnsi="Arial" w:cs="Arial"/>
              <w:szCs w:val="22"/>
            </w:rPr>
          </w:pPr>
          <w:r w:rsidRPr="00CE133D">
            <w:rPr>
              <w:rStyle w:val="Textodelmarcadordeposicin"/>
              <w:rFonts w:ascii="Roboto" w:eastAsiaTheme="minorHAnsi" w:hAnsi="Roboto"/>
            </w:rPr>
            <w:t>[Consecutivo]</w:t>
          </w:r>
        </w:p>
      </w:sdtContent>
    </w:sdt>
    <w:sectPr w:rsidR="004653DA" w:rsidRPr="00937935" w:rsidSect="00CB2DE9">
      <w:headerReference w:type="default" r:id="rId11"/>
      <w:footerReference w:type="even" r:id="rId12"/>
      <w:footerReference w:type="default" r:id="rId13"/>
      <w:headerReference w:type="first" r:id="rId14"/>
      <w:footerReference w:type="first" r:id="rId15"/>
      <w:pgSz w:w="12242" w:h="15842" w:code="1"/>
      <w:pgMar w:top="2361" w:right="1797" w:bottom="1440" w:left="1797" w:header="709" w:footer="403"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79CC" w:rsidRDefault="00A279CC">
      <w:r>
        <w:separator/>
      </w:r>
    </w:p>
  </w:endnote>
  <w:endnote w:type="continuationSeparator" w:id="0">
    <w:p w:rsidR="00A279CC" w:rsidRDefault="00A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344D" w:rsidRDefault="0027344D">
    <w:pPr>
      <w:pStyle w:val="Piedepgina"/>
    </w:pPr>
    <w:r>
      <w:rPr>
        <w:noProof/>
      </w:rPr>
      <mc:AlternateContent>
        <mc:Choice Requires="wps">
          <w:drawing>
            <wp:anchor distT="0" distB="0" distL="0" distR="0" simplePos="0" relativeHeight="251666432" behindDoc="0" locked="0" layoutInCell="1" allowOverlap="1" wp14:anchorId="36DFF241" wp14:editId="5C9B3E08">
              <wp:simplePos x="635" y="635"/>
              <wp:positionH relativeFrom="page">
                <wp:align>center</wp:align>
              </wp:positionH>
              <wp:positionV relativeFrom="page">
                <wp:align>bottom</wp:align>
              </wp:positionV>
              <wp:extent cx="1083945" cy="345440"/>
              <wp:effectExtent l="0" t="0" r="1905" b="0"/>
              <wp:wrapNone/>
              <wp:docPr id="748102325" name="Cuadro de texto 2"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FF241" id="_x0000_t202" coordsize="21600,21600" o:spt="202" path="m,l,21600r21600,l21600,xe">
              <v:stroke joinstyle="miter"/>
              <v:path gradientshapeok="t" o:connecttype="rect"/>
            </v:shapetype>
            <v:shape id="Cuadro de texto 2" o:spid="_x0000_s1026" type="#_x0000_t202" alt="Uso Interno estricto" style="position:absolute;margin-left:0;margin-top:0;width:85.35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" filled="f" stroked="f">
              <v:textbox style="mso-fit-shape-to-text:t" inset="0,0,0,15pt">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EC5" w:rsidRDefault="0027344D" w:rsidP="00C20EC5">
    <w:pPr>
      <w:pStyle w:val="Piedepgina"/>
      <w:tabs>
        <w:tab w:val="right" w:pos="9498"/>
      </w:tabs>
      <w:ind w:left="-993" w:right="-999"/>
      <w:jc w:val="right"/>
      <w:rPr>
        <w:rFonts w:ascii="Arial" w:hAnsi="Arial" w:cs="Arial"/>
        <w:color w:val="204775"/>
        <w:sz w:val="20"/>
      </w:rPr>
    </w:pPr>
    <w:r>
      <w:rPr>
        <w:rFonts w:ascii="Arial" w:hAnsi="Arial" w:cs="Arial"/>
        <w:noProof/>
        <w:color w:val="204775"/>
        <w:sz w:val="20"/>
      </w:rPr>
      <mc:AlternateContent>
        <mc:Choice Requires="wps">
          <w:drawing>
            <wp:anchor distT="0" distB="0" distL="0" distR="0" simplePos="0" relativeHeight="251667456" behindDoc="0" locked="0" layoutInCell="1" allowOverlap="1" wp14:anchorId="2ED9CC78" wp14:editId="78BD62FC">
              <wp:simplePos x="1141730" y="8855075"/>
              <wp:positionH relativeFrom="page">
                <wp:align>center</wp:align>
              </wp:positionH>
              <wp:positionV relativeFrom="page">
                <wp:align>bottom</wp:align>
              </wp:positionV>
              <wp:extent cx="1083945" cy="345440"/>
              <wp:effectExtent l="0" t="0" r="1905" b="0"/>
              <wp:wrapNone/>
              <wp:docPr id="1184200424" name="Cuadro de texto 3"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D9CC78" id="_x0000_t202" coordsize="21600,21600" o:spt="202" path="m,l,21600r21600,l21600,xe">
              <v:stroke joinstyle="miter"/>
              <v:path gradientshapeok="t" o:connecttype="rect"/>
            </v:shapetype>
            <v:shape id="Cuadro de texto 3" o:spid="_x0000_s1027" type="#_x0000_t202" alt="Uso Interno estricto" style="position:absolute;left:0;text-align:left;margin-left:0;margin-top:0;width:85.35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" filled="f" stroked="f">
              <v:textbox style="mso-fit-shape-to-text:t" inset="0,0,0,15pt">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v:textbox>
              <w10:wrap anchorx="page" anchory="page"/>
            </v:shape>
          </w:pict>
        </mc:Fallback>
      </mc:AlternateContent>
    </w:r>
    <w:r w:rsidR="00C20EC5">
      <w:rPr>
        <w:rFonts w:ascii="Arial" w:hAnsi="Arial" w:cs="Arial"/>
        <w:color w:val="204775"/>
        <w:sz w:val="20"/>
      </w:rPr>
      <w:t>_______________________________________________________________________________________________</w:t>
    </w:r>
  </w:p>
  <w:p w:rsidR="00C20EC5" w:rsidRPr="00097CFB" w:rsidRDefault="00C20EC5" w:rsidP="00C20EC5">
    <w:pPr>
      <w:pStyle w:val="Piedepgina"/>
      <w:tabs>
        <w:tab w:val="right" w:pos="9498"/>
      </w:tabs>
      <w:ind w:left="-993" w:right="-999"/>
      <w:jc w:val="right"/>
      <w:rPr>
        <w:rFonts w:ascii="Arial" w:hAnsi="Arial" w:cs="Arial"/>
        <w:color w:val="204775"/>
        <w:sz w:val="20"/>
      </w:rPr>
    </w:pPr>
  </w:p>
  <w:p w:rsidR="00C20EC5" w:rsidRPr="00C20EC5" w:rsidRDefault="00C20EC5" w:rsidP="00C20EC5">
    <w:pPr>
      <w:pStyle w:val="Piedepgina"/>
      <w:tabs>
        <w:tab w:val="right" w:pos="9498"/>
      </w:tabs>
      <w:ind w:left="-993" w:right="-999"/>
      <w:jc w:val="right"/>
      <w:rPr>
        <w:rFonts w:ascii="Arial" w:hAnsi="Arial" w:cs="Arial"/>
        <w:sz w:val="22"/>
        <w:szCs w:val="22"/>
      </w:rPr>
    </w:pPr>
    <w:r w:rsidRPr="00C20EC5">
      <w:rPr>
        <w:rFonts w:ascii="Arial" w:hAnsi="Arial" w:cs="Arial"/>
        <w:sz w:val="22"/>
        <w:szCs w:val="22"/>
      </w:rPr>
      <w:t>Teléfono (506) 2243-4600    Fax (506) 2243-4646</w:t>
    </w:r>
  </w:p>
  <w:p w:rsidR="00C20EC5" w:rsidRPr="00C20EC5" w:rsidRDefault="00C20EC5" w:rsidP="00C20EC5">
    <w:pPr>
      <w:pStyle w:val="Piedepgina"/>
      <w:tabs>
        <w:tab w:val="right" w:pos="9498"/>
      </w:tabs>
      <w:ind w:left="-993" w:right="-999"/>
      <w:jc w:val="right"/>
      <w:rPr>
        <w:rFonts w:ascii="Arial" w:hAnsi="Arial" w:cs="Arial"/>
        <w:sz w:val="22"/>
        <w:szCs w:val="22"/>
      </w:rPr>
    </w:pPr>
    <w:r w:rsidRPr="00C20EC5">
      <w:rPr>
        <w:rFonts w:ascii="Arial" w:hAnsi="Arial" w:cs="Arial"/>
        <w:sz w:val="22"/>
        <w:szCs w:val="22"/>
      </w:rPr>
      <w:t xml:space="preserve">Dirección: Edificio ODM del BCCR, Barrio </w:t>
    </w:r>
    <w:proofErr w:type="spellStart"/>
    <w:r w:rsidRPr="00C20EC5">
      <w:rPr>
        <w:rFonts w:ascii="Arial" w:hAnsi="Arial" w:cs="Arial"/>
        <w:sz w:val="22"/>
        <w:szCs w:val="22"/>
      </w:rPr>
      <w:t>Tournón</w:t>
    </w:r>
    <w:proofErr w:type="spellEnd"/>
    <w:r w:rsidRPr="00C20EC5">
      <w:rPr>
        <w:rFonts w:ascii="Arial" w:hAnsi="Arial" w:cs="Arial"/>
        <w:sz w:val="22"/>
        <w:szCs w:val="22"/>
      </w:rPr>
      <w:t>, Piso 6</w:t>
    </w:r>
  </w:p>
  <w:p w:rsidR="00C20EC5" w:rsidRPr="00C20EC5" w:rsidRDefault="00C20EC5" w:rsidP="00C20EC5">
    <w:pPr>
      <w:pStyle w:val="Piedepgina"/>
      <w:ind w:right="-991"/>
      <w:jc w:val="right"/>
      <w:rPr>
        <w:sz w:val="22"/>
        <w:szCs w:val="22"/>
      </w:rPr>
    </w:pPr>
    <w:hyperlink r:id="rId1" w:history="1">
      <w:r w:rsidRPr="00C20EC5">
        <w:rPr>
          <w:rStyle w:val="Hipervnculo"/>
          <w:rFonts w:ascii="Arial" w:hAnsi="Arial" w:cs="Arial"/>
          <w:sz w:val="22"/>
          <w:szCs w:val="22"/>
        </w:rPr>
        <w:t>correo@sugeval.fi.cr</w:t>
      </w:r>
    </w:hyperlink>
  </w:p>
  <w:p w:rsidR="00C20EC5" w:rsidRDefault="00C20EC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B2DE9" w:rsidRDefault="0027344D" w:rsidP="00CB2DE9">
    <w:pPr>
      <w:pStyle w:val="Piedepgina"/>
      <w:tabs>
        <w:tab w:val="right" w:pos="9498"/>
      </w:tabs>
      <w:ind w:left="-993" w:right="-999"/>
      <w:jc w:val="right"/>
      <w:rPr>
        <w:rFonts w:ascii="Arial" w:hAnsi="Arial" w:cs="Arial"/>
        <w:color w:val="204775"/>
        <w:sz w:val="20"/>
      </w:rPr>
    </w:pPr>
    <w:r>
      <w:rPr>
        <w:rFonts w:ascii="Arial" w:hAnsi="Arial" w:cs="Arial"/>
        <w:noProof/>
        <w:color w:val="204775"/>
        <w:sz w:val="20"/>
      </w:rPr>
      <mc:AlternateContent>
        <mc:Choice Requires="wps">
          <w:drawing>
            <wp:anchor distT="0" distB="0" distL="0" distR="0" simplePos="0" relativeHeight="251665408" behindDoc="0" locked="0" layoutInCell="1" allowOverlap="1" wp14:anchorId="0661F836" wp14:editId="16781DA4">
              <wp:simplePos x="1143000" y="9010650"/>
              <wp:positionH relativeFrom="page">
                <wp:align>center</wp:align>
              </wp:positionH>
              <wp:positionV relativeFrom="page">
                <wp:align>bottom</wp:align>
              </wp:positionV>
              <wp:extent cx="1083945" cy="345440"/>
              <wp:effectExtent l="0" t="0" r="1905" b="0"/>
              <wp:wrapNone/>
              <wp:docPr id="1694795364" name="Cuadro de texto 1" descr="Uso Interno estrict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83945" cy="345440"/>
                      </a:xfrm>
                      <a:prstGeom prst="rect">
                        <a:avLst/>
                      </a:prstGeom>
                      <a:noFill/>
                      <a:ln>
                        <a:noFill/>
                      </a:ln>
                    </wps:spPr>
                    <wps:txbx>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61F836" id="_x0000_t202" coordsize="21600,21600" o:spt="202" path="m,l,21600r21600,l21600,xe">
              <v:stroke joinstyle="miter"/>
              <v:path gradientshapeok="t" o:connecttype="rect"/>
            </v:shapetype>
            <v:shape id="Cuadro de texto 1" o:spid="_x0000_s1028" type="#_x0000_t202" alt="Uso Interno estricto" style="position:absolute;left:0;text-align:left;margin-left:0;margin-top:0;width:85.35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" filled="f" stroked="f">
              <v:textbox style="mso-fit-shape-to-text:t" inset="0,0,0,15pt">
                <w:txbxContent>
                  <w:p w:rsidR="0027344D" w:rsidRPr="0027344D" w:rsidRDefault="0027344D" w:rsidP="0027344D">
                    <w:pPr>
                      <w:rPr>
                        <w:rFonts w:ascii="Aptos" w:eastAsia="Aptos" w:hAnsi="Aptos" w:cs="Aptos"/>
                        <w:noProof/>
                        <w:color w:val="000000"/>
                        <w:sz w:val="20"/>
                      </w:rPr>
                    </w:pPr>
                    <w:r w:rsidRPr="0027344D">
                      <w:rPr>
                        <w:rFonts w:ascii="Aptos" w:eastAsia="Aptos" w:hAnsi="Aptos" w:cs="Aptos"/>
                        <w:noProof/>
                        <w:color w:val="000000"/>
                        <w:sz w:val="20"/>
                      </w:rPr>
                      <w:t>Uso Interno estricto</w:t>
                    </w:r>
                  </w:p>
                </w:txbxContent>
              </v:textbox>
              <w10:wrap anchorx="page" anchory="page"/>
            </v:shape>
          </w:pict>
        </mc:Fallback>
      </mc:AlternateContent>
    </w:r>
    <w:r w:rsidR="00CB2DE9">
      <w:rPr>
        <w:rFonts w:ascii="Arial" w:hAnsi="Arial" w:cs="Arial"/>
        <w:color w:val="204775"/>
        <w:sz w:val="20"/>
      </w:rPr>
      <w:t>_______________________________________________________________________________________________</w:t>
    </w:r>
  </w:p>
  <w:p w:rsidR="00CB2DE9" w:rsidRPr="00097CFB" w:rsidRDefault="00CB2DE9" w:rsidP="00CB2DE9">
    <w:pPr>
      <w:pStyle w:val="Piedepgina"/>
      <w:tabs>
        <w:tab w:val="right" w:pos="9498"/>
      </w:tabs>
      <w:ind w:left="-993" w:right="-999"/>
      <w:jc w:val="right"/>
      <w:rPr>
        <w:rFonts w:ascii="Arial" w:hAnsi="Arial" w:cs="Arial"/>
        <w:color w:val="204775"/>
        <w:sz w:val="20"/>
      </w:rPr>
    </w:pPr>
  </w:p>
  <w:p w:rsidR="00CB2DE9" w:rsidRPr="004819BD" w:rsidRDefault="00CB2DE9" w:rsidP="00CB2DE9">
    <w:pPr>
      <w:pStyle w:val="Piedepgina"/>
      <w:tabs>
        <w:tab w:val="right" w:pos="9498"/>
      </w:tabs>
      <w:ind w:left="-993" w:right="-999"/>
      <w:jc w:val="right"/>
      <w:rPr>
        <w:rFonts w:ascii="Roboto" w:hAnsi="Roboto" w:cs="Arial"/>
        <w:sz w:val="22"/>
        <w:szCs w:val="22"/>
      </w:rPr>
    </w:pPr>
    <w:r w:rsidRPr="004819BD">
      <w:rPr>
        <w:rFonts w:ascii="Roboto" w:hAnsi="Roboto" w:cs="Arial"/>
        <w:sz w:val="22"/>
        <w:szCs w:val="22"/>
      </w:rPr>
      <w:t>Teléfono (506) 2243-4600    Fax (506) 2243-4646</w:t>
    </w:r>
  </w:p>
  <w:p w:rsidR="00CB2DE9" w:rsidRPr="004819BD" w:rsidRDefault="00CB2DE9" w:rsidP="00CB2DE9">
    <w:pPr>
      <w:pStyle w:val="Piedepgina"/>
      <w:tabs>
        <w:tab w:val="right" w:pos="9498"/>
      </w:tabs>
      <w:ind w:left="-993" w:right="-999"/>
      <w:jc w:val="right"/>
      <w:rPr>
        <w:rFonts w:ascii="Roboto" w:hAnsi="Roboto" w:cs="Arial"/>
        <w:sz w:val="22"/>
        <w:szCs w:val="22"/>
      </w:rPr>
    </w:pPr>
    <w:r w:rsidRPr="004819BD">
      <w:rPr>
        <w:rFonts w:ascii="Roboto" w:hAnsi="Roboto" w:cs="Arial"/>
        <w:sz w:val="22"/>
        <w:szCs w:val="22"/>
      </w:rPr>
      <w:t xml:space="preserve">Dirección: Edificio ODM del BCCR, Barrio </w:t>
    </w:r>
    <w:proofErr w:type="spellStart"/>
    <w:r w:rsidRPr="004819BD">
      <w:rPr>
        <w:rFonts w:ascii="Roboto" w:hAnsi="Roboto" w:cs="Arial"/>
        <w:sz w:val="22"/>
        <w:szCs w:val="22"/>
      </w:rPr>
      <w:t>Tournón</w:t>
    </w:r>
    <w:proofErr w:type="spellEnd"/>
    <w:r w:rsidRPr="004819BD">
      <w:rPr>
        <w:rFonts w:ascii="Roboto" w:hAnsi="Roboto" w:cs="Arial"/>
        <w:sz w:val="22"/>
        <w:szCs w:val="22"/>
      </w:rPr>
      <w:t>, Piso 6</w:t>
    </w:r>
  </w:p>
  <w:p w:rsidR="00CB2DE9" w:rsidRPr="00C20EC5" w:rsidRDefault="00CB2DE9" w:rsidP="00CB2DE9">
    <w:pPr>
      <w:pStyle w:val="Piedepgina"/>
      <w:ind w:right="-991"/>
      <w:jc w:val="right"/>
      <w:rPr>
        <w:sz w:val="22"/>
        <w:szCs w:val="22"/>
      </w:rPr>
    </w:pPr>
    <w:hyperlink r:id="rId1" w:history="1">
      <w:r w:rsidRPr="004819BD">
        <w:rPr>
          <w:rStyle w:val="Hipervnculo"/>
          <w:rFonts w:ascii="Roboto" w:hAnsi="Roboto" w:cs="Arial"/>
          <w:sz w:val="22"/>
          <w:szCs w:val="22"/>
        </w:rPr>
        <w:t>correo@sugeval.fi.cr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79CC" w:rsidRDefault="00A279CC">
      <w:r>
        <w:separator/>
      </w:r>
    </w:p>
  </w:footnote>
  <w:footnote w:type="continuationSeparator" w:id="0">
    <w:p w:rsidR="00A279CC" w:rsidRDefault="00A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20EC5" w:rsidRDefault="000C3FBD" w:rsidP="00C20EC5">
    <w:pPr>
      <w:pStyle w:val="Encabezado"/>
      <w:jc w:val="center"/>
      <w:rPr>
        <w:rFonts w:ascii="Arial" w:hAnsi="Arial" w:cs="Arial"/>
        <w:i/>
        <w:sz w:val="22"/>
        <w:szCs w:val="22"/>
      </w:rPr>
    </w:pPr>
    <w:r>
      <w:rPr>
        <w:noProof/>
      </w:rPr>
      <w:drawing>
        <wp:anchor distT="0" distB="0" distL="114300" distR="114300" simplePos="0" relativeHeight="251664384" behindDoc="1" locked="0" layoutInCell="1" allowOverlap="1" wp14:anchorId="1906FE68" wp14:editId="771AD06E">
          <wp:simplePos x="0" y="0"/>
          <wp:positionH relativeFrom="column">
            <wp:posOffset>-1141171</wp:posOffset>
          </wp:positionH>
          <wp:positionV relativeFrom="paragraph">
            <wp:posOffset>-446862</wp:posOffset>
          </wp:positionV>
          <wp:extent cx="8116620" cy="74615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116620" cy="746150"/>
                  </a:xfrm>
                  <a:prstGeom prst="rect">
                    <a:avLst/>
                  </a:prstGeom>
                </pic:spPr>
              </pic:pic>
            </a:graphicData>
          </a:graphic>
          <wp14:sizeRelH relativeFrom="margin">
            <wp14:pctWidth>0</wp14:pctWidth>
          </wp14:sizeRelH>
          <wp14:sizeRelV relativeFrom="margin">
            <wp14:pctHeight>0</wp14:pctHeight>
          </wp14:sizeRelV>
        </wp:anchor>
      </w:drawing>
    </w:r>
  </w:p>
  <w:p w:rsidR="000C3FBD" w:rsidRDefault="00CB2E9D" w:rsidP="00EB0DE8">
    <w:pPr>
      <w:autoSpaceDE w:val="0"/>
      <w:autoSpaceDN w:val="0"/>
      <w:adjustRightInd w:val="0"/>
      <w:contextualSpacing/>
      <w:jc w:val="both"/>
      <w:rPr>
        <w:rFonts w:ascii="Arial" w:hAnsi="Arial" w:cs="Arial"/>
        <w:sz w:val="18"/>
        <w:szCs w:val="18"/>
      </w:rPr>
    </w:pPr>
    <w:r>
      <w:rPr>
        <w:rFonts w:ascii="Arial" w:hAnsi="Arial" w:cs="Arial"/>
        <w:sz w:val="18"/>
        <w:szCs w:val="18"/>
      </w:rPr>
      <w:t xml:space="preserve">              </w:t>
    </w:r>
  </w:p>
  <w:p w:rsidR="000C3FBD" w:rsidRDefault="000C3FBD" w:rsidP="00EB0DE8">
    <w:pPr>
      <w:autoSpaceDE w:val="0"/>
      <w:autoSpaceDN w:val="0"/>
      <w:adjustRightInd w:val="0"/>
      <w:contextualSpacing/>
      <w:jc w:val="both"/>
      <w:rPr>
        <w:rFonts w:ascii="Arial" w:hAnsi="Arial" w:cs="Arial"/>
        <w:sz w:val="18"/>
        <w:szCs w:val="18"/>
      </w:rPr>
    </w:pPr>
  </w:p>
  <w:p w:rsidR="00CB2E9D" w:rsidRPr="00EE3D46" w:rsidRDefault="000C3FBD" w:rsidP="00EB0DE8">
    <w:pPr>
      <w:autoSpaceDE w:val="0"/>
      <w:autoSpaceDN w:val="0"/>
      <w:adjustRightInd w:val="0"/>
      <w:contextualSpacing/>
      <w:jc w:val="both"/>
      <w:rPr>
        <w:rFonts w:ascii="Roboto" w:hAnsi="Roboto" w:cs="Arial"/>
        <w:sz w:val="18"/>
        <w:szCs w:val="18"/>
      </w:rPr>
    </w:pPr>
    <w:r w:rsidRPr="00EE3D46">
      <w:rPr>
        <w:rFonts w:ascii="Roboto" w:hAnsi="Roboto" w:cs="Arial"/>
        <w:sz w:val="18"/>
        <w:szCs w:val="18"/>
      </w:rPr>
      <w:t xml:space="preserve">             </w:t>
    </w:r>
    <w:r w:rsidR="00EE3D46">
      <w:rPr>
        <w:rFonts w:ascii="Roboto" w:hAnsi="Roboto" w:cs="Arial"/>
        <w:sz w:val="18"/>
        <w:szCs w:val="18"/>
      </w:rPr>
      <w:t xml:space="preserve">  </w:t>
    </w:r>
    <w:r w:rsidRPr="00EE3D46">
      <w:rPr>
        <w:rFonts w:ascii="Roboto" w:hAnsi="Roboto" w:cs="Arial"/>
        <w:sz w:val="18"/>
        <w:szCs w:val="18"/>
      </w:rPr>
      <w:t xml:space="preserve"> </w:t>
    </w:r>
    <w:r w:rsidR="00CB2E9D" w:rsidRPr="00EE3D46">
      <w:rPr>
        <w:rFonts w:ascii="Roboto" w:hAnsi="Roboto" w:cs="Arial"/>
        <w:sz w:val="18"/>
        <w:szCs w:val="18"/>
      </w:rPr>
      <w:t>SGV-A</w:t>
    </w:r>
    <w:r w:rsidR="00C8420C" w:rsidRPr="00EE3D46">
      <w:rPr>
        <w:rFonts w:ascii="Roboto" w:hAnsi="Roboto" w:cs="Arial"/>
        <w:sz w:val="18"/>
        <w:szCs w:val="18"/>
      </w:rPr>
      <w:t>-</w:t>
    </w:r>
    <w:sdt>
      <w:sdtPr>
        <w:rPr>
          <w:rFonts w:ascii="Roboto" w:hAnsi="Roboto" w:cs="Arial"/>
          <w:b/>
          <w:sz w:val="18"/>
          <w:szCs w:val="18"/>
        </w:rPr>
        <w:alias w:val="Consecutivo Interno"/>
        <w:tag w:val="ConsecutivoInterno"/>
        <w:id w:val="-1987775510"/>
        <w:placeholder>
          <w:docPart w:val="AE905498B1E84D2DB3235C551CFCD131"/>
        </w:placeholder>
        <w:showingPlcHdr/>
        <w:text/>
      </w:sdtPr>
      <w:sdtContent>
        <w:r w:rsidR="008B36D7" w:rsidRPr="00EE3D46">
          <w:rPr>
            <w:rStyle w:val="Textodelmarcadordeposicin"/>
            <w:rFonts w:ascii="Roboto" w:eastAsiaTheme="minorHAnsi" w:hAnsi="Roboto" w:cs="Arial"/>
            <w:sz w:val="18"/>
            <w:szCs w:val="18"/>
          </w:rPr>
          <w:t>[Consecutivo Interno]</w:t>
        </w:r>
      </w:sdtContent>
    </w:sdt>
    <w:r w:rsidR="00C8420C" w:rsidRPr="00EE3D46">
      <w:rPr>
        <w:rFonts w:ascii="Roboto" w:hAnsi="Roboto" w:cs="Arial"/>
        <w:sz w:val="18"/>
        <w:szCs w:val="18"/>
      </w:rPr>
      <w:t>-</w:t>
    </w:r>
    <w:sdt>
      <w:sdtPr>
        <w:rPr>
          <w:rFonts w:ascii="Roboto" w:hAnsi="Roboto" w:cs="Arial"/>
          <w:b/>
          <w:sz w:val="18"/>
          <w:szCs w:val="18"/>
        </w:rPr>
        <w:alias w:val="Periodo"/>
        <w:tag w:val="Periodo"/>
        <w:id w:val="861248837"/>
        <w:placeholder>
          <w:docPart w:val="E44DDD8A0D1C4BE397FDFBBF09A5A819"/>
        </w:placeholder>
        <w:showingPlcHdr/>
        <w:text/>
      </w:sdtPr>
      <w:sdtContent>
        <w:r w:rsidR="008B36D7" w:rsidRPr="00EE3D46">
          <w:rPr>
            <w:rStyle w:val="Textodelmarcadordeposicin"/>
            <w:rFonts w:ascii="Roboto" w:eastAsiaTheme="minorHAnsi" w:hAnsi="Roboto" w:cs="Arial"/>
            <w:sz w:val="18"/>
            <w:szCs w:val="18"/>
          </w:rPr>
          <w:t>[Periodo]</w:t>
        </w:r>
      </w:sdtContent>
    </w:sdt>
  </w:p>
  <w:p w:rsidR="00D33A7F" w:rsidRPr="003117AF" w:rsidRDefault="00D33A7F" w:rsidP="00EB0DE8">
    <w:pPr>
      <w:autoSpaceDE w:val="0"/>
      <w:autoSpaceDN w:val="0"/>
      <w:adjustRightInd w:val="0"/>
      <w:contextualSpacing/>
      <w:jc w:val="both"/>
      <w:rPr>
        <w:rFonts w:ascii="Roboto" w:hAnsi="Roboto" w:cs="Arial"/>
        <w:sz w:val="18"/>
        <w:szCs w:val="18"/>
      </w:rPr>
    </w:pPr>
    <w:r w:rsidRPr="003117AF">
      <w:rPr>
        <w:rFonts w:ascii="Roboto" w:hAnsi="Roboto" w:cs="Arial"/>
        <w:sz w:val="18"/>
        <w:szCs w:val="18"/>
      </w:rPr>
      <w:t xml:space="preserve">             </w:t>
    </w:r>
    <w:r w:rsidR="003117AF">
      <w:rPr>
        <w:rFonts w:ascii="Roboto" w:hAnsi="Roboto" w:cs="Arial"/>
        <w:sz w:val="18"/>
        <w:szCs w:val="18"/>
      </w:rPr>
      <w:t xml:space="preserve"> </w:t>
    </w:r>
    <w:r w:rsidRPr="003117AF">
      <w:rPr>
        <w:rFonts w:ascii="Roboto" w:hAnsi="Roboto" w:cs="Arial"/>
        <w:sz w:val="18"/>
        <w:szCs w:val="18"/>
      </w:rPr>
      <w:t xml:space="preserve">  Pág. </w:t>
    </w:r>
    <w:r w:rsidRPr="003117AF">
      <w:rPr>
        <w:rFonts w:ascii="Roboto" w:hAnsi="Roboto" w:cs="Arial"/>
        <w:sz w:val="18"/>
        <w:szCs w:val="18"/>
      </w:rPr>
      <w:fldChar w:fldCharType="begin"/>
    </w:r>
    <w:r w:rsidRPr="003117AF">
      <w:rPr>
        <w:rFonts w:ascii="Roboto" w:hAnsi="Roboto" w:cs="Arial"/>
        <w:sz w:val="18"/>
        <w:szCs w:val="18"/>
      </w:rPr>
      <w:instrText>PAGE</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r w:rsidRPr="003117AF">
      <w:rPr>
        <w:rFonts w:ascii="Roboto" w:hAnsi="Roboto" w:cs="Arial"/>
        <w:sz w:val="18"/>
        <w:szCs w:val="18"/>
      </w:rPr>
      <w:t xml:space="preserve"> de </w:t>
    </w:r>
    <w:r w:rsidRPr="003117AF">
      <w:rPr>
        <w:rFonts w:ascii="Roboto" w:hAnsi="Roboto" w:cs="Arial"/>
        <w:sz w:val="18"/>
        <w:szCs w:val="18"/>
      </w:rPr>
      <w:fldChar w:fldCharType="begin"/>
    </w:r>
    <w:r w:rsidRPr="003117AF">
      <w:rPr>
        <w:rFonts w:ascii="Roboto" w:hAnsi="Roboto" w:cs="Arial"/>
        <w:sz w:val="18"/>
        <w:szCs w:val="18"/>
      </w:rPr>
      <w:instrText>NUMPAGES</w:instrText>
    </w:r>
    <w:r w:rsidRPr="003117AF">
      <w:rPr>
        <w:rFonts w:ascii="Roboto" w:hAnsi="Roboto" w:cs="Arial"/>
        <w:sz w:val="18"/>
        <w:szCs w:val="18"/>
      </w:rPr>
      <w:fldChar w:fldCharType="separate"/>
    </w:r>
    <w:r w:rsidRPr="003117AF">
      <w:rPr>
        <w:rFonts w:ascii="Roboto" w:hAnsi="Roboto" w:cs="Arial"/>
        <w:sz w:val="18"/>
        <w:szCs w:val="18"/>
      </w:rPr>
      <w:t>2</w:t>
    </w:r>
    <w:r w:rsidRPr="003117AF">
      <w:rPr>
        <w:rFonts w:ascii="Roboto" w:hAnsi="Roboto" w:cs="Arial"/>
        <w:sz w:val="18"/>
        <w:szCs w:val="18"/>
      </w:rPr>
      <w:fldChar w:fldCharType="end"/>
    </w:r>
  </w:p>
  <w:p w:rsidR="00C20EC5" w:rsidRDefault="00C20EC5">
    <w:pPr>
      <w:pStyle w:val="Encabezado"/>
      <w:rPr>
        <w:rFonts w:ascii="Arial" w:hAnsi="Arial" w:cs="Arial"/>
        <w:i/>
        <w:sz w:val="22"/>
        <w:szCs w:val="22"/>
      </w:rPr>
    </w:pPr>
  </w:p>
  <w:p w:rsidR="00C20EC5" w:rsidRPr="008507A5" w:rsidRDefault="00C20EC5">
    <w:pPr>
      <w:pStyle w:val="Encabezado"/>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C26D6" w:rsidRDefault="009C03C5" w:rsidP="00CB2DE9">
    <w:pPr>
      <w:pStyle w:val="Encabezado"/>
      <w:jc w:val="center"/>
    </w:pPr>
    <w:r>
      <w:rPr>
        <w:noProof/>
      </w:rPr>
      <w:drawing>
        <wp:anchor distT="0" distB="0" distL="114300" distR="114300" simplePos="0" relativeHeight="251662336" behindDoc="1" locked="0" layoutInCell="1" allowOverlap="1" wp14:anchorId="259672E6" wp14:editId="66A4D954">
          <wp:simplePos x="0" y="0"/>
          <wp:positionH relativeFrom="column">
            <wp:posOffset>-1141095</wp:posOffset>
          </wp:positionH>
          <wp:positionV relativeFrom="paragraph">
            <wp:posOffset>-428269</wp:posOffset>
          </wp:positionV>
          <wp:extent cx="8116620" cy="74615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8241667" cy="757645"/>
                  </a:xfrm>
                  <a:prstGeom prst="rect">
                    <a:avLst/>
                  </a:prstGeom>
                </pic:spPr>
              </pic:pic>
            </a:graphicData>
          </a:graphic>
          <wp14:sizeRelH relativeFrom="margin">
            <wp14:pctWidth>0</wp14:pctWidth>
          </wp14:sizeRelH>
          <wp14:sizeRelV relativeFrom="margin">
            <wp14:pctHeight>0</wp14:pctHeight>
          </wp14:sizeRelV>
        </wp:anchor>
      </w:drawing>
    </w:r>
  </w:p>
  <w:p w:rsidR="008507A5" w:rsidRDefault="008507A5" w:rsidP="00AE3ED0">
    <w:pPr>
      <w:pStyle w:val="Encabezado"/>
      <w:tabs>
        <w:tab w:val="right" w:pos="9214"/>
      </w:tabs>
      <w:ind w:left="-851" w:right="-568"/>
      <w:rPr>
        <w:rFonts w:ascii="Arial" w:hAnsi="Arial" w:cs="Arial"/>
        <w:i/>
        <w:iCs/>
        <w:color w:val="333333"/>
        <w:shd w:val="clear" w:color="auto" w:fill="FFFFFF"/>
      </w:rPr>
    </w:pPr>
  </w:p>
  <w:p w:rsidR="001015B2" w:rsidRDefault="001015B2" w:rsidP="00EA5A28">
    <w:pPr>
      <w:pStyle w:val="Encabezado"/>
      <w:tabs>
        <w:tab w:val="right" w:pos="9214"/>
      </w:tabs>
      <w:ind w:right="-568"/>
      <w:rPr>
        <w:rFonts w:ascii="Arial" w:hAnsi="Arial" w:cs="Arial"/>
        <w:i/>
        <w:iCs/>
        <w:color w:val="333333"/>
        <w:sz w:val="22"/>
        <w:szCs w:val="22"/>
        <w:shd w:val="clear" w:color="auto" w:fill="FFFFFF"/>
      </w:rPr>
    </w:pPr>
  </w:p>
  <w:p w:rsidR="00EA5A28" w:rsidRDefault="00EA5A28" w:rsidP="00AE3ED0">
    <w:pPr>
      <w:pStyle w:val="Encabezado"/>
      <w:tabs>
        <w:tab w:val="right" w:pos="9214"/>
      </w:tabs>
      <w:ind w:left="-851" w:right="-568"/>
      <w:rPr>
        <w:rFonts w:ascii="Arial" w:hAnsi="Arial" w:cs="Arial"/>
        <w:i/>
        <w:iCs/>
        <w:color w:val="333333"/>
        <w:sz w:val="22"/>
        <w:szCs w:val="22"/>
        <w:shd w:val="clear" w:color="auto" w:fill="FFFFFF"/>
      </w:rPr>
    </w:pPr>
  </w:p>
  <w:p w:rsidR="00AE3ED0" w:rsidRPr="008507A5" w:rsidRDefault="00AE3ED0" w:rsidP="00AE3ED0">
    <w:pPr>
      <w:pStyle w:val="Encabezado"/>
      <w:tabs>
        <w:tab w:val="right" w:pos="9214"/>
      </w:tabs>
      <w:ind w:left="-851" w:right="-568"/>
      <w:rPr>
        <w:rFonts w:ascii="Arial" w:hAnsi="Arial" w:cs="Arial"/>
        <w:i/>
        <w:iCs/>
        <w:color w:val="333333"/>
        <w:sz w:val="22"/>
        <w:szCs w:val="22"/>
        <w:shd w:val="clear" w:color="auto" w:fill="FFFFFF"/>
      </w:rPr>
    </w:pPr>
    <w:r w:rsidRPr="008507A5">
      <w:rPr>
        <w:rFonts w:ascii="Arial" w:hAnsi="Arial" w:cs="Arial"/>
        <w:i/>
        <w:iCs/>
        <w:color w:val="333333"/>
        <w:sz w:val="22"/>
        <w:szCs w:val="22"/>
        <w:shd w:val="clear" w:color="auto" w:fill="FFFFFF"/>
      </w:rPr>
      <w:t>Tomás Soley Pérez</w:t>
    </w:r>
  </w:p>
  <w:p w:rsidR="00AE3ED0" w:rsidRPr="008507A5" w:rsidRDefault="00AE3ED0" w:rsidP="00AE3ED0">
    <w:pPr>
      <w:pStyle w:val="Encabezado"/>
      <w:tabs>
        <w:tab w:val="right" w:pos="9214"/>
      </w:tabs>
      <w:ind w:left="-851" w:right="-568"/>
      <w:rPr>
        <w:rFonts w:ascii="Arial" w:hAnsi="Arial" w:cs="Arial"/>
        <w:i/>
        <w:sz w:val="22"/>
        <w:szCs w:val="22"/>
      </w:rPr>
    </w:pPr>
    <w:r w:rsidRPr="008507A5">
      <w:rPr>
        <w:rFonts w:ascii="Arial" w:hAnsi="Arial" w:cs="Arial"/>
        <w:i/>
        <w:sz w:val="22"/>
        <w:szCs w:val="22"/>
      </w:rPr>
      <w:t>Superintendente General de Valores</w:t>
    </w:r>
  </w:p>
  <w:p w:rsidR="00CB2DE9" w:rsidRDefault="00CB2DE9" w:rsidP="00CB2DE9">
    <w:pPr>
      <w:pStyle w:val="Encabezado"/>
    </w:pPr>
  </w:p>
  <w:p w:rsidR="00CB2DE9" w:rsidRPr="00C368EF" w:rsidRDefault="00CB2DE9" w:rsidP="00CB2DE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C482F"/>
    <w:multiLevelType w:val="hybridMultilevel"/>
    <w:tmpl w:val="ADCA9BC8"/>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4E32A0C"/>
    <w:multiLevelType w:val="hybridMultilevel"/>
    <w:tmpl w:val="028C2EEA"/>
    <w:lvl w:ilvl="0" w:tplc="0CCC61C8">
      <w:start w:val="1"/>
      <w:numFmt w:val="decimal"/>
      <w:pStyle w:val="Numeracin"/>
      <w:lvlText w:val="%1."/>
      <w:lvlJc w:val="left"/>
      <w:pPr>
        <w:ind w:left="1636" w:hanging="360"/>
      </w:pPr>
      <w:rPr>
        <w:color w:val="auto"/>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 w15:restartNumberingAfterBreak="0">
    <w:nsid w:val="05B9424C"/>
    <w:multiLevelType w:val="hybridMultilevel"/>
    <w:tmpl w:val="441658C0"/>
    <w:lvl w:ilvl="0" w:tplc="140A0011">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F5B3F22"/>
    <w:multiLevelType w:val="hybridMultilevel"/>
    <w:tmpl w:val="A39873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4" w15:restartNumberingAfterBreak="0">
    <w:nsid w:val="1DBF641B"/>
    <w:multiLevelType w:val="hybridMultilevel"/>
    <w:tmpl w:val="057E1BB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5" w15:restartNumberingAfterBreak="0">
    <w:nsid w:val="286263CC"/>
    <w:multiLevelType w:val="hybridMultilevel"/>
    <w:tmpl w:val="E78EF258"/>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6" w15:restartNumberingAfterBreak="0">
    <w:nsid w:val="2C21213C"/>
    <w:multiLevelType w:val="hybridMultilevel"/>
    <w:tmpl w:val="99A60DB6"/>
    <w:lvl w:ilvl="0" w:tplc="85F81792">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A853B36"/>
    <w:multiLevelType w:val="hybridMultilevel"/>
    <w:tmpl w:val="A378AF22"/>
    <w:lvl w:ilvl="0" w:tplc="5F4C3FDC">
      <w:start w:val="1"/>
      <w:numFmt w:val="upperRoman"/>
      <w:lvlText w:val="%1."/>
      <w:lvlJc w:val="left"/>
      <w:pPr>
        <w:tabs>
          <w:tab w:val="num" w:pos="180"/>
        </w:tabs>
        <w:ind w:left="180" w:hanging="180"/>
      </w:pPr>
      <w:rPr>
        <w:rFonts w:hint="default"/>
        <w:b w:val="0"/>
        <w:bCs w:val="0"/>
        <w:color w:val="auto"/>
      </w:rPr>
    </w:lvl>
    <w:lvl w:ilvl="1" w:tplc="5C42D710">
      <w:start w:val="1"/>
      <w:numFmt w:val="lowerLetter"/>
      <w:lvlText w:val="%2."/>
      <w:lvlJc w:val="left"/>
      <w:pPr>
        <w:tabs>
          <w:tab w:val="num" w:pos="1440"/>
        </w:tabs>
        <w:ind w:left="1440" w:hanging="360"/>
      </w:pPr>
      <w:rPr>
        <w:rFonts w:hint="default"/>
      </w:rPr>
    </w:lvl>
    <w:lvl w:ilvl="2" w:tplc="88382F8C">
      <w:start w:val="1"/>
      <w:numFmt w:val="decimal"/>
      <w:lvlText w:val="%3"/>
      <w:lvlJc w:val="left"/>
      <w:pPr>
        <w:tabs>
          <w:tab w:val="num" w:pos="2340"/>
        </w:tabs>
        <w:ind w:left="2340" w:hanging="360"/>
      </w:pPr>
      <w:rPr>
        <w:rFonts w:hint="default"/>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B421750"/>
    <w:multiLevelType w:val="hybridMultilevel"/>
    <w:tmpl w:val="2D78B9A2"/>
    <w:lvl w:ilvl="0" w:tplc="D86097A0">
      <w:start w:val="1"/>
      <w:numFmt w:val="upperRoman"/>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475F48D4"/>
    <w:multiLevelType w:val="hybridMultilevel"/>
    <w:tmpl w:val="019C09DE"/>
    <w:lvl w:ilvl="0" w:tplc="140A0013">
      <w:start w:val="1"/>
      <w:numFmt w:val="upperRoman"/>
      <w:lvlText w:val="%1."/>
      <w:lvlJc w:val="right"/>
      <w:pPr>
        <w:tabs>
          <w:tab w:val="num" w:pos="1080"/>
        </w:tabs>
        <w:ind w:left="1080" w:hanging="720"/>
      </w:pPr>
      <w:rPr>
        <w:rFonts w:hint="default"/>
        <w:b/>
      </w:rPr>
    </w:lvl>
    <w:lvl w:ilvl="1" w:tplc="140A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9D6722"/>
    <w:multiLevelType w:val="hybridMultilevel"/>
    <w:tmpl w:val="BB52A874"/>
    <w:lvl w:ilvl="0" w:tplc="AB822032">
      <w:start w:val="1"/>
      <w:numFmt w:val="decimal"/>
      <w:lvlText w:val="%1."/>
      <w:lvlJc w:val="left"/>
      <w:pPr>
        <w:ind w:left="786" w:hanging="360"/>
      </w:pPr>
      <w:rPr>
        <w:rFonts w:hint="default"/>
        <w:b w:val="0"/>
        <w:bCs w:val="0"/>
        <w:color w:val="auto"/>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55491843"/>
    <w:multiLevelType w:val="hybridMultilevel"/>
    <w:tmpl w:val="D2BC10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7424A67"/>
    <w:multiLevelType w:val="hybridMultilevel"/>
    <w:tmpl w:val="2A6E14F2"/>
    <w:lvl w:ilvl="0" w:tplc="FDBE17B0">
      <w:start w:val="7"/>
      <w:numFmt w:val="lowerLetter"/>
      <w:lvlText w:val="%1)"/>
      <w:lvlJc w:val="left"/>
      <w:pPr>
        <w:ind w:left="720" w:hanging="360"/>
      </w:pPr>
      <w:rPr>
        <w:rFonts w:ascii="Arial" w:hAnsi="Arial" w:hint="default"/>
        <w:b w:val="0"/>
        <w:i w:val="0"/>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6AAC087D"/>
    <w:multiLevelType w:val="hybridMultilevel"/>
    <w:tmpl w:val="C1BE5262"/>
    <w:lvl w:ilvl="0" w:tplc="140A0017">
      <w:start w:val="1"/>
      <w:numFmt w:val="lowerLetter"/>
      <w:lvlText w:val="%1)"/>
      <w:lvlJc w:val="left"/>
      <w:pPr>
        <w:ind w:left="1260" w:hanging="360"/>
      </w:pPr>
      <w:rPr>
        <w:rFonts w:hint="default"/>
      </w:rPr>
    </w:lvl>
    <w:lvl w:ilvl="1" w:tplc="140A0003" w:tentative="1">
      <w:start w:val="1"/>
      <w:numFmt w:val="bullet"/>
      <w:lvlText w:val="o"/>
      <w:lvlJc w:val="left"/>
      <w:pPr>
        <w:ind w:left="1980" w:hanging="360"/>
      </w:pPr>
      <w:rPr>
        <w:rFonts w:ascii="Courier New" w:hAnsi="Courier New" w:cs="Courier New" w:hint="default"/>
      </w:rPr>
    </w:lvl>
    <w:lvl w:ilvl="2" w:tplc="140A0005" w:tentative="1">
      <w:start w:val="1"/>
      <w:numFmt w:val="bullet"/>
      <w:lvlText w:val=""/>
      <w:lvlJc w:val="left"/>
      <w:pPr>
        <w:ind w:left="2700" w:hanging="360"/>
      </w:pPr>
      <w:rPr>
        <w:rFonts w:ascii="Wingdings" w:hAnsi="Wingdings" w:hint="default"/>
      </w:rPr>
    </w:lvl>
    <w:lvl w:ilvl="3" w:tplc="140A0001" w:tentative="1">
      <w:start w:val="1"/>
      <w:numFmt w:val="bullet"/>
      <w:lvlText w:val=""/>
      <w:lvlJc w:val="left"/>
      <w:pPr>
        <w:ind w:left="3420" w:hanging="360"/>
      </w:pPr>
      <w:rPr>
        <w:rFonts w:ascii="Symbol" w:hAnsi="Symbol" w:hint="default"/>
      </w:rPr>
    </w:lvl>
    <w:lvl w:ilvl="4" w:tplc="140A0003" w:tentative="1">
      <w:start w:val="1"/>
      <w:numFmt w:val="bullet"/>
      <w:lvlText w:val="o"/>
      <w:lvlJc w:val="left"/>
      <w:pPr>
        <w:ind w:left="4140" w:hanging="360"/>
      </w:pPr>
      <w:rPr>
        <w:rFonts w:ascii="Courier New" w:hAnsi="Courier New" w:cs="Courier New" w:hint="default"/>
      </w:rPr>
    </w:lvl>
    <w:lvl w:ilvl="5" w:tplc="140A0005" w:tentative="1">
      <w:start w:val="1"/>
      <w:numFmt w:val="bullet"/>
      <w:lvlText w:val=""/>
      <w:lvlJc w:val="left"/>
      <w:pPr>
        <w:ind w:left="4860" w:hanging="360"/>
      </w:pPr>
      <w:rPr>
        <w:rFonts w:ascii="Wingdings" w:hAnsi="Wingdings" w:hint="default"/>
      </w:rPr>
    </w:lvl>
    <w:lvl w:ilvl="6" w:tplc="140A0001" w:tentative="1">
      <w:start w:val="1"/>
      <w:numFmt w:val="bullet"/>
      <w:lvlText w:val=""/>
      <w:lvlJc w:val="left"/>
      <w:pPr>
        <w:ind w:left="5580" w:hanging="360"/>
      </w:pPr>
      <w:rPr>
        <w:rFonts w:ascii="Symbol" w:hAnsi="Symbol" w:hint="default"/>
      </w:rPr>
    </w:lvl>
    <w:lvl w:ilvl="7" w:tplc="140A0003" w:tentative="1">
      <w:start w:val="1"/>
      <w:numFmt w:val="bullet"/>
      <w:lvlText w:val="o"/>
      <w:lvlJc w:val="left"/>
      <w:pPr>
        <w:ind w:left="6300" w:hanging="360"/>
      </w:pPr>
      <w:rPr>
        <w:rFonts w:ascii="Courier New" w:hAnsi="Courier New" w:cs="Courier New" w:hint="default"/>
      </w:rPr>
    </w:lvl>
    <w:lvl w:ilvl="8" w:tplc="140A0005" w:tentative="1">
      <w:start w:val="1"/>
      <w:numFmt w:val="bullet"/>
      <w:lvlText w:val=""/>
      <w:lvlJc w:val="left"/>
      <w:pPr>
        <w:ind w:left="7020" w:hanging="360"/>
      </w:pPr>
      <w:rPr>
        <w:rFonts w:ascii="Wingdings" w:hAnsi="Wingdings" w:hint="default"/>
      </w:rPr>
    </w:lvl>
  </w:abstractNum>
  <w:abstractNum w:abstractNumId="14" w15:restartNumberingAfterBreak="0">
    <w:nsid w:val="6AD41E7A"/>
    <w:multiLevelType w:val="hybridMultilevel"/>
    <w:tmpl w:val="3BE2AA3A"/>
    <w:lvl w:ilvl="0" w:tplc="745C6D8C">
      <w:start w:val="1"/>
      <w:numFmt w:val="upperRoman"/>
      <w:lvlText w:val="%1."/>
      <w:lvlJc w:val="left"/>
      <w:pPr>
        <w:ind w:left="1080" w:hanging="72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6C000ED0"/>
    <w:multiLevelType w:val="hybridMultilevel"/>
    <w:tmpl w:val="FE8284F4"/>
    <w:lvl w:ilvl="0" w:tplc="BC3E2494">
      <w:start w:val="1"/>
      <w:numFmt w:val="lowerLetter"/>
      <w:lvlText w:val="%1)"/>
      <w:lvlJc w:val="left"/>
      <w:pPr>
        <w:ind w:left="720" w:hanging="360"/>
      </w:pPr>
      <w:rPr>
        <w:rFonts w:ascii="Arial" w:hAnsi="Arial" w:hint="default"/>
        <w:b w:val="0"/>
        <w:i w:val="0"/>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7734669D"/>
    <w:multiLevelType w:val="hybridMultilevel"/>
    <w:tmpl w:val="D2BC10CE"/>
    <w:lvl w:ilvl="0" w:tplc="140A0017">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550927129">
    <w:abstractNumId w:val="9"/>
  </w:num>
  <w:num w:numId="2" w16cid:durableId="96755781">
    <w:abstractNumId w:val="6"/>
  </w:num>
  <w:num w:numId="3" w16cid:durableId="1832603591">
    <w:abstractNumId w:val="14"/>
  </w:num>
  <w:num w:numId="4" w16cid:durableId="488063643">
    <w:abstractNumId w:val="13"/>
  </w:num>
  <w:num w:numId="5" w16cid:durableId="635140846">
    <w:abstractNumId w:val="3"/>
  </w:num>
  <w:num w:numId="6" w16cid:durableId="178011935">
    <w:abstractNumId w:val="5"/>
  </w:num>
  <w:num w:numId="7" w16cid:durableId="1876697737">
    <w:abstractNumId w:val="4"/>
  </w:num>
  <w:num w:numId="8" w16cid:durableId="318852005">
    <w:abstractNumId w:val="0"/>
  </w:num>
  <w:num w:numId="9" w16cid:durableId="663819387">
    <w:abstractNumId w:val="7"/>
  </w:num>
  <w:num w:numId="10" w16cid:durableId="1867131672">
    <w:abstractNumId w:val="10"/>
  </w:num>
  <w:num w:numId="11" w16cid:durableId="1808164648">
    <w:abstractNumId w:val="1"/>
  </w:num>
  <w:num w:numId="12" w16cid:durableId="1627546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2270102">
    <w:abstractNumId w:val="8"/>
  </w:num>
  <w:num w:numId="14" w16cid:durableId="182868047">
    <w:abstractNumId w:val="2"/>
  </w:num>
  <w:num w:numId="15" w16cid:durableId="1074937359">
    <w:abstractNumId w:val="16"/>
  </w:num>
  <w:num w:numId="16" w16cid:durableId="2043288456">
    <w:abstractNumId w:val="11"/>
  </w:num>
  <w:num w:numId="17" w16cid:durableId="2108033792">
    <w:abstractNumId w:val="15"/>
  </w:num>
  <w:num w:numId="18" w16cid:durableId="1685673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E38"/>
    <w:rsid w:val="00014673"/>
    <w:rsid w:val="00024873"/>
    <w:rsid w:val="000356FF"/>
    <w:rsid w:val="00052C17"/>
    <w:rsid w:val="00052EB9"/>
    <w:rsid w:val="000803EA"/>
    <w:rsid w:val="000859C1"/>
    <w:rsid w:val="000924A5"/>
    <w:rsid w:val="00096CCC"/>
    <w:rsid w:val="000A2997"/>
    <w:rsid w:val="000B3882"/>
    <w:rsid w:val="000C0440"/>
    <w:rsid w:val="000C3FBD"/>
    <w:rsid w:val="000C675D"/>
    <w:rsid w:val="000D2FBC"/>
    <w:rsid w:val="000D6CE8"/>
    <w:rsid w:val="000F3E8F"/>
    <w:rsid w:val="001015B2"/>
    <w:rsid w:val="00102914"/>
    <w:rsid w:val="00104F74"/>
    <w:rsid w:val="0011015B"/>
    <w:rsid w:val="00117075"/>
    <w:rsid w:val="001323C8"/>
    <w:rsid w:val="00147DD1"/>
    <w:rsid w:val="001824FF"/>
    <w:rsid w:val="00182992"/>
    <w:rsid w:val="00185EA8"/>
    <w:rsid w:val="0019266D"/>
    <w:rsid w:val="001A6211"/>
    <w:rsid w:val="001D1C7E"/>
    <w:rsid w:val="001D4F62"/>
    <w:rsid w:val="001F6B07"/>
    <w:rsid w:val="00201A06"/>
    <w:rsid w:val="00236B60"/>
    <w:rsid w:val="00237DE9"/>
    <w:rsid w:val="00261300"/>
    <w:rsid w:val="0026449D"/>
    <w:rsid w:val="00272829"/>
    <w:rsid w:val="002731A3"/>
    <w:rsid w:val="002732CC"/>
    <w:rsid w:val="0027344D"/>
    <w:rsid w:val="00282E0D"/>
    <w:rsid w:val="002C7379"/>
    <w:rsid w:val="002D3E75"/>
    <w:rsid w:val="002E179D"/>
    <w:rsid w:val="002E5094"/>
    <w:rsid w:val="003117AF"/>
    <w:rsid w:val="00317F82"/>
    <w:rsid w:val="00321567"/>
    <w:rsid w:val="00321985"/>
    <w:rsid w:val="00322B3D"/>
    <w:rsid w:val="003418F4"/>
    <w:rsid w:val="00346E57"/>
    <w:rsid w:val="00347B62"/>
    <w:rsid w:val="0035557C"/>
    <w:rsid w:val="00360579"/>
    <w:rsid w:val="003612ED"/>
    <w:rsid w:val="00380AE8"/>
    <w:rsid w:val="00384131"/>
    <w:rsid w:val="00384C66"/>
    <w:rsid w:val="00387E52"/>
    <w:rsid w:val="0039334B"/>
    <w:rsid w:val="00394C88"/>
    <w:rsid w:val="00396B8C"/>
    <w:rsid w:val="003A1012"/>
    <w:rsid w:val="003A64DD"/>
    <w:rsid w:val="003C62A3"/>
    <w:rsid w:val="003D2665"/>
    <w:rsid w:val="003D4D1C"/>
    <w:rsid w:val="003D690B"/>
    <w:rsid w:val="003E0525"/>
    <w:rsid w:val="003E2D38"/>
    <w:rsid w:val="00402782"/>
    <w:rsid w:val="00403C78"/>
    <w:rsid w:val="004331E0"/>
    <w:rsid w:val="00452381"/>
    <w:rsid w:val="00456B92"/>
    <w:rsid w:val="004653DA"/>
    <w:rsid w:val="004657B7"/>
    <w:rsid w:val="00471431"/>
    <w:rsid w:val="00472965"/>
    <w:rsid w:val="00477574"/>
    <w:rsid w:val="004819BD"/>
    <w:rsid w:val="0048247B"/>
    <w:rsid w:val="0048488E"/>
    <w:rsid w:val="0049118C"/>
    <w:rsid w:val="00497A67"/>
    <w:rsid w:val="004A6C39"/>
    <w:rsid w:val="004B1858"/>
    <w:rsid w:val="004B4891"/>
    <w:rsid w:val="004B7B1B"/>
    <w:rsid w:val="004F2251"/>
    <w:rsid w:val="004F6B5D"/>
    <w:rsid w:val="004F6EDE"/>
    <w:rsid w:val="00502DBC"/>
    <w:rsid w:val="00502E9E"/>
    <w:rsid w:val="005064C2"/>
    <w:rsid w:val="0051206C"/>
    <w:rsid w:val="00520477"/>
    <w:rsid w:val="00550013"/>
    <w:rsid w:val="00553FC5"/>
    <w:rsid w:val="005674CB"/>
    <w:rsid w:val="00597B93"/>
    <w:rsid w:val="00597F75"/>
    <w:rsid w:val="005B2839"/>
    <w:rsid w:val="005C3D4A"/>
    <w:rsid w:val="005D0073"/>
    <w:rsid w:val="005D5C45"/>
    <w:rsid w:val="005D75A4"/>
    <w:rsid w:val="006051AE"/>
    <w:rsid w:val="0060707E"/>
    <w:rsid w:val="006170CA"/>
    <w:rsid w:val="00630DCC"/>
    <w:rsid w:val="00640B8D"/>
    <w:rsid w:val="00654583"/>
    <w:rsid w:val="00661115"/>
    <w:rsid w:val="006630A5"/>
    <w:rsid w:val="00666033"/>
    <w:rsid w:val="00666925"/>
    <w:rsid w:val="00673C6F"/>
    <w:rsid w:val="006802CA"/>
    <w:rsid w:val="00691A19"/>
    <w:rsid w:val="006B2AFA"/>
    <w:rsid w:val="00710FDF"/>
    <w:rsid w:val="007258AF"/>
    <w:rsid w:val="00747209"/>
    <w:rsid w:val="0077157E"/>
    <w:rsid w:val="007715FF"/>
    <w:rsid w:val="007A134D"/>
    <w:rsid w:val="007A1854"/>
    <w:rsid w:val="007A5AFB"/>
    <w:rsid w:val="007E24B6"/>
    <w:rsid w:val="007F2B5B"/>
    <w:rsid w:val="007F7F4E"/>
    <w:rsid w:val="0080309F"/>
    <w:rsid w:val="00803317"/>
    <w:rsid w:val="00806E8F"/>
    <w:rsid w:val="00813B81"/>
    <w:rsid w:val="00821054"/>
    <w:rsid w:val="008215F2"/>
    <w:rsid w:val="008230EC"/>
    <w:rsid w:val="0083673C"/>
    <w:rsid w:val="00845A76"/>
    <w:rsid w:val="008507A5"/>
    <w:rsid w:val="0086412B"/>
    <w:rsid w:val="00886395"/>
    <w:rsid w:val="00896623"/>
    <w:rsid w:val="008A3DF0"/>
    <w:rsid w:val="008A60FB"/>
    <w:rsid w:val="008B36D7"/>
    <w:rsid w:val="008B4AA5"/>
    <w:rsid w:val="008C5513"/>
    <w:rsid w:val="008D0B23"/>
    <w:rsid w:val="008D2143"/>
    <w:rsid w:val="008D561F"/>
    <w:rsid w:val="008F084A"/>
    <w:rsid w:val="008F2745"/>
    <w:rsid w:val="00921A8E"/>
    <w:rsid w:val="00937935"/>
    <w:rsid w:val="009517FC"/>
    <w:rsid w:val="009A1E0C"/>
    <w:rsid w:val="009C03C5"/>
    <w:rsid w:val="009C26D6"/>
    <w:rsid w:val="009C50CC"/>
    <w:rsid w:val="009D24FC"/>
    <w:rsid w:val="009D5923"/>
    <w:rsid w:val="009D6A39"/>
    <w:rsid w:val="009D6E38"/>
    <w:rsid w:val="00A03A11"/>
    <w:rsid w:val="00A127C9"/>
    <w:rsid w:val="00A134E4"/>
    <w:rsid w:val="00A1437E"/>
    <w:rsid w:val="00A279CC"/>
    <w:rsid w:val="00A313BC"/>
    <w:rsid w:val="00A35411"/>
    <w:rsid w:val="00A43CC5"/>
    <w:rsid w:val="00A56811"/>
    <w:rsid w:val="00A625E8"/>
    <w:rsid w:val="00A72336"/>
    <w:rsid w:val="00A765DF"/>
    <w:rsid w:val="00A80340"/>
    <w:rsid w:val="00A8144C"/>
    <w:rsid w:val="00AA7FB0"/>
    <w:rsid w:val="00AB468D"/>
    <w:rsid w:val="00AC09DE"/>
    <w:rsid w:val="00AE20D5"/>
    <w:rsid w:val="00AE3ED0"/>
    <w:rsid w:val="00AF62BE"/>
    <w:rsid w:val="00AF6C49"/>
    <w:rsid w:val="00B2466C"/>
    <w:rsid w:val="00B3105A"/>
    <w:rsid w:val="00B401C2"/>
    <w:rsid w:val="00B43615"/>
    <w:rsid w:val="00B53206"/>
    <w:rsid w:val="00B754F8"/>
    <w:rsid w:val="00BA7766"/>
    <w:rsid w:val="00BB034D"/>
    <w:rsid w:val="00BB4DA3"/>
    <w:rsid w:val="00BD0403"/>
    <w:rsid w:val="00BD4AEE"/>
    <w:rsid w:val="00BE0BCD"/>
    <w:rsid w:val="00BE1CF8"/>
    <w:rsid w:val="00BE4A2D"/>
    <w:rsid w:val="00BF1B48"/>
    <w:rsid w:val="00BF645B"/>
    <w:rsid w:val="00C01223"/>
    <w:rsid w:val="00C04049"/>
    <w:rsid w:val="00C074E1"/>
    <w:rsid w:val="00C20EC5"/>
    <w:rsid w:val="00C305C4"/>
    <w:rsid w:val="00C368EF"/>
    <w:rsid w:val="00C4060B"/>
    <w:rsid w:val="00C4523A"/>
    <w:rsid w:val="00C51B43"/>
    <w:rsid w:val="00C6058A"/>
    <w:rsid w:val="00C77F4C"/>
    <w:rsid w:val="00C80A77"/>
    <w:rsid w:val="00C8420C"/>
    <w:rsid w:val="00C853B7"/>
    <w:rsid w:val="00C8675F"/>
    <w:rsid w:val="00CB19C9"/>
    <w:rsid w:val="00CB244B"/>
    <w:rsid w:val="00CB2DE9"/>
    <w:rsid w:val="00CB2E9D"/>
    <w:rsid w:val="00CB3BA9"/>
    <w:rsid w:val="00CD589E"/>
    <w:rsid w:val="00CE133D"/>
    <w:rsid w:val="00CE5D99"/>
    <w:rsid w:val="00D00206"/>
    <w:rsid w:val="00D021FF"/>
    <w:rsid w:val="00D10466"/>
    <w:rsid w:val="00D135C6"/>
    <w:rsid w:val="00D17348"/>
    <w:rsid w:val="00D24499"/>
    <w:rsid w:val="00D25328"/>
    <w:rsid w:val="00D33A7F"/>
    <w:rsid w:val="00D40411"/>
    <w:rsid w:val="00D43B60"/>
    <w:rsid w:val="00D4413A"/>
    <w:rsid w:val="00D44EE2"/>
    <w:rsid w:val="00D4580F"/>
    <w:rsid w:val="00D77CEE"/>
    <w:rsid w:val="00D833D2"/>
    <w:rsid w:val="00D92E5D"/>
    <w:rsid w:val="00DB01B7"/>
    <w:rsid w:val="00DB65C8"/>
    <w:rsid w:val="00DE32A3"/>
    <w:rsid w:val="00DF1CF2"/>
    <w:rsid w:val="00DF4FEE"/>
    <w:rsid w:val="00DF65A7"/>
    <w:rsid w:val="00E46168"/>
    <w:rsid w:val="00E55271"/>
    <w:rsid w:val="00E57E39"/>
    <w:rsid w:val="00E60F72"/>
    <w:rsid w:val="00E64680"/>
    <w:rsid w:val="00E677C6"/>
    <w:rsid w:val="00E72DF1"/>
    <w:rsid w:val="00E75985"/>
    <w:rsid w:val="00E847B5"/>
    <w:rsid w:val="00EA0A5F"/>
    <w:rsid w:val="00EA50EB"/>
    <w:rsid w:val="00EA5A28"/>
    <w:rsid w:val="00EA7642"/>
    <w:rsid w:val="00EB1CE5"/>
    <w:rsid w:val="00EB2D7B"/>
    <w:rsid w:val="00EB2DC4"/>
    <w:rsid w:val="00EC7111"/>
    <w:rsid w:val="00EE3D46"/>
    <w:rsid w:val="00EE4CD8"/>
    <w:rsid w:val="00EE76EA"/>
    <w:rsid w:val="00F05594"/>
    <w:rsid w:val="00F164F9"/>
    <w:rsid w:val="00F26D06"/>
    <w:rsid w:val="00F315B9"/>
    <w:rsid w:val="00F52363"/>
    <w:rsid w:val="00F613C2"/>
    <w:rsid w:val="00F857A3"/>
    <w:rsid w:val="00FA004A"/>
    <w:rsid w:val="00FA1985"/>
    <w:rsid w:val="00FA2FBD"/>
    <w:rsid w:val="00FC0407"/>
    <w:rsid w:val="00FD6B45"/>
    <w:rsid w:val="00FD6B7F"/>
    <w:rsid w:val="00FE2B93"/>
    <w:rsid w:val="00FE7E89"/>
    <w:rsid w:val="00FF5D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F63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E38"/>
    <w:pPr>
      <w:spacing w:after="0" w:line="240" w:lineRule="auto"/>
    </w:pPr>
    <w:rPr>
      <w:rFonts w:ascii="Times New Roman" w:eastAsia="Times New Roman" w:hAnsi="Times New Roman" w:cs="Times New Roman"/>
      <w:sz w:val="24"/>
      <w:szCs w:val="20"/>
      <w:lang w:val="es-ES" w:eastAsia="es-ES"/>
    </w:rPr>
  </w:style>
  <w:style w:type="paragraph" w:styleId="Ttulo2">
    <w:name w:val="heading 2"/>
    <w:basedOn w:val="Normal"/>
    <w:next w:val="Normal"/>
    <w:link w:val="Ttulo2Car"/>
    <w:qFormat/>
    <w:rsid w:val="00803317"/>
    <w:pPr>
      <w:keepNext/>
      <w:ind w:left="708" w:hanging="708"/>
      <w:jc w:val="both"/>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9D6E38"/>
    <w:rPr>
      <w:color w:val="0000FF"/>
      <w:u w:val="single"/>
    </w:rPr>
  </w:style>
  <w:style w:type="paragraph" w:styleId="Encabezado">
    <w:name w:val="header"/>
    <w:basedOn w:val="Normal"/>
    <w:link w:val="EncabezadoCar"/>
    <w:rsid w:val="009D6E38"/>
    <w:pPr>
      <w:tabs>
        <w:tab w:val="center" w:pos="4419"/>
        <w:tab w:val="right" w:pos="8838"/>
      </w:tabs>
    </w:pPr>
  </w:style>
  <w:style w:type="character" w:customStyle="1" w:styleId="EncabezadoCar">
    <w:name w:val="Encabezado Car"/>
    <w:basedOn w:val="Fuentedeprrafopredeter"/>
    <w:link w:val="Encabezado"/>
    <w:rsid w:val="009D6E38"/>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9D6E38"/>
    <w:pPr>
      <w:tabs>
        <w:tab w:val="center" w:pos="4419"/>
        <w:tab w:val="right" w:pos="8838"/>
      </w:tabs>
    </w:pPr>
  </w:style>
  <w:style w:type="character" w:customStyle="1" w:styleId="PiedepginaCar">
    <w:name w:val="Pie de página Car"/>
    <w:basedOn w:val="Fuentedeprrafopredeter"/>
    <w:link w:val="Piedepgina"/>
    <w:rsid w:val="009D6E38"/>
    <w:rPr>
      <w:rFonts w:ascii="Times New Roman" w:eastAsia="Times New Roman" w:hAnsi="Times New Roman" w:cs="Times New Roman"/>
      <w:sz w:val="24"/>
      <w:szCs w:val="20"/>
      <w:lang w:val="es-ES" w:eastAsia="es-ES"/>
    </w:rPr>
  </w:style>
  <w:style w:type="paragraph" w:styleId="Textodeglobo">
    <w:name w:val="Balloon Text"/>
    <w:basedOn w:val="Normal"/>
    <w:link w:val="TextodegloboCar"/>
    <w:uiPriority w:val="99"/>
    <w:semiHidden/>
    <w:unhideWhenUsed/>
    <w:rsid w:val="0083673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73C"/>
    <w:rPr>
      <w:rFonts w:ascii="Segoe UI" w:eastAsia="Times New Roman" w:hAnsi="Segoe UI" w:cs="Segoe UI"/>
      <w:sz w:val="18"/>
      <w:szCs w:val="18"/>
      <w:lang w:val="es-ES" w:eastAsia="es-ES"/>
    </w:rPr>
  </w:style>
  <w:style w:type="character" w:customStyle="1" w:styleId="Ttulo2Car">
    <w:name w:val="Título 2 Car"/>
    <w:basedOn w:val="Fuentedeprrafopredeter"/>
    <w:link w:val="Ttulo2"/>
    <w:rsid w:val="00803317"/>
    <w:rPr>
      <w:rFonts w:ascii="Times New Roman" w:eastAsia="Times New Roman" w:hAnsi="Times New Roman" w:cs="Times New Roman"/>
      <w:sz w:val="24"/>
      <w:szCs w:val="20"/>
      <w:lang w:val="es-ES" w:eastAsia="es-ES"/>
    </w:rPr>
  </w:style>
  <w:style w:type="paragraph" w:styleId="Prrafodelista">
    <w:name w:val="List Paragraph"/>
    <w:aliases w:val="Titulo 2,Párrafo de Informe de Auditoría,Informe,Con viñetas,Normal con viñetas,3,Use Case List Paragraph,Bullet 1,List Paragraph 1,Numbered List Paragraph,Main numbered paragraph,Bullets,List Paragraph (numbered (a)),Akapit z listą BS"/>
    <w:basedOn w:val="Normal"/>
    <w:link w:val="PrrafodelistaCar"/>
    <w:uiPriority w:val="34"/>
    <w:qFormat/>
    <w:rsid w:val="00BD0403"/>
    <w:pPr>
      <w:spacing w:after="200" w:line="276" w:lineRule="auto"/>
      <w:ind w:left="720"/>
      <w:contextualSpacing/>
    </w:pPr>
    <w:rPr>
      <w:rFonts w:asciiTheme="minorHAnsi" w:eastAsiaTheme="minorHAnsi" w:hAnsiTheme="minorHAnsi" w:cstheme="minorBidi"/>
      <w:sz w:val="22"/>
      <w:szCs w:val="22"/>
      <w:lang w:val="en-US" w:eastAsia="en-US"/>
    </w:rPr>
  </w:style>
  <w:style w:type="character" w:customStyle="1" w:styleId="PrrafodelistaCar">
    <w:name w:val="Párrafo de lista Car"/>
    <w:aliases w:val="Titulo 2 Car,Párrafo de Informe de Auditoría Car,Informe Car,Con viñetas Car,Normal con viñetas Car,3 Car,Use Case List Paragraph Car,Bullet 1 Car,List Paragraph 1 Car,Numbered List Paragraph Car,Main numbered paragraph Car"/>
    <w:link w:val="Prrafodelista"/>
    <w:uiPriority w:val="34"/>
    <w:qFormat/>
    <w:locked/>
    <w:rsid w:val="00BD0403"/>
    <w:rPr>
      <w:lang w:val="en-US"/>
    </w:rPr>
  </w:style>
  <w:style w:type="paragraph" w:customStyle="1" w:styleId="Numeracin">
    <w:name w:val="Numeración"/>
    <w:basedOn w:val="Normal"/>
    <w:qFormat/>
    <w:rsid w:val="004F2251"/>
    <w:pPr>
      <w:numPr>
        <w:numId w:val="11"/>
      </w:numPr>
      <w:spacing w:before="120"/>
      <w:jc w:val="both"/>
    </w:pPr>
    <w:rPr>
      <w:sz w:val="22"/>
      <w:szCs w:val="24"/>
    </w:rPr>
  </w:style>
  <w:style w:type="character" w:styleId="Textodelmarcadordeposicin">
    <w:name w:val="Placeholder Text"/>
    <w:basedOn w:val="Fuentedeprrafopredeter"/>
    <w:uiPriority w:val="99"/>
    <w:semiHidden/>
    <w:rsid w:val="00B3105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orreo@sugeval.fi.c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correo@sugeval.fi.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93414DE8A146359A81E2ADB0073115"/>
        <w:category>
          <w:name w:val="General"/>
          <w:gallery w:val="placeholder"/>
        </w:category>
        <w:types>
          <w:type w:val="bbPlcHdr"/>
        </w:types>
        <w:behaviors>
          <w:behavior w:val="content"/>
        </w:behaviors>
        <w:guid w:val="{FB6BC186-F216-4FC8-AF8C-191BDAC542C2}"/>
      </w:docPartPr>
      <w:docPartBody>
        <w:p w:rsidR="004F7985" w:rsidRDefault="004F7985">
          <w:r w:rsidRPr="00431CAE">
            <w:rPr>
              <w:rStyle w:val="Textodelmarcadordeposicin"/>
            </w:rPr>
            <w:t>[Consecutivo Interno]</w:t>
          </w:r>
        </w:p>
      </w:docPartBody>
    </w:docPart>
    <w:docPart>
      <w:docPartPr>
        <w:name w:val="C8A6597C799E47E789B68C8E0D38EA23"/>
        <w:category>
          <w:name w:val="General"/>
          <w:gallery w:val="placeholder"/>
        </w:category>
        <w:types>
          <w:type w:val="bbPlcHdr"/>
        </w:types>
        <w:behaviors>
          <w:behavior w:val="content"/>
        </w:behaviors>
        <w:guid w:val="{42FDBC23-3198-4F13-B070-695BCE3375F0}"/>
      </w:docPartPr>
      <w:docPartBody>
        <w:p w:rsidR="004F7985" w:rsidRDefault="004F7985">
          <w:r w:rsidRPr="00431CAE">
            <w:rPr>
              <w:rStyle w:val="Textodelmarcadordeposicin"/>
            </w:rPr>
            <w:t>[Periodo]</w:t>
          </w:r>
        </w:p>
      </w:docPartBody>
    </w:docPart>
    <w:docPart>
      <w:docPartPr>
        <w:name w:val="98F74742735949D497701469FA99F653"/>
        <w:category>
          <w:name w:val="General"/>
          <w:gallery w:val="placeholder"/>
        </w:category>
        <w:types>
          <w:type w:val="bbPlcHdr"/>
        </w:types>
        <w:behaviors>
          <w:behavior w:val="content"/>
        </w:behaviors>
        <w:guid w:val="{4D282249-B611-4F51-BE80-D456A95E71DB}"/>
      </w:docPartPr>
      <w:docPartBody>
        <w:p w:rsidR="00E04E75" w:rsidRDefault="00E04E75">
          <w:r w:rsidRPr="00BD042D">
            <w:rPr>
              <w:rStyle w:val="Textodelmarcadordeposicin"/>
            </w:rPr>
            <w:t>[Consecutivo]</w:t>
          </w:r>
        </w:p>
      </w:docPartBody>
    </w:docPart>
    <w:docPart>
      <w:docPartPr>
        <w:name w:val="AE905498B1E84D2DB3235C551CFCD131"/>
        <w:category>
          <w:name w:val="General"/>
          <w:gallery w:val="placeholder"/>
        </w:category>
        <w:types>
          <w:type w:val="bbPlcHdr"/>
        </w:types>
        <w:behaviors>
          <w:behavior w:val="content"/>
        </w:behaviors>
        <w:guid w:val="{9849EB22-1851-4699-92E5-2157FC5919DB}"/>
      </w:docPartPr>
      <w:docPartBody>
        <w:p w:rsidR="00CB673A" w:rsidRDefault="007B7494" w:rsidP="007B7494">
          <w:pPr>
            <w:pStyle w:val="AE905498B1E84D2DB3235C551CFCD131"/>
          </w:pPr>
          <w:r w:rsidRPr="00C17DF1">
            <w:rPr>
              <w:rStyle w:val="Textodelmarcadordeposicin"/>
            </w:rPr>
            <w:t>[Consecutivo Interno]</w:t>
          </w:r>
        </w:p>
      </w:docPartBody>
    </w:docPart>
    <w:docPart>
      <w:docPartPr>
        <w:name w:val="E44DDD8A0D1C4BE397FDFBBF09A5A819"/>
        <w:category>
          <w:name w:val="General"/>
          <w:gallery w:val="placeholder"/>
        </w:category>
        <w:types>
          <w:type w:val="bbPlcHdr"/>
        </w:types>
        <w:behaviors>
          <w:behavior w:val="content"/>
        </w:behaviors>
        <w:guid w:val="{488EE79B-2572-4F3A-8AF3-05AA5ED9F601}"/>
      </w:docPartPr>
      <w:docPartBody>
        <w:p w:rsidR="00CB673A" w:rsidRDefault="007B7494" w:rsidP="007B7494">
          <w:pPr>
            <w:pStyle w:val="E44DDD8A0D1C4BE397FDFBBF09A5A819"/>
          </w:pPr>
          <w:r w:rsidRPr="00C17DF1">
            <w:rPr>
              <w:rStyle w:val="Textodelmarcadordeposicin"/>
            </w:rPr>
            <w:t>[Periodo]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87B"/>
    <w:rsid w:val="00096CCC"/>
    <w:rsid w:val="000F3E8F"/>
    <w:rsid w:val="001323C8"/>
    <w:rsid w:val="00137DFF"/>
    <w:rsid w:val="001A62AE"/>
    <w:rsid w:val="00274AD4"/>
    <w:rsid w:val="002D012B"/>
    <w:rsid w:val="002F3CDD"/>
    <w:rsid w:val="00384805"/>
    <w:rsid w:val="004511A5"/>
    <w:rsid w:val="004F7985"/>
    <w:rsid w:val="00502DBC"/>
    <w:rsid w:val="00582339"/>
    <w:rsid w:val="006051AE"/>
    <w:rsid w:val="0060707E"/>
    <w:rsid w:val="00676D14"/>
    <w:rsid w:val="007B7494"/>
    <w:rsid w:val="007E132C"/>
    <w:rsid w:val="008215F2"/>
    <w:rsid w:val="008A3DF0"/>
    <w:rsid w:val="008B4143"/>
    <w:rsid w:val="008D0252"/>
    <w:rsid w:val="00907281"/>
    <w:rsid w:val="009D5923"/>
    <w:rsid w:val="00B15CAD"/>
    <w:rsid w:val="00B17D5F"/>
    <w:rsid w:val="00B2466C"/>
    <w:rsid w:val="00B457DE"/>
    <w:rsid w:val="00C7387B"/>
    <w:rsid w:val="00C77F4C"/>
    <w:rsid w:val="00CB673A"/>
    <w:rsid w:val="00D021FF"/>
    <w:rsid w:val="00D135C6"/>
    <w:rsid w:val="00D24499"/>
    <w:rsid w:val="00D44EE2"/>
    <w:rsid w:val="00E04E75"/>
    <w:rsid w:val="00F26765"/>
    <w:rsid w:val="00F90DC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B7494"/>
    <w:rPr>
      <w:color w:val="666666"/>
    </w:rPr>
  </w:style>
  <w:style w:type="paragraph" w:customStyle="1" w:styleId="AE905498B1E84D2DB3235C551CFCD131">
    <w:name w:val="AE905498B1E84D2DB3235C551CFCD131"/>
    <w:rsid w:val="007B7494"/>
    <w:pPr>
      <w:spacing w:line="278" w:lineRule="auto"/>
    </w:pPr>
    <w:rPr>
      <w:kern w:val="2"/>
      <w:sz w:val="24"/>
      <w:szCs w:val="24"/>
      <w14:ligatures w14:val="standardContextual"/>
    </w:rPr>
  </w:style>
  <w:style w:type="paragraph" w:customStyle="1" w:styleId="E44DDD8A0D1C4BE397FDFBBF09A5A819">
    <w:name w:val="E44DDD8A0D1C4BE397FDFBBF09A5A819"/>
    <w:rsid w:val="007B74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361f75-b654-42ca-a44c-62c3284acfc9">
      <Terms xmlns="http://schemas.microsoft.com/office/infopath/2007/PartnerControls"/>
    </lcf76f155ced4ddcb4097134ff3c332f>
    <TaxCatchAll xmlns="70ce6b0a-8cae-44d7-bf13-86a314df0ce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2785E07C44598B4EB54A23AE39BCA0CA" ma:contentTypeVersion="14" ma:contentTypeDescription="Crear nuevo documento." ma:contentTypeScope="" ma:versionID="4348568f3c23e1e6d69c353c17037c96">
  <xsd:schema xmlns:xsd="http://www.w3.org/2001/XMLSchema" xmlns:xs="http://www.w3.org/2001/XMLSchema" xmlns:p="http://schemas.microsoft.com/office/2006/metadata/properties" xmlns:ns2="5c361f75-b654-42ca-a44c-62c3284acfc9" xmlns:ns3="70ce6b0a-8cae-44d7-bf13-86a314df0ce4" targetNamespace="http://schemas.microsoft.com/office/2006/metadata/properties" ma:root="true" ma:fieldsID="3e0d40dfaf3cb388518651d2eaac8870" ns2:_="" ns3:_="">
    <xsd:import namespace="5c361f75-b654-42ca-a44c-62c3284acfc9"/>
    <xsd:import namespace="70ce6b0a-8cae-44d7-bf13-86a314df0ce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61f75-b654-42ca-a44c-62c3284ac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Etiquetas de imagen" ma:readOnly="false" ma:fieldId="{5cf76f15-5ced-4ddc-b409-7134ff3c332f}" ma:taxonomyMulti="true" ma:sspId="b0adf84e-870a-453e-bcaf-71f8aafc267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ce6b0a-8cae-44d7-bf13-86a314df0ce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df1753-4a7c-49d3-865b-24fc9cb36639}" ma:internalName="TaxCatchAll" ma:showField="CatchAllData" ma:web="70ce6b0a-8cae-44d7-bf13-86a314df0ce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C07311-202B-4BEC-AFBE-1CC12C23150C}">
  <ds:schemaRefs>
    <ds:schemaRef ds:uri="http://schemas.microsoft.com/office/2006/metadata/properties"/>
    <ds:schemaRef ds:uri="http://schemas.microsoft.com/office/infopath/2007/PartnerControls"/>
    <ds:schemaRef ds:uri="5c361f75-b654-42ca-a44c-62c3284acfc9"/>
    <ds:schemaRef ds:uri="70ce6b0a-8cae-44d7-bf13-86a314df0ce4"/>
  </ds:schemaRefs>
</ds:datastoreItem>
</file>

<file path=customXml/itemProps2.xml><?xml version="1.0" encoding="utf-8"?>
<ds:datastoreItem xmlns:ds="http://schemas.openxmlformats.org/officeDocument/2006/customXml" ds:itemID="{3218E16F-3AC3-4F3C-9AE0-0A742C3A043D}">
  <ds:schemaRefs>
    <ds:schemaRef ds:uri="http://schemas.openxmlformats.org/officeDocument/2006/bibliography"/>
  </ds:schemaRefs>
</ds:datastoreItem>
</file>

<file path=customXml/itemProps3.xml><?xml version="1.0" encoding="utf-8"?>
<ds:datastoreItem xmlns:ds="http://schemas.openxmlformats.org/officeDocument/2006/customXml" ds:itemID="{131475BB-4ED7-4B4F-8640-69C56AA6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61f75-b654-42ca-a44c-62c3284acfc9"/>
    <ds:schemaRef ds:uri="70ce6b0a-8cae-44d7-bf13-86a314df0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DC382C-D9E7-4D29-A0BA-37DAFC440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1560</Words>
  <Characters>8895</Characters>
  <Application>Microsoft Office Word</Application>
  <DocSecurity>0</DocSecurity>
  <Lines>247</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 CHAN ISABEL MARIA</dc:creator>
  <cp:keywords/>
  <dc:description/>
  <cp:lastModifiedBy/>
  <cp:revision>1</cp:revision>
  <dcterms:created xsi:type="dcterms:W3CDTF">2026-10-14T14:41:00Z</dcterms:created>
  <dcterms:modified xsi:type="dcterms:W3CDTF">2026-10-14T14:41:00Z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65048664,2c9722b5,469576e8</vt:lpwstr>
  </property>
  <property fmtid="{D5CDD505-2E9C-101B-9397-08002B2CF9AE}" pid="3" name="ClassificationContentMarkingFooterFontProps">
    <vt:lpwstr>#000000,10,Aptos</vt:lpwstr>
  </property>
  <property fmtid="{D5CDD505-2E9C-101B-9397-08002B2CF9AE}" pid="4" name="ClassificationContentMarkingFooterText">
    <vt:lpwstr>Uso Interno estricto</vt:lpwstr>
  </property>
  <property fmtid="{D5CDD505-2E9C-101B-9397-08002B2CF9AE}" pid="5" name="MSIP_Label_b8b4be34-365a-4a68-b9fb-75c1b6874315_Enabled">
    <vt:lpwstr>true</vt:lpwstr>
  </property>
  <property fmtid="{D5CDD505-2E9C-101B-9397-08002B2CF9AE}" pid="6" name="MSIP_Label_b8b4be34-365a-4a68-b9fb-75c1b6874315_SetDate">
    <vt:lpwstr>2026-03-11T02:11:46Z</vt:lpwstr>
  </property>
  <property fmtid="{D5CDD505-2E9C-101B-9397-08002B2CF9AE}" pid="7" name="MSIP_Label_b8b4be34-365a-4a68-b9fb-75c1b6874315_Method">
    <vt:lpwstr>Standard</vt:lpwstr>
  </property>
  <property fmtid="{D5CDD505-2E9C-101B-9397-08002B2CF9AE}" pid="8" name="MSIP_Label_b8b4be34-365a-4a68-b9fb-75c1b6874315_Name">
    <vt:lpwstr>b8b4be34-365a-4a68-b9fb-75c1b6874315</vt:lpwstr>
  </property>
  <property fmtid="{D5CDD505-2E9C-101B-9397-08002B2CF9AE}" pid="9" name="MSIP_Label_b8b4be34-365a-4a68-b9fb-75c1b6874315_SiteId">
    <vt:lpwstr>618d0a45-25a6-4618-9f80-8f70a435ee52</vt:lpwstr>
  </property>
  <property fmtid="{D5CDD505-2E9C-101B-9397-08002B2CF9AE}" pid="10" name="MSIP_Label_b8b4be34-365a-4a68-b9fb-75c1b6874315_ActionId">
    <vt:lpwstr>aa2c3179-582d-40f5-b2a8-fbe97c1a3d3d</vt:lpwstr>
  </property>
  <property fmtid="{D5CDD505-2E9C-101B-9397-08002B2CF9AE}" pid="11" name="MSIP_Label_b8b4be34-365a-4a68-b9fb-75c1b6874315_ContentBits">
    <vt:lpwstr>2</vt:lpwstr>
  </property>
  <property fmtid="{D5CDD505-2E9C-101B-9397-08002B2CF9AE}" pid="12" name="MSIP_Label_b8b4be34-365a-4a68-b9fb-75c1b6874315_Tag">
    <vt:lpwstr>10, 3, 0, 1</vt:lpwstr>
  </property>
  <property fmtid="{D5CDD505-2E9C-101B-9397-08002B2CF9AE}" pid="13" name="ContentTypeId">
    <vt:lpwstr>0x0101002785E07C44598B4EB54A23AE39BCA0CA</vt:lpwstr>
  </property>
</Properties>
</file>