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7BFCB" w14:textId="4424AF6D" w:rsidR="00960044" w:rsidRPr="00E455C3" w:rsidRDefault="00960044" w:rsidP="00960044">
      <w:pPr>
        <w:spacing w:line="276" w:lineRule="auto"/>
        <w:ind w:right="-193"/>
        <w:jc w:val="both"/>
        <w:rPr>
          <w:rFonts w:ascii="Roboto" w:hAnsi="Roboto" w:cs="Arial"/>
          <w:bCs/>
          <w:szCs w:val="24"/>
        </w:rPr>
      </w:pPr>
      <w:r w:rsidRPr="00E455C3">
        <w:rPr>
          <w:rFonts w:ascii="Roboto" w:hAnsi="Roboto" w:cs="Arial"/>
          <w:b/>
          <w:szCs w:val="24"/>
        </w:rPr>
        <w:t>SGV-A-</w:t>
      </w:r>
      <w:sdt>
        <w:sdtPr>
          <w:rPr>
            <w:rFonts w:ascii="Roboto" w:hAnsi="Roboto" w:cs="Arial"/>
            <w:b/>
            <w:szCs w:val="24"/>
          </w:rPr>
          <w:alias w:val="Consecutivo Interno"/>
          <w:tag w:val="ConsecutivoInterno"/>
          <w:id w:val="1939632274"/>
          <w:placeholder>
            <w:docPart w:val="054C8B57AF4F4C058F8457E1F8BC88F8"/>
          </w:placeholder>
          <w:showingPlcHdr/>
          <w:text/>
        </w:sdtPr>
        <w:sdtEndPr/>
        <w:sdtContent>
          <w:r w:rsidRPr="003D705F">
            <w:rPr>
              <w:rStyle w:val="Textodelmarcadordeposicin"/>
              <w:rFonts w:ascii="Roboto" w:hAnsi="Roboto"/>
              <w:b/>
              <w:color w:val="auto"/>
              <w:szCs w:val="24"/>
            </w:rPr>
            <w:t>14</w:t>
          </w:r>
        </w:sdtContent>
      </w:sdt>
      <w:r w:rsidRPr="003D705F">
        <w:rPr>
          <w:rFonts w:ascii="Roboto" w:hAnsi="Roboto" w:cs="Arial"/>
          <w:b/>
          <w:szCs w:val="24"/>
        </w:rPr>
        <w:t>-</w:t>
      </w:r>
      <w:sdt>
        <w:sdtPr>
          <w:rPr>
            <w:rFonts w:ascii="Roboto" w:hAnsi="Roboto" w:cs="Arial"/>
            <w:b/>
            <w:szCs w:val="24"/>
          </w:rPr>
          <w:alias w:val="Periodo"/>
          <w:tag w:val="Periodo"/>
          <w:id w:val="1738211727"/>
          <w:placeholder>
            <w:docPart w:val="3E5991F51A1748DAA77AB9C02D2E7D90"/>
          </w:placeholder>
          <w:showingPlcHdr/>
          <w:text/>
        </w:sdtPr>
        <w:sdtEndPr/>
        <w:sdtContent>
          <w:r w:rsidRPr="003D705F">
            <w:rPr>
              <w:rStyle w:val="Textodelmarcadordeposicin"/>
              <w:rFonts w:ascii="Roboto" w:hAnsi="Roboto"/>
              <w:b/>
              <w:color w:val="auto"/>
              <w:szCs w:val="24"/>
            </w:rPr>
            <w:t>2026</w:t>
          </w:r>
        </w:sdtContent>
      </w:sdt>
      <w:r w:rsidRPr="003D705F">
        <w:rPr>
          <w:rFonts w:ascii="Roboto" w:hAnsi="Roboto" w:cs="Arial"/>
          <w:b/>
          <w:szCs w:val="24"/>
        </w:rPr>
        <w:t xml:space="preserve">. </w:t>
      </w:r>
      <w:r w:rsidRPr="00E455C3">
        <w:rPr>
          <w:rFonts w:ascii="Roboto" w:hAnsi="Roboto" w:cs="Arial"/>
          <w:b/>
          <w:szCs w:val="24"/>
        </w:rPr>
        <w:t>MODIFICACIÓN AL ACUERDO SGV-A-61 “ACUERDO SOBRE HECHOS RELEVANTES”, ACUERDO SGV-A-75 “SUMINISTRO DE INFORMACIÓN PERIÓDICA”, ACUERDO SGV-A-188 “DIRECTRIZ PARA LA IMPLEMENTACIÓN DEL SISTEMA DE MENSAJERÍA DE DOCUMENTOS ELECTRÓNICOS (MENDOCEL)” Y AL ACUERDO SGV-A-257 “INFORMACIÓN BÁSICA DE LAS ENTIDADES REGULADAS Y SUPERVISADAS POR LA SUPERINTENDENCIA GENERAL DE VALORES”.</w:t>
      </w:r>
      <w:r w:rsidR="006332FA">
        <w:rPr>
          <w:rStyle w:val="Refdenotaalpie"/>
          <w:rFonts w:ascii="Roboto" w:hAnsi="Roboto" w:cs="Arial"/>
          <w:b/>
          <w:szCs w:val="24"/>
        </w:rPr>
        <w:footnoteReference w:id="1"/>
      </w:r>
      <w:r w:rsidRPr="00E455C3">
        <w:rPr>
          <w:rFonts w:ascii="Roboto" w:hAnsi="Roboto" w:cs="Arial"/>
          <w:b/>
          <w:szCs w:val="24"/>
        </w:rPr>
        <w:t xml:space="preserve"> </w:t>
      </w:r>
    </w:p>
    <w:p w14:paraId="3355A2AB" w14:textId="77777777" w:rsidR="00960044" w:rsidRDefault="00960044" w:rsidP="00960044">
      <w:pPr>
        <w:spacing w:line="276" w:lineRule="auto"/>
        <w:ind w:right="-193"/>
        <w:jc w:val="both"/>
        <w:rPr>
          <w:rFonts w:ascii="Roboto" w:hAnsi="Roboto" w:cs="Arial"/>
          <w:b/>
          <w:bCs/>
          <w:szCs w:val="24"/>
        </w:rPr>
      </w:pPr>
    </w:p>
    <w:p w14:paraId="774E3E61" w14:textId="77777777" w:rsidR="00960044" w:rsidRPr="00C4221E" w:rsidRDefault="00960044" w:rsidP="00960044">
      <w:pPr>
        <w:spacing w:line="276" w:lineRule="auto"/>
        <w:ind w:right="-193"/>
        <w:jc w:val="both"/>
        <w:rPr>
          <w:rFonts w:ascii="Roboto" w:hAnsi="Roboto" w:cs="Arial"/>
          <w:b/>
          <w:bCs/>
        </w:rPr>
      </w:pPr>
      <w:r w:rsidRPr="00C4221E">
        <w:rPr>
          <w:rFonts w:ascii="Roboto" w:hAnsi="Roboto" w:cs="Arial"/>
          <w:b/>
          <w:bCs/>
        </w:rPr>
        <w:t>Considerando que:</w:t>
      </w:r>
    </w:p>
    <w:p w14:paraId="39A3F6A9" w14:textId="77777777" w:rsidR="00960044" w:rsidRPr="00C4221E" w:rsidRDefault="00960044" w:rsidP="00960044">
      <w:pPr>
        <w:numPr>
          <w:ilvl w:val="0"/>
          <w:numId w:val="8"/>
        </w:numPr>
        <w:tabs>
          <w:tab w:val="left" w:pos="567"/>
        </w:tabs>
        <w:spacing w:after="0" w:line="276" w:lineRule="auto"/>
        <w:ind w:left="567" w:right="-193" w:hanging="567"/>
        <w:jc w:val="both"/>
        <w:rPr>
          <w:rFonts w:ascii="Roboto" w:hAnsi="Roboto" w:cs="Arial"/>
        </w:rPr>
      </w:pPr>
      <w:r w:rsidRPr="00C4221E">
        <w:rPr>
          <w:rFonts w:ascii="Roboto" w:hAnsi="Roboto" w:cs="Arial"/>
        </w:rPr>
        <w:t xml:space="preserve">El Artículo 8 inciso l) de la Ley Reguladora del Mercado de Valores faculta al Superintendente a exigir a los sujetos fiscalizados toda la información razonablemente necesaria, en las condiciones y periodicidad que la Superintendencia determine, para cumplir adecuadamente con sus funciones supervisoras del mercado de valores, según lo disponga el reglamento. </w:t>
      </w:r>
    </w:p>
    <w:p w14:paraId="623A94BF" w14:textId="77777777" w:rsidR="00960044" w:rsidRPr="00C4221E" w:rsidRDefault="00960044" w:rsidP="00960044">
      <w:pPr>
        <w:tabs>
          <w:tab w:val="left" w:pos="567"/>
        </w:tabs>
        <w:spacing w:line="276" w:lineRule="auto"/>
        <w:ind w:left="567" w:right="-193"/>
        <w:jc w:val="both"/>
        <w:rPr>
          <w:rFonts w:ascii="Roboto" w:hAnsi="Roboto" w:cs="Arial"/>
        </w:rPr>
      </w:pPr>
    </w:p>
    <w:p w14:paraId="7C695E0A" w14:textId="77777777" w:rsidR="00960044" w:rsidRPr="00C4221E" w:rsidRDefault="00960044" w:rsidP="00960044">
      <w:pPr>
        <w:numPr>
          <w:ilvl w:val="0"/>
          <w:numId w:val="8"/>
        </w:numPr>
        <w:tabs>
          <w:tab w:val="left" w:pos="567"/>
        </w:tabs>
        <w:spacing w:after="0" w:line="276" w:lineRule="auto"/>
        <w:ind w:left="567" w:right="-193" w:hanging="567"/>
        <w:jc w:val="both"/>
        <w:rPr>
          <w:rFonts w:ascii="Roboto" w:hAnsi="Roboto" w:cs="Arial"/>
        </w:rPr>
      </w:pPr>
      <w:r w:rsidRPr="00C4221E">
        <w:rPr>
          <w:rFonts w:ascii="Roboto" w:hAnsi="Roboto" w:cs="Arial"/>
        </w:rPr>
        <w:t xml:space="preserve">Mediante el Artículo 13 del Acta de la Sesión 81-99, celebrada el 18 de marzo de 1999, el Consejo Nacional de Supervisión del Sistema Financiero aprobó el Reglamento sobre el Suministro de Información Periódica, Hechos Relevantes y otras Obligaciones de Información con lineamientos sobre los deberes de comunicación de los diferentes participantes en el mercado de valores. </w:t>
      </w:r>
    </w:p>
    <w:p w14:paraId="7149B318" w14:textId="77777777" w:rsidR="00960044" w:rsidRPr="00C4221E" w:rsidRDefault="00960044" w:rsidP="00960044">
      <w:pPr>
        <w:tabs>
          <w:tab w:val="left" w:pos="567"/>
        </w:tabs>
        <w:spacing w:line="276" w:lineRule="auto"/>
        <w:ind w:left="567" w:right="-193"/>
        <w:jc w:val="both"/>
        <w:rPr>
          <w:rFonts w:ascii="Roboto" w:hAnsi="Roboto" w:cs="Arial"/>
        </w:rPr>
      </w:pPr>
    </w:p>
    <w:p w14:paraId="33689D86" w14:textId="77777777" w:rsidR="00960044" w:rsidRPr="00C4221E" w:rsidRDefault="00960044" w:rsidP="00960044">
      <w:pPr>
        <w:numPr>
          <w:ilvl w:val="0"/>
          <w:numId w:val="8"/>
        </w:numPr>
        <w:tabs>
          <w:tab w:val="left" w:pos="567"/>
        </w:tabs>
        <w:spacing w:after="0" w:line="276" w:lineRule="auto"/>
        <w:ind w:left="567" w:right="-193" w:hanging="567"/>
        <w:jc w:val="both"/>
        <w:rPr>
          <w:rFonts w:ascii="Roboto" w:hAnsi="Roboto" w:cs="Arial"/>
        </w:rPr>
      </w:pPr>
      <w:r w:rsidRPr="00C4221E">
        <w:rPr>
          <w:rFonts w:ascii="Roboto" w:hAnsi="Roboto" w:cs="Arial"/>
        </w:rPr>
        <w:t xml:space="preserve">Este reglamento confiere al Superintendente la potestad para definir el contenido, la periodicidad y los medios de suministro de la información periódica que debe remitirse a la Superintendencia General de Valores. </w:t>
      </w:r>
    </w:p>
    <w:p w14:paraId="4F6FF69E" w14:textId="77777777" w:rsidR="00960044" w:rsidRPr="00C4221E" w:rsidRDefault="00960044" w:rsidP="00960044">
      <w:pPr>
        <w:tabs>
          <w:tab w:val="left" w:pos="567"/>
        </w:tabs>
        <w:spacing w:line="276" w:lineRule="auto"/>
        <w:ind w:left="567" w:right="-193"/>
        <w:jc w:val="both"/>
        <w:rPr>
          <w:rFonts w:ascii="Roboto" w:hAnsi="Roboto" w:cs="Arial"/>
        </w:rPr>
      </w:pPr>
    </w:p>
    <w:p w14:paraId="1554FC8B" w14:textId="77777777" w:rsidR="00960044" w:rsidRPr="00C4221E" w:rsidRDefault="00960044" w:rsidP="00960044">
      <w:pPr>
        <w:numPr>
          <w:ilvl w:val="0"/>
          <w:numId w:val="8"/>
        </w:numPr>
        <w:tabs>
          <w:tab w:val="left" w:pos="567"/>
        </w:tabs>
        <w:spacing w:after="0" w:line="276" w:lineRule="auto"/>
        <w:ind w:left="567" w:right="-193" w:hanging="567"/>
        <w:jc w:val="both"/>
        <w:rPr>
          <w:rFonts w:ascii="Roboto" w:hAnsi="Roboto" w:cs="Arial"/>
        </w:rPr>
      </w:pPr>
      <w:r w:rsidRPr="00C4221E">
        <w:rPr>
          <w:rFonts w:ascii="Roboto" w:hAnsi="Roboto" w:cs="Arial"/>
        </w:rPr>
        <w:t xml:space="preserve">Este mismo Reglamento en su artículo 9, considera como hecho relevante todo hecho o decisión que pueda influir sensiblemente en las decisiones de los inversionistas, siendo obligados de comunicar esta información inmediatamente después de que han tenido conocimiento, sin que este plazo pueda exceder de un día hábil. </w:t>
      </w:r>
    </w:p>
    <w:p w14:paraId="78691E9C" w14:textId="77777777" w:rsidR="00960044" w:rsidRPr="00C4221E" w:rsidRDefault="00960044" w:rsidP="00960044">
      <w:pPr>
        <w:tabs>
          <w:tab w:val="left" w:pos="567"/>
        </w:tabs>
        <w:spacing w:line="276" w:lineRule="auto"/>
        <w:ind w:left="567" w:right="-193"/>
        <w:jc w:val="both"/>
        <w:rPr>
          <w:rFonts w:ascii="Roboto" w:hAnsi="Roboto" w:cs="Arial"/>
        </w:rPr>
      </w:pPr>
    </w:p>
    <w:p w14:paraId="73C836C3" w14:textId="77777777" w:rsidR="00960044" w:rsidRPr="00C4221E" w:rsidRDefault="00960044" w:rsidP="00960044">
      <w:pPr>
        <w:numPr>
          <w:ilvl w:val="0"/>
          <w:numId w:val="8"/>
        </w:numPr>
        <w:tabs>
          <w:tab w:val="left" w:pos="567"/>
        </w:tabs>
        <w:spacing w:after="0" w:line="276" w:lineRule="auto"/>
        <w:ind w:left="567" w:right="-193" w:hanging="567"/>
        <w:jc w:val="both"/>
        <w:rPr>
          <w:rFonts w:ascii="Roboto" w:hAnsi="Roboto" w:cs="Arial"/>
        </w:rPr>
      </w:pPr>
      <w:r w:rsidRPr="00C4221E">
        <w:rPr>
          <w:rFonts w:ascii="Roboto" w:hAnsi="Roboto" w:cs="Arial"/>
        </w:rPr>
        <w:t xml:space="preserve">El artículo 9 del Reglamento en mención indica que el Superintendente establecerá una lista no exhaustiva de casos en los que se entenderá que se está en presencia de hechos relevantes. </w:t>
      </w:r>
    </w:p>
    <w:p w14:paraId="62E9CCDA" w14:textId="77777777" w:rsidR="00960044" w:rsidRPr="00C4221E" w:rsidRDefault="00960044" w:rsidP="00960044">
      <w:pPr>
        <w:tabs>
          <w:tab w:val="left" w:pos="567"/>
        </w:tabs>
        <w:spacing w:line="276" w:lineRule="auto"/>
        <w:ind w:left="567" w:right="-193"/>
        <w:jc w:val="both"/>
        <w:rPr>
          <w:rFonts w:ascii="Roboto" w:hAnsi="Roboto" w:cs="Arial"/>
        </w:rPr>
      </w:pPr>
    </w:p>
    <w:p w14:paraId="3E64A455" w14:textId="77777777" w:rsidR="00960044" w:rsidRPr="00C4221E" w:rsidRDefault="00960044" w:rsidP="00960044">
      <w:pPr>
        <w:numPr>
          <w:ilvl w:val="0"/>
          <w:numId w:val="8"/>
        </w:numPr>
        <w:tabs>
          <w:tab w:val="left" w:pos="567"/>
        </w:tabs>
        <w:spacing w:after="0" w:line="276" w:lineRule="auto"/>
        <w:ind w:left="567" w:right="-193" w:hanging="567"/>
        <w:jc w:val="both"/>
        <w:rPr>
          <w:rFonts w:ascii="Roboto" w:hAnsi="Roboto" w:cs="Arial"/>
        </w:rPr>
      </w:pPr>
      <w:r w:rsidRPr="00C4221E">
        <w:rPr>
          <w:rFonts w:ascii="Roboto" w:hAnsi="Roboto" w:cs="Arial"/>
        </w:rPr>
        <w:t xml:space="preserve">La Superintendencia General de Valores aprobó el catorce de octubre del 2013, el Acuerdo SGV-A-188 “Directriz para la Implementación del Sistema de Mensajería de Documentos </w:t>
      </w:r>
      <w:r w:rsidRPr="00C4221E">
        <w:rPr>
          <w:rFonts w:ascii="Roboto" w:hAnsi="Roboto" w:cs="Arial"/>
        </w:rPr>
        <w:lastRenderedPageBreak/>
        <w:t xml:space="preserve">Electrónicos </w:t>
      </w:r>
      <w:proofErr w:type="spellStart"/>
      <w:r w:rsidRPr="00C4221E">
        <w:rPr>
          <w:rFonts w:ascii="Roboto" w:hAnsi="Roboto" w:cs="Arial"/>
        </w:rPr>
        <w:t>Mendocel</w:t>
      </w:r>
      <w:proofErr w:type="spellEnd"/>
      <w:r w:rsidRPr="00C4221E">
        <w:rPr>
          <w:rFonts w:ascii="Roboto" w:hAnsi="Roboto" w:cs="Arial"/>
        </w:rPr>
        <w:t>”, en el que regula el intercambio de documentos en formato digital entre la Superintendencia General de Valores y sus regulados.</w:t>
      </w:r>
    </w:p>
    <w:p w14:paraId="36012241" w14:textId="77777777" w:rsidR="00960044" w:rsidRPr="00C4221E" w:rsidRDefault="00960044" w:rsidP="00960044">
      <w:pPr>
        <w:tabs>
          <w:tab w:val="left" w:pos="567"/>
        </w:tabs>
        <w:spacing w:line="276" w:lineRule="auto"/>
        <w:ind w:left="567" w:right="-193"/>
        <w:jc w:val="both"/>
        <w:rPr>
          <w:rFonts w:ascii="Roboto" w:hAnsi="Roboto" w:cs="Arial"/>
        </w:rPr>
      </w:pPr>
    </w:p>
    <w:p w14:paraId="648BD521" w14:textId="77777777" w:rsidR="00960044" w:rsidRPr="00C4221E" w:rsidRDefault="00960044" w:rsidP="00960044">
      <w:pPr>
        <w:numPr>
          <w:ilvl w:val="0"/>
          <w:numId w:val="8"/>
        </w:numPr>
        <w:tabs>
          <w:tab w:val="left" w:pos="567"/>
        </w:tabs>
        <w:spacing w:after="0" w:line="276" w:lineRule="auto"/>
        <w:ind w:left="567" w:right="-193" w:hanging="567"/>
        <w:jc w:val="both"/>
        <w:rPr>
          <w:rFonts w:ascii="Roboto" w:hAnsi="Roboto" w:cs="Arial"/>
        </w:rPr>
      </w:pPr>
      <w:r w:rsidRPr="00C4221E">
        <w:rPr>
          <w:rFonts w:ascii="Roboto" w:hAnsi="Roboto" w:cs="Arial"/>
        </w:rPr>
        <w:t xml:space="preserve">La Superintendencia General de Valores aprobó el veinte de enero del 2022, el Acuerdo SGV-A-257 “Información básica de las entidades Reguladas por la Superintendencia General de Valores”, que norma la forma y contenido de la revelación de información que deben realizar los órganos de dirección, alta gerencia, comités técnicos, consejos y demás empleados o funcionarios que por su puesto deban remitir información a través del Sistema de Registro y Actualización de Roles. </w:t>
      </w:r>
    </w:p>
    <w:p w14:paraId="637C31B2" w14:textId="77777777" w:rsidR="00960044" w:rsidRPr="00C4221E" w:rsidRDefault="00960044" w:rsidP="00960044">
      <w:pPr>
        <w:tabs>
          <w:tab w:val="left" w:pos="567"/>
        </w:tabs>
        <w:spacing w:line="276" w:lineRule="auto"/>
        <w:ind w:left="567" w:right="-193"/>
        <w:jc w:val="both"/>
        <w:rPr>
          <w:rFonts w:ascii="Roboto" w:hAnsi="Roboto" w:cs="Arial"/>
        </w:rPr>
      </w:pPr>
    </w:p>
    <w:p w14:paraId="2E8B6A48" w14:textId="77777777" w:rsidR="00960044" w:rsidRPr="00C4221E" w:rsidRDefault="00960044" w:rsidP="00960044">
      <w:pPr>
        <w:numPr>
          <w:ilvl w:val="0"/>
          <w:numId w:val="8"/>
        </w:numPr>
        <w:tabs>
          <w:tab w:val="left" w:pos="567"/>
        </w:tabs>
        <w:spacing w:after="0" w:line="276" w:lineRule="auto"/>
        <w:ind w:left="567" w:right="-193" w:hanging="567"/>
        <w:jc w:val="both"/>
        <w:rPr>
          <w:rFonts w:ascii="Roboto" w:hAnsi="Roboto" w:cs="Arial"/>
        </w:rPr>
      </w:pPr>
      <w:r w:rsidRPr="00C4221E">
        <w:rPr>
          <w:rFonts w:ascii="Roboto" w:hAnsi="Roboto" w:cs="Arial"/>
        </w:rPr>
        <w:t>Como resultado del proceso de revisión continua de los acuerdos emitidos por el Superintendente, se han identificado mejoras a los acuerdos vigentes que son necesarias para mantener la coherencia, actualización y proporcionalidad de las disposiciones que deben acatar. Por lo anterior se hace necesario proponer la actualización de disposiciones específicas de los acuerdos “Acuerdo SGV-A-61 sobre hechos relevantes”, Acuerdo SGV-A-75 “Suministro de información periódica”, Acuerdo SGV-A-188 “Directriz para la implementación del Sistema de Mensajería de Documentos” y Acuerdo SGV-A-257 “Información básica de las entidades supervisadas por la Superintendencia General de Valores”.</w:t>
      </w:r>
    </w:p>
    <w:p w14:paraId="35792639" w14:textId="77777777" w:rsidR="00960044" w:rsidRPr="00C4221E" w:rsidRDefault="00960044" w:rsidP="00960044">
      <w:pPr>
        <w:tabs>
          <w:tab w:val="left" w:pos="567"/>
        </w:tabs>
        <w:spacing w:line="276" w:lineRule="auto"/>
        <w:ind w:left="567" w:right="-193"/>
        <w:jc w:val="both"/>
        <w:rPr>
          <w:rFonts w:ascii="Roboto" w:hAnsi="Roboto" w:cs="Arial"/>
        </w:rPr>
      </w:pPr>
    </w:p>
    <w:p w14:paraId="03BC18ED" w14:textId="77777777" w:rsidR="00960044" w:rsidRDefault="00960044" w:rsidP="00960044">
      <w:pPr>
        <w:numPr>
          <w:ilvl w:val="0"/>
          <w:numId w:val="8"/>
        </w:numPr>
        <w:tabs>
          <w:tab w:val="left" w:pos="567"/>
        </w:tabs>
        <w:spacing w:after="0" w:line="276" w:lineRule="auto"/>
        <w:ind w:left="567" w:right="-193" w:hanging="567"/>
        <w:jc w:val="both"/>
        <w:rPr>
          <w:rFonts w:ascii="Roboto" w:hAnsi="Roboto" w:cs="Arial"/>
        </w:rPr>
      </w:pPr>
      <w:r w:rsidRPr="00C4221E">
        <w:rPr>
          <w:rFonts w:ascii="Roboto" w:hAnsi="Roboto" w:cs="Arial"/>
        </w:rPr>
        <w:t xml:space="preserve">Mediante la resolución SGV-R-99-2024 del 23 de mayo del 2024, publicada en La Gaceta </w:t>
      </w:r>
      <w:proofErr w:type="spellStart"/>
      <w:r w:rsidRPr="00C4221E">
        <w:rPr>
          <w:rFonts w:ascii="Roboto" w:hAnsi="Roboto" w:cs="Arial"/>
        </w:rPr>
        <w:t>Nº</w:t>
      </w:r>
      <w:proofErr w:type="spellEnd"/>
      <w:r w:rsidRPr="00C4221E">
        <w:rPr>
          <w:rFonts w:ascii="Roboto" w:hAnsi="Roboto" w:cs="Arial"/>
        </w:rPr>
        <w:t xml:space="preserve"> 101 del miércoles 5 de junio del 2024, el Superintendente ordenó la delegación parcial de las competencias señaladas en el artículo 8 de la Ley Reguladora del Mercado de Valores indicadas para el Superintendente General de Valores en el Intendente General de Valores, con carácter de excepción y por casos específicos.</w:t>
      </w:r>
    </w:p>
    <w:p w14:paraId="17B08D32" w14:textId="77777777" w:rsidR="0082653D" w:rsidRPr="003A6C75" w:rsidRDefault="0082653D" w:rsidP="0082653D">
      <w:pPr>
        <w:pStyle w:val="Prrafodelista"/>
        <w:rPr>
          <w:rFonts w:ascii="Roboto" w:hAnsi="Roboto" w:cs="Arial"/>
          <w:lang w:val="es-CR"/>
        </w:rPr>
      </w:pPr>
    </w:p>
    <w:p w14:paraId="101BDB16" w14:textId="77777777" w:rsidR="0082653D" w:rsidRPr="00C4221E" w:rsidRDefault="0082653D" w:rsidP="0082653D">
      <w:pPr>
        <w:tabs>
          <w:tab w:val="left" w:pos="567"/>
        </w:tabs>
        <w:spacing w:after="0" w:line="276" w:lineRule="auto"/>
        <w:ind w:left="567" w:right="-193"/>
        <w:jc w:val="both"/>
        <w:rPr>
          <w:rFonts w:ascii="Roboto" w:hAnsi="Roboto" w:cs="Arial"/>
        </w:rPr>
      </w:pPr>
    </w:p>
    <w:p w14:paraId="6214E2C2" w14:textId="77777777" w:rsidR="00960044" w:rsidRPr="00C4221E" w:rsidRDefault="00960044" w:rsidP="00960044">
      <w:pPr>
        <w:spacing w:line="276" w:lineRule="auto"/>
        <w:jc w:val="both"/>
        <w:rPr>
          <w:rFonts w:ascii="Roboto" w:eastAsia="Calibri" w:hAnsi="Roboto" w:cs="Arial"/>
        </w:rPr>
      </w:pPr>
      <w:r w:rsidRPr="00C4221E">
        <w:rPr>
          <w:rFonts w:ascii="Roboto" w:eastAsia="Calibri" w:hAnsi="Roboto" w:cs="Arial"/>
        </w:rPr>
        <w:t>Por tanto, dispone el presente acuerdo:</w:t>
      </w:r>
    </w:p>
    <w:p w14:paraId="564C2230" w14:textId="77777777" w:rsidR="00960044" w:rsidRPr="00C4221E" w:rsidRDefault="00960044" w:rsidP="00960044">
      <w:pPr>
        <w:spacing w:line="276" w:lineRule="auto"/>
        <w:jc w:val="both"/>
        <w:rPr>
          <w:rFonts w:ascii="Roboto" w:eastAsia="Calibri" w:hAnsi="Roboto" w:cs="Arial"/>
        </w:rPr>
      </w:pPr>
    </w:p>
    <w:p w14:paraId="41C872FD" w14:textId="77777777" w:rsidR="00960044" w:rsidRPr="00C4221E" w:rsidRDefault="00960044" w:rsidP="00960044">
      <w:pPr>
        <w:spacing w:line="276" w:lineRule="auto"/>
        <w:jc w:val="both"/>
        <w:rPr>
          <w:rFonts w:ascii="Roboto" w:hAnsi="Roboto" w:cs="Arial"/>
          <w:b/>
        </w:rPr>
      </w:pPr>
      <w:r w:rsidRPr="00C4221E">
        <w:rPr>
          <w:rFonts w:ascii="Roboto" w:hAnsi="Roboto" w:cs="Arial"/>
          <w:b/>
        </w:rPr>
        <w:t>SGV-A-</w:t>
      </w:r>
      <w:sdt>
        <w:sdtPr>
          <w:rPr>
            <w:rFonts w:ascii="Roboto" w:hAnsi="Roboto" w:cs="Arial"/>
            <w:b/>
          </w:rPr>
          <w:alias w:val="Consecutivo Interno"/>
          <w:tag w:val="ConsecutivoInterno"/>
          <w:id w:val="732668371"/>
          <w:placeholder>
            <w:docPart w:val="CFB0B06CA5EB4A909863288C3CDB312F"/>
          </w:placeholder>
          <w:showingPlcHdr/>
          <w:text/>
        </w:sdtPr>
        <w:sdtEndPr/>
        <w:sdtContent>
          <w:r w:rsidRPr="00C4221E">
            <w:rPr>
              <w:rStyle w:val="Textodelmarcadordeposicin"/>
              <w:rFonts w:ascii="Roboto" w:hAnsi="Roboto"/>
              <w:b/>
              <w:color w:val="auto"/>
            </w:rPr>
            <w:t>14</w:t>
          </w:r>
        </w:sdtContent>
      </w:sdt>
      <w:r w:rsidRPr="00C4221E">
        <w:rPr>
          <w:rFonts w:ascii="Roboto" w:hAnsi="Roboto" w:cs="Arial"/>
          <w:b/>
        </w:rPr>
        <w:t>-</w:t>
      </w:r>
      <w:sdt>
        <w:sdtPr>
          <w:rPr>
            <w:rFonts w:ascii="Roboto" w:hAnsi="Roboto" w:cs="Arial"/>
            <w:b/>
          </w:rPr>
          <w:alias w:val="Periodo"/>
          <w:tag w:val="Periodo"/>
          <w:id w:val="-1418706246"/>
          <w:placeholder>
            <w:docPart w:val="5CCCC374CDDA4EBBB256CB68E99ABC52"/>
          </w:placeholder>
          <w:showingPlcHdr/>
          <w:text/>
        </w:sdtPr>
        <w:sdtEndPr/>
        <w:sdtContent>
          <w:r w:rsidRPr="00C4221E">
            <w:rPr>
              <w:rStyle w:val="Textodelmarcadordeposicin"/>
              <w:rFonts w:ascii="Roboto" w:hAnsi="Roboto"/>
              <w:b/>
              <w:color w:val="auto"/>
            </w:rPr>
            <w:t>2026</w:t>
          </w:r>
        </w:sdtContent>
      </w:sdt>
      <w:r w:rsidRPr="00C4221E">
        <w:rPr>
          <w:rFonts w:ascii="Roboto" w:hAnsi="Roboto" w:cs="Arial"/>
          <w:b/>
        </w:rPr>
        <w:t>. MODIFICACIÓN AL ACUERDO SGV-A-61 “ACUERDO SOBRE HECHOS RELEVANTES”, ACUERDO SGV-A-75 “SUMINISTRO DE INFORMACIÓN PERIÓDICA”, ACUERDO SGV-A-188 “DIRECTRIZ PARA LA IMPLEMENTACIÓN DEL SISTEMA DE MENSAJERÍA DE DOCUMENTOS ELECTRÓNICOS (MENDOCEL)” Y AL ACUERDO SGV-A-257 “INFORMACIÓN BÁSICA DE LAS ENTIDADES REGULADAS Y SUPERVISADAS POR LA SUPERINTENDENCIA GENERAL DE VALORES”.</w:t>
      </w:r>
    </w:p>
    <w:p w14:paraId="41F02ECC" w14:textId="77777777" w:rsidR="00960044" w:rsidRPr="00C4221E" w:rsidRDefault="00960044" w:rsidP="00960044">
      <w:pPr>
        <w:pStyle w:val="NormalWeb"/>
        <w:spacing w:line="276" w:lineRule="auto"/>
        <w:jc w:val="both"/>
        <w:rPr>
          <w:rStyle w:val="Fuerte"/>
          <w:rFonts w:ascii="Roboto" w:hAnsi="Roboto" w:cs="Segoe UI"/>
          <w:sz w:val="22"/>
          <w:szCs w:val="22"/>
        </w:rPr>
      </w:pPr>
      <w:r w:rsidRPr="00C4221E">
        <w:rPr>
          <w:rStyle w:val="Fuerte"/>
          <w:rFonts w:ascii="Roboto" w:hAnsi="Roboto" w:cs="Segoe UI"/>
          <w:sz w:val="22"/>
          <w:szCs w:val="22"/>
        </w:rPr>
        <w:t>Artículo 1.—Modifíquese el artículo 5 del Acuerdo SGV-A-75 “Acuerdo sobre el suministro de información periódica”, en lo relativo al medio de envío de sustitución o reenvío de información periódica de carácter público, para que se lea de la siguiente manera:</w:t>
      </w:r>
    </w:p>
    <w:p w14:paraId="36402E9D" w14:textId="77777777" w:rsidR="00960044" w:rsidRPr="00C4221E" w:rsidRDefault="00960044" w:rsidP="00960044">
      <w:pPr>
        <w:pStyle w:val="NormalWeb"/>
        <w:spacing w:line="276" w:lineRule="auto"/>
        <w:jc w:val="both"/>
        <w:rPr>
          <w:rFonts w:ascii="Roboto" w:hAnsi="Roboto" w:cs="Segoe UI"/>
          <w:b/>
          <w:bCs/>
          <w:color w:val="000000" w:themeColor="text1"/>
          <w:sz w:val="22"/>
          <w:szCs w:val="22"/>
        </w:rPr>
      </w:pPr>
      <w:r w:rsidRPr="00C4221E">
        <w:rPr>
          <w:rFonts w:ascii="Roboto" w:hAnsi="Roboto" w:cs="Segoe UI"/>
          <w:b/>
          <w:bCs/>
          <w:color w:val="000000" w:themeColor="text1"/>
          <w:sz w:val="22"/>
          <w:szCs w:val="22"/>
        </w:rPr>
        <w:lastRenderedPageBreak/>
        <w:t>Artículo 5. —Sustitución o reenvío de información periódica</w:t>
      </w:r>
    </w:p>
    <w:p w14:paraId="57490318" w14:textId="77777777" w:rsidR="00960044" w:rsidRPr="00C4221E" w:rsidRDefault="00960044" w:rsidP="00960044">
      <w:pPr>
        <w:widowControl w:val="0"/>
        <w:spacing w:line="276" w:lineRule="auto"/>
        <w:jc w:val="both"/>
        <w:rPr>
          <w:rFonts w:ascii="Roboto" w:hAnsi="Roboto" w:cs="Arial"/>
          <w:color w:val="000000" w:themeColor="text1"/>
        </w:rPr>
      </w:pPr>
      <w:r w:rsidRPr="00C4221E">
        <w:rPr>
          <w:rFonts w:ascii="Roboto" w:hAnsi="Roboto" w:cs="Arial"/>
          <w:color w:val="000000" w:themeColor="text1"/>
        </w:rPr>
        <w:t>Cuando un regulado requiera sustituir información periódica, se deberá proceder de la siguiente forma:</w:t>
      </w:r>
    </w:p>
    <w:p w14:paraId="0C9DAF9E" w14:textId="77777777" w:rsidR="00960044" w:rsidRPr="00C4221E" w:rsidRDefault="00960044" w:rsidP="00960044">
      <w:pPr>
        <w:pStyle w:val="Prrafodelista"/>
        <w:numPr>
          <w:ilvl w:val="0"/>
          <w:numId w:val="9"/>
        </w:numPr>
        <w:spacing w:after="160"/>
        <w:jc w:val="both"/>
        <w:rPr>
          <w:rFonts w:ascii="Roboto" w:hAnsi="Roboto" w:cs="Arial"/>
          <w:color w:val="000000" w:themeColor="text1"/>
          <w:lang w:val="es-CR"/>
        </w:rPr>
      </w:pPr>
      <w:r w:rsidRPr="00C4221E">
        <w:rPr>
          <w:rFonts w:ascii="Roboto" w:hAnsi="Roboto" w:cs="Arial"/>
          <w:color w:val="000000" w:themeColor="text1"/>
          <w:lang w:val="es-CR"/>
        </w:rPr>
        <w:t>En el caso de estados financieros trimestrales y anuales de emisores no financieros y estados financieros mensuales, trimestrales y anuales de los fondos de inversión: deberá informarse mediante un “Hecho Relevante”.</w:t>
      </w:r>
    </w:p>
    <w:p w14:paraId="1866F873" w14:textId="77777777" w:rsidR="00960044" w:rsidRPr="00C4221E" w:rsidRDefault="00960044" w:rsidP="00960044">
      <w:pPr>
        <w:pStyle w:val="Prrafodelista"/>
        <w:numPr>
          <w:ilvl w:val="0"/>
          <w:numId w:val="9"/>
        </w:numPr>
        <w:jc w:val="both"/>
        <w:rPr>
          <w:rFonts w:ascii="Roboto" w:hAnsi="Roboto" w:cs="Arial"/>
          <w:color w:val="000000" w:themeColor="text1"/>
          <w:lang w:val="es-CR"/>
        </w:rPr>
      </w:pPr>
      <w:r w:rsidRPr="00C4221E">
        <w:rPr>
          <w:rFonts w:ascii="Roboto" w:hAnsi="Roboto" w:cs="Arial"/>
          <w:color w:val="000000" w:themeColor="text1"/>
          <w:lang w:val="es-CR"/>
        </w:rPr>
        <w:t>Cualquier reenvío de otra información periódica presentada por cualquier sujeto regulado distinta a la indicada en el punto a) anterior que requiera ser sustituida, deberá informarse mediante un “Comunicado de interés” dirigido a la Superintendencia.</w:t>
      </w:r>
    </w:p>
    <w:p w14:paraId="41560229" w14:textId="77777777" w:rsidR="00960044" w:rsidRPr="00C4221E" w:rsidRDefault="00960044" w:rsidP="00960044">
      <w:pPr>
        <w:widowControl w:val="0"/>
        <w:spacing w:line="276" w:lineRule="auto"/>
        <w:jc w:val="both"/>
        <w:rPr>
          <w:rFonts w:ascii="Roboto" w:hAnsi="Roboto" w:cs="Arial"/>
          <w:color w:val="000000"/>
        </w:rPr>
      </w:pPr>
      <w:r w:rsidRPr="00C4221E">
        <w:rPr>
          <w:rFonts w:ascii="Roboto" w:hAnsi="Roboto" w:cs="Arial"/>
          <w:color w:val="000000"/>
        </w:rPr>
        <w:t xml:space="preserve">Indistintamente </w:t>
      </w:r>
      <w:r w:rsidRPr="00C4221E">
        <w:rPr>
          <w:rFonts w:ascii="Roboto" w:hAnsi="Roboto" w:cs="Arial"/>
          <w:color w:val="000000" w:themeColor="text1"/>
        </w:rPr>
        <w:t>del documento remitido en los incisos a)</w:t>
      </w:r>
      <w:r w:rsidRPr="00C4221E">
        <w:rPr>
          <w:rFonts w:ascii="Roboto" w:hAnsi="Roboto" w:cs="Arial"/>
          <w:b/>
          <w:bCs/>
          <w:color w:val="000000" w:themeColor="text1"/>
        </w:rPr>
        <w:t>,</w:t>
      </w:r>
      <w:r w:rsidRPr="00C4221E">
        <w:rPr>
          <w:rFonts w:ascii="Roboto" w:hAnsi="Roboto" w:cs="Arial"/>
          <w:color w:val="000000" w:themeColor="text1"/>
        </w:rPr>
        <w:t xml:space="preserve"> o b) anteriores, el comunicado debe ser enviado el día del reenvío de la información, a través del Sistema CHR-CI de Sugeval Directo. Debe consignarse el nombre del regulado, el nombre del reporte, la situación acontecida con el reporte (atraso, omisión, reenvío entre otros), la fecha de corte del reporte que se sustituye y el motivo de la sustitución. Adicionalmente, debe ser enviado el día del reenvío de la información y estar suscrito por una persona que ostente la representación legal de la empresa o que cuente con poder especial para suscribir dichos documentos, quien deberá remitir copia de </w:t>
      </w:r>
      <w:proofErr w:type="gramStart"/>
      <w:r w:rsidRPr="00C4221E">
        <w:rPr>
          <w:rFonts w:ascii="Roboto" w:hAnsi="Roboto" w:cs="Arial"/>
          <w:color w:val="000000" w:themeColor="text1"/>
        </w:rPr>
        <w:t>la misma</w:t>
      </w:r>
      <w:proofErr w:type="gramEnd"/>
      <w:r w:rsidRPr="00C4221E">
        <w:rPr>
          <w:rFonts w:ascii="Roboto" w:hAnsi="Roboto" w:cs="Arial"/>
          <w:color w:val="000000" w:themeColor="text1"/>
        </w:rPr>
        <w:t xml:space="preserve"> a su Junta Directiva u órgano de máxima dirección. </w:t>
      </w:r>
    </w:p>
    <w:p w14:paraId="09861B59" w14:textId="77777777" w:rsidR="00960044" w:rsidRPr="00C4221E" w:rsidRDefault="00960044" w:rsidP="00960044">
      <w:pPr>
        <w:spacing w:line="276" w:lineRule="auto"/>
        <w:jc w:val="both"/>
        <w:rPr>
          <w:rFonts w:ascii="Roboto" w:hAnsi="Roboto" w:cs="Arial"/>
          <w:color w:val="000000"/>
        </w:rPr>
      </w:pPr>
      <w:r w:rsidRPr="00C4221E">
        <w:rPr>
          <w:rFonts w:ascii="Roboto" w:hAnsi="Roboto" w:cs="Arial"/>
          <w:color w:val="000000"/>
        </w:rPr>
        <w:t>Únicamente será considerada de carácter público y de registro en el Registro Nacional de Valores e Intermediaros o en la página web de la SUGEVAL según corresponda, la información reenviada con su respectivo Hecho Relevante o Comunicado de Interés por parte del supervisado responsable.</w:t>
      </w:r>
    </w:p>
    <w:p w14:paraId="78D3DA14" w14:textId="77777777" w:rsidR="00960044" w:rsidRPr="00C4221E" w:rsidRDefault="00960044" w:rsidP="00960044">
      <w:pPr>
        <w:spacing w:line="276" w:lineRule="auto"/>
        <w:jc w:val="both"/>
        <w:rPr>
          <w:rFonts w:ascii="Roboto" w:hAnsi="Roboto" w:cs="Arial"/>
          <w:color w:val="000000"/>
        </w:rPr>
      </w:pPr>
    </w:p>
    <w:p w14:paraId="72622CAB" w14:textId="77777777" w:rsidR="00960044" w:rsidRPr="00C4221E" w:rsidRDefault="00960044" w:rsidP="00960044">
      <w:pPr>
        <w:spacing w:line="276" w:lineRule="auto"/>
        <w:jc w:val="both"/>
        <w:rPr>
          <w:rFonts w:ascii="Roboto" w:eastAsia="Calibri" w:hAnsi="Roboto" w:cs="Arial"/>
          <w:b/>
          <w:color w:val="000000"/>
          <w:lang w:eastAsia="es-CR"/>
        </w:rPr>
      </w:pPr>
      <w:r w:rsidRPr="00C4221E">
        <w:rPr>
          <w:rFonts w:ascii="Roboto" w:eastAsia="Calibri" w:hAnsi="Roboto" w:cs="Arial"/>
          <w:b/>
          <w:color w:val="000000"/>
          <w:lang w:eastAsia="es-CR"/>
        </w:rPr>
        <w:t xml:space="preserve">Artículo 2.- </w:t>
      </w:r>
      <w:r w:rsidRPr="00C4221E">
        <w:rPr>
          <w:rStyle w:val="Fuerte"/>
          <w:rFonts w:ascii="Roboto" w:hAnsi="Roboto" w:cs="Segoe UI"/>
        </w:rPr>
        <w:t>Modifíquese</w:t>
      </w:r>
      <w:r w:rsidRPr="00C4221E">
        <w:rPr>
          <w:rFonts w:ascii="Roboto" w:eastAsia="Calibri" w:hAnsi="Roboto" w:cs="Arial"/>
          <w:b/>
          <w:color w:val="000000"/>
          <w:lang w:eastAsia="es-CR"/>
        </w:rPr>
        <w:t xml:space="preserve"> el Anexo al acuerdo SGV-A-61, en la sección “Asuntos que afectan el desempeño económico, financiero y de negocio de la Entidad o Fondo”, en lo relativo al envío de hechos relevantes por motivos de atrasos en la presentación, así como la sustitución o reenvío de estados financieros, para que se lea de la siguiente manera:</w:t>
      </w:r>
    </w:p>
    <w:p w14:paraId="52636309" w14:textId="77777777" w:rsidR="00960044" w:rsidRPr="00C4221E" w:rsidRDefault="00960044" w:rsidP="00960044">
      <w:pPr>
        <w:pStyle w:val="Textoindependiente3"/>
        <w:spacing w:after="0"/>
        <w:jc w:val="center"/>
        <w:rPr>
          <w:rFonts w:ascii="Roboto" w:hAnsi="Roboto" w:cs="Arial"/>
          <w:b/>
          <w:sz w:val="22"/>
          <w:szCs w:val="22"/>
        </w:rPr>
      </w:pPr>
      <w:r w:rsidRPr="00C4221E">
        <w:rPr>
          <w:rFonts w:ascii="Roboto" w:hAnsi="Roboto" w:cs="Arial"/>
          <w:b/>
          <w:sz w:val="22"/>
          <w:szCs w:val="22"/>
        </w:rPr>
        <w:t>ANEXO AL ACUERDO SGV-A-61</w:t>
      </w:r>
    </w:p>
    <w:p w14:paraId="7CDE6D48" w14:textId="77777777" w:rsidR="006332FA" w:rsidRPr="00C4221E" w:rsidRDefault="006332FA" w:rsidP="00960044">
      <w:pPr>
        <w:pStyle w:val="Textoindependiente3"/>
        <w:spacing w:after="0"/>
        <w:jc w:val="center"/>
        <w:rPr>
          <w:rFonts w:ascii="Roboto" w:hAnsi="Roboto" w:cs="Arial"/>
          <w:sz w:val="22"/>
          <w:szCs w:val="22"/>
        </w:rPr>
      </w:pPr>
    </w:p>
    <w:tbl>
      <w:tblPr>
        <w:tblW w:w="9145" w:type="dxa"/>
        <w:tblCellMar>
          <w:left w:w="70" w:type="dxa"/>
          <w:right w:w="70" w:type="dxa"/>
        </w:tblCellMar>
        <w:tblLook w:val="04A0" w:firstRow="1" w:lastRow="0" w:firstColumn="1" w:lastColumn="0" w:noHBand="0" w:noVBand="1"/>
      </w:tblPr>
      <w:tblGrid>
        <w:gridCol w:w="4142"/>
        <w:gridCol w:w="1417"/>
        <w:gridCol w:w="1807"/>
        <w:gridCol w:w="1779"/>
      </w:tblGrid>
      <w:tr w:rsidR="00960044" w:rsidRPr="00C4221E" w14:paraId="7CD20C3A" w14:textId="77777777" w:rsidTr="00335556">
        <w:trPr>
          <w:trHeight w:val="900"/>
        </w:trPr>
        <w:tc>
          <w:tcPr>
            <w:tcW w:w="4142" w:type="dxa"/>
            <w:tcBorders>
              <w:top w:val="single" w:sz="4" w:space="0" w:color="auto"/>
              <w:left w:val="single" w:sz="4" w:space="0" w:color="auto"/>
              <w:bottom w:val="single" w:sz="4" w:space="0" w:color="auto"/>
              <w:right w:val="single" w:sz="4" w:space="0" w:color="auto"/>
            </w:tcBorders>
            <w:vAlign w:val="center"/>
            <w:hideMark/>
          </w:tcPr>
          <w:p w14:paraId="49DB2FBA" w14:textId="77777777" w:rsidR="00960044" w:rsidRPr="0082653D" w:rsidRDefault="00960044" w:rsidP="00335556">
            <w:pPr>
              <w:jc w:val="center"/>
              <w:rPr>
                <w:rFonts w:ascii="Roboto" w:hAnsi="Roboto" w:cs="Arial"/>
                <w:b/>
                <w:bCs/>
                <w:color w:val="000000" w:themeColor="text1"/>
                <w:sz w:val="20"/>
                <w:szCs w:val="20"/>
                <w:lang w:eastAsia="es-CR"/>
              </w:rPr>
            </w:pPr>
            <w:r w:rsidRPr="0082653D">
              <w:rPr>
                <w:rFonts w:ascii="Roboto" w:hAnsi="Roboto" w:cs="Arial"/>
                <w:b/>
                <w:bCs/>
                <w:color w:val="000000" w:themeColor="text1"/>
                <w:sz w:val="20"/>
                <w:szCs w:val="20"/>
                <w:lang w:eastAsia="es-CR"/>
              </w:rPr>
              <w:t>LISTA NO EXHAUSTIVA DE HECHOS RELEVANTES</w:t>
            </w:r>
          </w:p>
        </w:tc>
        <w:tc>
          <w:tcPr>
            <w:tcW w:w="1417" w:type="dxa"/>
            <w:tcBorders>
              <w:top w:val="single" w:sz="4" w:space="0" w:color="auto"/>
              <w:left w:val="nil"/>
              <w:bottom w:val="single" w:sz="4" w:space="0" w:color="auto"/>
              <w:right w:val="single" w:sz="4" w:space="0" w:color="auto"/>
            </w:tcBorders>
            <w:vAlign w:val="center"/>
            <w:hideMark/>
          </w:tcPr>
          <w:p w14:paraId="78C2DC24" w14:textId="77777777" w:rsidR="00960044" w:rsidRPr="0082653D" w:rsidRDefault="00960044" w:rsidP="00335556">
            <w:pPr>
              <w:jc w:val="center"/>
              <w:rPr>
                <w:rFonts w:ascii="Roboto" w:hAnsi="Roboto" w:cs="Arial"/>
                <w:b/>
                <w:bCs/>
                <w:color w:val="000000" w:themeColor="text1"/>
                <w:sz w:val="20"/>
                <w:szCs w:val="20"/>
                <w:lang w:eastAsia="es-CR"/>
              </w:rPr>
            </w:pPr>
            <w:r w:rsidRPr="0082653D">
              <w:rPr>
                <w:rFonts w:ascii="Roboto" w:hAnsi="Roboto" w:cs="Arial"/>
                <w:b/>
                <w:bCs/>
                <w:color w:val="000000" w:themeColor="text1"/>
                <w:sz w:val="20"/>
                <w:szCs w:val="20"/>
                <w:lang w:eastAsia="es-CR"/>
              </w:rPr>
              <w:t>EMISORES DE DEUDA</w:t>
            </w:r>
          </w:p>
        </w:tc>
        <w:tc>
          <w:tcPr>
            <w:tcW w:w="1807" w:type="dxa"/>
            <w:tcBorders>
              <w:top w:val="single" w:sz="4" w:space="0" w:color="auto"/>
              <w:left w:val="nil"/>
              <w:bottom w:val="single" w:sz="4" w:space="0" w:color="auto"/>
              <w:right w:val="single" w:sz="4" w:space="0" w:color="auto"/>
            </w:tcBorders>
            <w:vAlign w:val="center"/>
            <w:hideMark/>
          </w:tcPr>
          <w:p w14:paraId="66844EA8" w14:textId="77777777" w:rsidR="00960044" w:rsidRPr="0082653D" w:rsidRDefault="00960044" w:rsidP="00335556">
            <w:pPr>
              <w:jc w:val="center"/>
              <w:rPr>
                <w:rFonts w:ascii="Roboto" w:hAnsi="Roboto" w:cs="Arial"/>
                <w:b/>
                <w:bCs/>
                <w:color w:val="000000" w:themeColor="text1"/>
                <w:sz w:val="20"/>
                <w:szCs w:val="20"/>
                <w:lang w:eastAsia="es-CR"/>
              </w:rPr>
            </w:pPr>
            <w:r w:rsidRPr="0082653D">
              <w:rPr>
                <w:rFonts w:ascii="Roboto" w:hAnsi="Roboto" w:cs="Arial"/>
                <w:b/>
                <w:bCs/>
                <w:color w:val="000000" w:themeColor="text1"/>
                <w:sz w:val="20"/>
                <w:szCs w:val="20"/>
                <w:lang w:eastAsia="es-CR"/>
              </w:rPr>
              <w:t>EMISORES DE VALORES DE CONTENIDO PATRIMONIAL O MIXTO</w:t>
            </w:r>
          </w:p>
        </w:tc>
        <w:tc>
          <w:tcPr>
            <w:tcW w:w="1779" w:type="dxa"/>
            <w:tcBorders>
              <w:top w:val="single" w:sz="4" w:space="0" w:color="auto"/>
              <w:left w:val="nil"/>
              <w:bottom w:val="single" w:sz="4" w:space="0" w:color="auto"/>
              <w:right w:val="single" w:sz="4" w:space="0" w:color="auto"/>
            </w:tcBorders>
            <w:shd w:val="clear" w:color="000000" w:fill="FFFFFF"/>
            <w:vAlign w:val="center"/>
            <w:hideMark/>
          </w:tcPr>
          <w:p w14:paraId="7CCA6D5A" w14:textId="77777777" w:rsidR="00960044" w:rsidRPr="0082653D" w:rsidRDefault="00960044" w:rsidP="00335556">
            <w:pPr>
              <w:jc w:val="center"/>
              <w:rPr>
                <w:rFonts w:ascii="Roboto" w:hAnsi="Roboto" w:cs="Arial"/>
                <w:b/>
                <w:bCs/>
                <w:color w:val="000000" w:themeColor="text1"/>
                <w:sz w:val="20"/>
                <w:szCs w:val="20"/>
                <w:lang w:eastAsia="es-CR"/>
              </w:rPr>
            </w:pPr>
            <w:r w:rsidRPr="0082653D">
              <w:rPr>
                <w:rFonts w:ascii="Roboto" w:hAnsi="Roboto" w:cs="Arial"/>
                <w:b/>
                <w:bCs/>
                <w:color w:val="000000" w:themeColor="text1"/>
                <w:sz w:val="20"/>
                <w:szCs w:val="20"/>
                <w:lang w:eastAsia="es-CR"/>
              </w:rPr>
              <w:t>OTROS</w:t>
            </w:r>
          </w:p>
        </w:tc>
      </w:tr>
      <w:tr w:rsidR="00960044" w:rsidRPr="00C4221E" w14:paraId="3416F062" w14:textId="77777777" w:rsidTr="00335556">
        <w:trPr>
          <w:trHeight w:val="420"/>
        </w:trPr>
        <w:tc>
          <w:tcPr>
            <w:tcW w:w="9145" w:type="dxa"/>
            <w:gridSpan w:val="4"/>
            <w:tcBorders>
              <w:top w:val="nil"/>
              <w:left w:val="single" w:sz="4" w:space="0" w:color="auto"/>
              <w:bottom w:val="single" w:sz="4" w:space="0" w:color="auto"/>
              <w:right w:val="single" w:sz="4" w:space="0" w:color="auto"/>
            </w:tcBorders>
            <w:shd w:val="clear" w:color="000000" w:fill="B4C6E7"/>
            <w:vAlign w:val="center"/>
            <w:hideMark/>
          </w:tcPr>
          <w:p w14:paraId="212C1B10" w14:textId="77777777" w:rsidR="00960044" w:rsidRPr="0082653D" w:rsidRDefault="00960044" w:rsidP="00335556">
            <w:pPr>
              <w:jc w:val="center"/>
              <w:rPr>
                <w:rFonts w:ascii="Roboto" w:hAnsi="Roboto" w:cs="Arial"/>
                <w:color w:val="0070C0"/>
                <w:sz w:val="20"/>
                <w:szCs w:val="20"/>
                <w:lang w:eastAsia="es-CR"/>
              </w:rPr>
            </w:pPr>
            <w:r w:rsidRPr="0082653D">
              <w:rPr>
                <w:rFonts w:ascii="Roboto" w:hAnsi="Roboto" w:cs="Arial"/>
                <w:b/>
                <w:bCs/>
                <w:color w:val="0070C0"/>
                <w:sz w:val="20"/>
                <w:szCs w:val="20"/>
                <w:lang w:eastAsia="es-CR"/>
              </w:rPr>
              <w:t>Asuntos que afectan el desempeño económico, financiero y de negocio de la Entidad o Fondo </w:t>
            </w:r>
            <w:r w:rsidRPr="0082653D">
              <w:rPr>
                <w:rFonts w:ascii="Roboto" w:hAnsi="Roboto" w:cs="Arial"/>
                <w:color w:val="0070C0"/>
                <w:sz w:val="20"/>
                <w:szCs w:val="20"/>
                <w:lang w:eastAsia="es-CR"/>
              </w:rPr>
              <w:t> </w:t>
            </w:r>
          </w:p>
        </w:tc>
      </w:tr>
      <w:tr w:rsidR="00960044" w:rsidRPr="00C4221E" w14:paraId="0EE0DD2C" w14:textId="77777777" w:rsidTr="00335556">
        <w:trPr>
          <w:trHeight w:val="795"/>
        </w:trPr>
        <w:tc>
          <w:tcPr>
            <w:tcW w:w="4142" w:type="dxa"/>
            <w:tcBorders>
              <w:top w:val="single" w:sz="4" w:space="0" w:color="auto"/>
              <w:left w:val="single" w:sz="4" w:space="0" w:color="auto"/>
              <w:bottom w:val="single" w:sz="4" w:space="0" w:color="auto"/>
              <w:right w:val="single" w:sz="4" w:space="0" w:color="auto"/>
            </w:tcBorders>
          </w:tcPr>
          <w:p w14:paraId="6F10A296" w14:textId="77777777" w:rsidR="00960044" w:rsidRPr="0082653D" w:rsidRDefault="00960044" w:rsidP="00335556">
            <w:pPr>
              <w:jc w:val="both"/>
              <w:rPr>
                <w:rFonts w:ascii="Roboto" w:hAnsi="Roboto" w:cs="Arial"/>
                <w:color w:val="000000" w:themeColor="text1"/>
                <w:sz w:val="20"/>
                <w:szCs w:val="20"/>
              </w:rPr>
            </w:pPr>
            <w:r w:rsidRPr="0082653D">
              <w:rPr>
                <w:rFonts w:ascii="Roboto" w:hAnsi="Roboto" w:cs="Arial"/>
                <w:color w:val="000000" w:themeColor="text1"/>
                <w:sz w:val="20"/>
                <w:szCs w:val="20"/>
              </w:rPr>
              <w:t>Atrasos en la presentación de estados financieros, con indicación de la fecha prevista de presentación.</w:t>
            </w:r>
          </w:p>
        </w:tc>
        <w:tc>
          <w:tcPr>
            <w:tcW w:w="1417" w:type="dxa"/>
            <w:tcBorders>
              <w:top w:val="single" w:sz="4" w:space="0" w:color="auto"/>
              <w:left w:val="nil"/>
              <w:bottom w:val="single" w:sz="4" w:space="0" w:color="auto"/>
              <w:right w:val="single" w:sz="4" w:space="0" w:color="auto"/>
            </w:tcBorders>
            <w:noWrap/>
            <w:vAlign w:val="center"/>
          </w:tcPr>
          <w:p w14:paraId="6C3A3D2A" w14:textId="77777777" w:rsidR="00960044" w:rsidRPr="0082653D" w:rsidRDefault="00960044" w:rsidP="00335556">
            <w:pPr>
              <w:jc w:val="center"/>
              <w:rPr>
                <w:rFonts w:ascii="Roboto" w:hAnsi="Roboto" w:cs="Arial"/>
                <w:color w:val="000000" w:themeColor="text1"/>
                <w:sz w:val="20"/>
                <w:szCs w:val="20"/>
              </w:rPr>
            </w:pPr>
            <w:r w:rsidRPr="0082653D">
              <w:rPr>
                <w:rFonts w:ascii="Roboto" w:hAnsi="Roboto" w:cs="Arial"/>
                <w:color w:val="000000" w:themeColor="text1"/>
                <w:sz w:val="20"/>
                <w:szCs w:val="20"/>
              </w:rPr>
              <w:t>X</w:t>
            </w:r>
          </w:p>
        </w:tc>
        <w:tc>
          <w:tcPr>
            <w:tcW w:w="1807" w:type="dxa"/>
            <w:tcBorders>
              <w:top w:val="single" w:sz="4" w:space="0" w:color="auto"/>
              <w:left w:val="nil"/>
              <w:bottom w:val="single" w:sz="4" w:space="0" w:color="auto"/>
              <w:right w:val="single" w:sz="4" w:space="0" w:color="auto"/>
            </w:tcBorders>
            <w:vAlign w:val="center"/>
          </w:tcPr>
          <w:p w14:paraId="11496B06" w14:textId="77777777" w:rsidR="00960044" w:rsidRPr="0082653D" w:rsidRDefault="00960044" w:rsidP="00335556">
            <w:pPr>
              <w:jc w:val="center"/>
              <w:rPr>
                <w:rFonts w:ascii="Roboto" w:hAnsi="Roboto" w:cs="Arial"/>
                <w:color w:val="000000" w:themeColor="text1"/>
                <w:sz w:val="20"/>
                <w:szCs w:val="20"/>
              </w:rPr>
            </w:pPr>
            <w:r w:rsidRPr="0082653D">
              <w:rPr>
                <w:rFonts w:ascii="Roboto" w:hAnsi="Roboto" w:cs="Arial"/>
                <w:color w:val="000000" w:themeColor="text1"/>
                <w:sz w:val="20"/>
                <w:szCs w:val="20"/>
              </w:rPr>
              <w:t>X</w:t>
            </w:r>
          </w:p>
        </w:tc>
        <w:tc>
          <w:tcPr>
            <w:tcW w:w="1779" w:type="dxa"/>
            <w:tcBorders>
              <w:top w:val="single" w:sz="4" w:space="0" w:color="auto"/>
              <w:left w:val="nil"/>
              <w:bottom w:val="single" w:sz="4" w:space="0" w:color="auto"/>
              <w:right w:val="single" w:sz="4" w:space="0" w:color="auto"/>
            </w:tcBorders>
            <w:noWrap/>
            <w:vAlign w:val="center"/>
          </w:tcPr>
          <w:p w14:paraId="489B74E9" w14:textId="77777777" w:rsidR="00960044" w:rsidRPr="0082653D" w:rsidRDefault="00960044" w:rsidP="00335556">
            <w:pPr>
              <w:jc w:val="center"/>
              <w:rPr>
                <w:rFonts w:ascii="Roboto" w:hAnsi="Roboto" w:cs="Arial"/>
                <w:color w:val="000000" w:themeColor="text1"/>
                <w:sz w:val="20"/>
                <w:szCs w:val="20"/>
              </w:rPr>
            </w:pPr>
            <w:r w:rsidRPr="0082653D">
              <w:rPr>
                <w:rFonts w:ascii="Roboto" w:hAnsi="Roboto" w:cs="Arial"/>
                <w:color w:val="000000" w:themeColor="text1"/>
                <w:sz w:val="20"/>
                <w:szCs w:val="20"/>
              </w:rPr>
              <w:t>X</w:t>
            </w:r>
          </w:p>
        </w:tc>
      </w:tr>
      <w:tr w:rsidR="00960044" w:rsidRPr="00C4221E" w14:paraId="1A44C8EE" w14:textId="77777777" w:rsidTr="00335556">
        <w:trPr>
          <w:trHeight w:val="795"/>
        </w:trPr>
        <w:tc>
          <w:tcPr>
            <w:tcW w:w="4142" w:type="dxa"/>
            <w:tcBorders>
              <w:top w:val="single" w:sz="4" w:space="0" w:color="auto"/>
              <w:left w:val="single" w:sz="4" w:space="0" w:color="auto"/>
              <w:bottom w:val="single" w:sz="4" w:space="0" w:color="auto"/>
              <w:right w:val="single" w:sz="4" w:space="0" w:color="auto"/>
            </w:tcBorders>
          </w:tcPr>
          <w:p w14:paraId="6391A23F" w14:textId="77777777" w:rsidR="00960044" w:rsidRPr="0082653D" w:rsidRDefault="00960044" w:rsidP="00335556">
            <w:pPr>
              <w:jc w:val="both"/>
              <w:rPr>
                <w:rFonts w:ascii="Roboto" w:hAnsi="Roboto" w:cs="Arial"/>
                <w:color w:val="000000" w:themeColor="text1"/>
                <w:sz w:val="20"/>
                <w:szCs w:val="20"/>
              </w:rPr>
            </w:pPr>
            <w:r w:rsidRPr="0082653D">
              <w:rPr>
                <w:rFonts w:ascii="Roboto" w:hAnsi="Roboto" w:cs="Arial"/>
                <w:color w:val="000000"/>
                <w:sz w:val="20"/>
                <w:szCs w:val="20"/>
              </w:rPr>
              <w:lastRenderedPageBreak/>
              <w:t>Sustitución o reenvío de estados financieros trimestrales y anuales de emisores no financieros y estados financieros mensuales, trimestrales y anuales de los fondos de inversión, con indicación de:  nombre del regulado, el nombre del reporte, la fecha de corte del reporte que se sustituye y del motivo de la sustitución.</w:t>
            </w:r>
          </w:p>
        </w:tc>
        <w:tc>
          <w:tcPr>
            <w:tcW w:w="1417" w:type="dxa"/>
            <w:tcBorders>
              <w:top w:val="single" w:sz="4" w:space="0" w:color="auto"/>
              <w:left w:val="nil"/>
              <w:bottom w:val="single" w:sz="4" w:space="0" w:color="auto"/>
              <w:right w:val="single" w:sz="4" w:space="0" w:color="auto"/>
            </w:tcBorders>
            <w:shd w:val="clear" w:color="auto" w:fill="FFFFFF"/>
            <w:noWrap/>
            <w:vAlign w:val="center"/>
          </w:tcPr>
          <w:p w14:paraId="650A2CBE" w14:textId="77777777" w:rsidR="00960044" w:rsidRPr="0082653D" w:rsidRDefault="00960044" w:rsidP="00335556">
            <w:pPr>
              <w:jc w:val="center"/>
              <w:rPr>
                <w:rFonts w:ascii="Roboto" w:hAnsi="Roboto" w:cs="Arial"/>
                <w:color w:val="000000" w:themeColor="text1"/>
                <w:sz w:val="20"/>
                <w:szCs w:val="20"/>
              </w:rPr>
            </w:pPr>
            <w:r w:rsidRPr="0082653D">
              <w:rPr>
                <w:rFonts w:ascii="Roboto" w:hAnsi="Roboto" w:cs="Arial"/>
                <w:color w:val="000000" w:themeColor="text1"/>
                <w:sz w:val="20"/>
                <w:szCs w:val="20"/>
              </w:rPr>
              <w:t>X</w:t>
            </w:r>
          </w:p>
        </w:tc>
        <w:tc>
          <w:tcPr>
            <w:tcW w:w="1807" w:type="dxa"/>
            <w:tcBorders>
              <w:top w:val="single" w:sz="4" w:space="0" w:color="auto"/>
              <w:left w:val="nil"/>
              <w:bottom w:val="single" w:sz="4" w:space="0" w:color="auto"/>
              <w:right w:val="single" w:sz="4" w:space="0" w:color="auto"/>
            </w:tcBorders>
            <w:shd w:val="clear" w:color="auto" w:fill="FFFFFF"/>
            <w:vAlign w:val="center"/>
          </w:tcPr>
          <w:p w14:paraId="52635767" w14:textId="77777777" w:rsidR="00960044" w:rsidRPr="0082653D" w:rsidRDefault="00960044" w:rsidP="00335556">
            <w:pPr>
              <w:jc w:val="center"/>
              <w:rPr>
                <w:rFonts w:ascii="Roboto" w:hAnsi="Roboto" w:cs="Arial"/>
                <w:color w:val="000000" w:themeColor="text1"/>
                <w:sz w:val="20"/>
                <w:szCs w:val="20"/>
              </w:rPr>
            </w:pPr>
            <w:r w:rsidRPr="0082653D">
              <w:rPr>
                <w:rFonts w:ascii="Roboto" w:hAnsi="Roboto" w:cs="Arial"/>
                <w:color w:val="000000" w:themeColor="text1"/>
                <w:sz w:val="20"/>
                <w:szCs w:val="20"/>
              </w:rPr>
              <w:t>X</w:t>
            </w:r>
          </w:p>
        </w:tc>
        <w:tc>
          <w:tcPr>
            <w:tcW w:w="1779" w:type="dxa"/>
            <w:tcBorders>
              <w:top w:val="single" w:sz="4" w:space="0" w:color="auto"/>
              <w:left w:val="nil"/>
              <w:bottom w:val="single" w:sz="4" w:space="0" w:color="auto"/>
              <w:right w:val="single" w:sz="4" w:space="0" w:color="auto"/>
            </w:tcBorders>
            <w:shd w:val="clear" w:color="auto" w:fill="FFFFFF"/>
            <w:noWrap/>
            <w:vAlign w:val="center"/>
          </w:tcPr>
          <w:p w14:paraId="481CF737" w14:textId="77777777" w:rsidR="00960044" w:rsidRPr="0082653D" w:rsidRDefault="00960044" w:rsidP="00335556">
            <w:pPr>
              <w:jc w:val="center"/>
              <w:rPr>
                <w:rFonts w:ascii="Roboto" w:hAnsi="Roboto" w:cs="Arial"/>
                <w:color w:val="000000" w:themeColor="text1"/>
                <w:sz w:val="20"/>
                <w:szCs w:val="20"/>
              </w:rPr>
            </w:pPr>
            <w:r w:rsidRPr="0082653D">
              <w:rPr>
                <w:rFonts w:ascii="Roboto" w:hAnsi="Roboto" w:cs="Arial"/>
                <w:color w:val="000000" w:themeColor="text1"/>
                <w:sz w:val="20"/>
                <w:szCs w:val="20"/>
              </w:rPr>
              <w:t> </w:t>
            </w:r>
          </w:p>
        </w:tc>
      </w:tr>
    </w:tbl>
    <w:p w14:paraId="5BDD2508" w14:textId="77777777" w:rsidR="00960044" w:rsidRPr="00C4221E" w:rsidRDefault="00960044" w:rsidP="00960044">
      <w:pPr>
        <w:spacing w:line="276" w:lineRule="auto"/>
        <w:jc w:val="both"/>
        <w:rPr>
          <w:rFonts w:ascii="Roboto" w:eastAsia="Calibri" w:hAnsi="Roboto" w:cs="Arial"/>
          <w:b/>
          <w:color w:val="000000"/>
          <w:lang w:eastAsia="es-CR"/>
        </w:rPr>
      </w:pPr>
    </w:p>
    <w:p w14:paraId="4DE28430" w14:textId="77777777" w:rsidR="00960044" w:rsidRPr="00C4221E" w:rsidRDefault="00960044" w:rsidP="00960044">
      <w:pPr>
        <w:spacing w:line="276" w:lineRule="auto"/>
        <w:jc w:val="both"/>
        <w:rPr>
          <w:rFonts w:ascii="Roboto" w:eastAsia="Calibri" w:hAnsi="Roboto" w:cs="Arial"/>
          <w:b/>
          <w:color w:val="000000"/>
          <w:lang w:eastAsia="es-CR"/>
        </w:rPr>
      </w:pPr>
      <w:r w:rsidRPr="00C4221E">
        <w:rPr>
          <w:rFonts w:ascii="Roboto" w:eastAsia="Calibri" w:hAnsi="Roboto" w:cs="Arial"/>
          <w:b/>
          <w:color w:val="000000"/>
          <w:lang w:eastAsia="es-CR"/>
        </w:rPr>
        <w:t>Artículo 3.-    Deróguese el inciso d) del artículo 12 del Acuerdo SGV-A-188 “Directriz para la implementación del Sistema de Mensajería de Documentos Electrónicos (</w:t>
      </w:r>
      <w:proofErr w:type="spellStart"/>
      <w:r w:rsidRPr="00C4221E">
        <w:rPr>
          <w:rFonts w:ascii="Roboto" w:eastAsia="Calibri" w:hAnsi="Roboto" w:cs="Arial"/>
          <w:b/>
          <w:color w:val="000000"/>
          <w:lang w:eastAsia="es-CR"/>
        </w:rPr>
        <w:t>Mendocel</w:t>
      </w:r>
      <w:proofErr w:type="spellEnd"/>
      <w:r w:rsidRPr="00C4221E">
        <w:rPr>
          <w:rFonts w:ascii="Roboto" w:eastAsia="Calibri" w:hAnsi="Roboto" w:cs="Arial"/>
          <w:b/>
          <w:color w:val="000000"/>
          <w:lang w:eastAsia="es-CR"/>
        </w:rPr>
        <w:t>)”, para que se lea de la siguiente manera:</w:t>
      </w:r>
    </w:p>
    <w:p w14:paraId="4BA7DD6F" w14:textId="77777777" w:rsidR="00960044" w:rsidRPr="00C4221E" w:rsidRDefault="00960044" w:rsidP="00960044">
      <w:pPr>
        <w:spacing w:line="276" w:lineRule="auto"/>
        <w:jc w:val="both"/>
        <w:rPr>
          <w:rFonts w:ascii="Roboto" w:eastAsia="Calibri" w:hAnsi="Roboto" w:cs="Arial"/>
          <w:bCs/>
          <w:color w:val="000000" w:themeColor="text1"/>
          <w:lang w:eastAsia="es-CR"/>
        </w:rPr>
      </w:pPr>
      <w:r w:rsidRPr="00C4221E">
        <w:rPr>
          <w:rFonts w:ascii="Roboto" w:eastAsia="Calibri" w:hAnsi="Roboto" w:cs="Arial"/>
          <w:bCs/>
          <w:color w:val="000000" w:themeColor="text1"/>
          <w:lang w:eastAsia="es-CR"/>
        </w:rPr>
        <w:t>Artículo 12. Documentos que deben presentarse en medio físico:</w:t>
      </w:r>
    </w:p>
    <w:p w14:paraId="103D2A5E" w14:textId="77777777" w:rsidR="00960044" w:rsidRPr="00C4221E" w:rsidRDefault="00960044" w:rsidP="00960044">
      <w:pPr>
        <w:pStyle w:val="CNV"/>
        <w:widowControl w:val="0"/>
        <w:tabs>
          <w:tab w:val="left" w:pos="8910"/>
        </w:tabs>
        <w:spacing w:line="276" w:lineRule="auto"/>
        <w:rPr>
          <w:rFonts w:ascii="Roboto" w:hAnsi="Roboto" w:cs="Arial"/>
          <w:sz w:val="22"/>
          <w:szCs w:val="22"/>
          <w:lang w:val="es-CR"/>
        </w:rPr>
      </w:pPr>
      <w:r w:rsidRPr="00C4221E">
        <w:rPr>
          <w:rFonts w:ascii="Roboto" w:hAnsi="Roboto" w:cs="Arial"/>
          <w:sz w:val="22"/>
          <w:szCs w:val="22"/>
          <w:lang w:val="es-CR"/>
        </w:rPr>
        <w:t xml:space="preserve">Por temas normativos y requisitos especiales, los siguientes documentos deberán presentarse necesariamente en medio físico: </w:t>
      </w:r>
    </w:p>
    <w:p w14:paraId="158F1CCA" w14:textId="77777777" w:rsidR="00960044" w:rsidRPr="00C4221E" w:rsidRDefault="00960044" w:rsidP="00960044">
      <w:pPr>
        <w:pStyle w:val="CNV"/>
        <w:widowControl w:val="0"/>
        <w:tabs>
          <w:tab w:val="left" w:pos="8910"/>
        </w:tabs>
        <w:spacing w:line="276" w:lineRule="auto"/>
        <w:rPr>
          <w:rFonts w:ascii="Roboto" w:hAnsi="Roboto" w:cs="Arial"/>
          <w:sz w:val="22"/>
          <w:szCs w:val="22"/>
          <w:lang w:val="es-CR"/>
        </w:rPr>
      </w:pPr>
    </w:p>
    <w:p w14:paraId="2E502430" w14:textId="77777777" w:rsidR="00960044" w:rsidRPr="00C4221E" w:rsidRDefault="00960044" w:rsidP="00960044">
      <w:pPr>
        <w:pStyle w:val="CNV"/>
        <w:widowControl w:val="0"/>
        <w:numPr>
          <w:ilvl w:val="0"/>
          <w:numId w:val="10"/>
        </w:numPr>
        <w:tabs>
          <w:tab w:val="left" w:pos="426"/>
        </w:tabs>
        <w:spacing w:line="276" w:lineRule="auto"/>
        <w:ind w:left="426" w:hanging="567"/>
        <w:rPr>
          <w:rFonts w:ascii="Roboto" w:hAnsi="Roboto" w:cs="Arial"/>
          <w:sz w:val="22"/>
          <w:szCs w:val="22"/>
          <w:lang w:val="es-CR"/>
        </w:rPr>
      </w:pPr>
      <w:r w:rsidRPr="00C4221E">
        <w:rPr>
          <w:rFonts w:ascii="Roboto" w:hAnsi="Roboto" w:cs="Arial"/>
          <w:sz w:val="22"/>
          <w:szCs w:val="22"/>
          <w:lang w:val="es-CR"/>
        </w:rPr>
        <w:t>Todo documento emitido por un Notario Público.</w:t>
      </w:r>
    </w:p>
    <w:p w14:paraId="5388FEC2" w14:textId="77777777" w:rsidR="00960044" w:rsidRPr="00C4221E" w:rsidRDefault="00960044" w:rsidP="00960044">
      <w:pPr>
        <w:pStyle w:val="CNV"/>
        <w:widowControl w:val="0"/>
        <w:tabs>
          <w:tab w:val="left" w:pos="426"/>
        </w:tabs>
        <w:spacing w:line="276" w:lineRule="auto"/>
        <w:ind w:left="426" w:hanging="567"/>
        <w:rPr>
          <w:rFonts w:ascii="Roboto" w:hAnsi="Roboto" w:cs="Arial"/>
          <w:sz w:val="22"/>
          <w:szCs w:val="22"/>
          <w:lang w:val="es-CR"/>
        </w:rPr>
      </w:pPr>
    </w:p>
    <w:p w14:paraId="49A23098" w14:textId="77777777" w:rsidR="00960044" w:rsidRPr="00C4221E" w:rsidRDefault="00960044" w:rsidP="00960044">
      <w:pPr>
        <w:pStyle w:val="CNV"/>
        <w:widowControl w:val="0"/>
        <w:numPr>
          <w:ilvl w:val="0"/>
          <w:numId w:val="10"/>
        </w:numPr>
        <w:tabs>
          <w:tab w:val="left" w:pos="426"/>
        </w:tabs>
        <w:spacing w:line="276" w:lineRule="auto"/>
        <w:ind w:left="426" w:hanging="567"/>
        <w:rPr>
          <w:rFonts w:ascii="Roboto" w:hAnsi="Roboto" w:cs="Arial"/>
          <w:sz w:val="22"/>
          <w:szCs w:val="22"/>
          <w:lang w:val="es-CR"/>
        </w:rPr>
      </w:pPr>
      <w:r w:rsidRPr="00C4221E">
        <w:rPr>
          <w:rFonts w:ascii="Roboto" w:hAnsi="Roboto" w:cs="Arial"/>
          <w:sz w:val="22"/>
          <w:szCs w:val="22"/>
          <w:lang w:val="es-CR"/>
        </w:rPr>
        <w:t xml:space="preserve">Documentos expedidos en el extranjero que deban ser </w:t>
      </w:r>
      <w:proofErr w:type="spellStart"/>
      <w:r w:rsidRPr="00C4221E">
        <w:rPr>
          <w:rFonts w:ascii="Roboto" w:hAnsi="Roboto" w:cs="Arial"/>
          <w:sz w:val="22"/>
          <w:szCs w:val="22"/>
          <w:lang w:val="es-CR"/>
        </w:rPr>
        <w:t>consularizados</w:t>
      </w:r>
      <w:proofErr w:type="spellEnd"/>
      <w:r w:rsidRPr="00C4221E">
        <w:rPr>
          <w:rFonts w:ascii="Roboto" w:hAnsi="Roboto" w:cs="Arial"/>
          <w:sz w:val="22"/>
          <w:szCs w:val="22"/>
          <w:lang w:val="es-CR"/>
        </w:rPr>
        <w:t>, legalizados o apostillados, salvo que exista una autoridad costarricense con firma digital cuyo certificado digital haya sido emitido por una autoridad certificadora reconocida a nivel nacional que realice estos trámites.</w:t>
      </w:r>
    </w:p>
    <w:p w14:paraId="6E2F0212" w14:textId="77777777" w:rsidR="00960044" w:rsidRPr="00C4221E" w:rsidRDefault="00960044" w:rsidP="00960044">
      <w:pPr>
        <w:pStyle w:val="CNV"/>
        <w:widowControl w:val="0"/>
        <w:tabs>
          <w:tab w:val="left" w:pos="426"/>
        </w:tabs>
        <w:spacing w:line="276" w:lineRule="auto"/>
        <w:ind w:left="426" w:hanging="567"/>
        <w:rPr>
          <w:rFonts w:ascii="Roboto" w:hAnsi="Roboto" w:cs="Arial"/>
          <w:sz w:val="22"/>
          <w:szCs w:val="22"/>
          <w:lang w:val="es-CR"/>
        </w:rPr>
      </w:pPr>
    </w:p>
    <w:p w14:paraId="1C6F57FD" w14:textId="77777777" w:rsidR="00960044" w:rsidRDefault="00960044" w:rsidP="00960044">
      <w:pPr>
        <w:pStyle w:val="CNV"/>
        <w:widowControl w:val="0"/>
        <w:numPr>
          <w:ilvl w:val="0"/>
          <w:numId w:val="10"/>
        </w:numPr>
        <w:tabs>
          <w:tab w:val="left" w:pos="426"/>
        </w:tabs>
        <w:spacing w:line="276" w:lineRule="auto"/>
        <w:ind w:left="426" w:hanging="567"/>
        <w:rPr>
          <w:rFonts w:ascii="Roboto" w:hAnsi="Roboto" w:cs="Arial"/>
          <w:sz w:val="22"/>
          <w:szCs w:val="22"/>
          <w:lang w:val="es-CR"/>
        </w:rPr>
      </w:pPr>
      <w:r w:rsidRPr="00C4221E">
        <w:rPr>
          <w:rFonts w:ascii="Roboto" w:hAnsi="Roboto" w:cs="Arial"/>
          <w:sz w:val="22"/>
          <w:szCs w:val="22"/>
          <w:lang w:val="es-CR"/>
        </w:rPr>
        <w:t>Certificaciones emitidas por otras instituciones públicas costarricenses que no sean generadas ni firmadas por vía digital y cuyo único soporte sea el documento físico.</w:t>
      </w:r>
    </w:p>
    <w:p w14:paraId="1C967D70" w14:textId="77777777" w:rsidR="0082653D" w:rsidRDefault="0082653D" w:rsidP="0082653D">
      <w:pPr>
        <w:pStyle w:val="Prrafodelista"/>
        <w:rPr>
          <w:rFonts w:ascii="Roboto" w:hAnsi="Roboto" w:cs="Arial"/>
          <w:lang w:val="es-CR"/>
        </w:rPr>
      </w:pPr>
    </w:p>
    <w:p w14:paraId="02694C08" w14:textId="77777777" w:rsidR="0082653D" w:rsidRPr="00C4221E" w:rsidRDefault="0082653D" w:rsidP="0082653D">
      <w:pPr>
        <w:pStyle w:val="CNV"/>
        <w:widowControl w:val="0"/>
        <w:tabs>
          <w:tab w:val="left" w:pos="426"/>
        </w:tabs>
        <w:spacing w:line="276" w:lineRule="auto"/>
        <w:ind w:left="426"/>
        <w:rPr>
          <w:rFonts w:ascii="Roboto" w:hAnsi="Roboto" w:cs="Arial"/>
          <w:sz w:val="22"/>
          <w:szCs w:val="22"/>
          <w:lang w:val="es-CR"/>
        </w:rPr>
      </w:pPr>
    </w:p>
    <w:p w14:paraId="768F4AAA" w14:textId="77777777" w:rsidR="00960044" w:rsidRPr="00C4221E" w:rsidRDefault="00960044" w:rsidP="00960044">
      <w:pPr>
        <w:pStyle w:val="CNV"/>
        <w:widowControl w:val="0"/>
        <w:tabs>
          <w:tab w:val="left" w:pos="567"/>
        </w:tabs>
        <w:spacing w:line="276" w:lineRule="auto"/>
        <w:ind w:left="567" w:hanging="567"/>
        <w:rPr>
          <w:rFonts w:ascii="Roboto" w:hAnsi="Roboto" w:cs="Arial"/>
          <w:sz w:val="22"/>
          <w:szCs w:val="22"/>
          <w:lang w:val="es-CR"/>
        </w:rPr>
      </w:pPr>
    </w:p>
    <w:p w14:paraId="72306014" w14:textId="77777777" w:rsidR="00960044" w:rsidRPr="00C4221E" w:rsidRDefault="00960044" w:rsidP="00960044">
      <w:pPr>
        <w:spacing w:line="276" w:lineRule="auto"/>
        <w:jc w:val="both"/>
        <w:rPr>
          <w:rFonts w:ascii="Roboto" w:eastAsia="Calibri" w:hAnsi="Roboto" w:cs="Arial"/>
          <w:b/>
          <w:bCs/>
          <w:lang w:eastAsia="es-CR"/>
        </w:rPr>
      </w:pPr>
      <w:r w:rsidRPr="00C4221E">
        <w:rPr>
          <w:rFonts w:ascii="Roboto" w:eastAsia="Calibri" w:hAnsi="Roboto" w:cs="Arial"/>
          <w:b/>
          <w:color w:val="000000"/>
          <w:lang w:eastAsia="es-CR"/>
        </w:rPr>
        <w:t>Artículo 4.-</w:t>
      </w:r>
      <w:r w:rsidRPr="00C4221E">
        <w:rPr>
          <w:rFonts w:ascii="Roboto" w:eastAsia="Calibri" w:hAnsi="Roboto" w:cs="Arial"/>
          <w:b/>
          <w:color w:val="000000"/>
          <w:lang w:eastAsia="es-CR"/>
        </w:rPr>
        <w:tab/>
      </w:r>
      <w:r w:rsidRPr="00C4221E">
        <w:rPr>
          <w:rStyle w:val="Fuerte"/>
          <w:rFonts w:ascii="Roboto" w:hAnsi="Roboto" w:cs="Segoe UI"/>
        </w:rPr>
        <w:t>Modifíquese</w:t>
      </w:r>
      <w:r w:rsidRPr="00C4221E">
        <w:rPr>
          <w:rFonts w:ascii="Roboto" w:eastAsia="Calibri" w:hAnsi="Roboto" w:cs="Arial"/>
          <w:b/>
          <w:lang w:eastAsia="es-CR"/>
        </w:rPr>
        <w:t xml:space="preserve"> el anexo 1 del Acuerdo SGV</w:t>
      </w:r>
      <w:r w:rsidRPr="00C4221E">
        <w:rPr>
          <w:rFonts w:ascii="Roboto" w:hAnsi="Roboto" w:cs="Arial"/>
          <w:b/>
          <w:bCs/>
        </w:rPr>
        <w:t>-A-257 “Información básica de las entidades supervisadas por la Superintendencia General de Valores”</w:t>
      </w:r>
    </w:p>
    <w:p w14:paraId="44E2D713" w14:textId="77777777" w:rsidR="00960044" w:rsidRPr="00C4221E" w:rsidRDefault="00960044" w:rsidP="00960044">
      <w:pPr>
        <w:spacing w:line="276" w:lineRule="auto"/>
        <w:contextualSpacing/>
        <w:jc w:val="both"/>
        <w:rPr>
          <w:rFonts w:ascii="Roboto" w:eastAsia="Calibri" w:hAnsi="Roboto" w:cs="Arial"/>
          <w:lang w:eastAsia="es-CR"/>
        </w:rPr>
      </w:pPr>
    </w:p>
    <w:p w14:paraId="4D61DED3" w14:textId="77777777" w:rsidR="00960044" w:rsidRDefault="00960044" w:rsidP="00960044">
      <w:pPr>
        <w:spacing w:line="276" w:lineRule="auto"/>
        <w:contextualSpacing/>
        <w:jc w:val="both"/>
        <w:rPr>
          <w:rFonts w:ascii="Roboto" w:eastAsia="Calibri" w:hAnsi="Roboto" w:cs="Arial"/>
          <w:lang w:eastAsia="es-CR"/>
        </w:rPr>
      </w:pPr>
      <w:r w:rsidRPr="00C4221E">
        <w:rPr>
          <w:rFonts w:ascii="Roboto" w:eastAsia="Calibri" w:hAnsi="Roboto" w:cs="Arial"/>
          <w:lang w:eastAsia="es-CR"/>
        </w:rPr>
        <w:t>Actualizar en el Anexo 1 del artículo 5, los requerimientos de información para las Entidades de Registros Centralizados de Letras de Cambio y Pagarés Electrónicos.</w:t>
      </w:r>
    </w:p>
    <w:bookmarkStart w:id="0" w:name="_MON_1847877887"/>
    <w:bookmarkEnd w:id="0"/>
    <w:p w14:paraId="41A83DD1" w14:textId="45A1CA3F" w:rsidR="0054457A" w:rsidRPr="00C4221E" w:rsidRDefault="00623C03" w:rsidP="0054457A">
      <w:pPr>
        <w:spacing w:line="276" w:lineRule="auto"/>
        <w:contextualSpacing/>
        <w:jc w:val="center"/>
        <w:rPr>
          <w:rFonts w:ascii="Roboto" w:eastAsia="Calibri" w:hAnsi="Roboto" w:cs="Arial"/>
          <w:lang w:eastAsia="es-CR"/>
        </w:rPr>
      </w:pPr>
      <w:r>
        <w:rPr>
          <w:rFonts w:ascii="Roboto" w:eastAsia="Calibri" w:hAnsi="Roboto" w:cs="Arial"/>
          <w:lang w:eastAsia="es-CR"/>
        </w:rPr>
        <w:object w:dxaOrig="1508" w:dyaOrig="984" w14:anchorId="3B30CF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2pt" o:ole="">
            <v:imagedata r:id="rId11" o:title=""/>
          </v:shape>
          <o:OLEObject Type="Embed" ProgID="Excel.Sheet.12" ShapeID="_x0000_i1025" DrawAspect="Icon" ObjectID="_1848027169" r:id="rId12"/>
        </w:object>
      </w:r>
    </w:p>
    <w:p w14:paraId="3EAE2636" w14:textId="7F70F232" w:rsidR="00960044" w:rsidRPr="0031759F" w:rsidRDefault="00960044" w:rsidP="0082653D">
      <w:pPr>
        <w:spacing w:line="276" w:lineRule="auto"/>
        <w:rPr>
          <w:rFonts w:ascii="Roboto" w:eastAsia="Calibri" w:hAnsi="Roboto" w:cs="Arial"/>
          <w:b/>
          <w:color w:val="000000"/>
          <w:szCs w:val="24"/>
          <w:lang w:eastAsia="es-CR"/>
        </w:rPr>
      </w:pPr>
    </w:p>
    <w:p w14:paraId="39FCAC20" w14:textId="297290B1" w:rsidR="00960044" w:rsidRPr="0031759F" w:rsidRDefault="00960044" w:rsidP="00960044">
      <w:pPr>
        <w:spacing w:line="276" w:lineRule="auto"/>
        <w:jc w:val="both"/>
        <w:rPr>
          <w:rFonts w:ascii="Roboto" w:hAnsi="Roboto" w:cs="Arial"/>
          <w:szCs w:val="24"/>
        </w:rPr>
      </w:pPr>
      <w:r w:rsidRPr="0031759F">
        <w:rPr>
          <w:rFonts w:ascii="Roboto" w:eastAsia="Calibri" w:hAnsi="Roboto" w:cs="Arial"/>
          <w:b/>
          <w:color w:val="000000"/>
          <w:szCs w:val="24"/>
          <w:lang w:eastAsia="es-CR"/>
        </w:rPr>
        <w:lastRenderedPageBreak/>
        <w:t>Artículo 5.-</w:t>
      </w:r>
      <w:r w:rsidRPr="0031759F">
        <w:rPr>
          <w:rFonts w:ascii="Roboto" w:hAnsi="Roboto" w:cs="Arial"/>
          <w:szCs w:val="24"/>
        </w:rPr>
        <w:t xml:space="preserve"> </w:t>
      </w:r>
      <w:r w:rsidRPr="0031759F">
        <w:rPr>
          <w:rFonts w:ascii="Roboto" w:eastAsia="Calibri" w:hAnsi="Roboto" w:cs="Arial"/>
          <w:b/>
          <w:bCs/>
          <w:szCs w:val="24"/>
        </w:rPr>
        <w:t>Vigencia</w:t>
      </w:r>
      <w:r w:rsidR="00270343">
        <w:rPr>
          <w:rStyle w:val="Refdenotaalpie"/>
          <w:rFonts w:ascii="Roboto" w:eastAsia="Calibri" w:hAnsi="Roboto" w:cs="Arial"/>
          <w:b/>
          <w:bCs/>
          <w:szCs w:val="24"/>
        </w:rPr>
        <w:footnoteReference w:id="2"/>
      </w:r>
    </w:p>
    <w:p w14:paraId="2E955F9C" w14:textId="6AB6A4D1" w:rsidR="00960044" w:rsidRDefault="00960044" w:rsidP="0082653D">
      <w:pPr>
        <w:spacing w:line="276" w:lineRule="auto"/>
        <w:jc w:val="both"/>
        <w:rPr>
          <w:rFonts w:ascii="Arial" w:eastAsia="Calibri" w:hAnsi="Arial" w:cs="Arial"/>
          <w:b/>
          <w:color w:val="000000"/>
          <w:lang w:val="es-ES"/>
        </w:rPr>
      </w:pPr>
      <w:r w:rsidRPr="0031759F">
        <w:rPr>
          <w:rFonts w:ascii="Roboto" w:hAnsi="Roboto" w:cs="Arial"/>
          <w:szCs w:val="24"/>
        </w:rPr>
        <w:t>Rige a partir de su comunicación</w:t>
      </w:r>
      <w:r w:rsidR="0082653D">
        <w:rPr>
          <w:rFonts w:ascii="Roboto" w:hAnsi="Roboto" w:cs="Arial"/>
          <w:szCs w:val="24"/>
        </w:rPr>
        <w:t>.</w:t>
      </w:r>
    </w:p>
    <w:sectPr w:rsidR="00960044" w:rsidSect="001D7DB4">
      <w:headerReference w:type="default" r:id="rId13"/>
      <w:footerReference w:type="even" r:id="rId14"/>
      <w:footerReference w:type="default" r:id="rId15"/>
      <w:headerReference w:type="first" r:id="rId16"/>
      <w:footerReference w:type="first" r:id="rId17"/>
      <w:pgSz w:w="12240" w:h="15840"/>
      <w:pgMar w:top="1440" w:right="1440" w:bottom="1440" w:left="1440" w:header="533" w:footer="51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D5598" w14:textId="77777777" w:rsidR="000B7D8B" w:rsidRDefault="000B7D8B" w:rsidP="00A2161B">
      <w:pPr>
        <w:spacing w:after="0" w:line="240" w:lineRule="auto"/>
      </w:pPr>
      <w:r>
        <w:separator/>
      </w:r>
    </w:p>
  </w:endnote>
  <w:endnote w:type="continuationSeparator" w:id="0">
    <w:p w14:paraId="0286E794" w14:textId="77777777" w:rsidR="000B7D8B" w:rsidRDefault="000B7D8B" w:rsidP="00A21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4B58B" w14:textId="0C2C0A94" w:rsidR="00FE7B4F" w:rsidRDefault="00434CD8">
    <w:pPr>
      <w:pStyle w:val="Piedepgina"/>
    </w:pPr>
    <w:r>
      <w:rPr>
        <w:noProof/>
      </w:rPr>
      <mc:AlternateContent>
        <mc:Choice Requires="wps">
          <w:drawing>
            <wp:anchor distT="0" distB="0" distL="0" distR="0" simplePos="0" relativeHeight="251664384" behindDoc="0" locked="0" layoutInCell="1" allowOverlap="1" wp14:anchorId="109E7FCC" wp14:editId="5EBD5373">
              <wp:simplePos x="635" y="635"/>
              <wp:positionH relativeFrom="page">
                <wp:align>center</wp:align>
              </wp:positionH>
              <wp:positionV relativeFrom="page">
                <wp:align>bottom</wp:align>
              </wp:positionV>
              <wp:extent cx="1083945" cy="357505"/>
              <wp:effectExtent l="0" t="0" r="1905" b="0"/>
              <wp:wrapNone/>
              <wp:docPr id="1687014127" name="Cuadro de texto 5"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57505"/>
                      </a:xfrm>
                      <a:prstGeom prst="rect">
                        <a:avLst/>
                      </a:prstGeom>
                      <a:noFill/>
                      <a:ln>
                        <a:noFill/>
                      </a:ln>
                    </wps:spPr>
                    <wps:txbx>
                      <w:txbxContent>
                        <w:p w14:paraId="39C95795" w14:textId="7C31D27B" w:rsidR="00434CD8" w:rsidRPr="00434CD8" w:rsidRDefault="00434CD8" w:rsidP="00434CD8">
                          <w:pPr>
                            <w:spacing w:after="0"/>
                            <w:rPr>
                              <w:rFonts w:ascii="Aptos" w:eastAsia="Aptos" w:hAnsi="Aptos" w:cs="Aptos"/>
                              <w:noProof/>
                              <w:color w:val="000000"/>
                              <w:sz w:val="20"/>
                              <w:szCs w:val="20"/>
                            </w:rPr>
                          </w:pPr>
                          <w:r w:rsidRPr="00434CD8">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9E7FCC" id="_x0000_t202" coordsize="21600,21600" o:spt="202" path="m,l,21600r21600,l21600,xe">
              <v:stroke joinstyle="miter"/>
              <v:path gradientshapeok="t" o:connecttype="rect"/>
            </v:shapetype>
            <v:shape id="Cuadro de texto 5" o:spid="_x0000_s1026" type="#_x0000_t202" alt="Uso Interno estricto" style="position:absolute;margin-left:0;margin-top:0;width:85.35pt;height:28.1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" filled="f" stroked="f">
              <v:textbox style="mso-fit-shape-to-text:t" inset="0,0,0,15pt">
                <w:txbxContent>
                  <w:p w14:paraId="39C95795" w14:textId="7C31D27B" w:rsidR="00434CD8" w:rsidRPr="00434CD8" w:rsidRDefault="00434CD8" w:rsidP="00434CD8">
                    <w:pPr>
                      <w:spacing w:after="0"/>
                      <w:rPr>
                        <w:rFonts w:ascii="Aptos" w:eastAsia="Aptos" w:hAnsi="Aptos" w:cs="Aptos"/>
                        <w:noProof/>
                        <w:color w:val="000000"/>
                        <w:sz w:val="20"/>
                        <w:szCs w:val="20"/>
                      </w:rPr>
                    </w:pPr>
                    <w:r w:rsidRPr="00434CD8">
                      <w:rPr>
                        <w:rFonts w:ascii="Aptos" w:eastAsia="Aptos" w:hAnsi="Aptos" w:cs="Aptos"/>
                        <w:noProof/>
                        <w:color w:val="000000"/>
                        <w:sz w:val="20"/>
                        <w:szCs w:val="20"/>
                      </w:rPr>
                      <w:t>Uso Interno estricto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648D5" w14:textId="024E28E0" w:rsidR="00CE0A53" w:rsidRPr="000C6A08" w:rsidRDefault="00434CD8" w:rsidP="000C6A08">
    <w:pPr>
      <w:pStyle w:val="Piedepgina"/>
      <w:rPr>
        <w:rFonts w:ascii="Arial" w:hAnsi="Arial" w:cs="Arial"/>
        <w:b/>
        <w:bCs/>
        <w:color w:val="1B75BB"/>
      </w:rPr>
    </w:pPr>
    <w:r>
      <w:rPr>
        <w:rFonts w:ascii="Arial" w:hAnsi="Arial" w:cs="Arial"/>
        <w:b/>
        <w:bCs/>
        <w:noProof/>
        <w:color w:val="1B75BB"/>
      </w:rPr>
      <mc:AlternateContent>
        <mc:Choice Requires="wps">
          <w:drawing>
            <wp:anchor distT="0" distB="0" distL="0" distR="0" simplePos="0" relativeHeight="251665408" behindDoc="0" locked="0" layoutInCell="1" allowOverlap="1" wp14:anchorId="0B82D313" wp14:editId="3CBB3E08">
              <wp:simplePos x="915035" y="9389745"/>
              <wp:positionH relativeFrom="page">
                <wp:align>center</wp:align>
              </wp:positionH>
              <wp:positionV relativeFrom="page">
                <wp:align>bottom</wp:align>
              </wp:positionV>
              <wp:extent cx="1083945" cy="357505"/>
              <wp:effectExtent l="0" t="0" r="1905" b="0"/>
              <wp:wrapNone/>
              <wp:docPr id="1849683428" name="Cuadro de texto 6"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57505"/>
                      </a:xfrm>
                      <a:prstGeom prst="rect">
                        <a:avLst/>
                      </a:prstGeom>
                      <a:noFill/>
                      <a:ln>
                        <a:noFill/>
                      </a:ln>
                    </wps:spPr>
                    <wps:txbx>
                      <w:txbxContent>
                        <w:p w14:paraId="64A3A902" w14:textId="7597A184" w:rsidR="00434CD8" w:rsidRPr="00434CD8" w:rsidRDefault="00434CD8" w:rsidP="00434CD8">
                          <w:pPr>
                            <w:spacing w:after="0"/>
                            <w:rPr>
                              <w:rFonts w:ascii="Aptos" w:eastAsia="Aptos" w:hAnsi="Aptos" w:cs="Aptos"/>
                              <w:noProof/>
                              <w:color w:val="000000"/>
                              <w:sz w:val="20"/>
                              <w:szCs w:val="20"/>
                            </w:rPr>
                          </w:pPr>
                          <w:r w:rsidRPr="00434CD8">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82D313" id="_x0000_t202" coordsize="21600,21600" o:spt="202" path="m,l,21600r21600,l21600,xe">
              <v:stroke joinstyle="miter"/>
              <v:path gradientshapeok="t" o:connecttype="rect"/>
            </v:shapetype>
            <v:shape id="Cuadro de texto 6" o:spid="_x0000_s1027" type="#_x0000_t202" alt="Uso Interno estricto" style="position:absolute;margin-left:0;margin-top:0;width:85.35pt;height:28.1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" filled="f" stroked="f">
              <v:textbox style="mso-fit-shape-to-text:t" inset="0,0,0,15pt">
                <w:txbxContent>
                  <w:p w14:paraId="64A3A902" w14:textId="7597A184" w:rsidR="00434CD8" w:rsidRPr="00434CD8" w:rsidRDefault="00434CD8" w:rsidP="00434CD8">
                    <w:pPr>
                      <w:spacing w:after="0"/>
                      <w:rPr>
                        <w:rFonts w:ascii="Aptos" w:eastAsia="Aptos" w:hAnsi="Aptos" w:cs="Aptos"/>
                        <w:noProof/>
                        <w:color w:val="000000"/>
                        <w:sz w:val="20"/>
                        <w:szCs w:val="20"/>
                      </w:rPr>
                    </w:pPr>
                    <w:r w:rsidRPr="00434CD8">
                      <w:rPr>
                        <w:rFonts w:ascii="Aptos" w:eastAsia="Aptos" w:hAnsi="Aptos" w:cs="Aptos"/>
                        <w:noProof/>
                        <w:color w:val="000000"/>
                        <w:sz w:val="20"/>
                        <w:szCs w:val="20"/>
                      </w:rPr>
                      <w:t>Uso Interno estricto</w:t>
                    </w:r>
                  </w:p>
                </w:txbxContent>
              </v:textbox>
              <w10:wrap anchorx="page" anchory="page"/>
            </v:shape>
          </w:pict>
        </mc:Fallback>
      </mc:AlternateContent>
    </w:r>
  </w:p>
  <w:p w14:paraId="0084F038" w14:textId="4E5027DB" w:rsidR="00CE0A53" w:rsidRPr="000C6A08" w:rsidRDefault="000C6A08" w:rsidP="000C6A08">
    <w:pPr>
      <w:pStyle w:val="Piedepgina"/>
      <w:pBdr>
        <w:top w:val="single" w:sz="4" w:space="1" w:color="D9D9D9"/>
      </w:pBdr>
      <w:rPr>
        <w:b/>
        <w:bCs/>
      </w:rPr>
    </w:pPr>
    <w:r w:rsidRPr="000F6DD2">
      <w:rPr>
        <w:rFonts w:ascii="Arial" w:hAnsi="Arial" w:cs="Arial"/>
        <w:b/>
        <w:bCs/>
        <w:noProof/>
        <w:color w:val="1B75BB"/>
      </w:rPr>
      <w:fldChar w:fldCharType="begin"/>
    </w:r>
    <w:r w:rsidRPr="000F6DD2">
      <w:rPr>
        <w:rFonts w:ascii="Arial" w:hAnsi="Arial" w:cs="Arial"/>
        <w:b/>
        <w:bCs/>
        <w:noProof/>
        <w:color w:val="1B75BB"/>
      </w:rPr>
      <w:instrText>PAGE   \* MERGEFORMAT</w:instrText>
    </w:r>
    <w:r w:rsidRPr="000F6DD2">
      <w:rPr>
        <w:rFonts w:ascii="Arial" w:hAnsi="Arial" w:cs="Arial"/>
        <w:b/>
        <w:bCs/>
        <w:noProof/>
        <w:color w:val="1B75BB"/>
      </w:rPr>
      <w:fldChar w:fldCharType="separate"/>
    </w:r>
    <w:r>
      <w:rPr>
        <w:rFonts w:ascii="Arial" w:hAnsi="Arial" w:cs="Arial"/>
        <w:b/>
        <w:bCs/>
        <w:noProof/>
        <w:color w:val="1B75BB"/>
      </w:rPr>
      <w:t>2</w:t>
    </w:r>
    <w:r w:rsidRPr="000F6DD2">
      <w:rPr>
        <w:rFonts w:ascii="Arial" w:hAnsi="Arial" w:cs="Arial"/>
        <w:b/>
        <w:bCs/>
        <w:noProof/>
        <w:color w:val="1B75BB"/>
      </w:rPr>
      <w:fldChar w:fldCharType="end"/>
    </w:r>
    <w:r w:rsidRPr="000F6DD2">
      <w:rPr>
        <w:rFonts w:ascii="Arial" w:hAnsi="Arial" w:cs="Arial"/>
        <w:b/>
        <w:bCs/>
        <w:noProof/>
        <w:color w:val="1B75BB"/>
      </w:rPr>
      <w:t xml:space="preserve"> |</w:t>
    </w:r>
    <w:r>
      <w:rPr>
        <w:b/>
        <w:bCs/>
      </w:rPr>
      <w:t xml:space="preserve"> </w:t>
    </w:r>
    <w:r w:rsidRPr="005E3760">
      <w:rPr>
        <w:rFonts w:ascii="Arial" w:hAnsi="Arial" w:cs="Arial"/>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07333" w14:textId="1A3D73D6" w:rsidR="000C6A08" w:rsidRDefault="00434CD8">
    <w:pPr>
      <w:pStyle w:val="Piedepgina"/>
    </w:pPr>
    <w:r>
      <w:rPr>
        <w:noProof/>
      </w:rPr>
      <mc:AlternateContent>
        <mc:Choice Requires="wps">
          <w:drawing>
            <wp:anchor distT="0" distB="0" distL="0" distR="0" simplePos="0" relativeHeight="251663360" behindDoc="0" locked="0" layoutInCell="1" allowOverlap="1" wp14:anchorId="4291AA57" wp14:editId="22CCA8F3">
              <wp:simplePos x="914400" y="9569450"/>
              <wp:positionH relativeFrom="page">
                <wp:align>center</wp:align>
              </wp:positionH>
              <wp:positionV relativeFrom="page">
                <wp:align>bottom</wp:align>
              </wp:positionV>
              <wp:extent cx="1083945" cy="357505"/>
              <wp:effectExtent l="0" t="0" r="1905" b="0"/>
              <wp:wrapNone/>
              <wp:docPr id="1312334017" name="Cuadro de texto 4"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57505"/>
                      </a:xfrm>
                      <a:prstGeom prst="rect">
                        <a:avLst/>
                      </a:prstGeom>
                      <a:noFill/>
                      <a:ln>
                        <a:noFill/>
                      </a:ln>
                    </wps:spPr>
                    <wps:txbx>
                      <w:txbxContent>
                        <w:p w14:paraId="6EFB44E3" w14:textId="388EAA35" w:rsidR="00434CD8" w:rsidRPr="00434CD8" w:rsidRDefault="00434CD8" w:rsidP="00434CD8">
                          <w:pPr>
                            <w:spacing w:after="0"/>
                            <w:rPr>
                              <w:rFonts w:ascii="Aptos" w:eastAsia="Aptos" w:hAnsi="Aptos" w:cs="Aptos"/>
                              <w:noProof/>
                              <w:color w:val="000000"/>
                              <w:sz w:val="20"/>
                              <w:szCs w:val="20"/>
                            </w:rPr>
                          </w:pPr>
                          <w:r w:rsidRPr="00434CD8">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91AA57" id="_x0000_t202" coordsize="21600,21600" o:spt="202" path="m,l,21600r21600,l21600,xe">
              <v:stroke joinstyle="miter"/>
              <v:path gradientshapeok="t" o:connecttype="rect"/>
            </v:shapetype>
            <v:shape id="Cuadro de texto 4" o:spid="_x0000_s1028" type="#_x0000_t202" alt="Uso Interno estricto" style="position:absolute;margin-left:0;margin-top:0;width:85.35pt;height:28.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" filled="f" stroked="f">
              <v:textbox style="mso-fit-shape-to-text:t" inset="0,0,0,15pt">
                <w:txbxContent>
                  <w:p w14:paraId="6EFB44E3" w14:textId="388EAA35" w:rsidR="00434CD8" w:rsidRPr="00434CD8" w:rsidRDefault="00434CD8" w:rsidP="00434CD8">
                    <w:pPr>
                      <w:spacing w:after="0"/>
                      <w:rPr>
                        <w:rFonts w:ascii="Aptos" w:eastAsia="Aptos" w:hAnsi="Aptos" w:cs="Aptos"/>
                        <w:noProof/>
                        <w:color w:val="000000"/>
                        <w:sz w:val="20"/>
                        <w:szCs w:val="20"/>
                      </w:rPr>
                    </w:pPr>
                    <w:r w:rsidRPr="00434CD8">
                      <w:rPr>
                        <w:rFonts w:ascii="Aptos" w:eastAsia="Aptos" w:hAnsi="Aptos" w:cs="Aptos"/>
                        <w:noProof/>
                        <w:color w:val="000000"/>
                        <w:sz w:val="20"/>
                        <w:szCs w:val="20"/>
                      </w:rPr>
                      <w:t>Uso Interno estricto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60CC9" w14:textId="77777777" w:rsidR="000B7D8B" w:rsidRDefault="000B7D8B" w:rsidP="00A2161B">
      <w:pPr>
        <w:spacing w:after="0" w:line="240" w:lineRule="auto"/>
      </w:pPr>
      <w:r>
        <w:separator/>
      </w:r>
    </w:p>
  </w:footnote>
  <w:footnote w:type="continuationSeparator" w:id="0">
    <w:p w14:paraId="282993F3" w14:textId="77777777" w:rsidR="000B7D8B" w:rsidRDefault="000B7D8B" w:rsidP="00A2161B">
      <w:pPr>
        <w:spacing w:after="0" w:line="240" w:lineRule="auto"/>
      </w:pPr>
      <w:r>
        <w:continuationSeparator/>
      </w:r>
    </w:p>
  </w:footnote>
  <w:footnote w:id="1">
    <w:p w14:paraId="103082A7" w14:textId="3BF49F80" w:rsidR="006332FA" w:rsidRDefault="006332FA">
      <w:pPr>
        <w:pStyle w:val="Textonotapie"/>
      </w:pPr>
      <w:r>
        <w:rPr>
          <w:rStyle w:val="Refdenotaalpie"/>
        </w:rPr>
        <w:footnoteRef/>
      </w:r>
      <w:r>
        <w:t xml:space="preserve"> </w:t>
      </w:r>
      <w:r w:rsidRPr="00E455C3">
        <w:rPr>
          <w:rFonts w:ascii="Roboto" w:hAnsi="Roboto" w:cs="Arial"/>
          <w:bCs/>
          <w:szCs w:val="24"/>
        </w:rPr>
        <w:t xml:space="preserve">Superintendencia General de Valores. Despacho del </w:t>
      </w:r>
      <w:r>
        <w:rPr>
          <w:rFonts w:ascii="Roboto" w:hAnsi="Roboto" w:cs="Arial"/>
          <w:bCs/>
          <w:szCs w:val="24"/>
        </w:rPr>
        <w:t>Intendente</w:t>
      </w:r>
      <w:r w:rsidRPr="00E455C3">
        <w:rPr>
          <w:rFonts w:ascii="Roboto" w:hAnsi="Roboto" w:cs="Arial"/>
          <w:bCs/>
          <w:szCs w:val="24"/>
        </w:rPr>
        <w:t xml:space="preserve">. A las diecisiete horas y del </w:t>
      </w:r>
      <w:r>
        <w:rPr>
          <w:rFonts w:ascii="Roboto" w:hAnsi="Roboto" w:cs="Arial"/>
          <w:bCs/>
          <w:szCs w:val="24"/>
        </w:rPr>
        <w:t>siete</w:t>
      </w:r>
      <w:r w:rsidRPr="00E455C3">
        <w:rPr>
          <w:rFonts w:ascii="Roboto" w:hAnsi="Roboto" w:cs="Arial"/>
          <w:bCs/>
          <w:szCs w:val="24"/>
        </w:rPr>
        <w:t xml:space="preserve"> de </w:t>
      </w:r>
      <w:r>
        <w:rPr>
          <w:rFonts w:ascii="Roboto" w:hAnsi="Roboto" w:cs="Arial"/>
          <w:bCs/>
          <w:szCs w:val="24"/>
        </w:rPr>
        <w:t>agosto</w:t>
      </w:r>
      <w:r w:rsidRPr="00E455C3">
        <w:rPr>
          <w:rFonts w:ascii="Roboto" w:hAnsi="Roboto" w:cs="Arial"/>
          <w:bCs/>
          <w:szCs w:val="24"/>
        </w:rPr>
        <w:t xml:space="preserve"> del </w:t>
      </w:r>
      <w:r>
        <w:rPr>
          <w:rFonts w:ascii="Roboto" w:hAnsi="Roboto" w:cs="Arial"/>
          <w:bCs/>
          <w:szCs w:val="24"/>
        </w:rPr>
        <w:t>dos mil veintiséis</w:t>
      </w:r>
      <w:r w:rsidRPr="00E455C3">
        <w:rPr>
          <w:rFonts w:ascii="Roboto" w:hAnsi="Roboto" w:cs="Arial"/>
          <w:bCs/>
          <w:szCs w:val="24"/>
        </w:rPr>
        <w:t>.</w:t>
      </w:r>
      <w:r>
        <w:rPr>
          <w:rFonts w:ascii="Roboto" w:hAnsi="Roboto" w:cs="Arial"/>
          <w:bCs/>
          <w:szCs w:val="24"/>
        </w:rPr>
        <w:t xml:space="preserve"> Rige a partir de su comunicación.  Pendiente de publicar en La Gaceta.</w:t>
      </w:r>
    </w:p>
  </w:footnote>
  <w:footnote w:id="2">
    <w:p w14:paraId="2B25A102" w14:textId="7B3B31C1" w:rsidR="00270343" w:rsidRDefault="00270343">
      <w:pPr>
        <w:pStyle w:val="Textonotapie"/>
      </w:pPr>
      <w:r>
        <w:rPr>
          <w:rStyle w:val="Refdenotaalpie"/>
        </w:rPr>
        <w:footnoteRef/>
      </w:r>
      <w:r>
        <w:t xml:space="preserve"> </w:t>
      </w:r>
      <w:r w:rsidRPr="00270343">
        <w:rPr>
          <w:rFonts w:ascii="Arial" w:hAnsi="Arial" w:cs="Arial"/>
        </w:rPr>
        <w:t>Rige a partir de su comunicación</w:t>
      </w:r>
      <w:r w:rsidR="006852AB">
        <w:rPr>
          <w:rFonts w:ascii="Arial" w:hAnsi="Arial" w:cs="Arial"/>
        </w:rPr>
        <w:t xml:space="preserve"> el 10 de agosto del 2026</w:t>
      </w:r>
      <w:r w:rsidRPr="00270343">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rPr>
      <w:id w:val="-1318336367"/>
      <w:docPartObj>
        <w:docPartGallery w:val="Page Numbers (Top of Page)"/>
        <w:docPartUnique/>
      </w:docPartObj>
    </w:sdtPr>
    <w:sdtEndPr>
      <w:rPr>
        <w:rFonts w:ascii="Arial" w:hAnsi="Arial" w:cs="Arial"/>
        <w:sz w:val="20"/>
        <w:szCs w:val="20"/>
      </w:rPr>
    </w:sdtEndPr>
    <w:sdtContent>
      <w:p w14:paraId="67F503F3" w14:textId="0C46F810" w:rsidR="00A2161B" w:rsidRPr="000C6A08" w:rsidRDefault="006332FA" w:rsidP="000C6A08">
        <w:pPr>
          <w:pStyle w:val="Encabezado"/>
          <w:jc w:val="right"/>
          <w:rPr>
            <w:rFonts w:cs="Arial"/>
            <w:i/>
            <w:noProof/>
            <w:sz w:val="20"/>
            <w:szCs w:val="20"/>
            <w:lang w:eastAsia="es-CR"/>
          </w:rPr>
        </w:pPr>
        <w:r>
          <w:rPr>
            <w:noProof/>
          </w:rPr>
          <w:drawing>
            <wp:anchor distT="0" distB="0" distL="114300" distR="114300" simplePos="0" relativeHeight="251667456" behindDoc="1" locked="0" layoutInCell="1" allowOverlap="1" wp14:anchorId="0239630E" wp14:editId="47F43C2F">
              <wp:simplePos x="0" y="0"/>
              <wp:positionH relativeFrom="page">
                <wp:posOffset>-75063</wp:posOffset>
              </wp:positionH>
              <wp:positionV relativeFrom="paragraph">
                <wp:posOffset>-206252</wp:posOffset>
              </wp:positionV>
              <wp:extent cx="8116620" cy="74615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8116620" cy="746150"/>
                      </a:xfrm>
                      <a:prstGeom prst="rect">
                        <a:avLst/>
                      </a:prstGeom>
                    </pic:spPr>
                  </pic:pic>
                </a:graphicData>
              </a:graphic>
              <wp14:sizeRelH relativeFrom="margin">
                <wp14:pctWidth>0</wp14:pctWidth>
              </wp14:sizeRelH>
              <wp14:sizeRelV relativeFrom="margin">
                <wp14:pctHeight>0</wp14:pctHeight>
              </wp14:sizeRelV>
            </wp:anchor>
          </w:drawing>
        </w:r>
      </w:p>
      <w:p w14:paraId="0E62C005" w14:textId="31BBCA27" w:rsidR="00CE0A53" w:rsidRPr="000C6A08" w:rsidRDefault="000B7D8B" w:rsidP="00A87397">
        <w:pPr>
          <w:pStyle w:val="Encabezado"/>
          <w:rPr>
            <w:rFonts w:ascii="Arial" w:hAnsi="Arial" w:cs="Arial"/>
            <w:i/>
            <w:iCs/>
            <w:sz w:val="20"/>
            <w:szCs w:val="20"/>
            <w:lang w:val="es-CR"/>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66454" w14:textId="77777777" w:rsidR="00CE0A53" w:rsidRPr="001D7DB4" w:rsidRDefault="00CE0A53" w:rsidP="001D7DB4">
    <w:pPr>
      <w:pStyle w:val="Encabezado"/>
      <w:jc w:val="center"/>
      <w:rPr>
        <w:rFonts w:ascii="Arial" w:hAnsi="Arial" w:cs="Arial"/>
        <w:lang w:val="es-C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2A0C"/>
    <w:multiLevelType w:val="hybridMultilevel"/>
    <w:tmpl w:val="028C2EEA"/>
    <w:lvl w:ilvl="0" w:tplc="0CCC61C8">
      <w:start w:val="1"/>
      <w:numFmt w:val="decimal"/>
      <w:pStyle w:val="Numeracin"/>
      <w:lvlText w:val="%1."/>
      <w:lvlJc w:val="left"/>
      <w:pPr>
        <w:ind w:left="1636" w:hanging="360"/>
      </w:pPr>
      <w:rPr>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 w15:restartNumberingAfterBreak="0">
    <w:nsid w:val="357B7CF3"/>
    <w:multiLevelType w:val="hybridMultilevel"/>
    <w:tmpl w:val="3A3C8AC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37E5090D"/>
    <w:multiLevelType w:val="hybridMultilevel"/>
    <w:tmpl w:val="3D541BC2"/>
    <w:lvl w:ilvl="0" w:tplc="63F2945C">
      <w:start w:val="1"/>
      <w:numFmt w:val="lowerLetter"/>
      <w:lvlText w:val="%1."/>
      <w:lvlJc w:val="left"/>
      <w:pPr>
        <w:ind w:left="1276" w:hanging="708"/>
      </w:pPr>
      <w:rPr>
        <w:rFonts w:hint="default"/>
        <w:strike w:val="0"/>
        <w:spacing w:val="-2"/>
        <w:w w:val="100"/>
        <w:sz w:val="22"/>
        <w:szCs w:val="22"/>
      </w:rPr>
    </w:lvl>
    <w:lvl w:ilvl="1" w:tplc="04090019">
      <w:start w:val="1"/>
      <w:numFmt w:val="lowerLetter"/>
      <w:lvlText w:val="%2."/>
      <w:lvlJc w:val="left"/>
      <w:pPr>
        <w:ind w:left="1868" w:hanging="360"/>
      </w:pPr>
    </w:lvl>
    <w:lvl w:ilvl="2" w:tplc="0409001B" w:tentative="1">
      <w:start w:val="1"/>
      <w:numFmt w:val="lowerRoman"/>
      <w:lvlText w:val="%3."/>
      <w:lvlJc w:val="right"/>
      <w:pPr>
        <w:ind w:left="2588" w:hanging="180"/>
      </w:pPr>
    </w:lvl>
    <w:lvl w:ilvl="3" w:tplc="0409000F" w:tentative="1">
      <w:start w:val="1"/>
      <w:numFmt w:val="decimal"/>
      <w:lvlText w:val="%4."/>
      <w:lvlJc w:val="left"/>
      <w:pPr>
        <w:ind w:left="3308" w:hanging="360"/>
      </w:pPr>
    </w:lvl>
    <w:lvl w:ilvl="4" w:tplc="04090019" w:tentative="1">
      <w:start w:val="1"/>
      <w:numFmt w:val="lowerLetter"/>
      <w:lvlText w:val="%5."/>
      <w:lvlJc w:val="left"/>
      <w:pPr>
        <w:ind w:left="4028" w:hanging="360"/>
      </w:pPr>
    </w:lvl>
    <w:lvl w:ilvl="5" w:tplc="0409001B" w:tentative="1">
      <w:start w:val="1"/>
      <w:numFmt w:val="lowerRoman"/>
      <w:lvlText w:val="%6."/>
      <w:lvlJc w:val="right"/>
      <w:pPr>
        <w:ind w:left="4748" w:hanging="180"/>
      </w:pPr>
    </w:lvl>
    <w:lvl w:ilvl="6" w:tplc="0409000F" w:tentative="1">
      <w:start w:val="1"/>
      <w:numFmt w:val="decimal"/>
      <w:lvlText w:val="%7."/>
      <w:lvlJc w:val="left"/>
      <w:pPr>
        <w:ind w:left="5468" w:hanging="360"/>
      </w:pPr>
    </w:lvl>
    <w:lvl w:ilvl="7" w:tplc="04090019" w:tentative="1">
      <w:start w:val="1"/>
      <w:numFmt w:val="lowerLetter"/>
      <w:lvlText w:val="%8."/>
      <w:lvlJc w:val="left"/>
      <w:pPr>
        <w:ind w:left="6188" w:hanging="360"/>
      </w:pPr>
    </w:lvl>
    <w:lvl w:ilvl="8" w:tplc="0409001B" w:tentative="1">
      <w:start w:val="1"/>
      <w:numFmt w:val="lowerRoman"/>
      <w:lvlText w:val="%9."/>
      <w:lvlJc w:val="right"/>
      <w:pPr>
        <w:ind w:left="6908" w:hanging="180"/>
      </w:pPr>
    </w:lvl>
  </w:abstractNum>
  <w:abstractNum w:abstractNumId="3" w15:restartNumberingAfterBreak="0">
    <w:nsid w:val="39535BE1"/>
    <w:multiLevelType w:val="hybridMultilevel"/>
    <w:tmpl w:val="471C57E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96225AF"/>
    <w:multiLevelType w:val="hybridMultilevel"/>
    <w:tmpl w:val="5FB2B586"/>
    <w:lvl w:ilvl="0" w:tplc="28687AF8">
      <w:start w:val="1"/>
      <w:numFmt w:val="decimal"/>
      <w:lvlText w:val="Artículo %1."/>
      <w:lvlJc w:val="left"/>
      <w:pPr>
        <w:ind w:left="1211"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EC25E9F"/>
    <w:multiLevelType w:val="hybridMultilevel"/>
    <w:tmpl w:val="494A18CE"/>
    <w:lvl w:ilvl="0" w:tplc="082A8326">
      <w:start w:val="1"/>
      <w:numFmt w:val="lowerLetter"/>
      <w:lvlText w:val="%1)"/>
      <w:lvlJc w:val="left"/>
      <w:pPr>
        <w:ind w:left="340" w:firstLine="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55B14"/>
    <w:multiLevelType w:val="hybridMultilevel"/>
    <w:tmpl w:val="9B769BF2"/>
    <w:lvl w:ilvl="0" w:tplc="12DE128C">
      <w:start w:val="1"/>
      <w:numFmt w:val="lowerLetter"/>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49440118"/>
    <w:multiLevelType w:val="hybridMultilevel"/>
    <w:tmpl w:val="4E7A1A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792B32DD"/>
    <w:multiLevelType w:val="hybridMultilevel"/>
    <w:tmpl w:val="2FE4939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803425444">
    <w:abstractNumId w:val="5"/>
  </w:num>
  <w:num w:numId="2" w16cid:durableId="565262661">
    <w:abstractNumId w:val="4"/>
  </w:num>
  <w:num w:numId="3" w16cid:durableId="997611788">
    <w:abstractNumId w:val="2"/>
  </w:num>
  <w:num w:numId="4" w16cid:durableId="892161614">
    <w:abstractNumId w:val="7"/>
  </w:num>
  <w:num w:numId="5" w16cid:durableId="1713725555">
    <w:abstractNumId w:val="1"/>
  </w:num>
  <w:num w:numId="6" w16cid:durableId="1675911730">
    <w:abstractNumId w:val="8"/>
  </w:num>
  <w:num w:numId="7" w16cid:durableId="1808164648">
    <w:abstractNumId w:val="0"/>
  </w:num>
  <w:num w:numId="8" w16cid:durableId="16275462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42052229">
    <w:abstractNumId w:val="3"/>
  </w:num>
  <w:num w:numId="10" w16cid:durableId="17614850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61B"/>
    <w:rsid w:val="000B7D8B"/>
    <w:rsid w:val="000C6A08"/>
    <w:rsid w:val="000F0E32"/>
    <w:rsid w:val="00100F56"/>
    <w:rsid w:val="00124B22"/>
    <w:rsid w:val="00163485"/>
    <w:rsid w:val="001A3EFB"/>
    <w:rsid w:val="001F3721"/>
    <w:rsid w:val="001F4496"/>
    <w:rsid w:val="00212B44"/>
    <w:rsid w:val="00251969"/>
    <w:rsid w:val="0026736F"/>
    <w:rsid w:val="00270343"/>
    <w:rsid w:val="002C67C9"/>
    <w:rsid w:val="002F2169"/>
    <w:rsid w:val="003312DD"/>
    <w:rsid w:val="00336CAC"/>
    <w:rsid w:val="00394A28"/>
    <w:rsid w:val="003A6C75"/>
    <w:rsid w:val="003D711B"/>
    <w:rsid w:val="00416000"/>
    <w:rsid w:val="00434CD8"/>
    <w:rsid w:val="0043639A"/>
    <w:rsid w:val="00444B95"/>
    <w:rsid w:val="004D4A4C"/>
    <w:rsid w:val="004F5BDF"/>
    <w:rsid w:val="00505EC2"/>
    <w:rsid w:val="00510FE8"/>
    <w:rsid w:val="005136DF"/>
    <w:rsid w:val="0054041A"/>
    <w:rsid w:val="0054457A"/>
    <w:rsid w:val="00553767"/>
    <w:rsid w:val="0057676C"/>
    <w:rsid w:val="005F0588"/>
    <w:rsid w:val="006025E4"/>
    <w:rsid w:val="00623C03"/>
    <w:rsid w:val="00627E9F"/>
    <w:rsid w:val="006332FA"/>
    <w:rsid w:val="00662EAE"/>
    <w:rsid w:val="0068526D"/>
    <w:rsid w:val="006852AB"/>
    <w:rsid w:val="006B1457"/>
    <w:rsid w:val="006E2327"/>
    <w:rsid w:val="007540A4"/>
    <w:rsid w:val="007B7076"/>
    <w:rsid w:val="0082653D"/>
    <w:rsid w:val="00866184"/>
    <w:rsid w:val="00884667"/>
    <w:rsid w:val="008F5CD6"/>
    <w:rsid w:val="00920135"/>
    <w:rsid w:val="0092075A"/>
    <w:rsid w:val="00960044"/>
    <w:rsid w:val="00966D94"/>
    <w:rsid w:val="009802D2"/>
    <w:rsid w:val="00A20EB0"/>
    <w:rsid w:val="00A2161B"/>
    <w:rsid w:val="00A46CE7"/>
    <w:rsid w:val="00A50F63"/>
    <w:rsid w:val="00AC220A"/>
    <w:rsid w:val="00B17235"/>
    <w:rsid w:val="00B54392"/>
    <w:rsid w:val="00B63B75"/>
    <w:rsid w:val="00B7377C"/>
    <w:rsid w:val="00BA5F64"/>
    <w:rsid w:val="00BA67F3"/>
    <w:rsid w:val="00BC45EE"/>
    <w:rsid w:val="00BE4028"/>
    <w:rsid w:val="00C05525"/>
    <w:rsid w:val="00C2288E"/>
    <w:rsid w:val="00C4221E"/>
    <w:rsid w:val="00C45AC5"/>
    <w:rsid w:val="00C61E7B"/>
    <w:rsid w:val="00CB2014"/>
    <w:rsid w:val="00CE0A53"/>
    <w:rsid w:val="00CE4CCE"/>
    <w:rsid w:val="00D61338"/>
    <w:rsid w:val="00D63F27"/>
    <w:rsid w:val="00DC7DAF"/>
    <w:rsid w:val="00DD1550"/>
    <w:rsid w:val="00DF1144"/>
    <w:rsid w:val="00E35680"/>
    <w:rsid w:val="00E51C67"/>
    <w:rsid w:val="00E81025"/>
    <w:rsid w:val="00E84852"/>
    <w:rsid w:val="00EC1B30"/>
    <w:rsid w:val="00F31445"/>
    <w:rsid w:val="00F40465"/>
    <w:rsid w:val="00F53889"/>
    <w:rsid w:val="00FC117F"/>
    <w:rsid w:val="00FE7B4F"/>
    <w:rsid w:val="00FF717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22536"/>
  <w15:chartTrackingRefBased/>
  <w15:docId w15:val="{93448346-C4B7-4981-AE7E-00E0EFFBE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2161B"/>
    <w:pPr>
      <w:widowControl w:val="0"/>
      <w:tabs>
        <w:tab w:val="center" w:pos="4419"/>
        <w:tab w:val="right" w:pos="8838"/>
      </w:tabs>
      <w:autoSpaceDE w:val="0"/>
      <w:autoSpaceDN w:val="0"/>
      <w:spacing w:after="0" w:line="240" w:lineRule="auto"/>
    </w:pPr>
    <w:rPr>
      <w:rFonts w:ascii="Cambria" w:eastAsia="Cambria" w:hAnsi="Cambria" w:cs="Cambria"/>
      <w:lang w:val="en-US"/>
    </w:rPr>
  </w:style>
  <w:style w:type="character" w:customStyle="1" w:styleId="EncabezadoCar">
    <w:name w:val="Encabezado Car"/>
    <w:basedOn w:val="Fuentedeprrafopredeter"/>
    <w:link w:val="Encabezado"/>
    <w:uiPriority w:val="99"/>
    <w:rsid w:val="00A2161B"/>
    <w:rPr>
      <w:rFonts w:ascii="Cambria" w:eastAsia="Cambria" w:hAnsi="Cambria" w:cs="Cambria"/>
      <w:lang w:val="en-US"/>
    </w:rPr>
  </w:style>
  <w:style w:type="paragraph" w:styleId="Piedepgina">
    <w:name w:val="footer"/>
    <w:basedOn w:val="Normal"/>
    <w:link w:val="PiedepginaCar"/>
    <w:uiPriority w:val="99"/>
    <w:unhideWhenUsed/>
    <w:rsid w:val="00A2161B"/>
    <w:pPr>
      <w:widowControl w:val="0"/>
      <w:tabs>
        <w:tab w:val="center" w:pos="4419"/>
        <w:tab w:val="right" w:pos="8838"/>
      </w:tabs>
      <w:autoSpaceDE w:val="0"/>
      <w:autoSpaceDN w:val="0"/>
      <w:spacing w:after="0" w:line="240" w:lineRule="auto"/>
    </w:pPr>
    <w:rPr>
      <w:rFonts w:ascii="Cambria" w:eastAsia="Cambria" w:hAnsi="Cambria" w:cs="Cambria"/>
      <w:lang w:val="en-US"/>
    </w:rPr>
  </w:style>
  <w:style w:type="character" w:customStyle="1" w:styleId="PiedepginaCar">
    <w:name w:val="Pie de página Car"/>
    <w:basedOn w:val="Fuentedeprrafopredeter"/>
    <w:link w:val="Piedepgina"/>
    <w:uiPriority w:val="99"/>
    <w:rsid w:val="00A2161B"/>
    <w:rPr>
      <w:rFonts w:ascii="Cambria" w:eastAsia="Cambria" w:hAnsi="Cambria" w:cs="Cambria"/>
      <w:lang w:val="en-US"/>
    </w:rPr>
  </w:style>
  <w:style w:type="table" w:customStyle="1" w:styleId="Tablaconcuadrcula1">
    <w:name w:val="Tabla con cuadrícula1"/>
    <w:basedOn w:val="Tablanormal"/>
    <w:next w:val="Tablaconcuadrcula"/>
    <w:uiPriority w:val="39"/>
    <w:rsid w:val="00A21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A21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A2161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2161B"/>
    <w:rPr>
      <w:sz w:val="20"/>
      <w:szCs w:val="20"/>
    </w:rPr>
  </w:style>
  <w:style w:type="character" w:styleId="Refdenotaalpie">
    <w:name w:val="footnote reference"/>
    <w:basedOn w:val="Fuentedeprrafopredeter"/>
    <w:uiPriority w:val="99"/>
    <w:semiHidden/>
    <w:unhideWhenUsed/>
    <w:rsid w:val="00A2161B"/>
    <w:rPr>
      <w:vertAlign w:val="superscript"/>
    </w:rPr>
  </w:style>
  <w:style w:type="paragraph" w:customStyle="1" w:styleId="Textodereglamento">
    <w:name w:val="Texto de reglamento"/>
    <w:basedOn w:val="Normal"/>
    <w:link w:val="TextodereglamentoChar"/>
    <w:qFormat/>
    <w:rsid w:val="00336CAC"/>
    <w:pPr>
      <w:spacing w:before="120" w:after="0" w:line="240" w:lineRule="auto"/>
      <w:jc w:val="both"/>
    </w:pPr>
    <w:rPr>
      <w:rFonts w:ascii="Times New Roman" w:eastAsia="Times New Roman" w:hAnsi="Times New Roman" w:cs="Times New Roman"/>
      <w:szCs w:val="24"/>
      <w:lang w:val="es-ES" w:eastAsia="es-ES"/>
    </w:rPr>
  </w:style>
  <w:style w:type="character" w:customStyle="1" w:styleId="TextodereglamentoChar">
    <w:name w:val="Texto de reglamento Char"/>
    <w:link w:val="Textodereglamento"/>
    <w:rsid w:val="00336CAC"/>
    <w:rPr>
      <w:rFonts w:ascii="Times New Roman" w:eastAsia="Times New Roman" w:hAnsi="Times New Roman" w:cs="Times New Roman"/>
      <w:szCs w:val="24"/>
      <w:lang w:val="es-ES" w:eastAsia="es-ES"/>
    </w:rPr>
  </w:style>
  <w:style w:type="table" w:customStyle="1" w:styleId="Tablaconcuadrcula11">
    <w:name w:val="Tabla con cuadrícula11"/>
    <w:basedOn w:val="Tablanormal"/>
    <w:uiPriority w:val="39"/>
    <w:rsid w:val="001F449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Titulo 2,Párrafo de Informe de Auditoría,Informe,Con viñetas,Normal con viñetas,3,Use Case List Paragraph,Bullet 1,List Paragraph 1,Numbered List Paragraph,Main numbered paragraph,Bullets,List Paragraph (numbered (a)),Akapit z listą BS"/>
    <w:basedOn w:val="Normal"/>
    <w:link w:val="PrrafodelistaCar"/>
    <w:uiPriority w:val="34"/>
    <w:qFormat/>
    <w:rsid w:val="00960044"/>
    <w:pPr>
      <w:spacing w:after="200" w:line="276" w:lineRule="auto"/>
      <w:ind w:left="720"/>
      <w:contextualSpacing/>
    </w:pPr>
    <w:rPr>
      <w:lang w:val="en-US"/>
    </w:rPr>
  </w:style>
  <w:style w:type="character" w:customStyle="1" w:styleId="PrrafodelistaCar">
    <w:name w:val="Párrafo de lista Car"/>
    <w:aliases w:val="Titulo 2 Car,Párrafo de Informe de Auditoría Car,Informe Car,Con viñetas Car,Normal con viñetas Car,3 Car,Use Case List Paragraph Car,Bullet 1 Car,List Paragraph 1 Car,Numbered List Paragraph Car,Main numbered paragraph Car"/>
    <w:link w:val="Prrafodelista"/>
    <w:uiPriority w:val="34"/>
    <w:qFormat/>
    <w:locked/>
    <w:rsid w:val="00960044"/>
    <w:rPr>
      <w:lang w:val="en-US"/>
    </w:rPr>
  </w:style>
  <w:style w:type="paragraph" w:customStyle="1" w:styleId="Numeracin">
    <w:name w:val="Numeración"/>
    <w:basedOn w:val="Normal"/>
    <w:qFormat/>
    <w:rsid w:val="00960044"/>
    <w:pPr>
      <w:numPr>
        <w:numId w:val="7"/>
      </w:numPr>
      <w:spacing w:before="120" w:after="0" w:line="240" w:lineRule="auto"/>
      <w:jc w:val="both"/>
    </w:pPr>
    <w:rPr>
      <w:rFonts w:ascii="Times New Roman" w:eastAsia="Times New Roman" w:hAnsi="Times New Roman" w:cs="Times New Roman"/>
      <w:szCs w:val="24"/>
      <w:lang w:val="es-ES" w:eastAsia="es-ES"/>
    </w:rPr>
  </w:style>
  <w:style w:type="character" w:styleId="Textodelmarcadordeposicin">
    <w:name w:val="Placeholder Text"/>
    <w:basedOn w:val="Fuentedeprrafopredeter"/>
    <w:uiPriority w:val="99"/>
    <w:semiHidden/>
    <w:rsid w:val="00960044"/>
    <w:rPr>
      <w:color w:val="666666"/>
    </w:rPr>
  </w:style>
  <w:style w:type="paragraph" w:styleId="NormalWeb">
    <w:name w:val="Normal (Web)"/>
    <w:basedOn w:val="Normal"/>
    <w:uiPriority w:val="99"/>
    <w:semiHidden/>
    <w:unhideWhenUsed/>
    <w:rsid w:val="00960044"/>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Fuerte">
    <w:name w:val="Strong"/>
    <w:basedOn w:val="Fuentedeprrafopredeter"/>
    <w:uiPriority w:val="22"/>
    <w:qFormat/>
    <w:rsid w:val="00960044"/>
    <w:rPr>
      <w:b/>
      <w:bCs/>
    </w:rPr>
  </w:style>
  <w:style w:type="paragraph" w:customStyle="1" w:styleId="CNV">
    <w:name w:val="CNV"/>
    <w:basedOn w:val="Normal"/>
    <w:rsid w:val="00960044"/>
    <w:pPr>
      <w:spacing w:after="0" w:line="240" w:lineRule="auto"/>
      <w:jc w:val="both"/>
    </w:pPr>
    <w:rPr>
      <w:rFonts w:ascii="Times New Roman" w:eastAsia="Times New Roman" w:hAnsi="Times New Roman" w:cs="Times New Roman"/>
      <w:sz w:val="24"/>
      <w:szCs w:val="20"/>
      <w:lang w:val="es-ES_tradnl"/>
    </w:rPr>
  </w:style>
  <w:style w:type="paragraph" w:styleId="Textoindependiente3">
    <w:name w:val="Body Text 3"/>
    <w:basedOn w:val="Normal"/>
    <w:link w:val="Textoindependiente3Car"/>
    <w:rsid w:val="00960044"/>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960044"/>
    <w:rPr>
      <w:rFonts w:ascii="Times New Roman" w:eastAsia="Times New Roman" w:hAnsi="Times New Roman" w:cs="Times New Roman"/>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6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4C8B57AF4F4C058F8457E1F8BC88F8"/>
        <w:category>
          <w:name w:val="General"/>
          <w:gallery w:val="placeholder"/>
        </w:category>
        <w:types>
          <w:type w:val="bbPlcHdr"/>
        </w:types>
        <w:behaviors>
          <w:behavior w:val="content"/>
        </w:behaviors>
        <w:guid w:val="{494676E6-BAFA-4E68-AA49-98D49FBFB8F0}"/>
      </w:docPartPr>
      <w:docPartBody>
        <w:p w:rsidR="00641516" w:rsidRDefault="00EF2735" w:rsidP="00EF2735">
          <w:pPr>
            <w:pStyle w:val="054C8B57AF4F4C058F8457E1F8BC88F8"/>
          </w:pPr>
          <w:r w:rsidRPr="00431CAE">
            <w:rPr>
              <w:rStyle w:val="Textodelmarcadordeposicin"/>
            </w:rPr>
            <w:t>[Consecutivo Interno]</w:t>
          </w:r>
        </w:p>
      </w:docPartBody>
    </w:docPart>
    <w:docPart>
      <w:docPartPr>
        <w:name w:val="3E5991F51A1748DAA77AB9C02D2E7D90"/>
        <w:category>
          <w:name w:val="General"/>
          <w:gallery w:val="placeholder"/>
        </w:category>
        <w:types>
          <w:type w:val="bbPlcHdr"/>
        </w:types>
        <w:behaviors>
          <w:behavior w:val="content"/>
        </w:behaviors>
        <w:guid w:val="{32FDC349-1BFA-41ED-A038-087DC0E4A8DA}"/>
      </w:docPartPr>
      <w:docPartBody>
        <w:p w:rsidR="00641516" w:rsidRDefault="00EF2735" w:rsidP="00EF2735">
          <w:pPr>
            <w:pStyle w:val="3E5991F51A1748DAA77AB9C02D2E7D90"/>
          </w:pPr>
          <w:r w:rsidRPr="00431CAE">
            <w:rPr>
              <w:rStyle w:val="Textodelmarcadordeposicin"/>
            </w:rPr>
            <w:t>[Periodo]</w:t>
          </w:r>
        </w:p>
      </w:docPartBody>
    </w:docPart>
    <w:docPart>
      <w:docPartPr>
        <w:name w:val="CFB0B06CA5EB4A909863288C3CDB312F"/>
        <w:category>
          <w:name w:val="General"/>
          <w:gallery w:val="placeholder"/>
        </w:category>
        <w:types>
          <w:type w:val="bbPlcHdr"/>
        </w:types>
        <w:behaviors>
          <w:behavior w:val="content"/>
        </w:behaviors>
        <w:guid w:val="{A49718D3-7E29-4B31-B6A7-3AECC8ABF44F}"/>
      </w:docPartPr>
      <w:docPartBody>
        <w:p w:rsidR="00641516" w:rsidRDefault="00EF2735" w:rsidP="00EF2735">
          <w:pPr>
            <w:pStyle w:val="CFB0B06CA5EB4A909863288C3CDB312F"/>
          </w:pPr>
          <w:r w:rsidRPr="00C17DF1">
            <w:rPr>
              <w:rStyle w:val="Textodelmarcadordeposicin"/>
            </w:rPr>
            <w:t>[Consecutivo Interno]</w:t>
          </w:r>
        </w:p>
      </w:docPartBody>
    </w:docPart>
    <w:docPart>
      <w:docPartPr>
        <w:name w:val="5CCCC374CDDA4EBBB256CB68E99ABC52"/>
        <w:category>
          <w:name w:val="General"/>
          <w:gallery w:val="placeholder"/>
        </w:category>
        <w:types>
          <w:type w:val="bbPlcHdr"/>
        </w:types>
        <w:behaviors>
          <w:behavior w:val="content"/>
        </w:behaviors>
        <w:guid w:val="{D8068A1C-C44C-4E37-988E-2EE435EB2BC0}"/>
      </w:docPartPr>
      <w:docPartBody>
        <w:p w:rsidR="00641516" w:rsidRDefault="00EF2735" w:rsidP="00EF2735">
          <w:pPr>
            <w:pStyle w:val="5CCCC374CDDA4EBBB256CB68E99ABC52"/>
          </w:pPr>
          <w:r w:rsidRPr="00C17DF1">
            <w:rPr>
              <w:rStyle w:val="Textodelmarcadordeposicin"/>
            </w:rPr>
            <w:t>[Periodo]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735"/>
    <w:rsid w:val="00124B22"/>
    <w:rsid w:val="001A3EFB"/>
    <w:rsid w:val="001D65E8"/>
    <w:rsid w:val="003D711B"/>
    <w:rsid w:val="00641516"/>
    <w:rsid w:val="00693569"/>
    <w:rsid w:val="006C3A3D"/>
    <w:rsid w:val="00B3551A"/>
    <w:rsid w:val="00B54392"/>
    <w:rsid w:val="00CE4CCE"/>
    <w:rsid w:val="00EB5979"/>
    <w:rsid w:val="00EF273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F2735"/>
    <w:rPr>
      <w:color w:val="666666"/>
    </w:rPr>
  </w:style>
  <w:style w:type="paragraph" w:customStyle="1" w:styleId="054C8B57AF4F4C058F8457E1F8BC88F8">
    <w:name w:val="054C8B57AF4F4C058F8457E1F8BC88F8"/>
    <w:rsid w:val="00EF2735"/>
  </w:style>
  <w:style w:type="paragraph" w:customStyle="1" w:styleId="3E5991F51A1748DAA77AB9C02D2E7D90">
    <w:name w:val="3E5991F51A1748DAA77AB9C02D2E7D90"/>
    <w:rsid w:val="00EF2735"/>
  </w:style>
  <w:style w:type="paragraph" w:customStyle="1" w:styleId="CFB0B06CA5EB4A909863288C3CDB312F">
    <w:name w:val="CFB0B06CA5EB4A909863288C3CDB312F"/>
    <w:rsid w:val="00EF2735"/>
  </w:style>
  <w:style w:type="paragraph" w:customStyle="1" w:styleId="5CCCC374CDDA4EBBB256CB68E99ABC52">
    <w:name w:val="5CCCC374CDDA4EBBB256CB68E99ABC52"/>
    <w:rsid w:val="00EF27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431540-25EE-4695-AF66-6C1AB30566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5374B5-0170-49E0-A2BC-F9FAB526773E}">
  <ds:schemaRefs>
    <ds:schemaRef ds:uri="http://schemas.openxmlformats.org/officeDocument/2006/bibliography"/>
  </ds:schemaRefs>
</ds:datastoreItem>
</file>

<file path=customXml/itemProps3.xml><?xml version="1.0" encoding="utf-8"?>
<ds:datastoreItem xmlns:ds="http://schemas.openxmlformats.org/officeDocument/2006/customXml" ds:itemID="{F75A2177-899B-4CBA-BAA5-430ED934ABB0}">
  <ds:schemaRefs>
    <ds:schemaRef ds:uri="http://schemas.microsoft.com/sharepoint/v3/contenttype/forms"/>
  </ds:schemaRefs>
</ds:datastoreItem>
</file>

<file path=customXml/itemProps4.xml><?xml version="1.0" encoding="utf-8"?>
<ds:datastoreItem xmlns:ds="http://schemas.openxmlformats.org/officeDocument/2006/customXml" ds:itemID="{256C647A-A20E-423E-A6E0-50517A972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1299</Words>
  <Characters>7150</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 CHAN ISABEL MARIA</dc:creator>
  <cp:keywords/>
  <dc:description/>
  <cp:lastModifiedBy>MORALES ROJAS ILIANA</cp:lastModifiedBy>
  <cp:revision>10</cp:revision>
  <dcterms:created xsi:type="dcterms:W3CDTF">2026-08-10T19:55:00Z</dcterms:created>
  <dcterms:modified xsi:type="dcterms:W3CDTF">2026-08-12T14:06:00Z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1131400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ClassificationContentMarkingFooterShapeIds">
    <vt:lpwstr>4e38a0c1,648dcaef,6e3fede4</vt:lpwstr>
  </property>
  <property fmtid="{D5CDD505-2E9C-101B-9397-08002B2CF9AE}" pid="12" name="ClassificationContentMarkingFooterFontProps">
    <vt:lpwstr>#000000,10,Aptos</vt:lpwstr>
  </property>
  <property fmtid="{D5CDD505-2E9C-101B-9397-08002B2CF9AE}" pid="13" name="ClassificationContentMarkingFooterText">
    <vt:lpwstr>Uso Interno estricto</vt:lpwstr>
  </property>
  <property fmtid="{D5CDD505-2E9C-101B-9397-08002B2CF9AE}" pid="14" name="MSIP_Label_b8b4be34-365a-4a68-b9fb-75c1b6874315_Enabled">
    <vt:lpwstr>true</vt:lpwstr>
  </property>
  <property fmtid="{D5CDD505-2E9C-101B-9397-08002B2CF9AE}" pid="15" name="MSIP_Label_b8b4be34-365a-4a68-b9fb-75c1b6874315_SetDate">
    <vt:lpwstr>2026-08-10T19:19:15Z</vt:lpwstr>
  </property>
  <property fmtid="{D5CDD505-2E9C-101B-9397-08002B2CF9AE}" pid="16" name="MSIP_Label_b8b4be34-365a-4a68-b9fb-75c1b6874315_Method">
    <vt:lpwstr>Standard</vt:lpwstr>
  </property>
  <property fmtid="{D5CDD505-2E9C-101B-9397-08002B2CF9AE}" pid="17" name="MSIP_Label_b8b4be34-365a-4a68-b9fb-75c1b6874315_Name">
    <vt:lpwstr>b8b4be34-365a-4a68-b9fb-75c1b6874315</vt:lpwstr>
  </property>
  <property fmtid="{D5CDD505-2E9C-101B-9397-08002B2CF9AE}" pid="18" name="MSIP_Label_b8b4be34-365a-4a68-b9fb-75c1b6874315_SiteId">
    <vt:lpwstr>618d0a45-25a6-4618-9f80-8f70a435ee52</vt:lpwstr>
  </property>
  <property fmtid="{D5CDD505-2E9C-101B-9397-08002B2CF9AE}" pid="19" name="MSIP_Label_b8b4be34-365a-4a68-b9fb-75c1b6874315_ActionId">
    <vt:lpwstr>4a2d01b5-182c-4612-bf50-bbbf3bd35022</vt:lpwstr>
  </property>
  <property fmtid="{D5CDD505-2E9C-101B-9397-08002B2CF9AE}" pid="20" name="MSIP_Label_b8b4be34-365a-4a68-b9fb-75c1b6874315_ContentBits">
    <vt:lpwstr>2</vt:lpwstr>
  </property>
  <property fmtid="{D5CDD505-2E9C-101B-9397-08002B2CF9AE}" pid="21" name="MSIP_Label_b8b4be34-365a-4a68-b9fb-75c1b6874315_Tag">
    <vt:lpwstr>10, 3, 0, 1</vt:lpwstr>
  </property>
</Properties>
</file>