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01E67" w14:textId="3F568F27" w:rsidR="00F57B30" w:rsidRPr="00F57B30" w:rsidRDefault="009015CA" w:rsidP="00F57B30">
      <w:pPr>
        <w:widowControl w:val="0"/>
        <w:spacing w:after="0" w:line="240" w:lineRule="auto"/>
        <w:jc w:val="both"/>
        <w:rPr>
          <w:rFonts w:ascii="Arial" w:hAnsi="Arial" w:cs="Arial"/>
          <w:b/>
          <w:bCs/>
          <w:sz w:val="24"/>
          <w:szCs w:val="24"/>
        </w:rPr>
      </w:pPr>
      <w:r w:rsidRPr="00F57B30">
        <w:rPr>
          <w:rFonts w:ascii="Arial" w:hAnsi="Arial" w:cs="Arial"/>
          <w:b/>
          <w:bCs/>
          <w:sz w:val="24"/>
          <w:szCs w:val="24"/>
        </w:rPr>
        <w:t>SGV-A-229.</w:t>
      </w:r>
      <w:r w:rsidR="00F57B30" w:rsidRPr="00F57B30">
        <w:rPr>
          <w:rFonts w:ascii="Arial" w:hAnsi="Arial" w:cs="Arial"/>
          <w:b/>
          <w:bCs/>
          <w:sz w:val="24"/>
          <w:szCs w:val="24"/>
        </w:rPr>
        <w:t xml:space="preserve"> MECANISMOS Y REQUISITOS PARA LAS RECOMPRAS DE ACCIONES</w:t>
      </w:r>
      <w:r w:rsidR="00F57B30">
        <w:rPr>
          <w:rFonts w:ascii="Arial" w:hAnsi="Arial" w:cs="Arial"/>
          <w:b/>
          <w:bCs/>
          <w:sz w:val="24"/>
          <w:szCs w:val="24"/>
        </w:rPr>
        <w:t xml:space="preserve"> </w:t>
      </w:r>
      <w:r w:rsidR="00F57B30" w:rsidRPr="00F57B30">
        <w:rPr>
          <w:rFonts w:ascii="Arial" w:hAnsi="Arial" w:cs="Arial"/>
          <w:b/>
          <w:bCs/>
          <w:sz w:val="24"/>
          <w:szCs w:val="24"/>
        </w:rPr>
        <w:t>POR PARTE DE LOS EMISORES</w:t>
      </w:r>
      <w:r w:rsidR="00F57B30">
        <w:rPr>
          <w:rFonts w:ascii="Arial" w:hAnsi="Arial" w:cs="Arial"/>
          <w:b/>
          <w:bCs/>
          <w:sz w:val="24"/>
          <w:szCs w:val="24"/>
        </w:rPr>
        <w:t xml:space="preserve"> </w:t>
      </w:r>
      <w:r w:rsidR="00CF720D" w:rsidRPr="00CF720D">
        <w:rPr>
          <w:rFonts w:ascii="Arial" w:hAnsi="Arial" w:cs="Arial"/>
          <w:b/>
          <w:bCs/>
          <w:sz w:val="24"/>
          <w:szCs w:val="24"/>
        </w:rPr>
        <w:t xml:space="preserve"> </w:t>
      </w:r>
      <w:r w:rsidR="00F57B30">
        <w:rPr>
          <w:rStyle w:val="Refdenotaalpie"/>
          <w:rFonts w:ascii="Arial" w:hAnsi="Arial" w:cs="Arial"/>
          <w:b/>
          <w:bCs/>
          <w:sz w:val="24"/>
          <w:szCs w:val="24"/>
        </w:rPr>
        <w:footnoteReference w:id="2"/>
      </w:r>
    </w:p>
    <w:p w14:paraId="4F901E68" w14:textId="76BEA5E7" w:rsidR="009015CA" w:rsidRDefault="009015CA" w:rsidP="009015CA">
      <w:pPr>
        <w:pStyle w:val="Listaconnmeros"/>
        <w:numPr>
          <w:ilvl w:val="0"/>
          <w:numId w:val="0"/>
        </w:numPr>
        <w:tabs>
          <w:tab w:val="left" w:pos="1260"/>
        </w:tabs>
        <w:rPr>
          <w:rFonts w:ascii="Arial" w:hAnsi="Arial" w:cs="Arial"/>
          <w:sz w:val="22"/>
          <w:szCs w:val="22"/>
          <w:lang w:val="es-CR"/>
        </w:rPr>
      </w:pPr>
    </w:p>
    <w:p w14:paraId="0AEF8DDA" w14:textId="0E761B67" w:rsidR="00CF720D" w:rsidRDefault="00CF720D" w:rsidP="009015CA">
      <w:pPr>
        <w:pStyle w:val="Listaconnmeros"/>
        <w:numPr>
          <w:ilvl w:val="0"/>
          <w:numId w:val="0"/>
        </w:numPr>
        <w:tabs>
          <w:tab w:val="left" w:pos="1260"/>
        </w:tabs>
        <w:rPr>
          <w:rFonts w:ascii="Arial" w:hAnsi="Arial" w:cs="Arial"/>
          <w:b/>
          <w:bCs/>
          <w:lang w:val="es-CR"/>
        </w:rPr>
      </w:pPr>
      <w:r w:rsidRPr="00CF720D">
        <w:rPr>
          <w:rFonts w:ascii="Arial" w:hAnsi="Arial" w:cs="Arial"/>
          <w:b/>
          <w:bCs/>
          <w:lang w:val="es-CR"/>
        </w:rPr>
        <w:t>(</w:t>
      </w:r>
      <w:r w:rsidRPr="00762134">
        <w:rPr>
          <w:rFonts w:ascii="Arial" w:hAnsi="Arial" w:cs="Arial"/>
          <w:b/>
          <w:bCs/>
          <w:i/>
          <w:iCs/>
          <w:szCs w:val="22"/>
          <w:lang w:val="es-CR"/>
        </w:rPr>
        <w:t>Incluye las reformas del Acuerd</w:t>
      </w:r>
      <w:r>
        <w:rPr>
          <w:rFonts w:ascii="Arial" w:hAnsi="Arial" w:cs="Arial"/>
          <w:b/>
          <w:bCs/>
          <w:i/>
          <w:iCs/>
          <w:szCs w:val="22"/>
          <w:lang w:val="es-CR"/>
        </w:rPr>
        <w:t>o del Superintendente</w:t>
      </w:r>
      <w:r w:rsidRPr="00CF720D">
        <w:rPr>
          <w:rFonts w:ascii="Arial" w:hAnsi="Arial" w:cs="Arial"/>
          <w:b/>
          <w:bCs/>
          <w:lang w:val="es-CR"/>
        </w:rPr>
        <w:t xml:space="preserve"> SGV-A-271)</w:t>
      </w:r>
    </w:p>
    <w:p w14:paraId="6405EB99" w14:textId="77777777" w:rsidR="00CF720D" w:rsidRPr="00CF720D" w:rsidRDefault="00CF720D" w:rsidP="009015CA">
      <w:pPr>
        <w:pStyle w:val="Listaconnmeros"/>
        <w:numPr>
          <w:ilvl w:val="0"/>
          <w:numId w:val="0"/>
        </w:numPr>
        <w:tabs>
          <w:tab w:val="left" w:pos="1260"/>
        </w:tabs>
        <w:rPr>
          <w:rFonts w:ascii="Arial" w:hAnsi="Arial" w:cs="Arial"/>
          <w:sz w:val="22"/>
          <w:szCs w:val="22"/>
          <w:lang w:val="es-CR"/>
        </w:rPr>
      </w:pPr>
    </w:p>
    <w:p w14:paraId="4F901E69" w14:textId="77777777" w:rsidR="00B94F03" w:rsidRPr="00F57B30" w:rsidRDefault="00B94F03" w:rsidP="00B94F03">
      <w:pPr>
        <w:rPr>
          <w:rFonts w:ascii="Arial" w:hAnsi="Arial" w:cs="Arial"/>
          <w:b/>
          <w:color w:val="000000"/>
          <w:lang w:val="es-ES"/>
        </w:rPr>
      </w:pPr>
      <w:r w:rsidRPr="00F57B30">
        <w:rPr>
          <w:rFonts w:ascii="Arial" w:hAnsi="Arial" w:cs="Arial"/>
          <w:b/>
          <w:color w:val="000000"/>
          <w:lang w:val="es-ES"/>
        </w:rPr>
        <w:t>Considerando</w:t>
      </w:r>
    </w:p>
    <w:p w14:paraId="4F901E6A"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En el Código de Comercio se admite la adquisición por una sociedad anónima de sus propias acciones sólo cuando concurren determinadas condiciones y dentro de ciertos límites legales. En este sentido el artículo 129 del Código señala como principales elementos que sería necesaria la autorización previa de la asamblea de accionistas, la adquisición a título oneroso debe ser con sumas provenientes de utilidades netas resultantes de un balance legalmente aprobado, las acciones adquiridas se hallen íntegramente desembolsadas (liberadas) y el límite máximo permitido sería de hasta un 50% de su propio capital. La adquisición de autocartera trae dos consecuencias: que el ejercicio de los derechos inherentes a las acciones queda en suspenso mientras pertenezcan a la sociedad, y la necesaria reducción de su capital social proporcionalmente a los títulos que posea, si transcurrido un año desde la adquisición, la sociedad no hubiese enajenado sus propias acciones.</w:t>
      </w:r>
    </w:p>
    <w:p w14:paraId="4F901E6B" w14:textId="77777777" w:rsidR="0067151D" w:rsidRPr="00F57B30" w:rsidRDefault="0067151D" w:rsidP="0067151D">
      <w:pPr>
        <w:pStyle w:val="Prrafodelista"/>
        <w:ind w:left="567"/>
        <w:contextualSpacing/>
        <w:jc w:val="both"/>
        <w:rPr>
          <w:rFonts w:ascii="Arial" w:hAnsi="Arial" w:cs="Arial"/>
          <w:szCs w:val="22"/>
        </w:rPr>
      </w:pPr>
    </w:p>
    <w:p w14:paraId="4F901E6C"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Una gran mayoría de las legislaciones mercantiles y de valores se inspiran en un criterio prohibitivo respecto a los negocios sobre las propias acciones. La finalidad de esta prohibición es preservar la constitución financiera de la sociedad, así como la constitución corporativa de la misma. Se trata de evitar una liquidación encubierta del patrimonio social, o la disolución del capital social contrariando así los principios de formación, conservación y determinación del capital. En otro sentido, la tenencia de acciones propias puede alterar el sistema de distribución de poder, por lo que dentro de las competencias de esta Superintendencia se encuentra la protección de los accionistas minoritarios por medio</w:t>
      </w:r>
      <w:r w:rsidR="00D657F4" w:rsidRPr="00F57B30">
        <w:rPr>
          <w:rFonts w:ascii="Arial" w:hAnsi="Arial" w:cs="Arial"/>
          <w:szCs w:val="22"/>
        </w:rPr>
        <w:t xml:space="preserve"> de una adecuada difusión </w:t>
      </w:r>
      <w:r w:rsidRPr="00F57B30">
        <w:rPr>
          <w:rFonts w:ascii="Arial" w:hAnsi="Arial" w:cs="Arial"/>
          <w:szCs w:val="22"/>
        </w:rPr>
        <w:t>de la información necesaria para asegurar la consecución de estos fines. Por lo tanto, al regular los negocios sobre las propias acciones, el órgano regulador además de considerar a la acción como un título valor, también atiende al carácter representativo de socio que la acción confiere a su titular.</w:t>
      </w:r>
    </w:p>
    <w:p w14:paraId="4F901E6D" w14:textId="77777777" w:rsidR="0067151D" w:rsidRPr="00F57B30" w:rsidRDefault="0067151D" w:rsidP="0067151D">
      <w:pPr>
        <w:pStyle w:val="Prrafodelista"/>
        <w:rPr>
          <w:rFonts w:ascii="Arial" w:hAnsi="Arial" w:cs="Arial"/>
          <w:szCs w:val="22"/>
        </w:rPr>
      </w:pPr>
    </w:p>
    <w:p w14:paraId="4F901E6E"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El Consejo Nacional de Supervisión del Sistema Financiero en los artículos 5 y 7 de las actas de las sesiones 1294-2016 y 1295-2016, celebradas el 8 de noviembre del 2016, publicado en el Alcance Digital No. 290D del 7 de diciembre del 2016, aprobó el Reglamento sobre Gobierno Corporativo que establece los principios sobre Gobierno Corporativo que deben considerar las entidades incluidas los emisores de valores.  Estas disposiciones de gobierno corporativo son estándares cualitativos que reflejan fielmente las sanas prácticas internacionales, incluidos los principios de derecho y trato equitativo de los accionistas.</w:t>
      </w:r>
    </w:p>
    <w:p w14:paraId="4F901E6F" w14:textId="77777777" w:rsidR="0067151D" w:rsidRPr="00F57B30" w:rsidRDefault="0067151D" w:rsidP="0067151D">
      <w:pPr>
        <w:pStyle w:val="Prrafodelista"/>
        <w:ind w:left="567"/>
        <w:contextualSpacing/>
        <w:jc w:val="both"/>
        <w:rPr>
          <w:rFonts w:ascii="Arial" w:hAnsi="Arial" w:cs="Arial"/>
          <w:szCs w:val="22"/>
        </w:rPr>
      </w:pPr>
    </w:p>
    <w:p w14:paraId="4F901E70"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 xml:space="preserve">Tratándose de sociedades cuyas acciones se cotizan en bolsa, y en atención a lo que dispone el artículo 57 de la Ley de Protección al Trabajador  “(…) </w:t>
      </w:r>
      <w:r w:rsidRPr="00F57B30">
        <w:rPr>
          <w:rFonts w:ascii="Arial" w:hAnsi="Arial" w:cs="Arial"/>
          <w:i/>
          <w:szCs w:val="22"/>
        </w:rPr>
        <w:t xml:space="preserve">las formas jurídicas adoptadas por los entes regulados no obligan a la Superintendencia, para </w:t>
      </w:r>
      <w:r w:rsidRPr="00F57B30">
        <w:rPr>
          <w:rFonts w:ascii="Arial" w:hAnsi="Arial" w:cs="Arial"/>
          <w:i/>
          <w:szCs w:val="22"/>
        </w:rPr>
        <w:lastRenderedPageBreak/>
        <w:t>efectos de sus potestades de fiscalización y sanción previstas en esta Ley. La Superintendencia podrá atribuirles a las situaciones y los actos ocurridos una significación acorde con los hechos, atendiendo la realidad y no la forma jurídica. Lo dispuesto en el párrafo anterior será igualmente aplicable a la Superintendencia General de Entidades Financieras y a la Superintendencia General de Valores, en el ejercicio de sus potestades de fiscalización y sanción</w:t>
      </w:r>
      <w:r w:rsidRPr="00F57B30">
        <w:rPr>
          <w:rFonts w:ascii="Arial" w:hAnsi="Arial" w:cs="Arial"/>
          <w:szCs w:val="22"/>
        </w:rPr>
        <w:t>”, se considera que se deben aplicar los mismos requisitos exigidos por el Código de Comercio y la normativa emitida por la SUG</w:t>
      </w:r>
      <w:r w:rsidR="00D657F4" w:rsidRPr="00F57B30">
        <w:rPr>
          <w:rFonts w:ascii="Arial" w:hAnsi="Arial" w:cs="Arial"/>
          <w:szCs w:val="22"/>
        </w:rPr>
        <w:t xml:space="preserve">EVAL, </w:t>
      </w:r>
      <w:r w:rsidRPr="00F57B30">
        <w:rPr>
          <w:rFonts w:ascii="Arial" w:hAnsi="Arial" w:cs="Arial"/>
          <w:szCs w:val="22"/>
        </w:rPr>
        <w:t>independientemente de que se trate de la adquisición de acciones propias por parte de la empresa emisora o una de sus filiales.</w:t>
      </w:r>
    </w:p>
    <w:p w14:paraId="4F901E71" w14:textId="77777777" w:rsidR="0067151D" w:rsidRPr="00F57B30" w:rsidRDefault="0067151D" w:rsidP="0067151D">
      <w:pPr>
        <w:pStyle w:val="Prrafodelista"/>
        <w:ind w:left="567"/>
        <w:contextualSpacing/>
        <w:jc w:val="both"/>
        <w:rPr>
          <w:rFonts w:ascii="Arial" w:hAnsi="Arial" w:cs="Arial"/>
          <w:szCs w:val="22"/>
        </w:rPr>
      </w:pPr>
    </w:p>
    <w:p w14:paraId="4F901E72"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La normativa emitida por otros órganos reguladores sobre recompras de acciones a través de bolsa considera al menos cuatro elementos básicos, con el fin de poder presumir que las compras que realice el emisor de sus propios valores, no constituyan manipulación de precios: 1) definición de un único intermediario para que lleve a cabo las compras de acciones por cuenta del emisor, 2) las condiciones en que se pueden realizar las ofertas de compra, 3) el precio de las ofertas y 4) la cantidad máxima de acciones que se pueden adquirir.</w:t>
      </w:r>
    </w:p>
    <w:p w14:paraId="4F901E73" w14:textId="77777777" w:rsidR="0067151D" w:rsidRPr="00F57B30" w:rsidRDefault="0067151D" w:rsidP="0067151D">
      <w:pPr>
        <w:pStyle w:val="Prrafodelista"/>
        <w:rPr>
          <w:rFonts w:ascii="Arial" w:hAnsi="Arial" w:cs="Arial"/>
          <w:szCs w:val="22"/>
        </w:rPr>
      </w:pPr>
    </w:p>
    <w:p w14:paraId="4F901E74"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Esta Superintendencia estima que la recompra de acciones a un socio estratégico es un proceso clave de reorganización empresarial que puede hacerse fuera de los mecanismo normales de negociación de bolsa, por tratarse de una negociación estratégica de la empresa que además puede distorsionar los precios de mercado. Lo anterior se considera conforme al alcance del artículo 23 del Reglamento de Bolsas de Valores.</w:t>
      </w:r>
    </w:p>
    <w:p w14:paraId="4F901E75" w14:textId="77777777" w:rsidR="0067151D" w:rsidRPr="00F57B30" w:rsidRDefault="0067151D" w:rsidP="0067151D">
      <w:pPr>
        <w:pStyle w:val="Prrafodelista"/>
        <w:rPr>
          <w:rFonts w:ascii="Arial" w:hAnsi="Arial" w:cs="Arial"/>
          <w:szCs w:val="22"/>
        </w:rPr>
      </w:pPr>
    </w:p>
    <w:p w14:paraId="4F901E76" w14:textId="77777777" w:rsidR="0067151D" w:rsidRPr="00F57B30" w:rsidRDefault="0067151D" w:rsidP="002511D4">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El mercado accionario costarricense se ha caracterizado por ser poco líquido, lo cual afecta la capacidad de salida de los inversionistas. Ante este problema, en años anteriores los emisores de valores accionarios han planteado la posibilidad de recomprar sus propias acciones. En este sentido en noviembre del 2006 se emitió el acuerdo SGV-A-127 Mecanismos y requisitos para las recompras de acciones por parte de los emisores.</w:t>
      </w:r>
    </w:p>
    <w:p w14:paraId="4F901E77" w14:textId="77777777" w:rsidR="002511D4" w:rsidRPr="00F57B30" w:rsidRDefault="002511D4" w:rsidP="002511D4">
      <w:pPr>
        <w:contextualSpacing/>
        <w:jc w:val="both"/>
        <w:rPr>
          <w:rFonts w:ascii="Arial" w:hAnsi="Arial" w:cs="Arial"/>
        </w:rPr>
      </w:pPr>
    </w:p>
    <w:p w14:paraId="4F901E78"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Con el objetivo de brindar mayor transparencia en el proceso de formación de precios, se considera fundamental que se mejoren las obligaciones de información al público inversionista antes y después de ejecutar algún mecanismo previsto para la recompra de acciones por parte de su emisor. Adicionalmente, como parte de las prácticas observadas en la aplicación del acuerdo SGV-A-127 se han determinado oportunidades de mejora en el acuerdo tendientes a fortalecer las condiciones establecidas para la recompra de acciones, que permita mantener un trato igualitario a los accionistas y brinde a los emisores reglas claras de como conducir sus actuaciones.</w:t>
      </w:r>
    </w:p>
    <w:p w14:paraId="4F901E79" w14:textId="77777777" w:rsidR="0067151D" w:rsidRPr="00F57B30" w:rsidRDefault="0067151D" w:rsidP="0067151D">
      <w:pPr>
        <w:pStyle w:val="Prrafodelista"/>
        <w:ind w:left="567"/>
        <w:contextualSpacing/>
        <w:jc w:val="both"/>
        <w:rPr>
          <w:rFonts w:ascii="Arial" w:hAnsi="Arial" w:cs="Arial"/>
          <w:szCs w:val="22"/>
        </w:rPr>
      </w:pPr>
    </w:p>
    <w:p w14:paraId="4F901E7A"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 xml:space="preserve">Una práctica observada en el mercado local, son las transacciones de acciones que llevan a cabo los emisores en forma directa o indirecta, para ser redistribuidas como parte de un programa de remuneración o compensación al personal de la compañía o sus subsidiarias, las cuales tienen un objetivo diferente al que se busca tutelar a través de este acuerdo, y en las cuales se estima adecuado como parte de los mecanismos de protección de los accionistas minoritarios, el que estas </w:t>
      </w:r>
      <w:r w:rsidRPr="00F57B30">
        <w:rPr>
          <w:rFonts w:ascii="Arial" w:hAnsi="Arial" w:cs="Arial"/>
          <w:szCs w:val="22"/>
        </w:rPr>
        <w:lastRenderedPageBreak/>
        <w:t>transacciones posean una adecuada difusión  al público, para que así los accionistas puedan dar seguimiento al emisor y tomar decisiones fundamentadas.</w:t>
      </w:r>
    </w:p>
    <w:p w14:paraId="4F901E7B" w14:textId="77777777" w:rsidR="0067151D" w:rsidRPr="00F57B30" w:rsidRDefault="0067151D" w:rsidP="0067151D">
      <w:pPr>
        <w:pStyle w:val="Prrafodelista"/>
        <w:ind w:left="567"/>
        <w:contextualSpacing/>
        <w:jc w:val="both"/>
        <w:rPr>
          <w:rFonts w:ascii="Arial" w:hAnsi="Arial" w:cs="Arial"/>
          <w:szCs w:val="22"/>
        </w:rPr>
      </w:pPr>
    </w:p>
    <w:p w14:paraId="4F901E7C"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Las transacciones que se lleven a cabo sobre los valores accionarios de un emisor cotizado, son un insumo relevante para el proceso de formación de precios, el cual es utilizado para valorar las posiciones de los inversionistas y dar seguimiento a las inversiones, por lo que se hace necesario aclarar el tratamiento que se dará para los mecanismos dispuestos en este acuerdo. En particular se observa que en las transacciones de recompra a un socio estratégico, el precio de la transacción no se forma por la participación de oferentes y demandantes de acciones, sino que estos precios por lo general forman parte de acuerdos específicos con dicho socio. En este caso, las transacciones no deberían formar parte del proceso de formación de precios observado en las prácticas del mercado costarricense. Para los otros casos, procesos de subasta inversa y programa de recompra de acciones, se presentan condiciones diferentes por las cuales no sería necesario excluir la información de estas recompras, como parte del proceso de formación de precios. En el caso de las subastas inversas, estas son facultativas para el accionista y en su estructura se busca descubrir un precio a través del cual los accionistas estarían dispuestos a vender sus acciones. En el caso de las recompra de acciones a través de un programa, el acuerdo dispone límites máximos de cantidad y precio de las ofertas de compra que realice el puesto representante del emisor y que se realizan en las ruedas de negociación habituales de estos valores, que buscan que las transacciones se encuentren en la senda de precios observada del instrumento financiero.</w:t>
      </w:r>
    </w:p>
    <w:p w14:paraId="4F901E7D" w14:textId="77777777" w:rsidR="0067151D" w:rsidRPr="00F57B30" w:rsidRDefault="0067151D" w:rsidP="0067151D">
      <w:pPr>
        <w:pStyle w:val="Prrafodelista"/>
        <w:ind w:left="567"/>
        <w:contextualSpacing/>
        <w:jc w:val="both"/>
        <w:rPr>
          <w:rFonts w:ascii="Arial" w:hAnsi="Arial" w:cs="Arial"/>
          <w:szCs w:val="22"/>
        </w:rPr>
      </w:pPr>
    </w:p>
    <w:p w14:paraId="4F901E7E"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De conformidad con el artículo 8 de la Ley Reguladora del Mercado de Valores corresponde al Superintendente General adoptar las acciones necesarias para el cumplimiento efectivo de las funciones de regulación, fiscalización y supervisión que le compete a la Superintendencia General de Valores.</w:t>
      </w:r>
    </w:p>
    <w:p w14:paraId="4F901E7F" w14:textId="77777777" w:rsidR="0067151D" w:rsidRPr="00F57B30" w:rsidRDefault="0067151D" w:rsidP="00F57B30">
      <w:pPr>
        <w:rPr>
          <w:rFonts w:ascii="Arial" w:hAnsi="Arial" w:cs="Arial"/>
        </w:rPr>
      </w:pPr>
    </w:p>
    <w:p w14:paraId="4F901E80" w14:textId="77777777" w:rsidR="0067151D" w:rsidRPr="00F57B30" w:rsidRDefault="0067151D" w:rsidP="0067151D">
      <w:pPr>
        <w:pStyle w:val="Prrafodelista"/>
        <w:numPr>
          <w:ilvl w:val="0"/>
          <w:numId w:val="1"/>
        </w:numPr>
        <w:ind w:left="567" w:hanging="276"/>
        <w:contextualSpacing/>
        <w:jc w:val="both"/>
        <w:rPr>
          <w:rFonts w:ascii="Arial" w:hAnsi="Arial" w:cs="Arial"/>
          <w:szCs w:val="22"/>
        </w:rPr>
      </w:pPr>
      <w:r w:rsidRPr="00F57B30">
        <w:rPr>
          <w:rFonts w:ascii="Arial" w:hAnsi="Arial" w:cs="Arial"/>
          <w:szCs w:val="22"/>
        </w:rPr>
        <w:t>El presente Acuerdo fue sometido al trámite de consulta, de conformidad con el artículo 361 de la Ley General de Administración Pública.</w:t>
      </w:r>
    </w:p>
    <w:p w14:paraId="4F901E81" w14:textId="77777777" w:rsidR="0085220F" w:rsidRPr="00F57B30" w:rsidRDefault="0085220F" w:rsidP="0085220F">
      <w:pPr>
        <w:jc w:val="both"/>
        <w:rPr>
          <w:rFonts w:ascii="Arial" w:hAnsi="Arial" w:cs="Arial"/>
          <w:b/>
        </w:rPr>
      </w:pPr>
    </w:p>
    <w:p w14:paraId="4F901E82" w14:textId="77777777" w:rsidR="001C56D3" w:rsidRPr="00F57B30" w:rsidRDefault="001C56D3" w:rsidP="009015CA">
      <w:pPr>
        <w:widowControl w:val="0"/>
        <w:spacing w:after="0" w:line="240" w:lineRule="auto"/>
        <w:jc w:val="both"/>
        <w:rPr>
          <w:rFonts w:ascii="Arial" w:hAnsi="Arial" w:cs="Arial"/>
          <w:b/>
        </w:rPr>
      </w:pPr>
      <w:r w:rsidRPr="00F57B30">
        <w:rPr>
          <w:rFonts w:ascii="Arial" w:hAnsi="Arial" w:cs="Arial"/>
          <w:b/>
        </w:rPr>
        <w:t>Por tanto dispone el presente Acuerdo:</w:t>
      </w:r>
    </w:p>
    <w:p w14:paraId="4F901E83" w14:textId="77777777" w:rsidR="009015CA" w:rsidRPr="00F57B30" w:rsidRDefault="009015CA" w:rsidP="009015CA">
      <w:pPr>
        <w:widowControl w:val="0"/>
        <w:spacing w:after="0" w:line="240" w:lineRule="auto"/>
        <w:jc w:val="both"/>
        <w:rPr>
          <w:rFonts w:ascii="Arial" w:hAnsi="Arial" w:cs="Arial"/>
          <w:b/>
        </w:rPr>
      </w:pPr>
    </w:p>
    <w:p w14:paraId="4F901E84" w14:textId="77777777" w:rsidR="009015CA" w:rsidRPr="00F57B30" w:rsidRDefault="00F57B30" w:rsidP="009015CA">
      <w:pPr>
        <w:widowControl w:val="0"/>
        <w:spacing w:after="0" w:line="240" w:lineRule="auto"/>
        <w:jc w:val="center"/>
        <w:rPr>
          <w:rFonts w:ascii="Arial" w:hAnsi="Arial" w:cs="Arial"/>
          <w:b/>
          <w:bCs/>
        </w:rPr>
      </w:pPr>
      <w:r w:rsidRPr="00F57B30">
        <w:rPr>
          <w:rFonts w:ascii="Arial" w:hAnsi="Arial" w:cs="Arial"/>
          <w:b/>
          <w:bCs/>
        </w:rPr>
        <w:t>SGV-A-229 MECANISMOS Y REQUISITOS PARA LAS RECOMPRAS DE ACCIONES</w:t>
      </w:r>
    </w:p>
    <w:p w14:paraId="4F901E85" w14:textId="77777777" w:rsidR="009015CA" w:rsidRPr="00F57B30" w:rsidRDefault="00F57B30" w:rsidP="009015CA">
      <w:pPr>
        <w:widowControl w:val="0"/>
        <w:spacing w:after="0" w:line="240" w:lineRule="auto"/>
        <w:jc w:val="center"/>
        <w:rPr>
          <w:rFonts w:ascii="Arial" w:hAnsi="Arial" w:cs="Arial"/>
          <w:b/>
          <w:bCs/>
        </w:rPr>
      </w:pPr>
      <w:r w:rsidRPr="00F57B30">
        <w:rPr>
          <w:rFonts w:ascii="Arial" w:hAnsi="Arial" w:cs="Arial"/>
          <w:b/>
          <w:bCs/>
        </w:rPr>
        <w:t xml:space="preserve"> POR PARTE DE LOS EMISORES</w:t>
      </w:r>
    </w:p>
    <w:p w14:paraId="4F901E86" w14:textId="77777777" w:rsidR="001C56D3" w:rsidRPr="00F57B30" w:rsidRDefault="001C56D3" w:rsidP="009015CA">
      <w:pPr>
        <w:widowControl w:val="0"/>
        <w:spacing w:after="0" w:line="240" w:lineRule="auto"/>
        <w:jc w:val="center"/>
        <w:rPr>
          <w:rFonts w:ascii="Arial" w:hAnsi="Arial" w:cs="Arial"/>
          <w:b/>
          <w:bCs/>
        </w:rPr>
      </w:pPr>
    </w:p>
    <w:p w14:paraId="4F901E87" w14:textId="77777777" w:rsidR="0085220F" w:rsidRPr="00F57B30" w:rsidRDefault="0085220F" w:rsidP="0085220F">
      <w:pPr>
        <w:jc w:val="both"/>
        <w:rPr>
          <w:rFonts w:ascii="Arial" w:hAnsi="Arial" w:cs="Arial"/>
          <w:b/>
        </w:rPr>
      </w:pPr>
      <w:r w:rsidRPr="00F57B30">
        <w:rPr>
          <w:rFonts w:ascii="Arial" w:hAnsi="Arial" w:cs="Arial"/>
          <w:b/>
        </w:rPr>
        <w:t>Artículo 1. Alcance</w:t>
      </w:r>
    </w:p>
    <w:p w14:paraId="4F901E89" w14:textId="77777777" w:rsidR="0085220F" w:rsidRPr="00F57B30" w:rsidRDefault="0085220F" w:rsidP="0085220F">
      <w:pPr>
        <w:jc w:val="both"/>
        <w:rPr>
          <w:rFonts w:ascii="Arial" w:hAnsi="Arial" w:cs="Arial"/>
        </w:rPr>
      </w:pPr>
      <w:r w:rsidRPr="00F57B30">
        <w:rPr>
          <w:rFonts w:ascii="Arial" w:hAnsi="Arial" w:cs="Arial"/>
        </w:rPr>
        <w:t>El presente acuerdo establece los mecanismos y las condiciones aplicables a las recompras de acciones comunes o preferentes que realice un emisor sobre sus propios valores, en los cuales no se presumirá la existencia de manipulación de precios.  En tales casos tampoco se requerirá efectuar una oferta pública de adquisición sobre dichos valores, siempre que no exceda un 25% de las acciones en circulación.</w:t>
      </w:r>
    </w:p>
    <w:p w14:paraId="4F901E8A" w14:textId="77777777" w:rsidR="0085220F" w:rsidRPr="00F57B30" w:rsidRDefault="00D657F4" w:rsidP="0085220F">
      <w:pPr>
        <w:jc w:val="both"/>
        <w:rPr>
          <w:rFonts w:ascii="Arial" w:hAnsi="Arial" w:cs="Arial"/>
        </w:rPr>
      </w:pPr>
      <w:r w:rsidRPr="00F57B30">
        <w:rPr>
          <w:rFonts w:ascii="Arial" w:hAnsi="Arial" w:cs="Arial"/>
        </w:rPr>
        <w:t xml:space="preserve">Lo anterior no impide que, </w:t>
      </w:r>
      <w:r w:rsidR="0085220F" w:rsidRPr="00F57B30">
        <w:rPr>
          <w:rFonts w:ascii="Arial" w:hAnsi="Arial" w:cs="Arial"/>
        </w:rPr>
        <w:t xml:space="preserve">cuando se comprobare la existencia de otros elementos o condiciones de la negociación que contradigan o cuestionen esa presunción, la </w:t>
      </w:r>
      <w:r w:rsidR="0085220F" w:rsidRPr="00F57B30">
        <w:rPr>
          <w:rFonts w:ascii="Arial" w:hAnsi="Arial" w:cs="Arial"/>
        </w:rPr>
        <w:lastRenderedPageBreak/>
        <w:t>Superintendencia tome</w:t>
      </w:r>
      <w:r w:rsidR="002511D4" w:rsidRPr="00F57B30">
        <w:rPr>
          <w:rFonts w:ascii="Arial" w:hAnsi="Arial" w:cs="Arial"/>
        </w:rPr>
        <w:t xml:space="preserve"> las</w:t>
      </w:r>
      <w:r w:rsidR="0085220F" w:rsidRPr="00F57B30">
        <w:rPr>
          <w:rFonts w:ascii="Arial" w:hAnsi="Arial" w:cs="Arial"/>
        </w:rPr>
        <w:t xml:space="preserve"> acciones administrativas o disciplinarias que estime pertinentes.</w:t>
      </w:r>
    </w:p>
    <w:p w14:paraId="4F901E8B" w14:textId="77777777" w:rsidR="00AE49C2" w:rsidRPr="00F57B30" w:rsidRDefault="00AE49C2" w:rsidP="00AE49C2">
      <w:pPr>
        <w:jc w:val="both"/>
        <w:rPr>
          <w:rFonts w:ascii="Arial" w:hAnsi="Arial" w:cs="Arial"/>
          <w:b/>
        </w:rPr>
      </w:pPr>
      <w:r w:rsidRPr="00F57B30">
        <w:rPr>
          <w:rFonts w:ascii="Arial" w:hAnsi="Arial" w:cs="Arial"/>
          <w:b/>
        </w:rPr>
        <w:t xml:space="preserve">Artículo 2. </w:t>
      </w:r>
      <w:r w:rsidR="002511D4" w:rsidRPr="00F57B30">
        <w:rPr>
          <w:rFonts w:ascii="Arial" w:hAnsi="Arial" w:cs="Arial"/>
          <w:b/>
        </w:rPr>
        <w:t>Mecanismos</w:t>
      </w:r>
    </w:p>
    <w:p w14:paraId="4F901E8C" w14:textId="77777777" w:rsidR="00AE49C2" w:rsidRPr="00F57B30" w:rsidRDefault="002511D4" w:rsidP="00743D6B">
      <w:pPr>
        <w:jc w:val="both"/>
        <w:rPr>
          <w:rFonts w:ascii="Arial" w:hAnsi="Arial" w:cs="Arial"/>
        </w:rPr>
      </w:pPr>
      <w:r w:rsidRPr="00F57B30">
        <w:rPr>
          <w:rFonts w:ascii="Arial" w:hAnsi="Arial" w:cs="Arial"/>
        </w:rPr>
        <w:t>Existen tres mecanismos para ejecutar las recompras de acciones comunes o preferentes, por parte del emisor, las cuales requieren de la autorización previa de la asamblea de accionistas: subasta también denominadas -subastas inversas-, recompra a socios estratégicos y programa de recompra de acciones hasta por un monto y período definido.</w:t>
      </w:r>
    </w:p>
    <w:p w14:paraId="4F901E8D" w14:textId="77777777" w:rsidR="00743D6B" w:rsidRPr="00F57B30" w:rsidRDefault="00743D6B" w:rsidP="00743D6B">
      <w:pPr>
        <w:pStyle w:val="Prrafodelista"/>
        <w:numPr>
          <w:ilvl w:val="0"/>
          <w:numId w:val="2"/>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 xml:space="preserve">Es una subasta inversa aquélla en la que el emisor ofrece recomprar una cantidad de acciones o monto en un solo día, según acuerdo de la asamblea de accionistas, y las ofertas de los accionistas se refieren tanto a la cantidad de acciones como al precio al que se desea vender. </w:t>
      </w:r>
    </w:p>
    <w:p w14:paraId="4F901E8E" w14:textId="77777777" w:rsidR="00743D6B" w:rsidRPr="00F57B30" w:rsidRDefault="00743D6B" w:rsidP="00743D6B">
      <w:pPr>
        <w:pStyle w:val="Prrafodelista"/>
        <w:jc w:val="both"/>
        <w:rPr>
          <w:rFonts w:ascii="Arial" w:eastAsiaTheme="minorHAnsi" w:hAnsi="Arial" w:cs="Arial"/>
          <w:szCs w:val="22"/>
          <w:lang w:eastAsia="en-US"/>
        </w:rPr>
      </w:pPr>
    </w:p>
    <w:p w14:paraId="4F901E8F" w14:textId="77777777" w:rsidR="00743D6B" w:rsidRPr="00F57B30" w:rsidRDefault="00743D6B" w:rsidP="00743D6B">
      <w:pPr>
        <w:pStyle w:val="Prrafodelista"/>
        <w:numPr>
          <w:ilvl w:val="0"/>
          <w:numId w:val="2"/>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Es una recompra a un socio estratégico aquélla en la que el emisor compra las acciones pertenecientes a un socio, que hubiese adquirido directamente las acciones producto de una alianza estratégica acordada como tal en asamblea de accionistas.</w:t>
      </w:r>
    </w:p>
    <w:p w14:paraId="4F901E90" w14:textId="77777777" w:rsidR="00743D6B" w:rsidRPr="00F57B30" w:rsidRDefault="00743D6B" w:rsidP="00743D6B">
      <w:pPr>
        <w:pStyle w:val="Prrafodelista"/>
        <w:rPr>
          <w:rFonts w:ascii="Arial" w:eastAsiaTheme="minorHAnsi" w:hAnsi="Arial" w:cs="Arial"/>
          <w:szCs w:val="22"/>
          <w:lang w:eastAsia="en-US"/>
        </w:rPr>
      </w:pPr>
    </w:p>
    <w:p w14:paraId="4F901E91" w14:textId="77777777" w:rsidR="00743D6B" w:rsidRPr="00F57B30" w:rsidRDefault="00743D6B" w:rsidP="00743D6B">
      <w:pPr>
        <w:pStyle w:val="Prrafodelista"/>
        <w:numPr>
          <w:ilvl w:val="0"/>
          <w:numId w:val="2"/>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Es una recompra por medio de un programa aquélla en la que el emisor ofrece una cantidad de acciones</w:t>
      </w:r>
      <w:r w:rsidR="008B473B" w:rsidRPr="00F57B30">
        <w:rPr>
          <w:rFonts w:ascii="Arial" w:eastAsiaTheme="minorHAnsi" w:hAnsi="Arial" w:cs="Arial"/>
          <w:szCs w:val="22"/>
          <w:lang w:eastAsia="en-US"/>
        </w:rPr>
        <w:t xml:space="preserve"> o monto a recomprar por un perí</w:t>
      </w:r>
      <w:r w:rsidRPr="00F57B30">
        <w:rPr>
          <w:rFonts w:ascii="Arial" w:eastAsiaTheme="minorHAnsi" w:hAnsi="Arial" w:cs="Arial"/>
          <w:szCs w:val="22"/>
          <w:lang w:eastAsia="en-US"/>
        </w:rPr>
        <w:t xml:space="preserve">odo determinado, según acuerdo de la asamblea de accionistas, y las transacciones con los inversionistas se ejecutan a través de los sistemas de negociación de las bolsas de valores autorizadas. </w:t>
      </w:r>
    </w:p>
    <w:p w14:paraId="4F901E92" w14:textId="77777777" w:rsidR="00743D6B" w:rsidRPr="00F57B30" w:rsidRDefault="00743D6B" w:rsidP="00743D6B">
      <w:pPr>
        <w:jc w:val="both"/>
        <w:rPr>
          <w:rFonts w:ascii="Arial" w:hAnsi="Arial" w:cs="Arial"/>
        </w:rPr>
      </w:pPr>
    </w:p>
    <w:p w14:paraId="4F901E93" w14:textId="77777777" w:rsidR="00743D6B" w:rsidRPr="00F57B30" w:rsidRDefault="00743D6B" w:rsidP="00743D6B">
      <w:pPr>
        <w:jc w:val="both"/>
        <w:rPr>
          <w:rFonts w:ascii="Arial" w:hAnsi="Arial" w:cs="Arial"/>
        </w:rPr>
      </w:pPr>
      <w:r w:rsidRPr="00F57B30">
        <w:rPr>
          <w:rFonts w:ascii="Arial" w:hAnsi="Arial" w:cs="Arial"/>
        </w:rPr>
        <w:t xml:space="preserve">Como parte de la asamblea de accionistas en que se tome el acuerdo de recomprar las acciones, se debe determinar si se autoriza a la administración a vender las acciones recompradas, en cuyo caso deberá seguirse las reglas de colocación en mercado primario vigentes al momento de la colocación. </w:t>
      </w:r>
    </w:p>
    <w:p w14:paraId="4F901E94" w14:textId="77777777" w:rsidR="00743D6B" w:rsidRPr="00F57B30" w:rsidRDefault="00743D6B" w:rsidP="00743D6B">
      <w:pPr>
        <w:jc w:val="both"/>
        <w:rPr>
          <w:rFonts w:ascii="Arial" w:hAnsi="Arial" w:cs="Arial"/>
        </w:rPr>
      </w:pPr>
      <w:r w:rsidRPr="00F57B30">
        <w:rPr>
          <w:rFonts w:ascii="Arial" w:hAnsi="Arial" w:cs="Arial"/>
        </w:rPr>
        <w:t xml:space="preserve">En todo caso, las recompras a que se refiere este Acuerdo deben acatar las disposiciones del artículo 129 del Código de Comercio. </w:t>
      </w:r>
    </w:p>
    <w:p w14:paraId="4F901E95" w14:textId="77777777" w:rsidR="008B473B" w:rsidRPr="00F57B30" w:rsidRDefault="008B473B" w:rsidP="00743D6B">
      <w:pPr>
        <w:jc w:val="both"/>
        <w:rPr>
          <w:rFonts w:ascii="Arial" w:hAnsi="Arial" w:cs="Arial"/>
        </w:rPr>
      </w:pPr>
    </w:p>
    <w:p w14:paraId="4F901E96" w14:textId="77777777" w:rsidR="00743D6B" w:rsidRPr="00F57B30" w:rsidRDefault="00743D6B" w:rsidP="00743D6B">
      <w:pPr>
        <w:jc w:val="both"/>
        <w:rPr>
          <w:rFonts w:ascii="Arial" w:hAnsi="Arial" w:cs="Arial"/>
          <w:b/>
        </w:rPr>
      </w:pPr>
      <w:r w:rsidRPr="00F57B30">
        <w:rPr>
          <w:rFonts w:ascii="Arial" w:hAnsi="Arial" w:cs="Arial"/>
          <w:b/>
        </w:rPr>
        <w:t>Artículo 3. Condiciones para la recompra mediante subasta inversa</w:t>
      </w:r>
    </w:p>
    <w:p w14:paraId="4F901E97" w14:textId="77777777" w:rsidR="00743D6B" w:rsidRPr="00F57B30" w:rsidRDefault="00743D6B" w:rsidP="00743D6B">
      <w:pPr>
        <w:jc w:val="both"/>
        <w:rPr>
          <w:rFonts w:ascii="Arial" w:hAnsi="Arial" w:cs="Arial"/>
        </w:rPr>
      </w:pPr>
      <w:r w:rsidRPr="00F57B30">
        <w:rPr>
          <w:rFonts w:ascii="Arial" w:hAnsi="Arial" w:cs="Arial"/>
        </w:rPr>
        <w:t>El emisor puede realizar la recompra de sus acciones mediante subasta inversa, en atención a las siguientes condiciones:</w:t>
      </w:r>
    </w:p>
    <w:p w14:paraId="4F901E98" w14:textId="77777777" w:rsidR="00113566" w:rsidRPr="00F57B30" w:rsidRDefault="00113566" w:rsidP="00113566">
      <w:pPr>
        <w:pStyle w:val="Prrafodelista"/>
        <w:numPr>
          <w:ilvl w:val="0"/>
          <w:numId w:val="3"/>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Informar al mercado de valores mediante un Comunicado de Hecho Relevante, la fecha de la subasta inversa, la cantidad de acciones o el monto a recomprar, la regla para la asignación, así como los casos en que se considerará desierta una subasta. El comunicado se realiza al menos tres días hábiles antes de la subasta.</w:t>
      </w:r>
    </w:p>
    <w:p w14:paraId="4F901E99" w14:textId="77777777" w:rsidR="00113566" w:rsidRPr="00F57B30" w:rsidRDefault="00113566" w:rsidP="00113566">
      <w:pPr>
        <w:pStyle w:val="Prrafodelista"/>
        <w:contextualSpacing/>
        <w:jc w:val="both"/>
        <w:rPr>
          <w:rFonts w:ascii="Arial" w:eastAsiaTheme="minorHAnsi" w:hAnsi="Arial" w:cs="Arial"/>
          <w:szCs w:val="22"/>
          <w:lang w:eastAsia="en-US"/>
        </w:rPr>
      </w:pPr>
    </w:p>
    <w:p w14:paraId="4F901E9A" w14:textId="77777777" w:rsidR="00113566" w:rsidRPr="00F57B30" w:rsidRDefault="00113566" w:rsidP="00113566">
      <w:pPr>
        <w:pStyle w:val="Prrafodelista"/>
        <w:numPr>
          <w:ilvl w:val="0"/>
          <w:numId w:val="3"/>
        </w:numPr>
        <w:contextualSpacing/>
        <w:jc w:val="both"/>
        <w:rPr>
          <w:rFonts w:ascii="Arial" w:eastAsiaTheme="minorHAnsi" w:hAnsi="Arial" w:cs="Arial"/>
          <w:szCs w:val="22"/>
        </w:rPr>
      </w:pPr>
      <w:r w:rsidRPr="00F57B30">
        <w:rPr>
          <w:rFonts w:ascii="Arial" w:eastAsiaTheme="minorHAnsi" w:hAnsi="Arial" w:cs="Arial"/>
          <w:szCs w:val="22"/>
        </w:rPr>
        <w:t>No puede establecerse la posibilidad de asignar una cantidad de acciones o monto mayor al convocado.</w:t>
      </w:r>
    </w:p>
    <w:p w14:paraId="4F901E9B" w14:textId="77777777" w:rsidR="00113566" w:rsidRPr="00F57B30" w:rsidRDefault="00113566" w:rsidP="00113566">
      <w:pPr>
        <w:pStyle w:val="Prrafodelista"/>
        <w:jc w:val="both"/>
        <w:rPr>
          <w:rFonts w:ascii="Arial" w:eastAsiaTheme="minorHAnsi" w:hAnsi="Arial" w:cs="Arial"/>
          <w:szCs w:val="22"/>
          <w:lang w:eastAsia="en-US"/>
        </w:rPr>
      </w:pPr>
    </w:p>
    <w:p w14:paraId="4F901E9C" w14:textId="77777777" w:rsidR="00113566" w:rsidRPr="00F57B30" w:rsidRDefault="00113566" w:rsidP="00113566">
      <w:pPr>
        <w:pStyle w:val="Prrafodelista"/>
        <w:numPr>
          <w:ilvl w:val="0"/>
          <w:numId w:val="3"/>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lastRenderedPageBreak/>
        <w:t>La subasta inversa puede organizarla y realizarla directamente el emisor o un intermediario de valores representante, o realizarse a través de alguna facilidad provista por las entidades de custodia o las bolsas de valores. En todos los casos, la liquidación de las transacciones se realizará a través de los miembros liquidadores del Sistema de compensación y liquidación de valores, con la participación de las entidades adheridas al Sistema Nacional de Registro de Anotaciones en Cuenta para practicar las inscripciones de los movimientos de titularidad de los valores.</w:t>
      </w:r>
    </w:p>
    <w:p w14:paraId="4F901E9D" w14:textId="77777777" w:rsidR="00113566" w:rsidRPr="00F57B30" w:rsidRDefault="00113566" w:rsidP="00113566">
      <w:pPr>
        <w:pStyle w:val="Prrafodelista"/>
        <w:rPr>
          <w:rFonts w:ascii="Arial" w:eastAsiaTheme="minorHAnsi" w:hAnsi="Arial" w:cs="Arial"/>
          <w:szCs w:val="22"/>
          <w:lang w:eastAsia="en-US"/>
        </w:rPr>
      </w:pPr>
    </w:p>
    <w:p w14:paraId="4F901E9E" w14:textId="77777777" w:rsidR="00113566" w:rsidRPr="00F57B30" w:rsidRDefault="00113566" w:rsidP="00113566">
      <w:pPr>
        <w:pStyle w:val="Prrafodelista"/>
        <w:numPr>
          <w:ilvl w:val="0"/>
          <w:numId w:val="3"/>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 xml:space="preserve">En caso de que el emisor tuviera activo un programa para la recompra de acciones, éste se debe suspender a partir del momento en que se haga público la recompra a través de subasta inversa y hasta que esta se liquide. </w:t>
      </w:r>
    </w:p>
    <w:p w14:paraId="4F901E9F" w14:textId="77777777" w:rsidR="00113566" w:rsidRPr="00F57B30" w:rsidRDefault="00113566" w:rsidP="00113566">
      <w:pPr>
        <w:pStyle w:val="Prrafodelista"/>
        <w:contextualSpacing/>
        <w:jc w:val="both"/>
        <w:rPr>
          <w:rFonts w:ascii="Arial" w:eastAsiaTheme="minorHAnsi" w:hAnsi="Arial" w:cs="Arial"/>
          <w:szCs w:val="22"/>
          <w:lang w:eastAsia="en-US"/>
        </w:rPr>
      </w:pPr>
    </w:p>
    <w:p w14:paraId="4F901EA0" w14:textId="77777777" w:rsidR="00113566" w:rsidRPr="00F57B30" w:rsidRDefault="00113566" w:rsidP="00113566">
      <w:pPr>
        <w:jc w:val="both"/>
        <w:rPr>
          <w:rFonts w:ascii="Arial" w:hAnsi="Arial" w:cs="Arial"/>
          <w:b/>
        </w:rPr>
      </w:pPr>
      <w:r w:rsidRPr="00F57B30">
        <w:rPr>
          <w:rFonts w:ascii="Arial" w:hAnsi="Arial" w:cs="Arial"/>
          <w:b/>
        </w:rPr>
        <w:t>Artículo 4. Condiciones para la recompra directa a socios estratégicos</w:t>
      </w:r>
    </w:p>
    <w:p w14:paraId="4F901EA1" w14:textId="77777777" w:rsidR="00113566" w:rsidRPr="00F57B30" w:rsidRDefault="00113566" w:rsidP="00113566">
      <w:pPr>
        <w:jc w:val="both"/>
        <w:rPr>
          <w:rFonts w:ascii="Arial" w:hAnsi="Arial" w:cs="Arial"/>
        </w:rPr>
      </w:pPr>
      <w:r w:rsidRPr="00F57B30">
        <w:rPr>
          <w:rFonts w:ascii="Arial" w:hAnsi="Arial" w:cs="Arial"/>
        </w:rPr>
        <w:t>El emisor puede realizar la recompra de sus acciones a un socio estratégico, en atenci</w:t>
      </w:r>
      <w:r w:rsidR="00335A8E" w:rsidRPr="00F57B30">
        <w:rPr>
          <w:rFonts w:ascii="Arial" w:hAnsi="Arial" w:cs="Arial"/>
        </w:rPr>
        <w:t xml:space="preserve">ón a las siguientes condiciones: </w:t>
      </w:r>
    </w:p>
    <w:p w14:paraId="4F901EA2" w14:textId="77777777" w:rsidR="00113566" w:rsidRPr="00F57B30" w:rsidRDefault="00113566" w:rsidP="00113566">
      <w:pPr>
        <w:pStyle w:val="Prrafodelista"/>
        <w:numPr>
          <w:ilvl w:val="0"/>
          <w:numId w:val="5"/>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Informar al mercado de valores mediante un Comunicado de Hecho Relevante, la fecha o fechas de la recompra, la cantidad de acciones a recomprar, el monto total de la transacción y la identificación del socio estratégico. El comunicado se realiza al menos un día hábil antes del inicio de la recompra.</w:t>
      </w:r>
    </w:p>
    <w:p w14:paraId="4F901EA3" w14:textId="77777777" w:rsidR="00113566" w:rsidRPr="00F57B30" w:rsidRDefault="00113566" w:rsidP="00113566">
      <w:pPr>
        <w:pStyle w:val="Prrafodelista"/>
        <w:contextualSpacing/>
        <w:jc w:val="both"/>
        <w:rPr>
          <w:rFonts w:ascii="Arial" w:eastAsiaTheme="minorHAnsi" w:hAnsi="Arial" w:cs="Arial"/>
          <w:szCs w:val="22"/>
          <w:lang w:eastAsia="en-US"/>
        </w:rPr>
      </w:pPr>
    </w:p>
    <w:p w14:paraId="4F901EA4" w14:textId="77777777" w:rsidR="00113566" w:rsidRPr="00F57B30" w:rsidRDefault="00113566" w:rsidP="00113566">
      <w:pPr>
        <w:pStyle w:val="Prrafodelista"/>
        <w:numPr>
          <w:ilvl w:val="0"/>
          <w:numId w:val="5"/>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El precio de compra debe contar con la autorización de la asamblea de accionistas.</w:t>
      </w:r>
    </w:p>
    <w:p w14:paraId="4F901EA5" w14:textId="77777777" w:rsidR="00113566" w:rsidRPr="00F57B30" w:rsidRDefault="00113566" w:rsidP="00113566">
      <w:pPr>
        <w:pStyle w:val="Prrafodelista"/>
        <w:jc w:val="both"/>
        <w:rPr>
          <w:rFonts w:ascii="Arial" w:eastAsiaTheme="minorHAnsi" w:hAnsi="Arial" w:cs="Arial"/>
          <w:szCs w:val="22"/>
          <w:lang w:eastAsia="en-US"/>
        </w:rPr>
      </w:pPr>
    </w:p>
    <w:p w14:paraId="4F901EA6" w14:textId="77777777" w:rsidR="00113566" w:rsidRPr="00F57B30" w:rsidRDefault="00113566" w:rsidP="00113566">
      <w:pPr>
        <w:pStyle w:val="Prrafodelista"/>
        <w:numPr>
          <w:ilvl w:val="0"/>
          <w:numId w:val="5"/>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La recompra de acciones puede ser por la totalidad o una porción de la participación del socio estratégico y puede realizarse en un solo acto o en tractos específicos, según la autorización de la asamblea de accionistas.</w:t>
      </w:r>
    </w:p>
    <w:p w14:paraId="4F901EA7" w14:textId="77777777" w:rsidR="00335A8E" w:rsidRPr="00F57B30" w:rsidRDefault="00335A8E" w:rsidP="00335A8E">
      <w:pPr>
        <w:pStyle w:val="Prrafodelista"/>
        <w:rPr>
          <w:rFonts w:ascii="Arial" w:eastAsiaTheme="minorHAnsi" w:hAnsi="Arial" w:cs="Arial"/>
          <w:szCs w:val="22"/>
          <w:lang w:eastAsia="en-US"/>
        </w:rPr>
      </w:pPr>
    </w:p>
    <w:p w14:paraId="4F901EA8" w14:textId="77777777" w:rsidR="00335A8E" w:rsidRPr="00F57B30" w:rsidRDefault="00335A8E" w:rsidP="00113566">
      <w:pPr>
        <w:pStyle w:val="Prrafodelista"/>
        <w:numPr>
          <w:ilvl w:val="0"/>
          <w:numId w:val="5"/>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Estas operaciones son responsabilidad de las partes. La liquidación de la transacción se realizará a través de los miembros liquidadores del Sistema de compensación y liquidación de valores, con la participación de las entidades adheridas al Sistema Nacional de Registro de Anotaciones en Cuenta para practicar las inscripciones de los movimientos de titularidad de los valores.</w:t>
      </w:r>
    </w:p>
    <w:p w14:paraId="4F901EA9" w14:textId="77777777" w:rsidR="00335A8E" w:rsidRPr="00F57B30" w:rsidRDefault="00335A8E" w:rsidP="00335A8E">
      <w:pPr>
        <w:pStyle w:val="Prrafodelista"/>
        <w:rPr>
          <w:rFonts w:ascii="Arial" w:eastAsiaTheme="minorHAnsi" w:hAnsi="Arial" w:cs="Arial"/>
          <w:szCs w:val="22"/>
          <w:lang w:eastAsia="en-US"/>
        </w:rPr>
      </w:pPr>
    </w:p>
    <w:p w14:paraId="4F901EAA" w14:textId="77777777" w:rsidR="00335A8E" w:rsidRPr="00F57B30" w:rsidRDefault="000A33D3" w:rsidP="00113566">
      <w:pPr>
        <w:pStyle w:val="Prrafodelista"/>
        <w:numPr>
          <w:ilvl w:val="0"/>
          <w:numId w:val="5"/>
        </w:numPr>
        <w:contextualSpacing/>
        <w:jc w:val="both"/>
        <w:rPr>
          <w:rFonts w:ascii="Arial" w:eastAsiaTheme="minorHAnsi" w:hAnsi="Arial" w:cs="Arial"/>
          <w:szCs w:val="22"/>
          <w:lang w:eastAsia="en-US"/>
        </w:rPr>
      </w:pPr>
      <w:r w:rsidRPr="00F57B30">
        <w:rPr>
          <w:rFonts w:ascii="Arial" w:eastAsiaTheme="minorHAnsi" w:hAnsi="Arial" w:cs="Arial"/>
          <w:szCs w:val="22"/>
          <w:lang w:eastAsia="en-US"/>
        </w:rPr>
        <w:t>La</w:t>
      </w:r>
      <w:r w:rsidR="00335A8E" w:rsidRPr="00F57B30">
        <w:rPr>
          <w:rFonts w:ascii="Arial" w:eastAsiaTheme="minorHAnsi" w:hAnsi="Arial" w:cs="Arial"/>
          <w:szCs w:val="22"/>
          <w:lang w:eastAsia="en-US"/>
        </w:rPr>
        <w:t xml:space="preserve"> recompra que realice el emisor a socios estratégicos, no forman precio, por lo que se deben excluir de los cálculos de las metodologías de valoración según lo dispuesto en el Reglamento sobre Valoración de Instrumentos Financieros.</w:t>
      </w:r>
    </w:p>
    <w:p w14:paraId="4F901EAB" w14:textId="77777777" w:rsidR="00335A8E" w:rsidRPr="00F57B30" w:rsidRDefault="00335A8E" w:rsidP="00335A8E">
      <w:pPr>
        <w:pStyle w:val="Prrafodelista"/>
        <w:rPr>
          <w:rFonts w:ascii="Arial" w:eastAsiaTheme="minorHAnsi" w:hAnsi="Arial" w:cs="Arial"/>
          <w:szCs w:val="22"/>
          <w:lang w:eastAsia="en-US"/>
        </w:rPr>
      </w:pPr>
    </w:p>
    <w:p w14:paraId="4F901EAC" w14:textId="77777777" w:rsidR="00E26CDC" w:rsidRPr="00F57B30" w:rsidRDefault="00E26CDC" w:rsidP="00E26CDC">
      <w:pPr>
        <w:jc w:val="both"/>
        <w:rPr>
          <w:rFonts w:ascii="Arial" w:hAnsi="Arial" w:cs="Arial"/>
          <w:b/>
        </w:rPr>
      </w:pPr>
      <w:r w:rsidRPr="00F57B30">
        <w:rPr>
          <w:rFonts w:ascii="Arial" w:hAnsi="Arial" w:cs="Arial"/>
          <w:b/>
        </w:rPr>
        <w:t xml:space="preserve">Artículo 5. Condiciones para la recompra </w:t>
      </w:r>
      <w:r w:rsidR="00B04980" w:rsidRPr="00F57B30">
        <w:rPr>
          <w:rFonts w:ascii="Arial" w:hAnsi="Arial" w:cs="Arial"/>
          <w:b/>
        </w:rPr>
        <w:t>mediante programas</w:t>
      </w:r>
    </w:p>
    <w:p w14:paraId="4F901EAD" w14:textId="77777777" w:rsidR="00335A8E" w:rsidRPr="00F57B30" w:rsidRDefault="00B04980" w:rsidP="00335A8E">
      <w:pPr>
        <w:contextualSpacing/>
        <w:jc w:val="both"/>
        <w:rPr>
          <w:rFonts w:ascii="Arial" w:hAnsi="Arial" w:cs="Arial"/>
        </w:rPr>
      </w:pPr>
      <w:r w:rsidRPr="00F57B30">
        <w:rPr>
          <w:rFonts w:ascii="Arial" w:hAnsi="Arial" w:cs="Arial"/>
        </w:rPr>
        <w:t>El Emisor puede realizar la recompra de sus acciones mediante un programa de recompr</w:t>
      </w:r>
      <w:r w:rsidR="00D71D78" w:rsidRPr="00F57B30">
        <w:rPr>
          <w:rFonts w:ascii="Arial" w:hAnsi="Arial" w:cs="Arial"/>
        </w:rPr>
        <w:t>a hasta por un monto y perí</w:t>
      </w:r>
      <w:r w:rsidRPr="00F57B30">
        <w:rPr>
          <w:rFonts w:ascii="Arial" w:hAnsi="Arial" w:cs="Arial"/>
        </w:rPr>
        <w:t>odo definido, en atención a las siguientes condiciones:</w:t>
      </w:r>
    </w:p>
    <w:p w14:paraId="4F901EAE" w14:textId="77777777" w:rsidR="00B04980" w:rsidRPr="00F57B30" w:rsidRDefault="00B04980" w:rsidP="00B04980">
      <w:pPr>
        <w:pStyle w:val="Prrafodelista"/>
        <w:numPr>
          <w:ilvl w:val="0"/>
          <w:numId w:val="8"/>
        </w:numPr>
        <w:contextualSpacing/>
        <w:jc w:val="both"/>
        <w:rPr>
          <w:rFonts w:ascii="Arial" w:hAnsi="Arial" w:cs="Arial"/>
          <w:szCs w:val="22"/>
        </w:rPr>
      </w:pPr>
      <w:r w:rsidRPr="00F57B30">
        <w:rPr>
          <w:rFonts w:ascii="Arial" w:hAnsi="Arial" w:cs="Arial"/>
          <w:szCs w:val="22"/>
        </w:rPr>
        <w:t xml:space="preserve">Informar al mercado de valores mediante un </w:t>
      </w:r>
      <w:r w:rsidRPr="00F57B30">
        <w:rPr>
          <w:rFonts w:ascii="Arial" w:eastAsiaTheme="minorHAnsi" w:hAnsi="Arial" w:cs="Arial"/>
          <w:szCs w:val="22"/>
        </w:rPr>
        <w:t xml:space="preserve">Comunicado de Hecho Relevante, la fecha de inicio del programa, la cantidad de acciones o el monto total a recomprar, </w:t>
      </w:r>
      <w:r w:rsidR="00D71D78" w:rsidRPr="00F57B30">
        <w:rPr>
          <w:rFonts w:ascii="Arial" w:eastAsiaTheme="minorHAnsi" w:hAnsi="Arial" w:cs="Arial"/>
          <w:szCs w:val="22"/>
        </w:rPr>
        <w:t>el perí</w:t>
      </w:r>
      <w:r w:rsidRPr="00F57B30">
        <w:rPr>
          <w:rFonts w:ascii="Arial" w:eastAsiaTheme="minorHAnsi" w:hAnsi="Arial" w:cs="Arial"/>
          <w:szCs w:val="22"/>
        </w:rPr>
        <w:t>odo de duración del programa, así como el puesto de bolsa representante. El comunicado se realiza al menos un día hábil antes del inicio de la recompra.</w:t>
      </w:r>
    </w:p>
    <w:p w14:paraId="4F901EAF" w14:textId="77777777" w:rsidR="00B04980" w:rsidRPr="00F57B30" w:rsidRDefault="00B04980" w:rsidP="00B04980">
      <w:pPr>
        <w:contextualSpacing/>
        <w:jc w:val="both"/>
        <w:rPr>
          <w:rFonts w:ascii="Arial" w:hAnsi="Arial" w:cs="Arial"/>
        </w:rPr>
      </w:pPr>
    </w:p>
    <w:p w14:paraId="4F901EB0" w14:textId="77777777" w:rsidR="00335A8E" w:rsidRPr="00F57B30" w:rsidRDefault="00B04980" w:rsidP="00B04980">
      <w:pPr>
        <w:pStyle w:val="Prrafodelista"/>
        <w:numPr>
          <w:ilvl w:val="0"/>
          <w:numId w:val="8"/>
        </w:numPr>
        <w:contextualSpacing/>
        <w:jc w:val="both"/>
        <w:rPr>
          <w:rFonts w:ascii="Arial" w:hAnsi="Arial" w:cs="Arial"/>
          <w:szCs w:val="22"/>
        </w:rPr>
      </w:pPr>
      <w:r w:rsidRPr="00F57B30">
        <w:rPr>
          <w:rFonts w:ascii="Arial" w:eastAsiaTheme="minorHAnsi" w:hAnsi="Arial" w:cs="Arial"/>
          <w:szCs w:val="22"/>
        </w:rPr>
        <w:lastRenderedPageBreak/>
        <w:t>El emisor debe designar un único puesto de bolsa para ejecutar el programa</w:t>
      </w:r>
      <w:r w:rsidRPr="00F57B30">
        <w:rPr>
          <w:rFonts w:ascii="Arial" w:hAnsi="Arial" w:cs="Arial"/>
          <w:szCs w:val="22"/>
        </w:rPr>
        <w:t>.</w:t>
      </w:r>
    </w:p>
    <w:p w14:paraId="4F901EB1" w14:textId="77777777" w:rsidR="00B04980" w:rsidRPr="00F57B30" w:rsidRDefault="00B04980" w:rsidP="00B04980">
      <w:pPr>
        <w:contextualSpacing/>
        <w:jc w:val="both"/>
        <w:rPr>
          <w:rFonts w:ascii="Arial" w:hAnsi="Arial" w:cs="Arial"/>
        </w:rPr>
      </w:pPr>
    </w:p>
    <w:p w14:paraId="4F901EB2" w14:textId="77777777" w:rsidR="00396D72" w:rsidRPr="00F57B30" w:rsidRDefault="00B04980" w:rsidP="00396D72">
      <w:pPr>
        <w:pStyle w:val="Prrafodelista"/>
        <w:numPr>
          <w:ilvl w:val="0"/>
          <w:numId w:val="8"/>
        </w:numPr>
        <w:contextualSpacing/>
        <w:jc w:val="both"/>
        <w:rPr>
          <w:rFonts w:ascii="Arial" w:hAnsi="Arial" w:cs="Arial"/>
          <w:szCs w:val="22"/>
        </w:rPr>
      </w:pPr>
      <w:r w:rsidRPr="00F57B30">
        <w:rPr>
          <w:rFonts w:ascii="Arial" w:eastAsiaTheme="minorHAnsi" w:hAnsi="Arial" w:cs="Arial"/>
          <w:szCs w:val="22"/>
        </w:rPr>
        <w:t xml:space="preserve">La cantidad de acciones o monto a recomprar y el periodo del programa deben contar con la autorización de la asamblea de </w:t>
      </w:r>
      <w:r w:rsidR="00D657F4" w:rsidRPr="00F57B30">
        <w:rPr>
          <w:rFonts w:ascii="Arial" w:eastAsiaTheme="minorHAnsi" w:hAnsi="Arial" w:cs="Arial"/>
          <w:szCs w:val="22"/>
        </w:rPr>
        <w:t xml:space="preserve">accionistas. En dicha asamblea </w:t>
      </w:r>
      <w:r w:rsidRPr="00F57B30">
        <w:rPr>
          <w:rFonts w:ascii="Arial" w:eastAsiaTheme="minorHAnsi" w:hAnsi="Arial" w:cs="Arial"/>
          <w:szCs w:val="22"/>
        </w:rPr>
        <w:t xml:space="preserve">se debe indicar si es posible la ampliación del plazo. </w:t>
      </w:r>
    </w:p>
    <w:p w14:paraId="4F901EB3" w14:textId="77777777" w:rsidR="000A33D3" w:rsidRPr="00F57B30" w:rsidRDefault="000A33D3" w:rsidP="000A33D3">
      <w:pPr>
        <w:contextualSpacing/>
        <w:jc w:val="both"/>
        <w:rPr>
          <w:rFonts w:ascii="Arial" w:hAnsi="Arial" w:cs="Arial"/>
        </w:rPr>
      </w:pPr>
    </w:p>
    <w:p w14:paraId="63748BE2" w14:textId="460A6852" w:rsidR="003D6C17" w:rsidRPr="00CF720D" w:rsidRDefault="003D6C17" w:rsidP="003D6C17">
      <w:pPr>
        <w:pStyle w:val="Prrafodelista"/>
        <w:numPr>
          <w:ilvl w:val="0"/>
          <w:numId w:val="8"/>
        </w:numPr>
        <w:jc w:val="both"/>
        <w:rPr>
          <w:rFonts w:ascii="Arial" w:hAnsi="Arial" w:cs="Arial"/>
          <w:i/>
          <w:iCs/>
          <w:sz w:val="24"/>
        </w:rPr>
      </w:pPr>
      <w:r w:rsidRPr="00CF720D">
        <w:rPr>
          <w:rFonts w:ascii="Arial" w:eastAsiaTheme="minorHAnsi" w:hAnsi="Arial" w:cs="Arial"/>
          <w:szCs w:val="22"/>
        </w:rPr>
        <w:t>La cantidad máxima de acciones que se pueden recomprar en un día no podrá exceder el 1% de las acciones en circulación, excluyendo las acciones en tesorería que a la fecha posea el emisor o sus subsidiarias. Si en una misma sesión bursátil la intención del emisor es adquirir entre el máximo de 1% y el 0,5% de las acciones en circulación, debe informar al mercado de valores mediante un Comunicado de Hecho Relevante al menos el día hábil anterior.</w:t>
      </w:r>
      <w:r w:rsidRPr="00CF720D">
        <w:rPr>
          <w:rFonts w:ascii="Arial" w:hAnsi="Arial" w:cs="Arial"/>
          <w:i/>
          <w:iCs/>
          <w:sz w:val="24"/>
        </w:rPr>
        <w:t xml:space="preserve"> </w:t>
      </w:r>
      <w:r w:rsidRPr="00CF720D">
        <w:rPr>
          <w:rStyle w:val="Refdenotaalpie"/>
          <w:rFonts w:ascii="Arial" w:hAnsi="Arial" w:cs="Arial"/>
          <w:i/>
          <w:iCs/>
          <w:szCs w:val="22"/>
        </w:rPr>
        <w:footnoteReference w:id="3"/>
      </w:r>
    </w:p>
    <w:p w14:paraId="5A666AD7" w14:textId="77777777" w:rsidR="003D6C17" w:rsidRPr="003D6C17" w:rsidRDefault="003D6C17" w:rsidP="003D6C17">
      <w:pPr>
        <w:pStyle w:val="Prrafodelista"/>
        <w:rPr>
          <w:rFonts w:ascii="Arial" w:eastAsia="Calibri" w:hAnsi="Arial" w:cs="Arial"/>
          <w:i/>
          <w:iCs/>
          <w:szCs w:val="22"/>
        </w:rPr>
      </w:pPr>
    </w:p>
    <w:p w14:paraId="2E49A5B2" w14:textId="77777777" w:rsidR="003D6C17" w:rsidRPr="003D6C17" w:rsidRDefault="003D6C17" w:rsidP="003D6C17">
      <w:pPr>
        <w:pStyle w:val="Prrafodelista"/>
        <w:jc w:val="both"/>
        <w:rPr>
          <w:rFonts w:ascii="Arial" w:eastAsia="Calibri" w:hAnsi="Arial" w:cs="Arial"/>
          <w:i/>
          <w:iCs/>
          <w:szCs w:val="22"/>
        </w:rPr>
      </w:pPr>
    </w:p>
    <w:p w14:paraId="4F901EC9" w14:textId="77777777" w:rsidR="0016245A" w:rsidRPr="00F57B30" w:rsidRDefault="00437452" w:rsidP="0016245A">
      <w:pPr>
        <w:pStyle w:val="Prrafodelista"/>
        <w:numPr>
          <w:ilvl w:val="0"/>
          <w:numId w:val="8"/>
        </w:numPr>
        <w:contextualSpacing/>
        <w:jc w:val="both"/>
        <w:rPr>
          <w:rFonts w:ascii="Arial" w:hAnsi="Arial" w:cs="Arial"/>
          <w:szCs w:val="22"/>
        </w:rPr>
      </w:pPr>
      <w:r w:rsidRPr="00F57B30">
        <w:rPr>
          <w:rFonts w:ascii="Arial" w:hAnsi="Arial" w:cs="Arial"/>
          <w:szCs w:val="22"/>
        </w:rPr>
        <w:t>El p</w:t>
      </w:r>
      <w:r w:rsidR="0050002A" w:rsidRPr="00F57B30">
        <w:rPr>
          <w:rFonts w:ascii="Arial" w:hAnsi="Arial" w:cs="Arial"/>
          <w:szCs w:val="22"/>
        </w:rPr>
        <w:t xml:space="preserve">uesto de bolsa representante debe proceder a incluir en los sistemas de negociación de la bolsa de valores en que opere, las posturas u ofertas de compra de acuerdo con las instrucciones que al respecto le gire el emisor respecto al monto específico a recomprar para un determinado día dentro del periodo del programa autorizado, siempre que </w:t>
      </w:r>
      <w:proofErr w:type="gramStart"/>
      <w:r w:rsidR="0050002A" w:rsidRPr="00F57B30">
        <w:rPr>
          <w:rFonts w:ascii="Arial" w:hAnsi="Arial" w:cs="Arial"/>
          <w:szCs w:val="22"/>
        </w:rPr>
        <w:t>el precio ofrecido no superen</w:t>
      </w:r>
      <w:proofErr w:type="gramEnd"/>
      <w:r w:rsidR="0050002A" w:rsidRPr="00F57B30">
        <w:rPr>
          <w:rFonts w:ascii="Arial" w:hAnsi="Arial" w:cs="Arial"/>
          <w:szCs w:val="22"/>
        </w:rPr>
        <w:t xml:space="preserve"> la última transacción en las que no hubiera participado el emisor o puesto de bolsa representante</w:t>
      </w:r>
      <w:r w:rsidR="0016245A" w:rsidRPr="00F57B30">
        <w:rPr>
          <w:rFonts w:ascii="Arial" w:hAnsi="Arial" w:cs="Arial"/>
          <w:szCs w:val="22"/>
        </w:rPr>
        <w:t>.</w:t>
      </w:r>
    </w:p>
    <w:p w14:paraId="4F901ECA" w14:textId="77777777" w:rsidR="0016245A" w:rsidRPr="00F57B30" w:rsidRDefault="0016245A" w:rsidP="0016245A">
      <w:pPr>
        <w:pStyle w:val="Prrafodelista"/>
        <w:contextualSpacing/>
        <w:jc w:val="both"/>
        <w:rPr>
          <w:rFonts w:ascii="Arial" w:hAnsi="Arial" w:cs="Arial"/>
          <w:szCs w:val="22"/>
        </w:rPr>
      </w:pPr>
    </w:p>
    <w:p w14:paraId="4F901ECB" w14:textId="77777777" w:rsidR="0016245A" w:rsidRPr="00F57B30" w:rsidRDefault="0016245A" w:rsidP="0016245A">
      <w:pPr>
        <w:pStyle w:val="Prrafodelista"/>
        <w:numPr>
          <w:ilvl w:val="0"/>
          <w:numId w:val="8"/>
        </w:numPr>
        <w:contextualSpacing/>
        <w:jc w:val="both"/>
        <w:rPr>
          <w:rFonts w:ascii="Arial" w:hAnsi="Arial" w:cs="Arial"/>
          <w:szCs w:val="22"/>
        </w:rPr>
      </w:pPr>
      <w:r w:rsidRPr="00F57B30">
        <w:rPr>
          <w:rFonts w:ascii="Arial" w:eastAsiaTheme="minorHAnsi" w:hAnsi="Arial" w:cs="Arial"/>
          <w:szCs w:val="22"/>
          <w:lang w:eastAsia="en-US"/>
        </w:rPr>
        <w:t>El puesto de bolsa representante puede calzar ofertas de venta, siempre que éstas no superen el indicado en el inciso anterior</w:t>
      </w:r>
      <w:r w:rsidR="008F05AB" w:rsidRPr="00F57B30">
        <w:rPr>
          <w:rFonts w:ascii="Arial" w:eastAsiaTheme="minorHAnsi" w:hAnsi="Arial" w:cs="Arial"/>
          <w:szCs w:val="22"/>
          <w:lang w:eastAsia="en-US"/>
        </w:rPr>
        <w:t>.</w:t>
      </w:r>
    </w:p>
    <w:p w14:paraId="4F901ECC" w14:textId="77777777" w:rsidR="005529C9" w:rsidRPr="00F57B30" w:rsidRDefault="005529C9" w:rsidP="005529C9">
      <w:pPr>
        <w:pStyle w:val="Prrafodelista"/>
        <w:rPr>
          <w:rFonts w:ascii="Arial" w:hAnsi="Arial" w:cs="Arial"/>
          <w:szCs w:val="22"/>
        </w:rPr>
      </w:pPr>
    </w:p>
    <w:p w14:paraId="4F901ECD" w14:textId="48FAA1F2" w:rsidR="005529C9" w:rsidRPr="00CF720D" w:rsidRDefault="0078026C" w:rsidP="0016245A">
      <w:pPr>
        <w:pStyle w:val="Prrafodelista"/>
        <w:numPr>
          <w:ilvl w:val="0"/>
          <w:numId w:val="8"/>
        </w:numPr>
        <w:contextualSpacing/>
        <w:jc w:val="both"/>
        <w:rPr>
          <w:rFonts w:ascii="Arial" w:hAnsi="Arial" w:cs="Arial"/>
          <w:szCs w:val="22"/>
        </w:rPr>
      </w:pPr>
      <w:r w:rsidRPr="00CF720D">
        <w:rPr>
          <w:rFonts w:ascii="Arial" w:hAnsi="Arial" w:cs="Arial"/>
          <w:szCs w:val="22"/>
        </w:rPr>
        <w:t>En los casos en que la última transacción en las que no hubiera participado el emisor o puesto de bolsa representante tenga una antigüedad superior a noventa días, el emisor no puede implementar recompra por la vía del programa, sino que tendrá la posibilidad de realizar una subasta inversa según lo detallado en el artículo 3 de este acuerdo, si esta facilidad fue aprobada por la asamblea de accionistas</w:t>
      </w:r>
      <w:r w:rsidRPr="00CF720D">
        <w:rPr>
          <w:rFonts w:ascii="Arial" w:hAnsi="Arial" w:cs="Arial"/>
          <w:i/>
          <w:iCs/>
          <w:szCs w:val="22"/>
        </w:rPr>
        <w:t>.</w:t>
      </w:r>
      <w:r w:rsidR="00CF720D" w:rsidRPr="00CF720D">
        <w:rPr>
          <w:rFonts w:ascii="Arial" w:hAnsi="Arial" w:cs="Arial"/>
          <w:i/>
          <w:iCs/>
          <w:sz w:val="24"/>
        </w:rPr>
        <w:t xml:space="preserve"> </w:t>
      </w:r>
      <w:r w:rsidRPr="00CF720D">
        <w:rPr>
          <w:rStyle w:val="Refdenotaalpie"/>
          <w:rFonts w:ascii="Arial" w:hAnsi="Arial" w:cs="Arial"/>
          <w:i/>
          <w:iCs/>
          <w:szCs w:val="22"/>
        </w:rPr>
        <w:footnoteReference w:id="4"/>
      </w:r>
    </w:p>
    <w:p w14:paraId="4F901ECE" w14:textId="77777777" w:rsidR="008F05AB" w:rsidRPr="00F57B30" w:rsidRDefault="008F05AB" w:rsidP="008F05AB">
      <w:pPr>
        <w:jc w:val="both"/>
        <w:rPr>
          <w:rFonts w:ascii="Arial" w:hAnsi="Arial" w:cs="Arial"/>
          <w:b/>
        </w:rPr>
      </w:pPr>
    </w:p>
    <w:p w14:paraId="4F901ECF" w14:textId="5AAF52C5" w:rsidR="008F05AB" w:rsidRPr="00F57B30" w:rsidRDefault="008F05AB" w:rsidP="008F05AB">
      <w:pPr>
        <w:jc w:val="both"/>
        <w:rPr>
          <w:rFonts w:ascii="Arial" w:hAnsi="Arial" w:cs="Arial"/>
          <w:b/>
        </w:rPr>
      </w:pPr>
      <w:r w:rsidRPr="00F57B30">
        <w:rPr>
          <w:rFonts w:ascii="Arial" w:hAnsi="Arial" w:cs="Arial"/>
          <w:b/>
        </w:rPr>
        <w:t>Artículo 6. Información al mercado</w:t>
      </w:r>
      <w:r w:rsidR="00CF720D">
        <w:rPr>
          <w:rFonts w:ascii="Arial" w:hAnsi="Arial" w:cs="Arial"/>
          <w:b/>
        </w:rPr>
        <w:t xml:space="preserve"> </w:t>
      </w:r>
      <w:r w:rsidR="0078026C">
        <w:rPr>
          <w:rStyle w:val="Refdenotaalpie"/>
          <w:rFonts w:ascii="Arial" w:hAnsi="Arial" w:cs="Arial"/>
          <w:b/>
        </w:rPr>
        <w:footnoteReference w:id="5"/>
      </w:r>
    </w:p>
    <w:p w14:paraId="6BC9880D" w14:textId="77777777" w:rsidR="0078026C" w:rsidRPr="00C23A31" w:rsidRDefault="0078026C" w:rsidP="0078026C">
      <w:pPr>
        <w:contextualSpacing/>
        <w:jc w:val="both"/>
        <w:rPr>
          <w:rFonts w:ascii="Arial" w:hAnsi="Arial" w:cs="Arial"/>
        </w:rPr>
      </w:pPr>
      <w:r w:rsidRPr="00C23A31">
        <w:rPr>
          <w:rFonts w:ascii="Arial" w:hAnsi="Arial" w:cs="Arial"/>
        </w:rPr>
        <w:t xml:space="preserve">El emisor debe informar al mercado de valores mediante un Comunicado de Hecho Relevante, la cantidad de acciones readquiridas, el precio pagado por acción, así como el monto o cantidad acumulado pendiente de recompra del programa o al socio estratégico.  </w:t>
      </w:r>
    </w:p>
    <w:p w14:paraId="2D7551EF" w14:textId="77777777" w:rsidR="0078026C" w:rsidRPr="00C23A31" w:rsidRDefault="0078026C" w:rsidP="0078026C">
      <w:pPr>
        <w:contextualSpacing/>
        <w:jc w:val="both"/>
        <w:rPr>
          <w:rFonts w:ascii="Arial" w:hAnsi="Arial" w:cs="Arial"/>
          <w:highlight w:val="yellow"/>
        </w:rPr>
      </w:pPr>
    </w:p>
    <w:p w14:paraId="08D5175E" w14:textId="77777777" w:rsidR="0078026C" w:rsidRPr="00C23A31" w:rsidRDefault="0078026C" w:rsidP="0078026C">
      <w:pPr>
        <w:contextualSpacing/>
        <w:jc w:val="both"/>
        <w:rPr>
          <w:rFonts w:ascii="Arial" w:hAnsi="Arial" w:cs="Arial"/>
        </w:rPr>
      </w:pPr>
      <w:r w:rsidRPr="00C23A31">
        <w:rPr>
          <w:rFonts w:ascii="Arial" w:hAnsi="Arial" w:cs="Arial"/>
        </w:rPr>
        <w:t xml:space="preserve">Para las subastas inversas y recompras a socios estratégicos, el comunicado se realiza a más tardar un día hábil después de cada día en que el emisor realizó transacciones con sus propias acciones. </w:t>
      </w:r>
    </w:p>
    <w:p w14:paraId="71EE26F2" w14:textId="77777777" w:rsidR="0078026C" w:rsidRPr="00C23A31" w:rsidRDefault="0078026C" w:rsidP="0078026C">
      <w:pPr>
        <w:contextualSpacing/>
        <w:jc w:val="both"/>
        <w:rPr>
          <w:rFonts w:ascii="Arial" w:hAnsi="Arial" w:cs="Arial"/>
        </w:rPr>
      </w:pPr>
    </w:p>
    <w:p w14:paraId="5858FBC9" w14:textId="34C4116C" w:rsidR="0078026C" w:rsidRPr="00C23A31" w:rsidRDefault="0078026C" w:rsidP="0078026C">
      <w:pPr>
        <w:contextualSpacing/>
        <w:jc w:val="both"/>
        <w:rPr>
          <w:rFonts w:ascii="Arial" w:hAnsi="Arial" w:cs="Arial"/>
        </w:rPr>
      </w:pPr>
      <w:r w:rsidRPr="00C23A31">
        <w:rPr>
          <w:rFonts w:ascii="Arial" w:hAnsi="Arial" w:cs="Arial"/>
        </w:rPr>
        <w:t xml:space="preserve">Para las recompras a través de un programa, el comunicado de hecho relevante se realiza en los siguientes momentos: </w:t>
      </w:r>
    </w:p>
    <w:p w14:paraId="60DD1C12" w14:textId="77777777" w:rsidR="00F43F4A" w:rsidRPr="00C23A31" w:rsidRDefault="00F43F4A" w:rsidP="0078026C">
      <w:pPr>
        <w:contextualSpacing/>
        <w:jc w:val="both"/>
        <w:rPr>
          <w:rFonts w:ascii="Arial" w:hAnsi="Arial" w:cs="Arial"/>
        </w:rPr>
      </w:pPr>
    </w:p>
    <w:p w14:paraId="68C0412F" w14:textId="77777777" w:rsidR="0078026C" w:rsidRPr="00C23A31" w:rsidRDefault="0078026C" w:rsidP="0078026C">
      <w:pPr>
        <w:numPr>
          <w:ilvl w:val="0"/>
          <w:numId w:val="11"/>
        </w:numPr>
        <w:contextualSpacing/>
        <w:jc w:val="both"/>
        <w:rPr>
          <w:rFonts w:ascii="Arial" w:hAnsi="Arial" w:cs="Arial"/>
        </w:rPr>
      </w:pPr>
      <w:r w:rsidRPr="00C23A31">
        <w:rPr>
          <w:rFonts w:ascii="Arial" w:hAnsi="Arial" w:cs="Arial"/>
        </w:rPr>
        <w:t xml:space="preserve">A partir del momento en que el acumulado de compras sea igual o superior al 1% del saldo en circulación, el comunicado se realiza en el momento en que se alcanza este umbral, y para los días posteriores dentro de la misma semana se realizan comunicados por las compras que se ejecuten, a más tardar un día hábil después de cada día en que se realizaron. </w:t>
      </w:r>
    </w:p>
    <w:p w14:paraId="329188E2" w14:textId="77777777" w:rsidR="0078026C" w:rsidRPr="00C23A31" w:rsidRDefault="0078026C" w:rsidP="0078026C">
      <w:pPr>
        <w:contextualSpacing/>
        <w:jc w:val="both"/>
        <w:rPr>
          <w:rFonts w:ascii="Arial" w:hAnsi="Arial" w:cs="Arial"/>
        </w:rPr>
      </w:pPr>
    </w:p>
    <w:p w14:paraId="143D13A8" w14:textId="137ADD62" w:rsidR="0078026C" w:rsidRPr="00C23A31" w:rsidRDefault="0078026C" w:rsidP="0078026C">
      <w:pPr>
        <w:numPr>
          <w:ilvl w:val="0"/>
          <w:numId w:val="11"/>
        </w:numPr>
        <w:contextualSpacing/>
        <w:jc w:val="both"/>
        <w:rPr>
          <w:rFonts w:ascii="Arial" w:hAnsi="Arial" w:cs="Arial"/>
        </w:rPr>
      </w:pPr>
      <w:r w:rsidRPr="00C23A31">
        <w:rPr>
          <w:rFonts w:ascii="Arial" w:hAnsi="Arial" w:cs="Arial"/>
        </w:rPr>
        <w:t>Si el acumulado de compras de la semana es inferior al 1% de las acciones en circulación, el comunicado con el acumulado se realiza a más tardar el día hábil siguiente de finalizada la semana en que hubiera realizado compras.</w:t>
      </w:r>
    </w:p>
    <w:p w14:paraId="4F901ED1" w14:textId="77777777" w:rsidR="00F774BA" w:rsidRPr="00F57B30" w:rsidRDefault="00F774BA" w:rsidP="008F05AB">
      <w:pPr>
        <w:contextualSpacing/>
        <w:jc w:val="both"/>
        <w:rPr>
          <w:rFonts w:ascii="Arial" w:hAnsi="Arial" w:cs="Arial"/>
          <w:b/>
          <w:color w:val="5B9BD5" w:themeColor="accent1"/>
        </w:rPr>
      </w:pPr>
    </w:p>
    <w:p w14:paraId="4F901ED2" w14:textId="77777777" w:rsidR="00F774BA" w:rsidRPr="00F57B30" w:rsidRDefault="00F774BA" w:rsidP="00F774BA">
      <w:pPr>
        <w:jc w:val="both"/>
        <w:rPr>
          <w:rFonts w:ascii="Arial" w:hAnsi="Arial" w:cs="Arial"/>
          <w:b/>
        </w:rPr>
      </w:pPr>
      <w:r w:rsidRPr="00F57B30">
        <w:rPr>
          <w:rFonts w:ascii="Arial" w:hAnsi="Arial" w:cs="Arial"/>
          <w:b/>
        </w:rPr>
        <w:t>Artículo 7. Esquemas de remuneración a miembros de junta directiva y otro personal del emisor</w:t>
      </w:r>
    </w:p>
    <w:p w14:paraId="4F901ED3" w14:textId="77777777" w:rsidR="00F774BA" w:rsidRPr="00F57B30" w:rsidRDefault="00F774BA" w:rsidP="00F774BA">
      <w:pPr>
        <w:jc w:val="both"/>
        <w:rPr>
          <w:rFonts w:ascii="Arial" w:hAnsi="Arial" w:cs="Arial"/>
        </w:rPr>
      </w:pPr>
      <w:r w:rsidRPr="00F57B30">
        <w:rPr>
          <w:rFonts w:ascii="Arial" w:hAnsi="Arial" w:cs="Arial"/>
        </w:rPr>
        <w:t xml:space="preserve">En los casos en que el emisor realice transacciones en forma directa o indirecta a través de una empresa </w:t>
      </w:r>
      <w:r w:rsidR="00AC6085" w:rsidRPr="00F57B30">
        <w:rPr>
          <w:rFonts w:ascii="Arial" w:hAnsi="Arial" w:cs="Arial"/>
        </w:rPr>
        <w:t>subsidiaria o filial</w:t>
      </w:r>
      <w:r w:rsidRPr="00F57B30">
        <w:rPr>
          <w:rFonts w:ascii="Arial" w:hAnsi="Arial" w:cs="Arial"/>
        </w:rPr>
        <w:t xml:space="preserve">, tendiente a adquirir valores acciones que posteriormente redistribuirá como parte de un programa de remuneración a los miembros de su Junta Directiva u otro personal, el emisor debe informar al público mediante un Comunicado de Hecho Relevante sobre la cantidad de acciones adquiridas, el precio y el monto pagado, </w:t>
      </w:r>
      <w:r w:rsidR="00AC6085" w:rsidRPr="00F57B30">
        <w:rPr>
          <w:rFonts w:ascii="Arial" w:hAnsi="Arial" w:cs="Arial"/>
        </w:rPr>
        <w:t xml:space="preserve">la </w:t>
      </w:r>
      <w:r w:rsidRPr="00F57B30">
        <w:rPr>
          <w:rFonts w:ascii="Arial" w:hAnsi="Arial" w:cs="Arial"/>
        </w:rPr>
        <w:t>entidad que realizó la recompra (si es el emisor directamente o s</w:t>
      </w:r>
      <w:r w:rsidR="000A33D3" w:rsidRPr="00F57B30">
        <w:rPr>
          <w:rFonts w:ascii="Arial" w:hAnsi="Arial" w:cs="Arial"/>
        </w:rPr>
        <w:t>i es través de una subsidiaria) y</w:t>
      </w:r>
      <w:r w:rsidRPr="00F57B30">
        <w:rPr>
          <w:rFonts w:ascii="Arial" w:hAnsi="Arial" w:cs="Arial"/>
        </w:rPr>
        <w:t xml:space="preserve"> el día en que se llevó a cabo la operación. Dicho comunicado deberá remitirse a más tardar al día hábil siguiente a la fecha de la transacción.   </w:t>
      </w:r>
    </w:p>
    <w:p w14:paraId="4F901ED4" w14:textId="77777777" w:rsidR="00F774BA" w:rsidRPr="00F57B30" w:rsidRDefault="00F774BA" w:rsidP="008F05AB">
      <w:pPr>
        <w:contextualSpacing/>
        <w:jc w:val="both"/>
        <w:rPr>
          <w:rFonts w:ascii="Arial" w:hAnsi="Arial" w:cs="Arial"/>
        </w:rPr>
      </w:pPr>
    </w:p>
    <w:p w14:paraId="4F901ED5" w14:textId="77777777" w:rsidR="00413534" w:rsidRPr="00F57B30" w:rsidRDefault="00413534" w:rsidP="008F05AB">
      <w:pPr>
        <w:contextualSpacing/>
        <w:jc w:val="both"/>
        <w:rPr>
          <w:rFonts w:ascii="Arial" w:hAnsi="Arial" w:cs="Arial"/>
          <w:b/>
        </w:rPr>
      </w:pPr>
      <w:r w:rsidRPr="00F57B30">
        <w:rPr>
          <w:rFonts w:ascii="Arial" w:hAnsi="Arial" w:cs="Arial"/>
          <w:b/>
        </w:rPr>
        <w:t>Artículo 8. Responsabilidad sobre ofertas públicas de adquisición</w:t>
      </w:r>
    </w:p>
    <w:p w14:paraId="4F901ED6" w14:textId="77777777" w:rsidR="00413534" w:rsidRPr="00F57B30" w:rsidRDefault="00413534" w:rsidP="008F05AB">
      <w:pPr>
        <w:contextualSpacing/>
        <w:jc w:val="both"/>
        <w:rPr>
          <w:rFonts w:ascii="Arial" w:hAnsi="Arial" w:cs="Arial"/>
          <w:b/>
        </w:rPr>
      </w:pPr>
    </w:p>
    <w:p w14:paraId="4F901ED7" w14:textId="77777777" w:rsidR="00413534" w:rsidRPr="00F57B30" w:rsidRDefault="00413534" w:rsidP="008F05AB">
      <w:pPr>
        <w:contextualSpacing/>
        <w:jc w:val="both"/>
        <w:rPr>
          <w:rFonts w:ascii="Arial" w:hAnsi="Arial" w:cs="Arial"/>
        </w:rPr>
      </w:pPr>
      <w:r w:rsidRPr="00F57B30">
        <w:rPr>
          <w:rFonts w:ascii="Arial" w:hAnsi="Arial" w:cs="Arial"/>
        </w:rPr>
        <w:t>Este acuerdo no es de aplicación para los casos en que de acuerdo con lo dispuesto en el artículo 36 de la Ley Reguladora del Mercado de Valores y el Reglamento sobre Oferta Pública de Valores, se presenten los supuestos para realizar una oferta pública de adquisición.</w:t>
      </w:r>
    </w:p>
    <w:p w14:paraId="4F901ED8" w14:textId="77777777" w:rsidR="00AC6085" w:rsidRPr="00F57B30" w:rsidRDefault="00AC6085" w:rsidP="00413534">
      <w:pPr>
        <w:contextualSpacing/>
        <w:jc w:val="both"/>
        <w:rPr>
          <w:rFonts w:ascii="Arial" w:hAnsi="Arial" w:cs="Arial"/>
          <w:b/>
        </w:rPr>
      </w:pPr>
    </w:p>
    <w:p w14:paraId="4F901ED9" w14:textId="77777777" w:rsidR="00413534" w:rsidRPr="00F57B30" w:rsidRDefault="00413534" w:rsidP="00413534">
      <w:pPr>
        <w:contextualSpacing/>
        <w:jc w:val="both"/>
        <w:rPr>
          <w:rFonts w:ascii="Arial" w:hAnsi="Arial" w:cs="Arial"/>
          <w:b/>
        </w:rPr>
      </w:pPr>
      <w:r w:rsidRPr="00F57B30">
        <w:rPr>
          <w:rFonts w:ascii="Arial" w:hAnsi="Arial" w:cs="Arial"/>
          <w:b/>
        </w:rPr>
        <w:t>Artículo 9. Vigencia</w:t>
      </w:r>
    </w:p>
    <w:p w14:paraId="4F901EDA" w14:textId="77777777" w:rsidR="00413534" w:rsidRPr="00F57B30" w:rsidRDefault="00413534" w:rsidP="00413534">
      <w:pPr>
        <w:contextualSpacing/>
        <w:jc w:val="both"/>
        <w:rPr>
          <w:rFonts w:ascii="Arial" w:hAnsi="Arial" w:cs="Arial"/>
          <w:b/>
        </w:rPr>
      </w:pPr>
    </w:p>
    <w:p w14:paraId="4F901EDB" w14:textId="1C653DED" w:rsidR="00413534" w:rsidRDefault="00413534" w:rsidP="00413534">
      <w:pPr>
        <w:contextualSpacing/>
        <w:jc w:val="both"/>
        <w:rPr>
          <w:rFonts w:ascii="Arial" w:hAnsi="Arial" w:cs="Arial"/>
        </w:rPr>
      </w:pPr>
      <w:r w:rsidRPr="00F57B30">
        <w:rPr>
          <w:rFonts w:ascii="Arial" w:hAnsi="Arial" w:cs="Arial"/>
        </w:rPr>
        <w:t>Este acuerdo rige a partir de su comunicación.</w:t>
      </w:r>
    </w:p>
    <w:p w14:paraId="73058104" w14:textId="35336114" w:rsidR="00F43F4A" w:rsidRDefault="00F43F4A" w:rsidP="00413534">
      <w:pPr>
        <w:contextualSpacing/>
        <w:jc w:val="both"/>
        <w:rPr>
          <w:rFonts w:ascii="Arial" w:hAnsi="Arial" w:cs="Arial"/>
        </w:rPr>
      </w:pPr>
    </w:p>
    <w:p w14:paraId="0F200207" w14:textId="59FA7E23" w:rsidR="00F43F4A" w:rsidRDefault="00F43F4A" w:rsidP="00413534">
      <w:pPr>
        <w:contextualSpacing/>
        <w:jc w:val="both"/>
        <w:rPr>
          <w:rFonts w:ascii="Arial" w:hAnsi="Arial" w:cs="Arial"/>
        </w:rPr>
      </w:pPr>
    </w:p>
    <w:p w14:paraId="79C5FC5F" w14:textId="77777777" w:rsidR="00F43F4A" w:rsidRPr="00F57B30" w:rsidRDefault="00F43F4A" w:rsidP="00413534">
      <w:pPr>
        <w:contextualSpacing/>
        <w:jc w:val="both"/>
        <w:rPr>
          <w:rFonts w:ascii="Arial" w:hAnsi="Arial" w:cs="Arial"/>
        </w:rPr>
      </w:pPr>
    </w:p>
    <w:p w14:paraId="4F901EDC" w14:textId="77777777" w:rsidR="00413534" w:rsidRPr="00F57B30" w:rsidRDefault="00413534" w:rsidP="00413534">
      <w:pPr>
        <w:contextualSpacing/>
        <w:jc w:val="both"/>
        <w:rPr>
          <w:rFonts w:ascii="Arial" w:hAnsi="Arial" w:cs="Arial"/>
          <w:b/>
        </w:rPr>
      </w:pPr>
    </w:p>
    <w:p w14:paraId="4F901EDD" w14:textId="77777777" w:rsidR="00413534" w:rsidRPr="00F57B30" w:rsidRDefault="00413534" w:rsidP="008F05AB">
      <w:pPr>
        <w:contextualSpacing/>
        <w:jc w:val="both"/>
        <w:rPr>
          <w:rFonts w:ascii="Arial" w:hAnsi="Arial" w:cs="Arial"/>
          <w:b/>
        </w:rPr>
      </w:pPr>
      <w:r w:rsidRPr="00F57B30">
        <w:rPr>
          <w:rFonts w:ascii="Arial" w:hAnsi="Arial" w:cs="Arial"/>
          <w:b/>
        </w:rPr>
        <w:t>Transitorio I</w:t>
      </w:r>
    </w:p>
    <w:p w14:paraId="4F901EDE" w14:textId="77777777" w:rsidR="00413534" w:rsidRPr="00F57B30" w:rsidRDefault="00413534" w:rsidP="008F05AB">
      <w:pPr>
        <w:contextualSpacing/>
        <w:jc w:val="both"/>
        <w:rPr>
          <w:rFonts w:ascii="Arial" w:hAnsi="Arial" w:cs="Arial"/>
          <w:b/>
        </w:rPr>
      </w:pPr>
    </w:p>
    <w:p w14:paraId="4F901EDF" w14:textId="77777777" w:rsidR="00413534" w:rsidRPr="00F57B30" w:rsidRDefault="00413534" w:rsidP="008F05AB">
      <w:pPr>
        <w:contextualSpacing/>
        <w:jc w:val="both"/>
        <w:rPr>
          <w:rFonts w:ascii="Arial" w:hAnsi="Arial" w:cs="Arial"/>
        </w:rPr>
      </w:pPr>
      <w:r w:rsidRPr="00F57B30">
        <w:rPr>
          <w:rFonts w:ascii="Arial" w:hAnsi="Arial" w:cs="Arial"/>
        </w:rPr>
        <w:lastRenderedPageBreak/>
        <w:t>Los programas de recompras de acciones que se encuentren aprobados por la asamblea de accionistas y en ejecución en la fecha de entrada en vigencia de esta reforma al Acuerdo, se concluirán con las disposiciones sobre el plazo y monto contenidas en el Acuerdo vigente al momento en que fueron tomados dichos acuerdos por las asambleas correspondientes.</w:t>
      </w:r>
    </w:p>
    <w:sectPr w:rsidR="00413534" w:rsidRPr="00F57B30" w:rsidSect="00F57B30">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6C8B" w14:textId="77777777" w:rsidR="00FE6273" w:rsidRDefault="00FE6273" w:rsidP="00B94F03">
      <w:pPr>
        <w:spacing w:after="0" w:line="240" w:lineRule="auto"/>
      </w:pPr>
      <w:r>
        <w:separator/>
      </w:r>
    </w:p>
  </w:endnote>
  <w:endnote w:type="continuationSeparator" w:id="0">
    <w:p w14:paraId="35CFE367" w14:textId="77777777" w:rsidR="00FE6273" w:rsidRDefault="00FE6273" w:rsidP="00B94F03">
      <w:pPr>
        <w:spacing w:after="0" w:line="240" w:lineRule="auto"/>
      </w:pPr>
      <w:r>
        <w:continuationSeparator/>
      </w:r>
    </w:p>
  </w:endnote>
  <w:endnote w:type="continuationNotice" w:id="1">
    <w:p w14:paraId="3EB2F945" w14:textId="77777777" w:rsidR="00FE6273" w:rsidRDefault="00FE6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4366" w14:textId="77777777" w:rsidR="0078026C" w:rsidRDefault="007802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276443"/>
      <w:docPartObj>
        <w:docPartGallery w:val="Page Numbers (Bottom of Page)"/>
        <w:docPartUnique/>
      </w:docPartObj>
    </w:sdtPr>
    <w:sdtEndPr>
      <w:rPr>
        <w:rFonts w:ascii="Arial" w:hAnsi="Arial" w:cs="Arial"/>
        <w:color w:val="1B75BB"/>
        <w:spacing w:val="60"/>
      </w:rPr>
    </w:sdtEndPr>
    <w:sdtContent>
      <w:p w14:paraId="4F901EE6" w14:textId="77777777" w:rsidR="00166788" w:rsidRPr="00F57B30" w:rsidRDefault="00166788">
        <w:pPr>
          <w:pStyle w:val="Piedepgina"/>
          <w:pBdr>
            <w:top w:val="single" w:sz="4" w:space="1" w:color="D9D9D9" w:themeColor="background1" w:themeShade="D9"/>
          </w:pBdr>
          <w:rPr>
            <w:rFonts w:ascii="Arial" w:hAnsi="Arial" w:cs="Arial"/>
            <w:b/>
            <w:bCs/>
            <w:color w:val="1B75BB"/>
          </w:rPr>
        </w:pPr>
        <w:r w:rsidRPr="00F57B30">
          <w:rPr>
            <w:rFonts w:ascii="Arial" w:hAnsi="Arial" w:cs="Arial"/>
            <w:color w:val="1B75BB"/>
          </w:rPr>
          <w:fldChar w:fldCharType="begin"/>
        </w:r>
        <w:r w:rsidRPr="00F57B30">
          <w:rPr>
            <w:rFonts w:ascii="Arial" w:hAnsi="Arial" w:cs="Arial"/>
            <w:color w:val="1B75BB"/>
          </w:rPr>
          <w:instrText xml:space="preserve"> PAGE   \* MERGEFORMAT </w:instrText>
        </w:r>
        <w:r w:rsidRPr="00F57B30">
          <w:rPr>
            <w:rFonts w:ascii="Arial" w:hAnsi="Arial" w:cs="Arial"/>
            <w:color w:val="1B75BB"/>
          </w:rPr>
          <w:fldChar w:fldCharType="separate"/>
        </w:r>
        <w:r w:rsidR="00DF0C32" w:rsidRPr="00DF0C32">
          <w:rPr>
            <w:rFonts w:ascii="Arial" w:hAnsi="Arial" w:cs="Arial"/>
            <w:b/>
            <w:bCs/>
            <w:noProof/>
            <w:color w:val="1B75BB"/>
          </w:rPr>
          <w:t>2</w:t>
        </w:r>
        <w:r w:rsidRPr="00F57B30">
          <w:rPr>
            <w:rFonts w:ascii="Arial" w:hAnsi="Arial" w:cs="Arial"/>
            <w:b/>
            <w:bCs/>
            <w:noProof/>
            <w:color w:val="1B75BB"/>
          </w:rPr>
          <w:fldChar w:fldCharType="end"/>
        </w:r>
        <w:r w:rsidRPr="00F57B30">
          <w:rPr>
            <w:rFonts w:ascii="Arial" w:hAnsi="Arial" w:cs="Arial"/>
            <w:b/>
            <w:bCs/>
            <w:color w:val="1B75BB"/>
          </w:rPr>
          <w:t xml:space="preserve"> | </w:t>
        </w:r>
      </w:p>
    </w:sdtContent>
  </w:sdt>
  <w:p w14:paraId="4F901EE7" w14:textId="77777777" w:rsidR="00166788" w:rsidRDefault="0016678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1EE8" w14:textId="77777777" w:rsidR="00166788" w:rsidRPr="009015CA" w:rsidRDefault="00166788" w:rsidP="009015CA">
    <w:pPr>
      <w:pStyle w:val="Piedepgina"/>
      <w:tabs>
        <w:tab w:val="clear" w:pos="4419"/>
        <w:tab w:val="clear" w:pos="8838"/>
        <w:tab w:val="left" w:pos="1305"/>
      </w:tabs>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8371" w14:textId="77777777" w:rsidR="00FE6273" w:rsidRDefault="00FE6273" w:rsidP="00B94F03">
      <w:pPr>
        <w:spacing w:after="0" w:line="240" w:lineRule="auto"/>
      </w:pPr>
      <w:r>
        <w:separator/>
      </w:r>
    </w:p>
  </w:footnote>
  <w:footnote w:type="continuationSeparator" w:id="0">
    <w:p w14:paraId="345C86A1" w14:textId="77777777" w:rsidR="00FE6273" w:rsidRDefault="00FE6273" w:rsidP="00B94F03">
      <w:pPr>
        <w:spacing w:after="0" w:line="240" w:lineRule="auto"/>
      </w:pPr>
      <w:r>
        <w:continuationSeparator/>
      </w:r>
    </w:p>
  </w:footnote>
  <w:footnote w:type="continuationNotice" w:id="1">
    <w:p w14:paraId="5A9EEB88" w14:textId="77777777" w:rsidR="00FE6273" w:rsidRDefault="00FE6273">
      <w:pPr>
        <w:spacing w:after="0" w:line="240" w:lineRule="auto"/>
      </w:pPr>
    </w:p>
  </w:footnote>
  <w:footnote w:id="2">
    <w:p w14:paraId="4F901EED" w14:textId="5A720A6F" w:rsidR="00166788" w:rsidRPr="00DF0C32" w:rsidRDefault="00166788" w:rsidP="00F57B30">
      <w:pPr>
        <w:pStyle w:val="Ttulo2"/>
        <w:spacing w:before="0" w:after="0"/>
        <w:jc w:val="both"/>
        <w:rPr>
          <w:b w:val="0"/>
          <w:bCs w:val="0"/>
          <w:i w:val="0"/>
          <w:iCs w:val="0"/>
          <w:sz w:val="24"/>
          <w:szCs w:val="24"/>
          <w:lang w:val="es-CR"/>
        </w:rPr>
      </w:pPr>
      <w:r w:rsidRPr="00F57B30">
        <w:rPr>
          <w:rStyle w:val="Refdenotaalpie"/>
          <w:b w:val="0"/>
          <w:i w:val="0"/>
        </w:rPr>
        <w:footnoteRef/>
      </w:r>
      <w:r w:rsidRPr="00F57B30">
        <w:rPr>
          <w:lang w:val="es-CR"/>
        </w:rPr>
        <w:t xml:space="preserve"> </w:t>
      </w:r>
      <w:r w:rsidRPr="00F57B30">
        <w:rPr>
          <w:b w:val="0"/>
          <w:i w:val="0"/>
          <w:sz w:val="22"/>
          <w:szCs w:val="22"/>
          <w:lang w:val="es-CR"/>
        </w:rPr>
        <w:t>Superintendencia General de Valores.  Despacho de la Superintendente.  A las once horas treinta minutos del siete de marzo del dos mil dieciocho.</w:t>
      </w:r>
      <w:r>
        <w:rPr>
          <w:b w:val="0"/>
          <w:i w:val="0"/>
          <w:sz w:val="22"/>
          <w:szCs w:val="22"/>
          <w:lang w:val="es-CR"/>
        </w:rPr>
        <w:t xml:space="preserve"> </w:t>
      </w:r>
      <w:r w:rsidRPr="00DF0C32">
        <w:rPr>
          <w:b w:val="0"/>
          <w:i w:val="0"/>
          <w:sz w:val="22"/>
          <w:szCs w:val="22"/>
          <w:lang w:val="es-CR"/>
        </w:rPr>
        <w:t>Diario Oficial La Gaceta No. 71 del 24 de abril del 2018.</w:t>
      </w:r>
    </w:p>
    <w:p w14:paraId="4F901EEE" w14:textId="77777777" w:rsidR="00166788" w:rsidRPr="00F57B30" w:rsidRDefault="00166788">
      <w:pPr>
        <w:pStyle w:val="Textonotapie"/>
        <w:rPr>
          <w:lang w:val="es-CR"/>
        </w:rPr>
      </w:pPr>
    </w:p>
  </w:footnote>
  <w:footnote w:id="3">
    <w:p w14:paraId="2695A4F6" w14:textId="40CE8125" w:rsidR="003D6C17" w:rsidRPr="00CF720D" w:rsidRDefault="003D6C17">
      <w:pPr>
        <w:pStyle w:val="Textonotapie"/>
        <w:rPr>
          <w:rFonts w:ascii="Arial" w:hAnsi="Arial" w:cs="Arial"/>
          <w:lang w:val="es-ES"/>
        </w:rPr>
      </w:pPr>
      <w:r w:rsidRPr="00CF720D">
        <w:rPr>
          <w:rStyle w:val="Refdenotaalpie"/>
          <w:rFonts w:ascii="Arial" w:hAnsi="Arial" w:cs="Arial"/>
        </w:rPr>
        <w:footnoteRef/>
      </w:r>
      <w:r w:rsidRPr="00CF720D">
        <w:rPr>
          <w:rFonts w:ascii="Arial" w:hAnsi="Arial" w:cs="Arial"/>
          <w:lang w:val="es-ES"/>
        </w:rPr>
        <w:t xml:space="preserve"> </w:t>
      </w:r>
      <w:r w:rsidR="00F43F4A" w:rsidRPr="00CF720D">
        <w:rPr>
          <w:rFonts w:ascii="Arial" w:hAnsi="Arial" w:cs="Arial"/>
          <w:lang w:val="es-ES"/>
        </w:rPr>
        <w:t xml:space="preserve">Inciso </w:t>
      </w:r>
      <w:r w:rsidRPr="00CF720D">
        <w:rPr>
          <w:rFonts w:ascii="Arial" w:hAnsi="Arial" w:cs="Arial"/>
          <w:lang w:val="es-ES"/>
        </w:rPr>
        <w:t xml:space="preserve">modificado por el Acuerdo del Superintendente SGV-A-271 del 29 de agosto del 2022. Rige a partir de su comunicación.  </w:t>
      </w:r>
    </w:p>
    <w:p w14:paraId="4D3D522A" w14:textId="77777777" w:rsidR="00CF720D" w:rsidRPr="00CF720D" w:rsidRDefault="00CF720D">
      <w:pPr>
        <w:pStyle w:val="Textonotapie"/>
        <w:rPr>
          <w:rFonts w:ascii="Arial" w:hAnsi="Arial" w:cs="Arial"/>
          <w:lang w:val="es-ES"/>
        </w:rPr>
      </w:pPr>
    </w:p>
  </w:footnote>
  <w:footnote w:id="4">
    <w:p w14:paraId="14A6A783" w14:textId="4485FA69" w:rsidR="0078026C" w:rsidRPr="00CF720D" w:rsidRDefault="0078026C" w:rsidP="0078026C">
      <w:pPr>
        <w:spacing w:after="0"/>
        <w:rPr>
          <w:rFonts w:ascii="Arial" w:hAnsi="Arial" w:cs="Arial"/>
        </w:rPr>
      </w:pPr>
      <w:r w:rsidRPr="00CF720D">
        <w:rPr>
          <w:rStyle w:val="Refdenotaalpie"/>
          <w:rFonts w:ascii="Arial" w:hAnsi="Arial" w:cs="Arial"/>
        </w:rPr>
        <w:footnoteRef/>
      </w:r>
      <w:r w:rsidRPr="00CF720D">
        <w:rPr>
          <w:rFonts w:ascii="Arial" w:hAnsi="Arial" w:cs="Arial"/>
          <w:lang w:val="es-ES"/>
        </w:rPr>
        <w:t xml:space="preserve"> </w:t>
      </w:r>
      <w:bookmarkStart w:id="0" w:name="_Hlk112827445"/>
      <w:r w:rsidR="00F43F4A" w:rsidRPr="00CF720D">
        <w:rPr>
          <w:rFonts w:ascii="Arial" w:hAnsi="Arial" w:cs="Arial"/>
          <w:sz w:val="20"/>
          <w:szCs w:val="20"/>
        </w:rPr>
        <w:t xml:space="preserve">Inciso </w:t>
      </w:r>
      <w:r w:rsidRPr="00CF720D">
        <w:rPr>
          <w:rFonts w:ascii="Arial" w:hAnsi="Arial" w:cs="Arial"/>
          <w:sz w:val="20"/>
          <w:szCs w:val="20"/>
        </w:rPr>
        <w:t>modificado por el Acuerdo del Superintendente SGV-A-271 del 29 de agosto del 2022. Rige a partir de su comunicación.</w:t>
      </w:r>
      <w:r w:rsidRPr="00CF720D">
        <w:rPr>
          <w:rFonts w:ascii="Arial" w:hAnsi="Arial" w:cs="Arial"/>
        </w:rPr>
        <w:t xml:space="preserve">  </w:t>
      </w:r>
      <w:bookmarkEnd w:id="0"/>
    </w:p>
    <w:p w14:paraId="62E47039" w14:textId="77777777" w:rsidR="00CF720D" w:rsidRPr="00CF720D" w:rsidRDefault="00CF720D" w:rsidP="0078026C">
      <w:pPr>
        <w:spacing w:after="0"/>
        <w:rPr>
          <w:rFonts w:ascii="Arial" w:hAnsi="Arial" w:cs="Arial"/>
          <w:lang w:val="es-ES"/>
        </w:rPr>
      </w:pPr>
    </w:p>
  </w:footnote>
  <w:footnote w:id="5">
    <w:p w14:paraId="2205B4AB" w14:textId="73C14F72" w:rsidR="0078026C" w:rsidRPr="00CF720D" w:rsidRDefault="0078026C" w:rsidP="0078026C">
      <w:pPr>
        <w:spacing w:after="0"/>
        <w:rPr>
          <w:rFonts w:ascii="Arial" w:hAnsi="Arial" w:cs="Arial"/>
        </w:rPr>
      </w:pPr>
      <w:r w:rsidRPr="00CF720D">
        <w:rPr>
          <w:rStyle w:val="Refdenotaalpie"/>
          <w:rFonts w:ascii="Arial" w:hAnsi="Arial" w:cs="Arial"/>
        </w:rPr>
        <w:footnoteRef/>
      </w:r>
      <w:r w:rsidRPr="00CF720D">
        <w:rPr>
          <w:rFonts w:ascii="Arial" w:hAnsi="Arial" w:cs="Arial"/>
        </w:rPr>
        <w:t xml:space="preserve"> </w:t>
      </w:r>
      <w:r w:rsidRPr="00CF720D">
        <w:rPr>
          <w:rFonts w:ascii="Arial" w:hAnsi="Arial" w:cs="Arial"/>
          <w:sz w:val="20"/>
          <w:szCs w:val="20"/>
        </w:rPr>
        <w:t>Artículo modificado por el Acuerdo del Superintendente SGV-A-271 del 29 de agosto del 2022. Rige a partir de su comunicación.</w:t>
      </w:r>
      <w:r w:rsidRPr="00CF720D">
        <w:rPr>
          <w:rFonts w:ascii="Arial" w:hAnsi="Arial" w:cs="Arial"/>
        </w:rPr>
        <w:t xml:space="preserve">  </w:t>
      </w:r>
    </w:p>
    <w:p w14:paraId="6A8013FA" w14:textId="4FF0CB61" w:rsidR="0078026C" w:rsidRPr="0078026C" w:rsidRDefault="0078026C">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D754" w14:textId="77777777" w:rsidR="0078026C" w:rsidRDefault="0078026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1EE4" w14:textId="77777777" w:rsidR="00166788" w:rsidRDefault="00166788" w:rsidP="00F57B30">
    <w:pPr>
      <w:pStyle w:val="Encabezado"/>
      <w:jc w:val="right"/>
    </w:pPr>
    <w:r>
      <w:rPr>
        <w:noProof/>
        <w:lang w:eastAsia="es-CR"/>
      </w:rPr>
      <w:drawing>
        <wp:inline distT="0" distB="0" distL="0" distR="0" wp14:anchorId="4F901EE9" wp14:editId="4F901EEA">
          <wp:extent cx="1584960" cy="3901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ugeval-Pequeñ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960" cy="390144"/>
                  </a:xfrm>
                  <a:prstGeom prst="rect">
                    <a:avLst/>
                  </a:prstGeom>
                </pic:spPr>
              </pic:pic>
            </a:graphicData>
          </a:graphic>
        </wp:inline>
      </w:drawing>
    </w:r>
  </w:p>
  <w:p w14:paraId="4F901EE5" w14:textId="77777777" w:rsidR="00166788" w:rsidRDefault="00166788">
    <w:pPr>
      <w:pStyle w:val="Encabezado"/>
    </w:pPr>
    <w:r>
      <w:rPr>
        <w:noProof/>
        <w:lang w:eastAsia="es-CR"/>
      </w:rPr>
      <mc:AlternateContent>
        <mc:Choice Requires="wps">
          <w:drawing>
            <wp:anchor distT="4294967293" distB="4294967293" distL="114300" distR="114300" simplePos="0" relativeHeight="251659264" behindDoc="0" locked="0" layoutInCell="1" allowOverlap="1" wp14:anchorId="4F901EEB" wp14:editId="4F901EEC">
              <wp:simplePos x="0" y="0"/>
              <wp:positionH relativeFrom="margin">
                <wp:posOffset>0</wp:posOffset>
              </wp:positionH>
              <wp:positionV relativeFrom="paragraph">
                <wp:posOffset>-635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ECEE4"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0F79" w14:textId="77777777" w:rsidR="0078026C" w:rsidRDefault="007802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DA8A708"/>
    <w:lvl w:ilvl="0">
      <w:start w:val="1"/>
      <w:numFmt w:val="decimal"/>
      <w:pStyle w:val="Listaconnmeros"/>
      <w:lvlText w:val="%1."/>
      <w:lvlJc w:val="left"/>
      <w:pPr>
        <w:tabs>
          <w:tab w:val="num" w:pos="360"/>
        </w:tabs>
        <w:ind w:left="360" w:hanging="360"/>
      </w:pPr>
    </w:lvl>
  </w:abstractNum>
  <w:abstractNum w:abstractNumId="1" w15:restartNumberingAfterBreak="0">
    <w:nsid w:val="05F23F4F"/>
    <w:multiLevelType w:val="hybridMultilevel"/>
    <w:tmpl w:val="FB3E27A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06B6198F"/>
    <w:multiLevelType w:val="hybridMultilevel"/>
    <w:tmpl w:val="14962DFC"/>
    <w:lvl w:ilvl="0" w:tplc="9CCE1030">
      <w:start w:val="1"/>
      <w:numFmt w:val="upperRoman"/>
      <w:lvlText w:val="%1."/>
      <w:lvlJc w:val="right"/>
      <w:pPr>
        <w:ind w:left="720" w:hanging="360"/>
      </w:pPr>
      <w:rPr>
        <w:rFonts w:hint="default"/>
        <w:b w:val="0"/>
        <w:strike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1326DB9"/>
    <w:multiLevelType w:val="hybridMultilevel"/>
    <w:tmpl w:val="5BCAC31A"/>
    <w:lvl w:ilvl="0" w:tplc="AE1ABDA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77A2D67"/>
    <w:multiLevelType w:val="hybridMultilevel"/>
    <w:tmpl w:val="29201E22"/>
    <w:lvl w:ilvl="0" w:tplc="E7740EA0">
      <w:start w:val="1"/>
      <w:numFmt w:val="lowerLetter"/>
      <w:lvlText w:val="%1)"/>
      <w:lvlJc w:val="left"/>
      <w:pPr>
        <w:ind w:left="72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FD70670"/>
    <w:multiLevelType w:val="hybridMultilevel"/>
    <w:tmpl w:val="BDF60842"/>
    <w:lvl w:ilvl="0" w:tplc="12BAEB0E">
      <w:start w:val="1"/>
      <w:numFmt w:val="lowerLetter"/>
      <w:lvlText w:val="%1."/>
      <w:lvlJc w:val="left"/>
      <w:pPr>
        <w:ind w:left="720" w:hanging="360"/>
      </w:pPr>
      <w:rPr>
        <w:i w:val="0"/>
        <w:iCs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39F602B"/>
    <w:multiLevelType w:val="hybridMultilevel"/>
    <w:tmpl w:val="597EB78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56C0E74"/>
    <w:multiLevelType w:val="hybridMultilevel"/>
    <w:tmpl w:val="9342F97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4FA5EEE"/>
    <w:multiLevelType w:val="hybridMultilevel"/>
    <w:tmpl w:val="0922A46E"/>
    <w:lvl w:ilvl="0" w:tplc="AAFE7410">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9" w15:restartNumberingAfterBreak="0">
    <w:nsid w:val="788D7C54"/>
    <w:multiLevelType w:val="hybridMultilevel"/>
    <w:tmpl w:val="DFFEB1EE"/>
    <w:lvl w:ilvl="0" w:tplc="14F41D7E">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98D6FAA"/>
    <w:multiLevelType w:val="hybridMultilevel"/>
    <w:tmpl w:val="18086EA8"/>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abstractNumId w:val="2"/>
  </w:num>
  <w:num w:numId="2">
    <w:abstractNumId w:val="7"/>
  </w:num>
  <w:num w:numId="3">
    <w:abstractNumId w:val="6"/>
  </w:num>
  <w:num w:numId="4">
    <w:abstractNumId w:val="9"/>
  </w:num>
  <w:num w:numId="5">
    <w:abstractNumId w:val="3"/>
  </w:num>
  <w:num w:numId="6">
    <w:abstractNumId w:val="4"/>
  </w:num>
  <w:num w:numId="7">
    <w:abstractNumId w:val="10"/>
  </w:num>
  <w:num w:numId="8">
    <w:abstractNumId w:val="5"/>
  </w:num>
  <w:num w:numId="9">
    <w:abstractNumId w:val="1"/>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51D"/>
    <w:rsid w:val="00054205"/>
    <w:rsid w:val="000674FE"/>
    <w:rsid w:val="00092FDE"/>
    <w:rsid w:val="000A33D3"/>
    <w:rsid w:val="00113566"/>
    <w:rsid w:val="001501EA"/>
    <w:rsid w:val="0016245A"/>
    <w:rsid w:val="00166788"/>
    <w:rsid w:val="001C445D"/>
    <w:rsid w:val="001C56D3"/>
    <w:rsid w:val="001E5773"/>
    <w:rsid w:val="002511D4"/>
    <w:rsid w:val="002B1AE4"/>
    <w:rsid w:val="00335A8E"/>
    <w:rsid w:val="00396D72"/>
    <w:rsid w:val="003D6C17"/>
    <w:rsid w:val="0040772B"/>
    <w:rsid w:val="00413534"/>
    <w:rsid w:val="00437452"/>
    <w:rsid w:val="004B6EE7"/>
    <w:rsid w:val="0050002A"/>
    <w:rsid w:val="005529C9"/>
    <w:rsid w:val="0067151D"/>
    <w:rsid w:val="00743D6B"/>
    <w:rsid w:val="0078026C"/>
    <w:rsid w:val="00790AF7"/>
    <w:rsid w:val="00814DB8"/>
    <w:rsid w:val="0085220F"/>
    <w:rsid w:val="008B473B"/>
    <w:rsid w:val="008E1D31"/>
    <w:rsid w:val="008E607F"/>
    <w:rsid w:val="008E624B"/>
    <w:rsid w:val="008F05AB"/>
    <w:rsid w:val="008F2F1F"/>
    <w:rsid w:val="008F5C44"/>
    <w:rsid w:val="009015CA"/>
    <w:rsid w:val="00A07DB3"/>
    <w:rsid w:val="00AA21A3"/>
    <w:rsid w:val="00AC6085"/>
    <w:rsid w:val="00AE45E9"/>
    <w:rsid w:val="00AE49C2"/>
    <w:rsid w:val="00B04980"/>
    <w:rsid w:val="00B94F03"/>
    <w:rsid w:val="00BD26FE"/>
    <w:rsid w:val="00BD2BB3"/>
    <w:rsid w:val="00BE5278"/>
    <w:rsid w:val="00C23A31"/>
    <w:rsid w:val="00CF720D"/>
    <w:rsid w:val="00D657F4"/>
    <w:rsid w:val="00D71D78"/>
    <w:rsid w:val="00D7675E"/>
    <w:rsid w:val="00DE78CA"/>
    <w:rsid w:val="00DF0C32"/>
    <w:rsid w:val="00E26CDC"/>
    <w:rsid w:val="00E92A9B"/>
    <w:rsid w:val="00F43F4A"/>
    <w:rsid w:val="00F57B30"/>
    <w:rsid w:val="00F774BA"/>
    <w:rsid w:val="00FD4EBC"/>
    <w:rsid w:val="00FE627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01E67"/>
  <w15:chartTrackingRefBased/>
  <w15:docId w15:val="{8604F7F3-4364-4E4E-B627-A087F06F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qFormat/>
    <w:rsid w:val="009015CA"/>
    <w:pPr>
      <w:keepNext/>
      <w:spacing w:before="240" w:after="60" w:line="240" w:lineRule="auto"/>
      <w:outlineLvl w:val="1"/>
    </w:pPr>
    <w:rPr>
      <w:rFonts w:ascii="Arial" w:eastAsia="Times New Roman" w:hAnsi="Arial" w:cs="Arial"/>
      <w:b/>
      <w:bCs/>
      <w:i/>
      <w:i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51D"/>
    <w:pPr>
      <w:spacing w:after="0" w:line="240" w:lineRule="auto"/>
      <w:ind w:left="720"/>
    </w:pPr>
    <w:rPr>
      <w:rFonts w:ascii="Arial Narrow" w:eastAsia="Times New Roman" w:hAnsi="Arial Narrow" w:cs="Times New Roman"/>
      <w:szCs w:val="24"/>
      <w:lang w:eastAsia="es-ES"/>
    </w:rPr>
  </w:style>
  <w:style w:type="table" w:styleId="Tablaconcuadrcula">
    <w:name w:val="Table Grid"/>
    <w:basedOn w:val="Tablanormal"/>
    <w:uiPriority w:val="59"/>
    <w:rsid w:val="00113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94F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4F03"/>
  </w:style>
  <w:style w:type="paragraph" w:styleId="Piedepgina">
    <w:name w:val="footer"/>
    <w:basedOn w:val="Normal"/>
    <w:link w:val="PiedepginaCar"/>
    <w:uiPriority w:val="99"/>
    <w:unhideWhenUsed/>
    <w:rsid w:val="00B94F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4F03"/>
  </w:style>
  <w:style w:type="paragraph" w:styleId="Textonotapie">
    <w:name w:val="footnote text"/>
    <w:basedOn w:val="Normal"/>
    <w:link w:val="TextonotapieCar"/>
    <w:semiHidden/>
    <w:rsid w:val="00B94F03"/>
    <w:pPr>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semiHidden/>
    <w:rsid w:val="00B94F03"/>
    <w:rPr>
      <w:rFonts w:ascii="Times New Roman" w:eastAsia="Times New Roman" w:hAnsi="Times New Roman" w:cs="Times New Roman"/>
      <w:sz w:val="20"/>
      <w:szCs w:val="20"/>
      <w:lang w:val="en-US"/>
    </w:rPr>
  </w:style>
  <w:style w:type="character" w:styleId="Refdenotaalpie">
    <w:name w:val="footnote reference"/>
    <w:semiHidden/>
    <w:rsid w:val="00B94F03"/>
    <w:rPr>
      <w:vertAlign w:val="superscript"/>
    </w:rPr>
  </w:style>
  <w:style w:type="character" w:customStyle="1" w:styleId="Ttulo2Car">
    <w:name w:val="Título 2 Car"/>
    <w:basedOn w:val="Fuentedeprrafopredeter"/>
    <w:link w:val="Ttulo2"/>
    <w:rsid w:val="009015CA"/>
    <w:rPr>
      <w:rFonts w:ascii="Arial" w:eastAsia="Times New Roman" w:hAnsi="Arial" w:cs="Arial"/>
      <w:b/>
      <w:bCs/>
      <w:i/>
      <w:iCs/>
      <w:sz w:val="28"/>
      <w:szCs w:val="28"/>
      <w:lang w:val="en-US"/>
    </w:rPr>
  </w:style>
  <w:style w:type="paragraph" w:styleId="Listaconnmeros">
    <w:name w:val="List Number"/>
    <w:basedOn w:val="Normal"/>
    <w:rsid w:val="009015CA"/>
    <w:pPr>
      <w:numPr>
        <w:numId w:val="10"/>
      </w:numPr>
      <w:spacing w:after="0" w:line="240" w:lineRule="auto"/>
    </w:pPr>
    <w:rPr>
      <w:rFonts w:ascii="Times New Roman" w:eastAsia="Times New Roman" w:hAnsi="Times New Roman" w:cs="Times New Roman"/>
      <w:sz w:val="24"/>
      <w:szCs w:val="24"/>
      <w:lang w:val="en-US"/>
    </w:rPr>
  </w:style>
  <w:style w:type="paragraph" w:styleId="Textonotaalfinal">
    <w:name w:val="endnote text"/>
    <w:basedOn w:val="Normal"/>
    <w:link w:val="TextonotaalfinalCar"/>
    <w:uiPriority w:val="99"/>
    <w:semiHidden/>
    <w:unhideWhenUsed/>
    <w:rsid w:val="00F57B3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57B30"/>
    <w:rPr>
      <w:sz w:val="20"/>
      <w:szCs w:val="20"/>
    </w:rPr>
  </w:style>
  <w:style w:type="character" w:styleId="Refdenotaalfinal">
    <w:name w:val="endnote reference"/>
    <w:basedOn w:val="Fuentedeprrafopredeter"/>
    <w:uiPriority w:val="99"/>
    <w:semiHidden/>
    <w:unhideWhenUsed/>
    <w:rsid w:val="00F57B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502266">
      <w:bodyDiv w:val="1"/>
      <w:marLeft w:val="0"/>
      <w:marRight w:val="0"/>
      <w:marTop w:val="0"/>
      <w:marBottom w:val="0"/>
      <w:divBdr>
        <w:top w:val="none" w:sz="0" w:space="0" w:color="auto"/>
        <w:left w:val="none" w:sz="0" w:space="0" w:color="auto"/>
        <w:bottom w:val="none" w:sz="0" w:space="0" w:color="auto"/>
        <w:right w:val="none" w:sz="0" w:space="0" w:color="auto"/>
      </w:divBdr>
    </w:div>
    <w:div w:id="78369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041F265-2324-4D61-8FD5-E2F7AFFCCD70}">
  <ds:schemaRefs>
    <ds:schemaRef ds:uri="http://schemas.microsoft.com/sharepoint/v3/contenttype/forms"/>
  </ds:schemaRefs>
</ds:datastoreItem>
</file>

<file path=customXml/itemProps2.xml><?xml version="1.0" encoding="utf-8"?>
<ds:datastoreItem xmlns:ds="http://schemas.openxmlformats.org/officeDocument/2006/customXml" ds:itemID="{87EC53C9-FA4B-4C4F-A25C-6E4809A9F136}">
  <ds:schemaRefs>
    <ds:schemaRef ds:uri="http://schemas.openxmlformats.org/officeDocument/2006/bibliography"/>
  </ds:schemaRefs>
</ds:datastoreItem>
</file>

<file path=customXml/itemProps3.xml><?xml version="1.0" encoding="utf-8"?>
<ds:datastoreItem xmlns:ds="http://schemas.openxmlformats.org/officeDocument/2006/customXml" ds:itemID="{5D9129D3-7A82-452D-92C2-A833C08972AE}"/>
</file>

<file path=customXml/itemProps4.xml><?xml version="1.0" encoding="utf-8"?>
<ds:datastoreItem xmlns:ds="http://schemas.openxmlformats.org/officeDocument/2006/customXml" ds:itemID="{32BCFDCD-AEEC-494D-A536-C1D5ED585B26}">
  <ds:schemaRefs>
    <ds:schemaRef ds:uri="http://schemas.microsoft.com/office/2006/metadata/properties"/>
    <ds:schemaRef ds:uri="315842a7-4cff-4ca6-8fb0-a6562d7ae952"/>
    <ds:schemaRef ds:uri="fc66ef79-2d66-4fa3-90bd-e4f186d8d36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2902</Words>
  <Characters>15965</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Acuerdo del Superintendente aprobado el 7 de marzo del 2018</vt:lpstr>
      <vt:lpstr>Acuerdo del Superintendente aprobado el 7 de marzo del 2018</vt:lpstr>
    </vt:vector>
  </TitlesOfParts>
  <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aprobado el 7 de marzo del 2018</dc:title>
  <dc:subject/>
  <dc:creator>FALLAS SANCHEZ MARIA GABRIELA</dc:creator>
  <cp:keywords/>
  <dc:description/>
  <cp:lastModifiedBy>TAN CHAN ISABEL MARIA</cp:lastModifiedBy>
  <cp:revision>2</cp:revision>
  <dcterms:created xsi:type="dcterms:W3CDTF">2022-08-31T22:17:00Z</dcterms:created>
  <dcterms:modified xsi:type="dcterms:W3CDTF">2022-08-31T22:17:00Z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leLeafRef">
    <vt:lpwstr>SGV-A-229.docx</vt:lpwstr>
  </property>
  <property fmtid="{D5CDD505-2E9C-101B-9397-08002B2CF9AE}" pid="4" name="Order">
    <vt:r8>1128700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