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ls" ContentType="application/vnd.ms-exce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CA2C9F" w14:textId="77777777" w:rsidR="00CE7ACA" w:rsidRPr="00D42851" w:rsidRDefault="00720D3A" w:rsidP="00720D3A">
      <w:pPr>
        <w:pStyle w:val="Numeracin"/>
        <w:numPr>
          <w:ilvl w:val="0"/>
          <w:numId w:val="0"/>
        </w:numPr>
        <w:spacing w:before="0"/>
        <w:ind w:right="-193"/>
        <w:rPr>
          <w:rFonts w:ascii="Arial" w:hAnsi="Arial" w:cs="Arial"/>
          <w:bCs/>
          <w:i/>
          <w:iCs/>
          <w:noProof/>
          <w:sz w:val="24"/>
          <w:lang w:val="es-ES_tradnl"/>
        </w:rPr>
      </w:pPr>
      <w:r w:rsidRPr="00D42851">
        <w:rPr>
          <w:rFonts w:ascii="Arial" w:hAnsi="Arial" w:cs="Arial"/>
          <w:b/>
          <w:bCs/>
          <w:iCs/>
          <w:noProof/>
          <w:lang w:val="es-ES_tradnl"/>
        </w:rPr>
        <w:t>SGV-A-231.</w:t>
      </w:r>
      <w:r w:rsidRPr="00D42851">
        <w:rPr>
          <w:rFonts w:ascii="Arial" w:hAnsi="Arial" w:cs="Arial"/>
          <w:bCs/>
          <w:iCs/>
          <w:noProof/>
          <w:lang w:val="es-ES_tradnl"/>
        </w:rPr>
        <w:t xml:space="preserve"> </w:t>
      </w:r>
      <w:r w:rsidRPr="00D42851">
        <w:rPr>
          <w:rFonts w:ascii="Arial" w:hAnsi="Arial" w:cs="Arial"/>
          <w:b/>
          <w:szCs w:val="22"/>
        </w:rPr>
        <w:t xml:space="preserve">MODIFICACIÓN AL ACUERDO SGV-A-75 “SUMINISTRO DE INFORMACIÓN PERIÓDICA” </w:t>
      </w:r>
      <w:r w:rsidRPr="00D42851">
        <w:rPr>
          <w:rFonts w:ascii="Arial" w:hAnsi="Arial" w:cs="Arial"/>
          <w:bCs/>
          <w:i/>
          <w:iCs/>
          <w:noProof/>
          <w:lang w:val="es-ES_tradnl"/>
        </w:rPr>
        <w:t xml:space="preserve"> </w:t>
      </w:r>
      <w:r w:rsidRPr="00D42851">
        <w:rPr>
          <w:rStyle w:val="FootnoteReference"/>
          <w:rFonts w:ascii="Arial" w:hAnsi="Arial" w:cs="Arial"/>
          <w:bCs/>
          <w:i/>
          <w:iCs/>
          <w:noProof/>
          <w:lang w:val="es-ES_tradnl"/>
        </w:rPr>
        <w:footnoteReference w:id="2"/>
      </w:r>
    </w:p>
    <w:p w14:paraId="47CA2CA0" w14:textId="77777777" w:rsidR="00CE7ACA" w:rsidRPr="00DB3BAA" w:rsidRDefault="00CE7ACA" w:rsidP="00CE7ACA">
      <w:pPr>
        <w:pStyle w:val="Numeracin"/>
        <w:numPr>
          <w:ilvl w:val="0"/>
          <w:numId w:val="0"/>
        </w:numPr>
        <w:spacing w:before="0"/>
        <w:ind w:right="-193"/>
        <w:rPr>
          <w:rFonts w:ascii="Arial" w:hAnsi="Arial" w:cs="Arial"/>
          <w:b/>
          <w:szCs w:val="22"/>
        </w:rPr>
      </w:pPr>
    </w:p>
    <w:p w14:paraId="47CA2CA1" w14:textId="77777777" w:rsidR="00CE7ACA" w:rsidRPr="00CE7ACA" w:rsidRDefault="00CE7ACA" w:rsidP="00084D3C">
      <w:pPr>
        <w:pStyle w:val="Numeracin"/>
        <w:numPr>
          <w:ilvl w:val="0"/>
          <w:numId w:val="0"/>
        </w:numPr>
        <w:spacing w:before="0"/>
        <w:ind w:right="-193"/>
        <w:rPr>
          <w:rFonts w:ascii="Arial" w:hAnsi="Arial" w:cs="Arial"/>
          <w:bCs/>
          <w:szCs w:val="22"/>
          <w:lang w:eastAsia="en-US"/>
        </w:rPr>
      </w:pPr>
    </w:p>
    <w:p w14:paraId="47CA2CA2" w14:textId="77777777" w:rsidR="00084D3C" w:rsidRPr="00720D3A" w:rsidRDefault="00084D3C" w:rsidP="00084D3C">
      <w:pPr>
        <w:pStyle w:val="Textodereglamento"/>
        <w:spacing w:before="0" w:line="276" w:lineRule="auto"/>
        <w:ind w:right="-193"/>
        <w:rPr>
          <w:rFonts w:ascii="Arial" w:hAnsi="Arial" w:cs="Arial"/>
          <w:b/>
          <w:bCs/>
          <w:szCs w:val="22"/>
          <w:lang w:val="es-CR"/>
        </w:rPr>
      </w:pPr>
      <w:r w:rsidRPr="00720D3A">
        <w:rPr>
          <w:rFonts w:ascii="Arial" w:hAnsi="Arial" w:cs="Arial"/>
          <w:b/>
          <w:bCs/>
          <w:szCs w:val="22"/>
          <w:lang w:val="es-CR"/>
        </w:rPr>
        <w:t>Considerando que:</w:t>
      </w:r>
    </w:p>
    <w:p w14:paraId="47CA2CA3" w14:textId="77777777" w:rsidR="00084D3C" w:rsidRPr="00720D3A" w:rsidRDefault="00084D3C" w:rsidP="00084D3C">
      <w:pPr>
        <w:pStyle w:val="Textodereglamento"/>
        <w:spacing w:before="0" w:line="276" w:lineRule="auto"/>
        <w:ind w:right="-193"/>
        <w:rPr>
          <w:rFonts w:ascii="Arial" w:hAnsi="Arial" w:cs="Arial"/>
          <w:b/>
          <w:bCs/>
          <w:szCs w:val="22"/>
          <w:lang w:val="es-CR"/>
        </w:rPr>
      </w:pPr>
    </w:p>
    <w:p w14:paraId="47CA2CA4" w14:textId="77777777" w:rsidR="00084D3C" w:rsidRPr="00720D3A" w:rsidRDefault="00084D3C" w:rsidP="00084D3C">
      <w:pPr>
        <w:pStyle w:val="Numeracin"/>
        <w:tabs>
          <w:tab w:val="left" w:pos="567"/>
        </w:tabs>
        <w:spacing w:before="0"/>
        <w:ind w:left="567" w:right="-193" w:hanging="567"/>
        <w:rPr>
          <w:rFonts w:ascii="Arial" w:hAnsi="Arial" w:cs="Arial"/>
          <w:szCs w:val="22"/>
        </w:rPr>
      </w:pPr>
      <w:r w:rsidRPr="00720D3A">
        <w:rPr>
          <w:rFonts w:ascii="Arial" w:hAnsi="Arial" w:cs="Arial"/>
          <w:szCs w:val="22"/>
          <w:lang w:val="es-CR"/>
        </w:rPr>
        <w:t xml:space="preserve">El </w:t>
      </w:r>
      <w:r w:rsidRPr="00720D3A">
        <w:rPr>
          <w:rFonts w:ascii="Arial" w:hAnsi="Arial" w:cs="Arial"/>
          <w:szCs w:val="22"/>
        </w:rPr>
        <w:t>Artículo 8 inciso l) de la Ley Reguladora del Mercado de Valores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w:t>
      </w:r>
    </w:p>
    <w:p w14:paraId="47CA2CA5" w14:textId="77777777" w:rsidR="00084D3C" w:rsidRPr="00720D3A" w:rsidRDefault="00084D3C" w:rsidP="00084D3C">
      <w:pPr>
        <w:pStyle w:val="Numeracin"/>
        <w:numPr>
          <w:ilvl w:val="0"/>
          <w:numId w:val="0"/>
        </w:numPr>
        <w:tabs>
          <w:tab w:val="left" w:pos="567"/>
        </w:tabs>
        <w:spacing w:before="0"/>
        <w:ind w:left="567" w:right="-193"/>
        <w:rPr>
          <w:rFonts w:ascii="Arial" w:hAnsi="Arial" w:cs="Arial"/>
          <w:szCs w:val="22"/>
        </w:rPr>
      </w:pPr>
    </w:p>
    <w:p w14:paraId="47CA2CA6" w14:textId="77777777" w:rsidR="00084D3C" w:rsidRPr="00720D3A" w:rsidRDefault="00084D3C" w:rsidP="00084D3C">
      <w:pPr>
        <w:pStyle w:val="Numeracin"/>
        <w:tabs>
          <w:tab w:val="left" w:pos="567"/>
        </w:tabs>
        <w:spacing w:before="0"/>
        <w:ind w:left="567" w:right="-193" w:hanging="567"/>
        <w:rPr>
          <w:rFonts w:ascii="Arial" w:hAnsi="Arial" w:cs="Arial"/>
          <w:szCs w:val="22"/>
        </w:rPr>
      </w:pPr>
      <w:r w:rsidRPr="00720D3A">
        <w:rPr>
          <w:rFonts w:ascii="Arial" w:hAnsi="Arial" w:cs="Arial"/>
          <w:szCs w:val="22"/>
        </w:rPr>
        <w:t>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w:t>
      </w:r>
    </w:p>
    <w:p w14:paraId="47CA2CA7" w14:textId="77777777" w:rsidR="00084D3C" w:rsidRPr="00720D3A" w:rsidRDefault="00084D3C" w:rsidP="00084D3C">
      <w:pPr>
        <w:pStyle w:val="Numeracin"/>
        <w:numPr>
          <w:ilvl w:val="0"/>
          <w:numId w:val="0"/>
        </w:numPr>
        <w:tabs>
          <w:tab w:val="left" w:pos="567"/>
        </w:tabs>
        <w:spacing w:before="0"/>
        <w:ind w:left="567" w:right="-193"/>
        <w:rPr>
          <w:rFonts w:ascii="Arial" w:hAnsi="Arial" w:cs="Arial"/>
          <w:szCs w:val="22"/>
        </w:rPr>
      </w:pPr>
    </w:p>
    <w:p w14:paraId="47CA2CA8" w14:textId="77777777" w:rsidR="00084D3C" w:rsidRPr="00720D3A" w:rsidRDefault="00084D3C" w:rsidP="00084D3C">
      <w:pPr>
        <w:pStyle w:val="Numeracin"/>
        <w:tabs>
          <w:tab w:val="left" w:pos="567"/>
        </w:tabs>
        <w:spacing w:before="0"/>
        <w:ind w:left="567" w:right="-193" w:hanging="567"/>
        <w:rPr>
          <w:rFonts w:ascii="Arial" w:hAnsi="Arial" w:cs="Arial"/>
          <w:szCs w:val="22"/>
        </w:rPr>
      </w:pPr>
      <w:r w:rsidRPr="00720D3A">
        <w:rPr>
          <w:rFonts w:ascii="Arial" w:hAnsi="Arial" w:cs="Arial"/>
          <w:szCs w:val="22"/>
        </w:rPr>
        <w:t>Este reglamento confiere al Superintendente la potestad para definir el contenido, la periodicidad y los medios de suministro de la información periódica que debe remitirse a la Superintendencia General de Valores, por lo que emitió el SGV-A-75, Acuerdo sobre el Suministro de Información Periódica con fecha 24 de abril del 2003, y se ha retomado durante los últimos años para actualizar los deberes de información de las entidades.</w:t>
      </w:r>
    </w:p>
    <w:p w14:paraId="47CA2CA9" w14:textId="77777777" w:rsidR="00133FE4" w:rsidRPr="00720D3A" w:rsidRDefault="00133FE4" w:rsidP="00133FE4">
      <w:pPr>
        <w:pStyle w:val="Numeracin"/>
        <w:numPr>
          <w:ilvl w:val="0"/>
          <w:numId w:val="0"/>
        </w:numPr>
        <w:tabs>
          <w:tab w:val="left" w:pos="567"/>
        </w:tabs>
        <w:spacing w:before="0"/>
        <w:ind w:left="567" w:right="-193"/>
        <w:rPr>
          <w:rFonts w:ascii="Arial" w:hAnsi="Arial" w:cs="Arial"/>
          <w:szCs w:val="22"/>
        </w:rPr>
      </w:pPr>
    </w:p>
    <w:p w14:paraId="47CA2CAA" w14:textId="77777777" w:rsidR="004527CA" w:rsidRPr="00720D3A" w:rsidRDefault="00100EDE" w:rsidP="004527CA">
      <w:pPr>
        <w:pStyle w:val="Numeracin"/>
        <w:tabs>
          <w:tab w:val="left" w:pos="567"/>
        </w:tabs>
        <w:spacing w:before="0"/>
        <w:ind w:left="567" w:right="-193" w:hanging="567"/>
        <w:rPr>
          <w:rFonts w:ascii="Arial" w:hAnsi="Arial" w:cs="Arial"/>
          <w:szCs w:val="22"/>
        </w:rPr>
      </w:pPr>
      <w:r w:rsidRPr="00720D3A">
        <w:rPr>
          <w:rFonts w:ascii="Arial" w:hAnsi="Arial" w:cs="Arial"/>
          <w:szCs w:val="22"/>
        </w:rPr>
        <w:t>El Consejo Nacional de Supervisión del Sistema Financiero en los  artículos 6 y 8 del acta de</w:t>
      </w:r>
      <w:r w:rsidR="00133FE4" w:rsidRPr="00720D3A">
        <w:rPr>
          <w:rFonts w:ascii="Arial" w:hAnsi="Arial" w:cs="Arial"/>
          <w:szCs w:val="22"/>
        </w:rPr>
        <w:t xml:space="preserve"> las sesiones 1389-2018 y 1390-201</w:t>
      </w:r>
      <w:r w:rsidRPr="00720D3A">
        <w:rPr>
          <w:rFonts w:ascii="Arial" w:hAnsi="Arial" w:cs="Arial"/>
          <w:szCs w:val="22"/>
        </w:rPr>
        <w:t>8, celebradas el 23 de enero del 2018 autorizó</w:t>
      </w:r>
      <w:r w:rsidR="00133FE4" w:rsidRPr="00720D3A">
        <w:rPr>
          <w:rFonts w:ascii="Arial" w:hAnsi="Arial" w:cs="Arial"/>
          <w:szCs w:val="22"/>
        </w:rPr>
        <w:t xml:space="preserve"> la remisión en consulta </w:t>
      </w:r>
      <w:r w:rsidRPr="00720D3A">
        <w:rPr>
          <w:rFonts w:ascii="Arial" w:hAnsi="Arial" w:cs="Arial"/>
          <w:szCs w:val="22"/>
        </w:rPr>
        <w:t xml:space="preserve"> </w:t>
      </w:r>
      <w:r w:rsidR="00133FE4" w:rsidRPr="00720D3A">
        <w:rPr>
          <w:rFonts w:ascii="Arial" w:hAnsi="Arial" w:cs="Arial"/>
          <w:szCs w:val="22"/>
        </w:rPr>
        <w:t>d</w:t>
      </w:r>
      <w:r w:rsidRPr="00720D3A">
        <w:rPr>
          <w:rFonts w:ascii="Arial" w:hAnsi="Arial" w:cs="Arial"/>
          <w:szCs w:val="22"/>
        </w:rPr>
        <w:t>el Reglam</w:t>
      </w:r>
      <w:r w:rsidR="00AD65D9" w:rsidRPr="00720D3A">
        <w:rPr>
          <w:rFonts w:ascii="Arial" w:hAnsi="Arial" w:cs="Arial"/>
          <w:szCs w:val="22"/>
        </w:rPr>
        <w:t xml:space="preserve">ento de Información Financiera, </w:t>
      </w:r>
      <w:r w:rsidR="00133FE4" w:rsidRPr="00720D3A">
        <w:rPr>
          <w:rFonts w:ascii="Arial" w:hAnsi="Arial" w:cs="Arial"/>
          <w:szCs w:val="22"/>
        </w:rPr>
        <w:t xml:space="preserve">mediante el cual se </w:t>
      </w:r>
      <w:r w:rsidR="00E12B84" w:rsidRPr="00720D3A">
        <w:rPr>
          <w:rFonts w:ascii="Arial" w:hAnsi="Arial" w:cs="Arial"/>
          <w:szCs w:val="22"/>
        </w:rPr>
        <w:t xml:space="preserve">adopta para la presentación de información financiera de las entidades del sistema financiero una versión más actualizada de las Normas Internacionales de Información Financiera y </w:t>
      </w:r>
      <w:r w:rsidR="00A66667" w:rsidRPr="00720D3A">
        <w:rPr>
          <w:rFonts w:ascii="Arial" w:hAnsi="Arial" w:cs="Arial"/>
          <w:szCs w:val="22"/>
        </w:rPr>
        <w:t xml:space="preserve">se </w:t>
      </w:r>
      <w:r w:rsidR="00E12B84" w:rsidRPr="00720D3A">
        <w:rPr>
          <w:rFonts w:ascii="Arial" w:hAnsi="Arial" w:cs="Arial"/>
          <w:szCs w:val="22"/>
        </w:rPr>
        <w:t>simplifica</w:t>
      </w:r>
      <w:r w:rsidR="00133FE4" w:rsidRPr="00720D3A">
        <w:rPr>
          <w:rFonts w:ascii="Arial" w:hAnsi="Arial" w:cs="Arial"/>
          <w:szCs w:val="22"/>
        </w:rPr>
        <w:t xml:space="preserve"> y adecuan los catálogos contables del servicio de custodia, </w:t>
      </w:r>
      <w:r w:rsidR="001619B2" w:rsidRPr="00720D3A">
        <w:rPr>
          <w:rFonts w:ascii="Arial" w:hAnsi="Arial" w:cs="Arial"/>
          <w:szCs w:val="22"/>
        </w:rPr>
        <w:t xml:space="preserve">con el fin de fortalecer los procesos de supervisión y proveer de mecanismos robustos en materia de control interno que coadyuven en la mitigación del riesgo inherente en el servicio de custodia, que a la vez se enlacen con el nuevo enfoque de reporte del servicio y permitan la identificación de las operaciones, específicamente si se trata de renovación </w:t>
      </w:r>
      <w:r w:rsidR="00854A17" w:rsidRPr="00720D3A">
        <w:rPr>
          <w:rFonts w:ascii="Arial" w:hAnsi="Arial" w:cs="Arial"/>
          <w:szCs w:val="22"/>
        </w:rPr>
        <w:t>o</w:t>
      </w:r>
      <w:r w:rsidR="001619B2" w:rsidRPr="00720D3A">
        <w:rPr>
          <w:rFonts w:ascii="Arial" w:hAnsi="Arial" w:cs="Arial"/>
          <w:szCs w:val="22"/>
        </w:rPr>
        <w:t xml:space="preserve"> nueva constitución</w:t>
      </w:r>
      <w:r w:rsidR="00854A17" w:rsidRPr="00720D3A">
        <w:rPr>
          <w:rFonts w:ascii="Arial" w:hAnsi="Arial" w:cs="Arial"/>
          <w:szCs w:val="22"/>
        </w:rPr>
        <w:t xml:space="preserve"> de operaciones</w:t>
      </w:r>
      <w:r w:rsidR="001619B2" w:rsidRPr="00720D3A">
        <w:rPr>
          <w:rFonts w:ascii="Arial" w:hAnsi="Arial" w:cs="Arial"/>
          <w:szCs w:val="22"/>
        </w:rPr>
        <w:t>, se requiere incorporar cuentas, subcuentas  y cuentas analíticas que permitan revelar la situación real de un valor custodiado y reflejar la separación de cuentas de orden por cuenta propia y por cuenta de terceros</w:t>
      </w:r>
      <w:r w:rsidR="00133FE4" w:rsidRPr="00720D3A">
        <w:rPr>
          <w:rFonts w:ascii="Arial" w:hAnsi="Arial" w:cs="Arial"/>
          <w:szCs w:val="22"/>
        </w:rPr>
        <w:t xml:space="preserve">. Dado lo anterior, </w:t>
      </w:r>
      <w:r w:rsidR="00854A17" w:rsidRPr="00720D3A">
        <w:rPr>
          <w:rFonts w:ascii="Arial" w:hAnsi="Arial" w:cs="Arial"/>
          <w:szCs w:val="22"/>
        </w:rPr>
        <w:t xml:space="preserve">se considera oportuno </w:t>
      </w:r>
      <w:r w:rsidR="00A66667" w:rsidRPr="00720D3A">
        <w:rPr>
          <w:rFonts w:ascii="Arial" w:hAnsi="Arial" w:cs="Arial"/>
          <w:szCs w:val="22"/>
        </w:rPr>
        <w:t>reducir</w:t>
      </w:r>
      <w:r w:rsidR="00854A17" w:rsidRPr="00720D3A">
        <w:rPr>
          <w:rFonts w:ascii="Arial" w:hAnsi="Arial" w:cs="Arial"/>
          <w:szCs w:val="22"/>
        </w:rPr>
        <w:t xml:space="preserve"> y adecuar</w:t>
      </w:r>
      <w:r w:rsidR="00AD65D9" w:rsidRPr="00720D3A">
        <w:rPr>
          <w:rFonts w:ascii="Arial" w:hAnsi="Arial" w:cs="Arial"/>
          <w:szCs w:val="22"/>
        </w:rPr>
        <w:t xml:space="preserve"> integralmente el Reporte de Auxiliar de Custodia </w:t>
      </w:r>
      <w:r w:rsidR="0032386A" w:rsidRPr="00720D3A">
        <w:rPr>
          <w:rFonts w:ascii="Arial" w:hAnsi="Arial" w:cs="Arial"/>
          <w:szCs w:val="22"/>
        </w:rPr>
        <w:t xml:space="preserve">(anexo 45) </w:t>
      </w:r>
      <w:r w:rsidR="00AD65D9" w:rsidRPr="00720D3A">
        <w:rPr>
          <w:rFonts w:ascii="Arial" w:hAnsi="Arial" w:cs="Arial"/>
          <w:szCs w:val="22"/>
        </w:rPr>
        <w:t xml:space="preserve">con el objetivo de obtener información </w:t>
      </w:r>
      <w:r w:rsidR="003565C8" w:rsidRPr="00720D3A">
        <w:rPr>
          <w:rFonts w:ascii="Arial" w:hAnsi="Arial" w:cs="Arial"/>
          <w:szCs w:val="22"/>
        </w:rPr>
        <w:t xml:space="preserve">clasificada de acuerdo con </w:t>
      </w:r>
      <w:r w:rsidR="007D394A" w:rsidRPr="00720D3A">
        <w:rPr>
          <w:rFonts w:ascii="Arial" w:hAnsi="Arial" w:cs="Arial"/>
          <w:szCs w:val="22"/>
        </w:rPr>
        <w:t>las prácticas actuales de anotación en cuenta, para mitigar</w:t>
      </w:r>
      <w:r w:rsidR="00E75211" w:rsidRPr="00720D3A">
        <w:rPr>
          <w:rFonts w:ascii="Arial" w:hAnsi="Arial" w:cs="Arial"/>
          <w:szCs w:val="22"/>
        </w:rPr>
        <w:t xml:space="preserve"> el riesgo operativo en los registros contables y en el contenido del anexo</w:t>
      </w:r>
      <w:r w:rsidR="00AD65D9" w:rsidRPr="00720D3A">
        <w:rPr>
          <w:rFonts w:ascii="Arial" w:hAnsi="Arial" w:cs="Arial"/>
          <w:szCs w:val="22"/>
        </w:rPr>
        <w:t>.</w:t>
      </w:r>
      <w:r w:rsidR="00E12B84" w:rsidRPr="00720D3A">
        <w:rPr>
          <w:rFonts w:ascii="Arial" w:hAnsi="Arial" w:cs="Arial"/>
          <w:szCs w:val="22"/>
        </w:rPr>
        <w:t xml:space="preserve"> </w:t>
      </w:r>
    </w:p>
    <w:p w14:paraId="47CA2CAB" w14:textId="77777777" w:rsidR="004527CA" w:rsidRPr="00720D3A" w:rsidRDefault="004527CA" w:rsidP="004527CA">
      <w:pPr>
        <w:pStyle w:val="Numeracin"/>
        <w:numPr>
          <w:ilvl w:val="0"/>
          <w:numId w:val="0"/>
        </w:numPr>
        <w:tabs>
          <w:tab w:val="left" w:pos="567"/>
        </w:tabs>
        <w:spacing w:before="0"/>
        <w:ind w:left="567" w:right="-193"/>
        <w:rPr>
          <w:rFonts w:ascii="Arial" w:hAnsi="Arial" w:cs="Arial"/>
          <w:szCs w:val="22"/>
        </w:rPr>
      </w:pPr>
    </w:p>
    <w:p w14:paraId="47CA2CAC" w14:textId="77777777" w:rsidR="00D7596F" w:rsidRPr="00720D3A" w:rsidRDefault="004527CA" w:rsidP="004527CA">
      <w:pPr>
        <w:pStyle w:val="Numeracin"/>
        <w:tabs>
          <w:tab w:val="left" w:pos="567"/>
        </w:tabs>
        <w:spacing w:before="0"/>
        <w:ind w:left="567" w:right="-193" w:hanging="567"/>
        <w:rPr>
          <w:rFonts w:ascii="Arial" w:hAnsi="Arial" w:cs="Arial"/>
          <w:szCs w:val="22"/>
        </w:rPr>
      </w:pPr>
      <w:r w:rsidRPr="00720D3A">
        <w:rPr>
          <w:rFonts w:ascii="Arial" w:hAnsi="Arial" w:cs="Arial"/>
          <w:szCs w:val="22"/>
        </w:rPr>
        <w:t xml:space="preserve">El Consejo Nacional de Supervisión del Sistema Financiero en el artículo 6 de las actas de las sesiones 1409-2018 y 1410-2018, celebradas el 10 de abril de 2018, resolvió trasladar para enero de 2020 la entrada en vigencia del proyecto Reglamento de Información Financiera, lo que permitiría la buena marcha y ordenada implementación de la reforma, brindando mayor espacio para ejecutar los ajustes tecnológicos y para que las entidades valoraran los posibles impactos </w:t>
      </w:r>
      <w:r w:rsidRPr="00720D3A">
        <w:rPr>
          <w:rFonts w:ascii="Arial" w:hAnsi="Arial" w:cs="Arial"/>
          <w:szCs w:val="22"/>
        </w:rPr>
        <w:lastRenderedPageBreak/>
        <w:t>en sus indicadores prudenciales, de manera que los respectivos órganos de dirección oportunamente tomaran las decisiones requeridas. Excepcionalmente, se propone la adopción anticipada del grupo de cuentas del servicio de custodia (cuentas de orden 850-870), la cuales son necesarias para la puesta en marcha del Anexo 45 que forma parte del SGV-A-75.</w:t>
      </w:r>
    </w:p>
    <w:p w14:paraId="47CA2CAD" w14:textId="77777777" w:rsidR="00D7596F" w:rsidRPr="00720D3A" w:rsidRDefault="00D7596F" w:rsidP="00D7596F">
      <w:pPr>
        <w:pStyle w:val="Numeracin"/>
        <w:numPr>
          <w:ilvl w:val="0"/>
          <w:numId w:val="0"/>
        </w:numPr>
        <w:tabs>
          <w:tab w:val="left" w:pos="567"/>
        </w:tabs>
        <w:spacing w:before="0"/>
        <w:ind w:left="567" w:right="-193"/>
        <w:rPr>
          <w:rFonts w:ascii="Arial" w:hAnsi="Arial" w:cs="Arial"/>
          <w:szCs w:val="22"/>
        </w:rPr>
      </w:pPr>
    </w:p>
    <w:p w14:paraId="47CA2CAE" w14:textId="77777777" w:rsidR="00126EC3" w:rsidRPr="00720D3A" w:rsidRDefault="00F461AC" w:rsidP="00F461AC">
      <w:pPr>
        <w:pStyle w:val="Numeracin"/>
        <w:tabs>
          <w:tab w:val="left" w:pos="567"/>
        </w:tabs>
        <w:spacing w:before="0"/>
        <w:ind w:left="567" w:right="-193" w:hanging="567"/>
        <w:rPr>
          <w:rFonts w:ascii="Arial" w:hAnsi="Arial" w:cs="Arial"/>
          <w:szCs w:val="22"/>
        </w:rPr>
      </w:pPr>
      <w:r w:rsidRPr="00720D3A">
        <w:rPr>
          <w:rFonts w:ascii="Arial" w:hAnsi="Arial" w:cs="Arial"/>
          <w:szCs w:val="22"/>
        </w:rPr>
        <w:t>S</w:t>
      </w:r>
      <w:r w:rsidR="00D25823" w:rsidRPr="00720D3A">
        <w:rPr>
          <w:rFonts w:ascii="Arial" w:hAnsi="Arial" w:cs="Arial"/>
          <w:szCs w:val="22"/>
        </w:rPr>
        <w:t xml:space="preserve">e </w:t>
      </w:r>
      <w:r w:rsidRPr="00720D3A">
        <w:rPr>
          <w:rFonts w:ascii="Arial" w:hAnsi="Arial" w:cs="Arial"/>
          <w:szCs w:val="22"/>
        </w:rPr>
        <w:t>requiere de la actualización de los catálogos de cuentas específicos para los fondos de inversión (anexos 13 y 15) para alinear los requerimientos de presentación regulatorios a lo que disponen las Normas Internacionales de Información Financiera vigentes, lo cual permitirá que la revelación de la información financiera y resultado de operaciones de la industria de fondos de inversión se acerque a la base contable de aplicación en el país,  y minimiza posibles inconsistencias que pueden surgir entre la información que publican las sociedades administradoras y la que se remite al órgano regulador.</w:t>
      </w:r>
    </w:p>
    <w:p w14:paraId="47CA2CAF" w14:textId="77777777" w:rsidR="00646C87" w:rsidRPr="00720D3A" w:rsidRDefault="00646C87" w:rsidP="00646C87">
      <w:pPr>
        <w:pStyle w:val="Numeracin"/>
        <w:numPr>
          <w:ilvl w:val="0"/>
          <w:numId w:val="0"/>
        </w:numPr>
        <w:tabs>
          <w:tab w:val="left" w:pos="567"/>
        </w:tabs>
        <w:spacing w:before="0"/>
        <w:ind w:left="567" w:right="-193"/>
        <w:rPr>
          <w:rFonts w:ascii="Arial" w:hAnsi="Arial" w:cs="Arial"/>
          <w:szCs w:val="22"/>
        </w:rPr>
      </w:pPr>
    </w:p>
    <w:p w14:paraId="47CA2CB0" w14:textId="77777777" w:rsidR="00C32C1D" w:rsidRPr="00720D3A" w:rsidRDefault="00021E1F" w:rsidP="00133FE4">
      <w:pPr>
        <w:pStyle w:val="Numeracin"/>
        <w:tabs>
          <w:tab w:val="left" w:pos="567"/>
        </w:tabs>
        <w:spacing w:before="0"/>
        <w:ind w:left="567" w:right="-193" w:hanging="567"/>
        <w:rPr>
          <w:rFonts w:ascii="Arial" w:hAnsi="Arial" w:cs="Arial"/>
          <w:szCs w:val="22"/>
        </w:rPr>
      </w:pPr>
      <w:r w:rsidRPr="00720D3A">
        <w:rPr>
          <w:rFonts w:ascii="Arial" w:hAnsi="Arial" w:cs="Arial"/>
          <w:szCs w:val="22"/>
        </w:rPr>
        <w:t>E</w:t>
      </w:r>
      <w:r w:rsidR="00133FE4" w:rsidRPr="00720D3A">
        <w:rPr>
          <w:rFonts w:ascii="Arial" w:hAnsi="Arial" w:cs="Arial"/>
          <w:szCs w:val="22"/>
        </w:rPr>
        <w:t xml:space="preserve">n el caso de las Sociedades Calificadoras de Riesgos y los Proveedores de Precios, se hace necesario </w:t>
      </w:r>
      <w:r w:rsidR="000967A6" w:rsidRPr="00720D3A">
        <w:rPr>
          <w:rFonts w:ascii="Arial" w:hAnsi="Arial" w:cs="Arial"/>
          <w:szCs w:val="22"/>
        </w:rPr>
        <w:t>extender</w:t>
      </w:r>
      <w:r w:rsidR="00133FE4" w:rsidRPr="00720D3A">
        <w:rPr>
          <w:rFonts w:ascii="Arial" w:hAnsi="Arial" w:cs="Arial"/>
          <w:szCs w:val="22"/>
        </w:rPr>
        <w:t xml:space="preserve"> la periodicidad de envío de sus estados financieros de trimestral a mensual, </w:t>
      </w:r>
      <w:r w:rsidR="00C32C1D" w:rsidRPr="00720D3A">
        <w:rPr>
          <w:rFonts w:ascii="Arial" w:hAnsi="Arial" w:cs="Arial"/>
          <w:szCs w:val="22"/>
        </w:rPr>
        <w:t xml:space="preserve">con el propósito de </w:t>
      </w:r>
      <w:r w:rsidR="00133FE4" w:rsidRPr="00720D3A">
        <w:rPr>
          <w:rFonts w:ascii="Arial" w:hAnsi="Arial" w:cs="Arial"/>
          <w:szCs w:val="22"/>
        </w:rPr>
        <w:t xml:space="preserve">facilitar el esquema de </w:t>
      </w:r>
      <w:r w:rsidR="00C32C1D" w:rsidRPr="00720D3A">
        <w:rPr>
          <w:rFonts w:ascii="Arial" w:hAnsi="Arial" w:cs="Arial"/>
          <w:szCs w:val="22"/>
        </w:rPr>
        <w:t>cobro regulados</w:t>
      </w:r>
      <w:r w:rsidR="00133FE4" w:rsidRPr="00720D3A">
        <w:rPr>
          <w:rFonts w:ascii="Arial" w:hAnsi="Arial" w:cs="Arial"/>
          <w:szCs w:val="22"/>
        </w:rPr>
        <w:t xml:space="preserve"> previsto en el “Reglamento para regular la participación de los sujetos fiscalizados en el financiamiento del presupuesto de las superintendencias” y minimizar los riesgos operativos</w:t>
      </w:r>
      <w:r w:rsidR="00665D2B" w:rsidRPr="00720D3A">
        <w:rPr>
          <w:rFonts w:ascii="Arial" w:hAnsi="Arial" w:cs="Arial"/>
          <w:szCs w:val="22"/>
        </w:rPr>
        <w:t>, pasando de captura de información manual a automatizada</w:t>
      </w:r>
      <w:r w:rsidR="00133FE4" w:rsidRPr="00720D3A">
        <w:rPr>
          <w:rFonts w:ascii="Arial" w:hAnsi="Arial" w:cs="Arial"/>
          <w:szCs w:val="22"/>
        </w:rPr>
        <w:t>.</w:t>
      </w:r>
    </w:p>
    <w:p w14:paraId="47CA2CB1" w14:textId="77777777" w:rsidR="00985AB8" w:rsidRPr="00720D3A" w:rsidRDefault="00985AB8" w:rsidP="00985AB8">
      <w:pPr>
        <w:pStyle w:val="Numeracin"/>
        <w:numPr>
          <w:ilvl w:val="0"/>
          <w:numId w:val="0"/>
        </w:numPr>
        <w:tabs>
          <w:tab w:val="left" w:pos="567"/>
        </w:tabs>
        <w:spacing w:before="0"/>
        <w:ind w:left="567" w:right="-193"/>
        <w:rPr>
          <w:rFonts w:ascii="Arial" w:hAnsi="Arial" w:cs="Arial"/>
          <w:szCs w:val="22"/>
        </w:rPr>
      </w:pPr>
    </w:p>
    <w:p w14:paraId="47CA2CB2" w14:textId="77777777" w:rsidR="00646C87" w:rsidRPr="00720D3A" w:rsidRDefault="00646C87" w:rsidP="00985AB8">
      <w:pPr>
        <w:pStyle w:val="Numeracin"/>
        <w:tabs>
          <w:tab w:val="left" w:pos="567"/>
        </w:tabs>
        <w:spacing w:before="0"/>
        <w:ind w:left="567" w:right="-193" w:hanging="567"/>
        <w:rPr>
          <w:rFonts w:ascii="Arial" w:hAnsi="Arial" w:cs="Arial"/>
          <w:szCs w:val="22"/>
        </w:rPr>
      </w:pPr>
      <w:r w:rsidRPr="00720D3A">
        <w:rPr>
          <w:rFonts w:ascii="Arial" w:hAnsi="Arial" w:cs="Arial"/>
          <w:szCs w:val="22"/>
        </w:rPr>
        <w:t>La presente reforma al Acuerdo fue sometida a consulta de conformidad con el Artículo 361 de la Ley General de Administración Pública.</w:t>
      </w:r>
    </w:p>
    <w:p w14:paraId="47CA2CB3" w14:textId="77777777" w:rsidR="00084D3C" w:rsidRPr="00720D3A" w:rsidRDefault="00084D3C" w:rsidP="00084D3C">
      <w:pPr>
        <w:pStyle w:val="Numeracin"/>
        <w:numPr>
          <w:ilvl w:val="0"/>
          <w:numId w:val="0"/>
        </w:numPr>
        <w:tabs>
          <w:tab w:val="left" w:pos="567"/>
        </w:tabs>
        <w:spacing w:before="0"/>
        <w:ind w:left="360" w:right="-193" w:hanging="360"/>
        <w:rPr>
          <w:rFonts w:ascii="Arial" w:hAnsi="Arial" w:cs="Arial"/>
          <w:szCs w:val="22"/>
        </w:rPr>
      </w:pPr>
    </w:p>
    <w:p w14:paraId="47CA2CB4" w14:textId="77777777" w:rsidR="00084D3C" w:rsidRPr="00720D3A" w:rsidRDefault="00084D3C" w:rsidP="00084D3C">
      <w:pPr>
        <w:pStyle w:val="Numeracin"/>
        <w:numPr>
          <w:ilvl w:val="0"/>
          <w:numId w:val="0"/>
        </w:numPr>
        <w:tabs>
          <w:tab w:val="left" w:pos="567"/>
        </w:tabs>
        <w:spacing w:before="0"/>
        <w:ind w:left="567" w:right="-193"/>
        <w:rPr>
          <w:rFonts w:ascii="Arial" w:hAnsi="Arial" w:cs="Arial"/>
          <w:szCs w:val="22"/>
        </w:rPr>
      </w:pPr>
    </w:p>
    <w:p w14:paraId="47CA2CB5" w14:textId="77777777" w:rsidR="00084D3C" w:rsidRPr="00720D3A" w:rsidRDefault="00084D3C" w:rsidP="00084D3C">
      <w:pPr>
        <w:pStyle w:val="Numeracin"/>
        <w:numPr>
          <w:ilvl w:val="0"/>
          <w:numId w:val="0"/>
        </w:numPr>
        <w:tabs>
          <w:tab w:val="left" w:pos="567"/>
        </w:tabs>
        <w:spacing w:before="0"/>
        <w:ind w:right="-193"/>
        <w:rPr>
          <w:rFonts w:ascii="Arial" w:hAnsi="Arial" w:cs="Arial"/>
          <w:b/>
          <w:szCs w:val="22"/>
        </w:rPr>
      </w:pPr>
    </w:p>
    <w:p w14:paraId="47CA2CB6" w14:textId="77777777" w:rsidR="00084D3C" w:rsidRPr="00720D3A" w:rsidRDefault="00084D3C" w:rsidP="00084D3C">
      <w:pPr>
        <w:pStyle w:val="Numeracin"/>
        <w:numPr>
          <w:ilvl w:val="0"/>
          <w:numId w:val="0"/>
        </w:numPr>
        <w:tabs>
          <w:tab w:val="left" w:pos="567"/>
        </w:tabs>
        <w:spacing w:before="0"/>
        <w:ind w:right="-193"/>
        <w:rPr>
          <w:rFonts w:ascii="Arial" w:hAnsi="Arial" w:cs="Arial"/>
          <w:b/>
          <w:szCs w:val="22"/>
        </w:rPr>
      </w:pPr>
      <w:r w:rsidRPr="00720D3A">
        <w:rPr>
          <w:rFonts w:ascii="Arial" w:hAnsi="Arial" w:cs="Arial"/>
          <w:b/>
          <w:szCs w:val="22"/>
        </w:rPr>
        <w:t>Por tanto dispone el presente acuerdo:</w:t>
      </w:r>
    </w:p>
    <w:p w14:paraId="47CA2CB7" w14:textId="77777777" w:rsidR="00084D3C" w:rsidRPr="00720D3A" w:rsidRDefault="00084D3C" w:rsidP="00084D3C">
      <w:pPr>
        <w:pStyle w:val="Numeracin"/>
        <w:numPr>
          <w:ilvl w:val="0"/>
          <w:numId w:val="0"/>
        </w:numPr>
        <w:tabs>
          <w:tab w:val="left" w:pos="567"/>
        </w:tabs>
        <w:spacing w:before="0"/>
        <w:ind w:right="-193"/>
        <w:rPr>
          <w:rFonts w:ascii="Arial" w:hAnsi="Arial" w:cs="Arial"/>
          <w:b/>
          <w:szCs w:val="22"/>
        </w:rPr>
      </w:pPr>
    </w:p>
    <w:p w14:paraId="47CA2CB8" w14:textId="77777777" w:rsidR="00084D3C" w:rsidRPr="00720D3A" w:rsidRDefault="00372FD5" w:rsidP="00084D3C">
      <w:pPr>
        <w:pStyle w:val="Numeracin"/>
        <w:numPr>
          <w:ilvl w:val="0"/>
          <w:numId w:val="0"/>
        </w:numPr>
        <w:spacing w:before="0"/>
        <w:ind w:right="-193"/>
        <w:jc w:val="center"/>
        <w:rPr>
          <w:rFonts w:ascii="Arial" w:hAnsi="Arial" w:cs="Arial"/>
          <w:b/>
          <w:szCs w:val="22"/>
        </w:rPr>
      </w:pPr>
      <w:r w:rsidRPr="00720D3A">
        <w:rPr>
          <w:rFonts w:ascii="Arial" w:hAnsi="Arial" w:cs="Arial"/>
          <w:b/>
          <w:szCs w:val="22"/>
        </w:rPr>
        <w:t>SGV-A-</w:t>
      </w:r>
      <w:r w:rsidR="002E0E1C" w:rsidRPr="00720D3A">
        <w:rPr>
          <w:rFonts w:ascii="Arial" w:hAnsi="Arial" w:cs="Arial"/>
          <w:b/>
          <w:szCs w:val="22"/>
        </w:rPr>
        <w:t>231</w:t>
      </w:r>
      <w:r w:rsidRPr="00720D3A">
        <w:rPr>
          <w:rFonts w:ascii="Arial" w:hAnsi="Arial" w:cs="Arial"/>
          <w:b/>
          <w:szCs w:val="22"/>
        </w:rPr>
        <w:t>.  MODIFICACIÓN AL ACUERDO SGV-A-75 “SUMINISTRO DE INFORMACIÓN PERIÓDICA”</w:t>
      </w:r>
    </w:p>
    <w:p w14:paraId="47CA2CB9" w14:textId="77777777" w:rsidR="008A3E90" w:rsidRPr="00720D3A" w:rsidRDefault="008A3E90" w:rsidP="00084D3C">
      <w:pPr>
        <w:pStyle w:val="Numeracin"/>
        <w:numPr>
          <w:ilvl w:val="0"/>
          <w:numId w:val="0"/>
        </w:numPr>
        <w:spacing w:before="0"/>
        <w:ind w:right="-193"/>
        <w:rPr>
          <w:rFonts w:ascii="Arial" w:eastAsia="Arial Unicode MS" w:hAnsi="Arial" w:cs="Arial"/>
          <w:b/>
          <w:szCs w:val="22"/>
          <w:lang w:val="es-CR"/>
        </w:rPr>
      </w:pPr>
    </w:p>
    <w:p w14:paraId="47CA2CBA" w14:textId="77777777" w:rsidR="00084D3C" w:rsidRPr="00720D3A" w:rsidRDefault="00084D3C" w:rsidP="00084D3C">
      <w:pPr>
        <w:pStyle w:val="Numeracin"/>
        <w:numPr>
          <w:ilvl w:val="0"/>
          <w:numId w:val="0"/>
        </w:numPr>
        <w:spacing w:before="0"/>
        <w:ind w:right="-193"/>
        <w:rPr>
          <w:rFonts w:ascii="Arial" w:hAnsi="Arial" w:cs="Arial"/>
          <w:b/>
          <w:szCs w:val="22"/>
        </w:rPr>
      </w:pPr>
      <w:r w:rsidRPr="00720D3A">
        <w:rPr>
          <w:rFonts w:ascii="Arial" w:hAnsi="Arial" w:cs="Arial"/>
          <w:b/>
          <w:szCs w:val="22"/>
        </w:rPr>
        <w:t xml:space="preserve">Artículo </w:t>
      </w:r>
      <w:r w:rsidR="003724A7" w:rsidRPr="00720D3A">
        <w:rPr>
          <w:rFonts w:ascii="Arial" w:hAnsi="Arial" w:cs="Arial"/>
          <w:b/>
          <w:szCs w:val="22"/>
        </w:rPr>
        <w:t>1</w:t>
      </w:r>
      <w:r w:rsidR="008448AA" w:rsidRPr="00720D3A">
        <w:rPr>
          <w:rFonts w:ascii="Arial" w:hAnsi="Arial" w:cs="Arial"/>
          <w:b/>
          <w:szCs w:val="22"/>
        </w:rPr>
        <w:t xml:space="preserve">. </w:t>
      </w:r>
      <w:r w:rsidRPr="00720D3A">
        <w:rPr>
          <w:rFonts w:ascii="Arial" w:hAnsi="Arial" w:cs="Arial"/>
          <w:b/>
          <w:szCs w:val="22"/>
        </w:rPr>
        <w:t>Modificaciones</w:t>
      </w:r>
    </w:p>
    <w:p w14:paraId="47CA2CBB" w14:textId="77777777" w:rsidR="00084D3C" w:rsidRPr="00720D3A" w:rsidRDefault="00084D3C" w:rsidP="00084D3C">
      <w:pPr>
        <w:pStyle w:val="Numeracin"/>
        <w:numPr>
          <w:ilvl w:val="0"/>
          <w:numId w:val="0"/>
        </w:numPr>
        <w:spacing w:before="0"/>
        <w:ind w:right="-193"/>
        <w:rPr>
          <w:rFonts w:ascii="Arial" w:hAnsi="Arial" w:cs="Arial"/>
          <w:b/>
          <w:szCs w:val="22"/>
        </w:rPr>
      </w:pPr>
    </w:p>
    <w:p w14:paraId="47CA2CBC" w14:textId="77777777" w:rsidR="00084D3C" w:rsidRPr="00720D3A" w:rsidRDefault="00084D3C" w:rsidP="00084D3C">
      <w:pPr>
        <w:pStyle w:val="Numeracin"/>
        <w:numPr>
          <w:ilvl w:val="0"/>
          <w:numId w:val="0"/>
        </w:numPr>
        <w:spacing w:before="0"/>
        <w:ind w:right="-193"/>
        <w:rPr>
          <w:rFonts w:ascii="Arial" w:hAnsi="Arial" w:cs="Arial"/>
          <w:szCs w:val="22"/>
        </w:rPr>
      </w:pPr>
      <w:r w:rsidRPr="00720D3A">
        <w:rPr>
          <w:rFonts w:ascii="Arial" w:hAnsi="Arial" w:cs="Arial"/>
          <w:szCs w:val="22"/>
        </w:rPr>
        <w:t>Se realizan las siguientes modificaciones a las disposiciones del acuerdo SGV-A-75:</w:t>
      </w:r>
    </w:p>
    <w:p w14:paraId="47CA2CBD" w14:textId="77777777" w:rsidR="00084D3C" w:rsidRPr="00720D3A" w:rsidRDefault="00084D3C" w:rsidP="00084D3C">
      <w:pPr>
        <w:pStyle w:val="Numeracin"/>
        <w:numPr>
          <w:ilvl w:val="0"/>
          <w:numId w:val="0"/>
        </w:numPr>
        <w:spacing w:before="0"/>
        <w:ind w:right="-193"/>
        <w:rPr>
          <w:rFonts w:ascii="Arial" w:hAnsi="Arial" w:cs="Arial"/>
          <w:b/>
          <w:szCs w:val="22"/>
        </w:rPr>
      </w:pPr>
    </w:p>
    <w:p w14:paraId="47CA2CBE" w14:textId="77777777" w:rsidR="00084D3C" w:rsidRPr="00720D3A" w:rsidRDefault="00084D3C" w:rsidP="0002685C">
      <w:pPr>
        <w:pStyle w:val="Numeracin"/>
        <w:numPr>
          <w:ilvl w:val="0"/>
          <w:numId w:val="6"/>
        </w:numPr>
        <w:spacing w:before="0"/>
        <w:ind w:right="-193"/>
        <w:rPr>
          <w:rFonts w:ascii="Arial" w:hAnsi="Arial" w:cs="Arial"/>
          <w:szCs w:val="22"/>
        </w:rPr>
      </w:pPr>
      <w:r w:rsidRPr="00720D3A">
        <w:rPr>
          <w:rFonts w:ascii="Arial" w:hAnsi="Arial" w:cs="Arial"/>
          <w:szCs w:val="22"/>
        </w:rPr>
        <w:t xml:space="preserve">Se modifica integralmente </w:t>
      </w:r>
      <w:r w:rsidR="00620001" w:rsidRPr="00720D3A">
        <w:rPr>
          <w:rFonts w:ascii="Arial" w:hAnsi="Arial" w:cs="Arial"/>
          <w:szCs w:val="22"/>
        </w:rPr>
        <w:t>e</w:t>
      </w:r>
      <w:r w:rsidRPr="00720D3A">
        <w:rPr>
          <w:rFonts w:ascii="Arial" w:hAnsi="Arial" w:cs="Arial"/>
          <w:szCs w:val="22"/>
        </w:rPr>
        <w:t xml:space="preserve">l </w:t>
      </w:r>
      <w:r w:rsidR="0002685C" w:rsidRPr="00720D3A">
        <w:rPr>
          <w:rFonts w:ascii="Arial" w:hAnsi="Arial" w:cs="Arial"/>
          <w:szCs w:val="22"/>
        </w:rPr>
        <w:t xml:space="preserve">Reporte del auxiliar de custodia </w:t>
      </w:r>
      <w:r w:rsidR="0032386A" w:rsidRPr="00720D3A">
        <w:rPr>
          <w:rFonts w:ascii="Arial" w:hAnsi="Arial" w:cs="Arial"/>
          <w:szCs w:val="22"/>
        </w:rPr>
        <w:t xml:space="preserve">(Anexo 45) </w:t>
      </w:r>
      <w:r w:rsidRPr="00720D3A">
        <w:rPr>
          <w:rFonts w:ascii="Arial" w:hAnsi="Arial" w:cs="Arial"/>
          <w:szCs w:val="22"/>
        </w:rPr>
        <w:t>de acuerdo con el archivo adjunto.</w:t>
      </w:r>
    </w:p>
    <w:p w14:paraId="47CA2CBF" w14:textId="77777777" w:rsidR="00084D3C" w:rsidRPr="00720D3A" w:rsidRDefault="00084D3C" w:rsidP="00084D3C">
      <w:pPr>
        <w:pStyle w:val="Numeracin"/>
        <w:numPr>
          <w:ilvl w:val="0"/>
          <w:numId w:val="0"/>
        </w:numPr>
        <w:tabs>
          <w:tab w:val="left" w:pos="567"/>
        </w:tabs>
        <w:spacing w:before="0"/>
        <w:ind w:left="360" w:right="-193" w:hanging="360"/>
        <w:rPr>
          <w:rFonts w:ascii="Arial" w:hAnsi="Arial" w:cs="Arial"/>
          <w:szCs w:val="22"/>
        </w:rPr>
      </w:pPr>
    </w:p>
    <w:bookmarkStart w:id="0" w:name="_MON_1591533829"/>
    <w:bookmarkEnd w:id="0"/>
    <w:p w14:paraId="47CA2CC0" w14:textId="77777777" w:rsidR="00084D3C" w:rsidRPr="00720D3A" w:rsidRDefault="00A0750D" w:rsidP="00084D3C">
      <w:pPr>
        <w:pStyle w:val="Numeracin"/>
        <w:numPr>
          <w:ilvl w:val="0"/>
          <w:numId w:val="0"/>
        </w:numPr>
        <w:spacing w:before="0"/>
        <w:ind w:right="-193"/>
        <w:jc w:val="center"/>
        <w:rPr>
          <w:rFonts w:ascii="Arial" w:hAnsi="Arial" w:cs="Arial"/>
          <w:b/>
          <w:szCs w:val="22"/>
        </w:rPr>
      </w:pPr>
      <w:r w:rsidRPr="00720D3A">
        <w:rPr>
          <w:rFonts w:ascii="Arial" w:hAnsi="Arial" w:cs="Arial"/>
          <w:b/>
          <w:szCs w:val="22"/>
        </w:rPr>
        <w:object w:dxaOrig="1551" w:dyaOrig="991" w14:anchorId="47CA2E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1" o:title=""/>
          </v:shape>
          <o:OLEObject Type="Embed" ProgID="Word.Document.12" ShapeID="_x0000_i1025" DrawAspect="Icon" ObjectID="_1608456269" r:id="rId12">
            <o:FieldCodes>\s</o:FieldCodes>
          </o:OLEObject>
        </w:object>
      </w:r>
    </w:p>
    <w:p w14:paraId="47CA2CC1" w14:textId="77777777" w:rsidR="00084D3C" w:rsidRPr="00720D3A" w:rsidRDefault="00084D3C" w:rsidP="00542ACB">
      <w:pPr>
        <w:pStyle w:val="Numeracin"/>
        <w:numPr>
          <w:ilvl w:val="0"/>
          <w:numId w:val="6"/>
        </w:numPr>
        <w:spacing w:before="0"/>
        <w:ind w:right="-193"/>
        <w:rPr>
          <w:rFonts w:ascii="Arial" w:hAnsi="Arial" w:cs="Arial"/>
          <w:szCs w:val="22"/>
        </w:rPr>
      </w:pPr>
      <w:r w:rsidRPr="00720D3A">
        <w:rPr>
          <w:rFonts w:ascii="Arial" w:hAnsi="Arial" w:cs="Arial"/>
          <w:szCs w:val="22"/>
        </w:rPr>
        <w:t xml:space="preserve">Se modifica </w:t>
      </w:r>
      <w:r w:rsidR="00542ACB" w:rsidRPr="00720D3A">
        <w:rPr>
          <w:rFonts w:ascii="Arial" w:hAnsi="Arial" w:cs="Arial"/>
          <w:szCs w:val="22"/>
        </w:rPr>
        <w:t xml:space="preserve">la frecuencia </w:t>
      </w:r>
      <w:r w:rsidRPr="00720D3A">
        <w:rPr>
          <w:rFonts w:ascii="Arial" w:hAnsi="Arial" w:cs="Arial"/>
          <w:szCs w:val="22"/>
        </w:rPr>
        <w:t xml:space="preserve"> de envío </w:t>
      </w:r>
      <w:r w:rsidR="00542ACB" w:rsidRPr="00720D3A">
        <w:rPr>
          <w:rFonts w:ascii="Arial" w:hAnsi="Arial" w:cs="Arial"/>
          <w:szCs w:val="22"/>
        </w:rPr>
        <w:t xml:space="preserve">de los estados financieros </w:t>
      </w:r>
      <w:r w:rsidR="00CF2896" w:rsidRPr="00720D3A">
        <w:rPr>
          <w:rFonts w:ascii="Arial" w:hAnsi="Arial" w:cs="Arial"/>
          <w:szCs w:val="22"/>
        </w:rPr>
        <w:t xml:space="preserve">de las Sociedades Calificadoras de Riesgo y los Proveedores de Precios </w:t>
      </w:r>
      <w:r w:rsidRPr="00720D3A">
        <w:rPr>
          <w:rFonts w:ascii="Arial" w:hAnsi="Arial" w:cs="Arial"/>
          <w:szCs w:val="22"/>
        </w:rPr>
        <w:t xml:space="preserve"> de acuerdo con el siguiente detalle:</w:t>
      </w:r>
    </w:p>
    <w:p w14:paraId="47CA2CC2" w14:textId="77777777" w:rsidR="00084D3C" w:rsidRPr="00720D3A" w:rsidRDefault="00084D3C" w:rsidP="00084D3C">
      <w:pPr>
        <w:pStyle w:val="Numeracin"/>
        <w:numPr>
          <w:ilvl w:val="0"/>
          <w:numId w:val="0"/>
        </w:numPr>
        <w:tabs>
          <w:tab w:val="left" w:pos="567"/>
        </w:tabs>
        <w:spacing w:before="0"/>
        <w:ind w:left="927" w:right="-193"/>
        <w:rPr>
          <w:rFonts w:ascii="Arial" w:hAnsi="Arial" w:cs="Arial"/>
          <w:szCs w:val="22"/>
        </w:rPr>
      </w:pPr>
    </w:p>
    <w:p w14:paraId="47CA2CC3" w14:textId="77777777" w:rsidR="00084D3C" w:rsidRDefault="00084D3C" w:rsidP="00E728D0">
      <w:pPr>
        <w:pStyle w:val="Numeracin"/>
        <w:numPr>
          <w:ilvl w:val="0"/>
          <w:numId w:val="0"/>
        </w:numPr>
        <w:tabs>
          <w:tab w:val="left" w:pos="567"/>
        </w:tabs>
        <w:spacing w:before="0"/>
        <w:ind w:left="360" w:right="-193" w:hanging="360"/>
        <w:rPr>
          <w:rFonts w:ascii="Arial" w:hAnsi="Arial" w:cs="Arial"/>
          <w:b/>
          <w:i/>
          <w:szCs w:val="22"/>
        </w:rPr>
      </w:pPr>
    </w:p>
    <w:p w14:paraId="47CA2CC4" w14:textId="77777777" w:rsidR="002E2615" w:rsidRDefault="002E2615" w:rsidP="00E728D0">
      <w:pPr>
        <w:pStyle w:val="Numeracin"/>
        <w:numPr>
          <w:ilvl w:val="0"/>
          <w:numId w:val="0"/>
        </w:numPr>
        <w:tabs>
          <w:tab w:val="left" w:pos="567"/>
        </w:tabs>
        <w:spacing w:before="0"/>
        <w:ind w:left="360" w:right="-193" w:hanging="360"/>
        <w:rPr>
          <w:rFonts w:ascii="Arial" w:hAnsi="Arial" w:cs="Arial"/>
          <w:b/>
          <w:i/>
          <w:szCs w:val="22"/>
        </w:rPr>
      </w:pPr>
    </w:p>
    <w:p w14:paraId="47CA2CC5" w14:textId="77777777" w:rsidR="00DD78F3" w:rsidRDefault="00DD78F3" w:rsidP="00E728D0">
      <w:pPr>
        <w:pStyle w:val="Numeracin"/>
        <w:numPr>
          <w:ilvl w:val="0"/>
          <w:numId w:val="0"/>
        </w:numPr>
        <w:tabs>
          <w:tab w:val="left" w:pos="567"/>
        </w:tabs>
        <w:spacing w:before="0"/>
        <w:ind w:left="360" w:right="-193" w:hanging="360"/>
        <w:rPr>
          <w:rFonts w:ascii="Arial" w:hAnsi="Arial" w:cs="Arial"/>
          <w:b/>
          <w:i/>
          <w:szCs w:val="22"/>
        </w:rPr>
      </w:pPr>
    </w:p>
    <w:p w14:paraId="47CA2CC6" w14:textId="77777777" w:rsidR="002E2615" w:rsidRDefault="002E2615" w:rsidP="00E728D0">
      <w:pPr>
        <w:pStyle w:val="Numeracin"/>
        <w:numPr>
          <w:ilvl w:val="0"/>
          <w:numId w:val="0"/>
        </w:numPr>
        <w:tabs>
          <w:tab w:val="left" w:pos="567"/>
        </w:tabs>
        <w:spacing w:before="0"/>
        <w:ind w:left="360" w:right="-193" w:hanging="360"/>
        <w:rPr>
          <w:rFonts w:ascii="Arial" w:hAnsi="Arial" w:cs="Arial"/>
          <w:b/>
          <w:i/>
          <w:szCs w:val="22"/>
        </w:rPr>
      </w:pPr>
    </w:p>
    <w:p w14:paraId="47CA2CC7" w14:textId="77777777" w:rsidR="002E2615" w:rsidRPr="00720D3A" w:rsidRDefault="002E2615" w:rsidP="00E728D0">
      <w:pPr>
        <w:pStyle w:val="Numeracin"/>
        <w:numPr>
          <w:ilvl w:val="0"/>
          <w:numId w:val="0"/>
        </w:numPr>
        <w:tabs>
          <w:tab w:val="left" w:pos="567"/>
        </w:tabs>
        <w:spacing w:before="0"/>
        <w:ind w:left="360" w:right="-193" w:hanging="360"/>
        <w:rPr>
          <w:rFonts w:ascii="Arial" w:hAnsi="Arial" w:cs="Arial"/>
          <w:b/>
          <w:i/>
          <w:szCs w:val="22"/>
        </w:rPr>
      </w:pPr>
    </w:p>
    <w:tbl>
      <w:tblPr>
        <w:tblW w:w="8364" w:type="dxa"/>
        <w:tblInd w:w="-5" w:type="dxa"/>
        <w:tblLook w:val="04A0" w:firstRow="1" w:lastRow="0" w:firstColumn="1" w:lastColumn="0" w:noHBand="0" w:noVBand="1"/>
      </w:tblPr>
      <w:tblGrid>
        <w:gridCol w:w="2111"/>
        <w:gridCol w:w="1858"/>
        <w:gridCol w:w="2127"/>
        <w:gridCol w:w="2268"/>
      </w:tblGrid>
      <w:tr w:rsidR="00CF2896" w:rsidRPr="00720D3A" w14:paraId="47CA2CCC" w14:textId="77777777" w:rsidTr="00CF2896">
        <w:trPr>
          <w:trHeight w:val="510"/>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A2CC8" w14:textId="77777777" w:rsidR="00CF2896" w:rsidRPr="00720D3A" w:rsidRDefault="00CF2896" w:rsidP="00F461AC">
            <w:pPr>
              <w:spacing w:after="0" w:line="240" w:lineRule="auto"/>
              <w:ind w:right="18"/>
              <w:jc w:val="center"/>
              <w:rPr>
                <w:rFonts w:eastAsia="Times New Roman" w:cs="Arial"/>
                <w:b/>
                <w:bCs/>
                <w:lang w:val="es-CR"/>
              </w:rPr>
            </w:pPr>
            <w:r w:rsidRPr="00720D3A">
              <w:rPr>
                <w:rFonts w:eastAsia="Times New Roman" w:cs="Arial"/>
                <w:b/>
                <w:bCs/>
                <w:lang w:val="es-CR"/>
              </w:rPr>
              <w:lastRenderedPageBreak/>
              <w:t>Informe o Reporte</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47CA2CC9" w14:textId="77777777" w:rsidR="00CF2896" w:rsidRPr="00720D3A" w:rsidRDefault="00CF2896" w:rsidP="00F461AC">
            <w:pPr>
              <w:spacing w:after="0" w:line="240" w:lineRule="auto"/>
              <w:ind w:right="33"/>
              <w:jc w:val="center"/>
              <w:rPr>
                <w:rFonts w:eastAsia="Times New Roman" w:cs="Arial"/>
                <w:b/>
                <w:bCs/>
                <w:lang w:val="es-CR"/>
              </w:rPr>
            </w:pPr>
            <w:r w:rsidRPr="00720D3A">
              <w:rPr>
                <w:rFonts w:eastAsia="Times New Roman" w:cs="Arial"/>
                <w:b/>
                <w:bCs/>
                <w:lang w:val="es-CR"/>
              </w:rPr>
              <w:t>Formato o normas sobre el Contenido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7CA2CCA" w14:textId="77777777" w:rsidR="00CF2896" w:rsidRPr="00720D3A" w:rsidRDefault="00CF2896" w:rsidP="00F461AC">
            <w:pPr>
              <w:spacing w:after="0" w:line="240" w:lineRule="auto"/>
              <w:jc w:val="center"/>
              <w:rPr>
                <w:rFonts w:eastAsia="Times New Roman" w:cs="Arial"/>
                <w:b/>
                <w:bCs/>
                <w:lang w:val="es-CR"/>
              </w:rPr>
            </w:pPr>
            <w:r w:rsidRPr="00720D3A">
              <w:rPr>
                <w:rFonts w:eastAsia="Times New Roman" w:cs="Arial"/>
                <w:b/>
                <w:bCs/>
                <w:lang w:val="es-CR"/>
              </w:rPr>
              <w:t>Periodicidad vigente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7CA2CCB" w14:textId="77777777" w:rsidR="00CF2896" w:rsidRPr="00720D3A" w:rsidRDefault="00CF2896" w:rsidP="00F461AC">
            <w:pPr>
              <w:spacing w:after="0" w:line="240" w:lineRule="auto"/>
              <w:jc w:val="center"/>
              <w:rPr>
                <w:rFonts w:eastAsia="Times New Roman" w:cs="Arial"/>
                <w:b/>
                <w:bCs/>
                <w:lang w:val="es-CR"/>
              </w:rPr>
            </w:pPr>
            <w:r w:rsidRPr="00720D3A">
              <w:rPr>
                <w:rFonts w:eastAsia="Times New Roman" w:cs="Arial"/>
                <w:b/>
                <w:bCs/>
                <w:lang w:val="es-CR"/>
              </w:rPr>
              <w:t>Periodicidad Propuesta</w:t>
            </w:r>
          </w:p>
        </w:tc>
      </w:tr>
      <w:tr w:rsidR="00CF2896" w:rsidRPr="00720D3A" w14:paraId="47CA2CD1" w14:textId="77777777" w:rsidTr="00CF2896">
        <w:trPr>
          <w:trHeight w:val="1056"/>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14:paraId="47CA2CCD" w14:textId="77777777" w:rsidR="00CF2896" w:rsidRPr="00720D3A" w:rsidRDefault="00CF2896" w:rsidP="008B76C2">
            <w:pPr>
              <w:spacing w:after="0" w:line="240" w:lineRule="auto"/>
              <w:ind w:right="18"/>
              <w:jc w:val="center"/>
              <w:rPr>
                <w:rFonts w:cs="Arial"/>
              </w:rPr>
            </w:pPr>
            <w:r w:rsidRPr="00720D3A">
              <w:rPr>
                <w:rFonts w:cs="Arial"/>
              </w:rPr>
              <w:t>Estados financieros no auditados</w:t>
            </w:r>
          </w:p>
        </w:tc>
        <w:tc>
          <w:tcPr>
            <w:tcW w:w="1858" w:type="dxa"/>
            <w:tcBorders>
              <w:top w:val="single" w:sz="4" w:space="0" w:color="auto"/>
              <w:left w:val="nil"/>
              <w:bottom w:val="single" w:sz="4" w:space="0" w:color="auto"/>
              <w:right w:val="single" w:sz="4" w:space="0" w:color="auto"/>
            </w:tcBorders>
            <w:shd w:val="clear" w:color="auto" w:fill="auto"/>
            <w:vAlign w:val="center"/>
          </w:tcPr>
          <w:p w14:paraId="47CA2CCE" w14:textId="77777777" w:rsidR="00CF2896" w:rsidRPr="00720D3A" w:rsidRDefault="00CF2896" w:rsidP="00F461AC">
            <w:pPr>
              <w:spacing w:after="0" w:line="240" w:lineRule="auto"/>
              <w:jc w:val="center"/>
              <w:rPr>
                <w:rFonts w:cs="Arial"/>
              </w:rPr>
            </w:pPr>
            <w:r w:rsidRPr="00720D3A">
              <w:rPr>
                <w:rFonts w:cs="Arial"/>
              </w:rPr>
              <w:t xml:space="preserve"> Anexo 59 </w:t>
            </w:r>
          </w:p>
        </w:tc>
        <w:tc>
          <w:tcPr>
            <w:tcW w:w="2127" w:type="dxa"/>
            <w:tcBorders>
              <w:top w:val="single" w:sz="4" w:space="0" w:color="auto"/>
              <w:left w:val="nil"/>
              <w:bottom w:val="single" w:sz="4" w:space="0" w:color="auto"/>
              <w:right w:val="single" w:sz="4" w:space="0" w:color="auto"/>
            </w:tcBorders>
            <w:shd w:val="clear" w:color="auto" w:fill="auto"/>
            <w:vAlign w:val="center"/>
          </w:tcPr>
          <w:p w14:paraId="47CA2CCF" w14:textId="77777777" w:rsidR="00CF2896" w:rsidRPr="00720D3A" w:rsidRDefault="00CF2896" w:rsidP="00F461AC">
            <w:pPr>
              <w:spacing w:after="0" w:line="240" w:lineRule="auto"/>
              <w:ind w:right="34"/>
              <w:jc w:val="center"/>
              <w:rPr>
                <w:rFonts w:cs="Arial"/>
              </w:rPr>
            </w:pPr>
            <w:r w:rsidRPr="00720D3A">
              <w:rPr>
                <w:rFonts w:cs="Arial"/>
              </w:rPr>
              <w:t>Trimestral</w:t>
            </w:r>
          </w:p>
        </w:tc>
        <w:tc>
          <w:tcPr>
            <w:tcW w:w="2268" w:type="dxa"/>
            <w:tcBorders>
              <w:top w:val="single" w:sz="4" w:space="0" w:color="auto"/>
              <w:left w:val="nil"/>
              <w:bottom w:val="single" w:sz="4" w:space="0" w:color="auto"/>
              <w:right w:val="single" w:sz="4" w:space="0" w:color="auto"/>
            </w:tcBorders>
            <w:shd w:val="clear" w:color="auto" w:fill="auto"/>
            <w:vAlign w:val="center"/>
          </w:tcPr>
          <w:p w14:paraId="47CA2CD0" w14:textId="77777777" w:rsidR="00CF2896" w:rsidRPr="00720D3A" w:rsidRDefault="00FE31B5" w:rsidP="00F461AC">
            <w:pPr>
              <w:spacing w:after="0" w:line="240" w:lineRule="auto"/>
              <w:jc w:val="center"/>
              <w:rPr>
                <w:rFonts w:cs="Arial"/>
              </w:rPr>
            </w:pPr>
            <w:r w:rsidRPr="00720D3A">
              <w:rPr>
                <w:rFonts w:cs="Arial"/>
              </w:rPr>
              <w:t>Mensual</w:t>
            </w:r>
          </w:p>
        </w:tc>
      </w:tr>
    </w:tbl>
    <w:p w14:paraId="47CA2CD2" w14:textId="77777777" w:rsidR="007B3B7D" w:rsidRPr="00720D3A" w:rsidRDefault="007B3B7D" w:rsidP="007B3B7D">
      <w:pPr>
        <w:pStyle w:val="Numeracin"/>
        <w:numPr>
          <w:ilvl w:val="0"/>
          <w:numId w:val="0"/>
        </w:numPr>
        <w:spacing w:before="0"/>
        <w:ind w:right="-193"/>
        <w:rPr>
          <w:rFonts w:ascii="Arial" w:hAnsi="Arial" w:cs="Arial"/>
          <w:b/>
          <w:i/>
          <w:szCs w:val="22"/>
        </w:rPr>
      </w:pPr>
    </w:p>
    <w:p w14:paraId="47CA2CD3" w14:textId="77777777" w:rsidR="00965136" w:rsidRPr="00720D3A" w:rsidRDefault="00965136" w:rsidP="00965136">
      <w:pPr>
        <w:pStyle w:val="Numeracin"/>
        <w:numPr>
          <w:ilvl w:val="0"/>
          <w:numId w:val="6"/>
        </w:numPr>
        <w:spacing w:before="0"/>
        <w:ind w:right="-193"/>
        <w:rPr>
          <w:rFonts w:ascii="Arial" w:hAnsi="Arial" w:cs="Arial"/>
          <w:szCs w:val="22"/>
        </w:rPr>
      </w:pPr>
      <w:r w:rsidRPr="00720D3A">
        <w:rPr>
          <w:rFonts w:ascii="Arial" w:hAnsi="Arial" w:cs="Arial"/>
          <w:szCs w:val="22"/>
        </w:rPr>
        <w:t>Se agregan las siguientes cuentas a los Estados Financieros de Fondos de Inversión (Anexo 15), de acuerdo con el siguiente detalle:</w:t>
      </w:r>
    </w:p>
    <w:p w14:paraId="47CA2CD4" w14:textId="77777777" w:rsidR="00965136" w:rsidRPr="00720D3A" w:rsidRDefault="00965136" w:rsidP="003724A7">
      <w:pPr>
        <w:pStyle w:val="Numeracin"/>
        <w:numPr>
          <w:ilvl w:val="0"/>
          <w:numId w:val="0"/>
        </w:numPr>
        <w:spacing w:before="0"/>
        <w:ind w:right="-193"/>
        <w:rPr>
          <w:rFonts w:ascii="Arial" w:eastAsia="Arial Unicode MS" w:hAnsi="Arial" w:cs="Arial"/>
          <w:b/>
          <w:szCs w:val="22"/>
        </w:rPr>
      </w:pPr>
    </w:p>
    <w:tbl>
      <w:tblPr>
        <w:tblW w:w="8926" w:type="dxa"/>
        <w:tblCellMar>
          <w:left w:w="70" w:type="dxa"/>
          <w:right w:w="70" w:type="dxa"/>
        </w:tblCellMar>
        <w:tblLook w:val="04A0" w:firstRow="1" w:lastRow="0" w:firstColumn="1" w:lastColumn="0" w:noHBand="0" w:noVBand="1"/>
      </w:tblPr>
      <w:tblGrid>
        <w:gridCol w:w="1522"/>
        <w:gridCol w:w="1660"/>
        <w:gridCol w:w="5846"/>
      </w:tblGrid>
      <w:tr w:rsidR="00965136" w:rsidRPr="00720D3A" w14:paraId="47CA2CD8" w14:textId="77777777" w:rsidTr="00965136">
        <w:trPr>
          <w:trHeight w:val="255"/>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CA2CD5" w14:textId="77777777" w:rsidR="00965136" w:rsidRPr="00720D3A" w:rsidRDefault="00965136" w:rsidP="00965136">
            <w:pPr>
              <w:spacing w:after="0" w:line="240" w:lineRule="auto"/>
              <w:jc w:val="center"/>
              <w:rPr>
                <w:rFonts w:eastAsia="Times New Roman" w:cs="Arial"/>
                <w:b/>
                <w:lang w:val="es-CR" w:eastAsia="es-CR"/>
              </w:rPr>
            </w:pPr>
            <w:r w:rsidRPr="00720D3A">
              <w:rPr>
                <w:rFonts w:eastAsia="Times New Roman" w:cs="Arial"/>
                <w:b/>
                <w:lang w:val="es-CR" w:eastAsia="es-CR"/>
              </w:rPr>
              <w:t>CATÁLOGO</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47CA2CD6" w14:textId="77777777" w:rsidR="00965136" w:rsidRPr="00720D3A" w:rsidRDefault="00965136" w:rsidP="00965136">
            <w:pPr>
              <w:spacing w:after="0" w:line="240" w:lineRule="auto"/>
              <w:jc w:val="center"/>
              <w:rPr>
                <w:rFonts w:eastAsia="Times New Roman" w:cs="Arial"/>
                <w:b/>
                <w:lang w:val="es-CR" w:eastAsia="es-CR"/>
              </w:rPr>
            </w:pPr>
            <w:r w:rsidRPr="00720D3A">
              <w:rPr>
                <w:rFonts w:eastAsia="Times New Roman" w:cs="Arial"/>
                <w:b/>
                <w:lang w:val="es-CR" w:eastAsia="es-CR"/>
              </w:rPr>
              <w:t>CÓDIGO</w:t>
            </w:r>
          </w:p>
        </w:tc>
        <w:tc>
          <w:tcPr>
            <w:tcW w:w="5846" w:type="dxa"/>
            <w:tcBorders>
              <w:top w:val="single" w:sz="4" w:space="0" w:color="auto"/>
              <w:left w:val="nil"/>
              <w:bottom w:val="single" w:sz="4" w:space="0" w:color="auto"/>
              <w:right w:val="single" w:sz="4" w:space="0" w:color="auto"/>
            </w:tcBorders>
            <w:shd w:val="clear" w:color="auto" w:fill="auto"/>
            <w:noWrap/>
            <w:vAlign w:val="center"/>
          </w:tcPr>
          <w:p w14:paraId="47CA2CD7" w14:textId="77777777" w:rsidR="00965136" w:rsidRPr="00720D3A" w:rsidRDefault="00965136" w:rsidP="00965136">
            <w:pPr>
              <w:spacing w:after="0" w:line="240" w:lineRule="auto"/>
              <w:jc w:val="center"/>
              <w:rPr>
                <w:rFonts w:eastAsia="Times New Roman" w:cs="Arial"/>
                <w:b/>
                <w:lang w:val="es-CR" w:eastAsia="es-CR"/>
              </w:rPr>
            </w:pPr>
            <w:r w:rsidRPr="00720D3A">
              <w:rPr>
                <w:rFonts w:eastAsia="Times New Roman" w:cs="Arial"/>
                <w:b/>
                <w:lang w:val="es-CR" w:eastAsia="es-CR"/>
              </w:rPr>
              <w:t>NOMBRE</w:t>
            </w:r>
          </w:p>
        </w:tc>
      </w:tr>
      <w:tr w:rsidR="00965136" w:rsidRPr="00720D3A" w14:paraId="47CA2CDC" w14:textId="77777777" w:rsidTr="00965136">
        <w:trPr>
          <w:trHeight w:val="255"/>
        </w:trPr>
        <w:tc>
          <w:tcPr>
            <w:tcW w:w="1420" w:type="dxa"/>
            <w:tcBorders>
              <w:top w:val="single" w:sz="4" w:space="0" w:color="auto"/>
              <w:left w:val="single" w:sz="4" w:space="0" w:color="auto"/>
              <w:bottom w:val="single" w:sz="4" w:space="0" w:color="auto"/>
              <w:right w:val="single" w:sz="4" w:space="0" w:color="auto"/>
            </w:tcBorders>
            <w:shd w:val="clear" w:color="auto" w:fill="auto"/>
            <w:noWrap/>
            <w:hideMark/>
          </w:tcPr>
          <w:p w14:paraId="47CA2CD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single" w:sz="4" w:space="0" w:color="auto"/>
              <w:left w:val="nil"/>
              <w:bottom w:val="single" w:sz="4" w:space="0" w:color="auto"/>
              <w:right w:val="single" w:sz="4" w:space="0" w:color="auto"/>
            </w:tcBorders>
            <w:shd w:val="clear" w:color="auto" w:fill="auto"/>
            <w:noWrap/>
            <w:hideMark/>
          </w:tcPr>
          <w:p w14:paraId="47CA2CD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701005011100</w:t>
            </w:r>
          </w:p>
        </w:tc>
        <w:tc>
          <w:tcPr>
            <w:tcW w:w="5846" w:type="dxa"/>
            <w:tcBorders>
              <w:top w:val="single" w:sz="4" w:space="0" w:color="auto"/>
              <w:left w:val="nil"/>
              <w:bottom w:val="single" w:sz="4" w:space="0" w:color="auto"/>
              <w:right w:val="single" w:sz="4" w:space="0" w:color="auto"/>
            </w:tcBorders>
            <w:shd w:val="clear" w:color="auto" w:fill="auto"/>
            <w:noWrap/>
            <w:hideMark/>
          </w:tcPr>
          <w:p w14:paraId="47CA2CDB"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Inversiones al Valor Razonable con cambios en Otro Resultado Integral - Colones</w:t>
            </w:r>
          </w:p>
        </w:tc>
      </w:tr>
      <w:tr w:rsidR="00965136" w:rsidRPr="00720D3A" w14:paraId="47CA2CE0"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CD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CD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701005011101</w:t>
            </w:r>
          </w:p>
        </w:tc>
        <w:tc>
          <w:tcPr>
            <w:tcW w:w="5846" w:type="dxa"/>
            <w:tcBorders>
              <w:top w:val="nil"/>
              <w:left w:val="nil"/>
              <w:bottom w:val="single" w:sz="4" w:space="0" w:color="auto"/>
              <w:right w:val="single" w:sz="4" w:space="0" w:color="auto"/>
            </w:tcBorders>
            <w:shd w:val="clear" w:color="auto" w:fill="auto"/>
            <w:noWrap/>
            <w:hideMark/>
          </w:tcPr>
          <w:p w14:paraId="47CA2CDF"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Valor de adquisición de instrumentos financieros</w:t>
            </w:r>
          </w:p>
        </w:tc>
      </w:tr>
      <w:tr w:rsidR="00965136" w:rsidRPr="00720D3A" w14:paraId="47CA2CE4"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CE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CE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701005011102</w:t>
            </w:r>
          </w:p>
        </w:tc>
        <w:tc>
          <w:tcPr>
            <w:tcW w:w="5846" w:type="dxa"/>
            <w:tcBorders>
              <w:top w:val="nil"/>
              <w:left w:val="nil"/>
              <w:bottom w:val="single" w:sz="4" w:space="0" w:color="auto"/>
              <w:right w:val="single" w:sz="4" w:space="0" w:color="auto"/>
            </w:tcBorders>
            <w:shd w:val="clear" w:color="auto" w:fill="auto"/>
            <w:noWrap/>
            <w:hideMark/>
          </w:tcPr>
          <w:p w14:paraId="47CA2CE3"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(Amortización prima sobre instrumentos financieros)</w:t>
            </w:r>
          </w:p>
        </w:tc>
      </w:tr>
      <w:tr w:rsidR="00965136" w:rsidRPr="00720D3A" w14:paraId="47CA2CE8"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CE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CE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701005011103</w:t>
            </w:r>
          </w:p>
        </w:tc>
        <w:tc>
          <w:tcPr>
            <w:tcW w:w="5846" w:type="dxa"/>
            <w:tcBorders>
              <w:top w:val="nil"/>
              <w:left w:val="nil"/>
              <w:bottom w:val="single" w:sz="4" w:space="0" w:color="auto"/>
              <w:right w:val="single" w:sz="4" w:space="0" w:color="auto"/>
            </w:tcBorders>
            <w:shd w:val="clear" w:color="auto" w:fill="auto"/>
            <w:noWrap/>
            <w:hideMark/>
          </w:tcPr>
          <w:p w14:paraId="47CA2CE7"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Amortización descuento sobre instrumentos financieros</w:t>
            </w:r>
          </w:p>
        </w:tc>
      </w:tr>
      <w:tr w:rsidR="00965136" w:rsidRPr="00720D3A" w14:paraId="47CA2CEC"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CE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CE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701005011104</w:t>
            </w:r>
          </w:p>
        </w:tc>
        <w:tc>
          <w:tcPr>
            <w:tcW w:w="5846" w:type="dxa"/>
            <w:tcBorders>
              <w:top w:val="nil"/>
              <w:left w:val="nil"/>
              <w:bottom w:val="single" w:sz="4" w:space="0" w:color="auto"/>
              <w:right w:val="single" w:sz="4" w:space="0" w:color="auto"/>
            </w:tcBorders>
            <w:shd w:val="clear" w:color="auto" w:fill="auto"/>
            <w:noWrap/>
            <w:hideMark/>
          </w:tcPr>
          <w:p w14:paraId="47CA2CEB"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Ajuste por valuación de instrumentos financieros </w:t>
            </w:r>
          </w:p>
        </w:tc>
      </w:tr>
      <w:tr w:rsidR="00965136" w:rsidRPr="00720D3A" w14:paraId="47CA2CF0"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CE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CE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701005011200</w:t>
            </w:r>
          </w:p>
        </w:tc>
        <w:tc>
          <w:tcPr>
            <w:tcW w:w="5846" w:type="dxa"/>
            <w:tcBorders>
              <w:top w:val="nil"/>
              <w:left w:val="nil"/>
              <w:bottom w:val="single" w:sz="4" w:space="0" w:color="auto"/>
              <w:right w:val="single" w:sz="4" w:space="0" w:color="auto"/>
            </w:tcBorders>
            <w:shd w:val="clear" w:color="auto" w:fill="auto"/>
            <w:noWrap/>
            <w:hideMark/>
          </w:tcPr>
          <w:p w14:paraId="47CA2CEF"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Inversiones al Valor Razonable con cambios en Resultados - Colones</w:t>
            </w:r>
          </w:p>
        </w:tc>
      </w:tr>
      <w:tr w:rsidR="00965136" w:rsidRPr="00720D3A" w14:paraId="47CA2CF4"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CF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CF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701005011201</w:t>
            </w:r>
          </w:p>
        </w:tc>
        <w:tc>
          <w:tcPr>
            <w:tcW w:w="5846" w:type="dxa"/>
            <w:tcBorders>
              <w:top w:val="nil"/>
              <w:left w:val="nil"/>
              <w:bottom w:val="single" w:sz="4" w:space="0" w:color="auto"/>
              <w:right w:val="single" w:sz="4" w:space="0" w:color="auto"/>
            </w:tcBorders>
            <w:shd w:val="clear" w:color="auto" w:fill="auto"/>
            <w:noWrap/>
            <w:hideMark/>
          </w:tcPr>
          <w:p w14:paraId="47CA2CF3"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Valor de adquisición de instrumentos financieros</w:t>
            </w:r>
          </w:p>
        </w:tc>
      </w:tr>
      <w:tr w:rsidR="00965136" w:rsidRPr="00720D3A" w14:paraId="47CA2CF8"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CF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CF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701005011202</w:t>
            </w:r>
          </w:p>
        </w:tc>
        <w:tc>
          <w:tcPr>
            <w:tcW w:w="5846" w:type="dxa"/>
            <w:tcBorders>
              <w:top w:val="nil"/>
              <w:left w:val="nil"/>
              <w:bottom w:val="single" w:sz="4" w:space="0" w:color="auto"/>
              <w:right w:val="single" w:sz="4" w:space="0" w:color="auto"/>
            </w:tcBorders>
            <w:shd w:val="clear" w:color="auto" w:fill="auto"/>
            <w:noWrap/>
            <w:hideMark/>
          </w:tcPr>
          <w:p w14:paraId="47CA2CF7"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(Amortización prima sobre instrumentos financieros)</w:t>
            </w:r>
          </w:p>
        </w:tc>
      </w:tr>
      <w:tr w:rsidR="00965136" w:rsidRPr="00720D3A" w14:paraId="47CA2CFC"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CF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CF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701005011203</w:t>
            </w:r>
          </w:p>
        </w:tc>
        <w:tc>
          <w:tcPr>
            <w:tcW w:w="5846" w:type="dxa"/>
            <w:tcBorders>
              <w:top w:val="nil"/>
              <w:left w:val="nil"/>
              <w:bottom w:val="single" w:sz="4" w:space="0" w:color="auto"/>
              <w:right w:val="single" w:sz="4" w:space="0" w:color="auto"/>
            </w:tcBorders>
            <w:shd w:val="clear" w:color="auto" w:fill="auto"/>
            <w:noWrap/>
            <w:hideMark/>
          </w:tcPr>
          <w:p w14:paraId="47CA2CFB"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Amortización descuento sobre instrumentos financieros</w:t>
            </w:r>
          </w:p>
        </w:tc>
      </w:tr>
      <w:tr w:rsidR="00965136" w:rsidRPr="00720D3A" w14:paraId="47CA2D00"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CF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CF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701005011204</w:t>
            </w:r>
          </w:p>
        </w:tc>
        <w:tc>
          <w:tcPr>
            <w:tcW w:w="5846" w:type="dxa"/>
            <w:tcBorders>
              <w:top w:val="nil"/>
              <w:left w:val="nil"/>
              <w:bottom w:val="single" w:sz="4" w:space="0" w:color="auto"/>
              <w:right w:val="single" w:sz="4" w:space="0" w:color="auto"/>
            </w:tcBorders>
            <w:shd w:val="clear" w:color="auto" w:fill="auto"/>
            <w:noWrap/>
            <w:hideMark/>
          </w:tcPr>
          <w:p w14:paraId="47CA2CFF"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Ajuste por valuación de instrumentos financieros </w:t>
            </w:r>
          </w:p>
        </w:tc>
      </w:tr>
      <w:tr w:rsidR="00965136" w:rsidRPr="00720D3A" w14:paraId="47CA2D04"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0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0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701005011300</w:t>
            </w:r>
          </w:p>
        </w:tc>
        <w:tc>
          <w:tcPr>
            <w:tcW w:w="5846" w:type="dxa"/>
            <w:tcBorders>
              <w:top w:val="nil"/>
              <w:left w:val="nil"/>
              <w:bottom w:val="single" w:sz="4" w:space="0" w:color="auto"/>
              <w:right w:val="single" w:sz="4" w:space="0" w:color="auto"/>
            </w:tcBorders>
            <w:shd w:val="clear" w:color="auto" w:fill="auto"/>
            <w:noWrap/>
            <w:hideMark/>
          </w:tcPr>
          <w:p w14:paraId="47CA2D03"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Inversiones al Costo Amortizado - Colones</w:t>
            </w:r>
          </w:p>
        </w:tc>
      </w:tr>
      <w:tr w:rsidR="00965136" w:rsidRPr="00720D3A" w14:paraId="47CA2D08"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0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0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701005011301</w:t>
            </w:r>
          </w:p>
        </w:tc>
        <w:tc>
          <w:tcPr>
            <w:tcW w:w="5846" w:type="dxa"/>
            <w:tcBorders>
              <w:top w:val="nil"/>
              <w:left w:val="nil"/>
              <w:bottom w:val="single" w:sz="4" w:space="0" w:color="auto"/>
              <w:right w:val="single" w:sz="4" w:space="0" w:color="auto"/>
            </w:tcBorders>
            <w:shd w:val="clear" w:color="auto" w:fill="auto"/>
            <w:noWrap/>
            <w:hideMark/>
          </w:tcPr>
          <w:p w14:paraId="47CA2D07"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Valor de adquisición de instrumentos financieros</w:t>
            </w:r>
          </w:p>
        </w:tc>
      </w:tr>
      <w:tr w:rsidR="00965136" w:rsidRPr="00720D3A" w14:paraId="47CA2D0C"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0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0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701005011302</w:t>
            </w:r>
          </w:p>
        </w:tc>
        <w:tc>
          <w:tcPr>
            <w:tcW w:w="5846" w:type="dxa"/>
            <w:tcBorders>
              <w:top w:val="nil"/>
              <w:left w:val="nil"/>
              <w:bottom w:val="single" w:sz="4" w:space="0" w:color="auto"/>
              <w:right w:val="single" w:sz="4" w:space="0" w:color="auto"/>
            </w:tcBorders>
            <w:shd w:val="clear" w:color="auto" w:fill="auto"/>
            <w:noWrap/>
            <w:hideMark/>
          </w:tcPr>
          <w:p w14:paraId="47CA2D0B"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(Amortización prima sobre instrumentos financieros)</w:t>
            </w:r>
          </w:p>
        </w:tc>
      </w:tr>
      <w:tr w:rsidR="00965136" w:rsidRPr="00720D3A" w14:paraId="47CA2D10"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0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0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701005011303</w:t>
            </w:r>
          </w:p>
        </w:tc>
        <w:tc>
          <w:tcPr>
            <w:tcW w:w="5846" w:type="dxa"/>
            <w:tcBorders>
              <w:top w:val="nil"/>
              <w:left w:val="nil"/>
              <w:bottom w:val="single" w:sz="4" w:space="0" w:color="auto"/>
              <w:right w:val="single" w:sz="4" w:space="0" w:color="auto"/>
            </w:tcBorders>
            <w:shd w:val="clear" w:color="auto" w:fill="auto"/>
            <w:noWrap/>
            <w:hideMark/>
          </w:tcPr>
          <w:p w14:paraId="47CA2D0F"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Amortización descuento sobre instrumentos financieros</w:t>
            </w:r>
          </w:p>
        </w:tc>
      </w:tr>
      <w:tr w:rsidR="00965136" w:rsidRPr="00720D3A" w14:paraId="47CA2D14"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1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1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701005021100</w:t>
            </w:r>
          </w:p>
        </w:tc>
        <w:tc>
          <w:tcPr>
            <w:tcW w:w="5846" w:type="dxa"/>
            <w:tcBorders>
              <w:top w:val="nil"/>
              <w:left w:val="nil"/>
              <w:bottom w:val="single" w:sz="4" w:space="0" w:color="auto"/>
              <w:right w:val="single" w:sz="4" w:space="0" w:color="auto"/>
            </w:tcBorders>
            <w:shd w:val="clear" w:color="auto" w:fill="auto"/>
            <w:noWrap/>
            <w:hideMark/>
          </w:tcPr>
          <w:p w14:paraId="47CA2D13"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Inversiones al Valor Razonable con cambios en Otro Resultado Integral - Moneda Extranjera</w:t>
            </w:r>
          </w:p>
        </w:tc>
      </w:tr>
      <w:tr w:rsidR="00965136" w:rsidRPr="00720D3A" w14:paraId="47CA2D18"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1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1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701005021101</w:t>
            </w:r>
          </w:p>
        </w:tc>
        <w:tc>
          <w:tcPr>
            <w:tcW w:w="5846" w:type="dxa"/>
            <w:tcBorders>
              <w:top w:val="nil"/>
              <w:left w:val="nil"/>
              <w:bottom w:val="single" w:sz="4" w:space="0" w:color="auto"/>
              <w:right w:val="single" w:sz="4" w:space="0" w:color="auto"/>
            </w:tcBorders>
            <w:shd w:val="clear" w:color="auto" w:fill="auto"/>
            <w:noWrap/>
            <w:hideMark/>
          </w:tcPr>
          <w:p w14:paraId="47CA2D17"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Valor de adquisición de instrumentos financieros</w:t>
            </w:r>
          </w:p>
        </w:tc>
      </w:tr>
      <w:tr w:rsidR="00965136" w:rsidRPr="00720D3A" w14:paraId="47CA2D1C"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1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1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701005021102</w:t>
            </w:r>
          </w:p>
        </w:tc>
        <w:tc>
          <w:tcPr>
            <w:tcW w:w="5846" w:type="dxa"/>
            <w:tcBorders>
              <w:top w:val="nil"/>
              <w:left w:val="nil"/>
              <w:bottom w:val="single" w:sz="4" w:space="0" w:color="auto"/>
              <w:right w:val="single" w:sz="4" w:space="0" w:color="auto"/>
            </w:tcBorders>
            <w:shd w:val="clear" w:color="auto" w:fill="auto"/>
            <w:noWrap/>
            <w:hideMark/>
          </w:tcPr>
          <w:p w14:paraId="47CA2D1B"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(Amortización prima sobre instrumentos financieros)</w:t>
            </w:r>
          </w:p>
        </w:tc>
      </w:tr>
      <w:tr w:rsidR="00965136" w:rsidRPr="00720D3A" w14:paraId="47CA2D20"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1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1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701005021103</w:t>
            </w:r>
          </w:p>
        </w:tc>
        <w:tc>
          <w:tcPr>
            <w:tcW w:w="5846" w:type="dxa"/>
            <w:tcBorders>
              <w:top w:val="nil"/>
              <w:left w:val="nil"/>
              <w:bottom w:val="single" w:sz="4" w:space="0" w:color="auto"/>
              <w:right w:val="single" w:sz="4" w:space="0" w:color="auto"/>
            </w:tcBorders>
            <w:shd w:val="clear" w:color="auto" w:fill="auto"/>
            <w:noWrap/>
            <w:hideMark/>
          </w:tcPr>
          <w:p w14:paraId="47CA2D1F"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Amortización descuento sobre instrumentos financieros</w:t>
            </w:r>
          </w:p>
        </w:tc>
      </w:tr>
      <w:tr w:rsidR="00965136" w:rsidRPr="00720D3A" w14:paraId="47CA2D24"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2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2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701005021104</w:t>
            </w:r>
          </w:p>
        </w:tc>
        <w:tc>
          <w:tcPr>
            <w:tcW w:w="5846" w:type="dxa"/>
            <w:tcBorders>
              <w:top w:val="nil"/>
              <w:left w:val="nil"/>
              <w:bottom w:val="single" w:sz="4" w:space="0" w:color="auto"/>
              <w:right w:val="single" w:sz="4" w:space="0" w:color="auto"/>
            </w:tcBorders>
            <w:shd w:val="clear" w:color="auto" w:fill="auto"/>
            <w:noWrap/>
            <w:hideMark/>
          </w:tcPr>
          <w:p w14:paraId="47CA2D23"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Ajuste por valuación de instrumentos financieros </w:t>
            </w:r>
          </w:p>
        </w:tc>
      </w:tr>
      <w:tr w:rsidR="00965136" w:rsidRPr="00720D3A" w14:paraId="47CA2D28"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2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2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701005021200</w:t>
            </w:r>
          </w:p>
        </w:tc>
        <w:tc>
          <w:tcPr>
            <w:tcW w:w="5846" w:type="dxa"/>
            <w:tcBorders>
              <w:top w:val="nil"/>
              <w:left w:val="nil"/>
              <w:bottom w:val="single" w:sz="4" w:space="0" w:color="auto"/>
              <w:right w:val="single" w:sz="4" w:space="0" w:color="auto"/>
            </w:tcBorders>
            <w:shd w:val="clear" w:color="auto" w:fill="auto"/>
            <w:noWrap/>
            <w:hideMark/>
          </w:tcPr>
          <w:p w14:paraId="47CA2D27"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Inversiones al Valor Razonable con cambios en Resultados - Moneda Extranjera</w:t>
            </w:r>
          </w:p>
        </w:tc>
      </w:tr>
      <w:tr w:rsidR="00965136" w:rsidRPr="00720D3A" w14:paraId="47CA2D2C"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2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2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701005021201</w:t>
            </w:r>
          </w:p>
        </w:tc>
        <w:tc>
          <w:tcPr>
            <w:tcW w:w="5846" w:type="dxa"/>
            <w:tcBorders>
              <w:top w:val="nil"/>
              <w:left w:val="nil"/>
              <w:bottom w:val="single" w:sz="4" w:space="0" w:color="auto"/>
              <w:right w:val="single" w:sz="4" w:space="0" w:color="auto"/>
            </w:tcBorders>
            <w:shd w:val="clear" w:color="auto" w:fill="auto"/>
            <w:noWrap/>
            <w:hideMark/>
          </w:tcPr>
          <w:p w14:paraId="47CA2D2B"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Valor de adquisición de instrumentos financieros</w:t>
            </w:r>
          </w:p>
        </w:tc>
      </w:tr>
      <w:tr w:rsidR="00965136" w:rsidRPr="00720D3A" w14:paraId="47CA2D30"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2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2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701005021202</w:t>
            </w:r>
          </w:p>
        </w:tc>
        <w:tc>
          <w:tcPr>
            <w:tcW w:w="5846" w:type="dxa"/>
            <w:tcBorders>
              <w:top w:val="nil"/>
              <w:left w:val="nil"/>
              <w:bottom w:val="single" w:sz="4" w:space="0" w:color="auto"/>
              <w:right w:val="single" w:sz="4" w:space="0" w:color="auto"/>
            </w:tcBorders>
            <w:shd w:val="clear" w:color="auto" w:fill="auto"/>
            <w:noWrap/>
            <w:hideMark/>
          </w:tcPr>
          <w:p w14:paraId="47CA2D2F"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(Amortización prima sobre instrumentos financieros)</w:t>
            </w:r>
          </w:p>
        </w:tc>
      </w:tr>
      <w:tr w:rsidR="00965136" w:rsidRPr="00720D3A" w14:paraId="47CA2D34"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3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3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701005021203</w:t>
            </w:r>
          </w:p>
        </w:tc>
        <w:tc>
          <w:tcPr>
            <w:tcW w:w="5846" w:type="dxa"/>
            <w:tcBorders>
              <w:top w:val="nil"/>
              <w:left w:val="nil"/>
              <w:bottom w:val="single" w:sz="4" w:space="0" w:color="auto"/>
              <w:right w:val="single" w:sz="4" w:space="0" w:color="auto"/>
            </w:tcBorders>
            <w:shd w:val="clear" w:color="auto" w:fill="auto"/>
            <w:noWrap/>
            <w:hideMark/>
          </w:tcPr>
          <w:p w14:paraId="47CA2D33"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Amortización descuento sobre instrumentos financieros</w:t>
            </w:r>
          </w:p>
        </w:tc>
      </w:tr>
      <w:tr w:rsidR="00965136" w:rsidRPr="00720D3A" w14:paraId="47CA2D38"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3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3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701005021204</w:t>
            </w:r>
          </w:p>
        </w:tc>
        <w:tc>
          <w:tcPr>
            <w:tcW w:w="5846" w:type="dxa"/>
            <w:tcBorders>
              <w:top w:val="nil"/>
              <w:left w:val="nil"/>
              <w:bottom w:val="single" w:sz="4" w:space="0" w:color="auto"/>
              <w:right w:val="single" w:sz="4" w:space="0" w:color="auto"/>
            </w:tcBorders>
            <w:shd w:val="clear" w:color="auto" w:fill="auto"/>
            <w:noWrap/>
            <w:hideMark/>
          </w:tcPr>
          <w:p w14:paraId="47CA2D37"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Ajuste por valuación de instrumentos financieros </w:t>
            </w:r>
          </w:p>
        </w:tc>
      </w:tr>
      <w:tr w:rsidR="00965136" w:rsidRPr="00720D3A" w14:paraId="47CA2D3C"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3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3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701005021300</w:t>
            </w:r>
          </w:p>
        </w:tc>
        <w:tc>
          <w:tcPr>
            <w:tcW w:w="5846" w:type="dxa"/>
            <w:tcBorders>
              <w:top w:val="nil"/>
              <w:left w:val="nil"/>
              <w:bottom w:val="single" w:sz="4" w:space="0" w:color="auto"/>
              <w:right w:val="single" w:sz="4" w:space="0" w:color="auto"/>
            </w:tcBorders>
            <w:shd w:val="clear" w:color="auto" w:fill="auto"/>
            <w:noWrap/>
            <w:hideMark/>
          </w:tcPr>
          <w:p w14:paraId="47CA2D3B"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Inversiones al Costo Amortizado - Moneda Extranjera</w:t>
            </w:r>
          </w:p>
        </w:tc>
      </w:tr>
      <w:tr w:rsidR="00965136" w:rsidRPr="00720D3A" w14:paraId="47CA2D40"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3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3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701005021301</w:t>
            </w:r>
          </w:p>
        </w:tc>
        <w:tc>
          <w:tcPr>
            <w:tcW w:w="5846" w:type="dxa"/>
            <w:tcBorders>
              <w:top w:val="nil"/>
              <w:left w:val="nil"/>
              <w:bottom w:val="single" w:sz="4" w:space="0" w:color="auto"/>
              <w:right w:val="single" w:sz="4" w:space="0" w:color="auto"/>
            </w:tcBorders>
            <w:shd w:val="clear" w:color="auto" w:fill="auto"/>
            <w:noWrap/>
            <w:hideMark/>
          </w:tcPr>
          <w:p w14:paraId="47CA2D3F"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Valor de adquisición de instrumentos financieros</w:t>
            </w:r>
          </w:p>
        </w:tc>
      </w:tr>
      <w:tr w:rsidR="00965136" w:rsidRPr="00720D3A" w14:paraId="47CA2D44"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4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4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701005021302</w:t>
            </w:r>
          </w:p>
        </w:tc>
        <w:tc>
          <w:tcPr>
            <w:tcW w:w="5846" w:type="dxa"/>
            <w:tcBorders>
              <w:top w:val="nil"/>
              <w:left w:val="nil"/>
              <w:bottom w:val="single" w:sz="4" w:space="0" w:color="auto"/>
              <w:right w:val="single" w:sz="4" w:space="0" w:color="auto"/>
            </w:tcBorders>
            <w:shd w:val="clear" w:color="auto" w:fill="auto"/>
            <w:noWrap/>
            <w:hideMark/>
          </w:tcPr>
          <w:p w14:paraId="47CA2D43"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(Amortización prima sobre instrumentos financieros)</w:t>
            </w:r>
          </w:p>
        </w:tc>
      </w:tr>
      <w:tr w:rsidR="00965136" w:rsidRPr="00720D3A" w14:paraId="47CA2D48"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4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4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701005021303</w:t>
            </w:r>
          </w:p>
        </w:tc>
        <w:tc>
          <w:tcPr>
            <w:tcW w:w="5846" w:type="dxa"/>
            <w:tcBorders>
              <w:top w:val="nil"/>
              <w:left w:val="nil"/>
              <w:bottom w:val="single" w:sz="4" w:space="0" w:color="auto"/>
              <w:right w:val="single" w:sz="4" w:space="0" w:color="auto"/>
            </w:tcBorders>
            <w:shd w:val="clear" w:color="auto" w:fill="auto"/>
            <w:noWrap/>
            <w:hideMark/>
          </w:tcPr>
          <w:p w14:paraId="47CA2D47"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 Amortización descuento sobre instrumentos financieros</w:t>
            </w:r>
          </w:p>
        </w:tc>
      </w:tr>
      <w:tr w:rsidR="00795EC5" w:rsidRPr="00720D3A" w14:paraId="47CA2D4C"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tcPr>
          <w:p w14:paraId="47CA2D49" w14:textId="77777777" w:rsidR="00795EC5" w:rsidRPr="00720D3A" w:rsidRDefault="00795EC5" w:rsidP="00795EC5">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tcPr>
          <w:p w14:paraId="47CA2D4A" w14:textId="77777777" w:rsidR="00795EC5" w:rsidRPr="00720D3A" w:rsidRDefault="00795EC5" w:rsidP="00795EC5">
            <w:pPr>
              <w:spacing w:after="0" w:line="240" w:lineRule="auto"/>
              <w:rPr>
                <w:rFonts w:eastAsia="Times New Roman" w:cs="Arial"/>
                <w:lang w:val="es-CR" w:eastAsia="es-CR"/>
              </w:rPr>
            </w:pPr>
            <w:r w:rsidRPr="00720D3A">
              <w:rPr>
                <w:rFonts w:eastAsia="Times New Roman" w:cs="Arial"/>
                <w:lang w:val="es-CR" w:eastAsia="es-CR"/>
              </w:rPr>
              <w:t>701015010450</w:t>
            </w:r>
          </w:p>
        </w:tc>
        <w:tc>
          <w:tcPr>
            <w:tcW w:w="5846" w:type="dxa"/>
            <w:tcBorders>
              <w:top w:val="nil"/>
              <w:left w:val="nil"/>
              <w:bottom w:val="single" w:sz="4" w:space="0" w:color="auto"/>
              <w:right w:val="single" w:sz="4" w:space="0" w:color="auto"/>
            </w:tcBorders>
            <w:shd w:val="clear" w:color="auto" w:fill="auto"/>
            <w:noWrap/>
          </w:tcPr>
          <w:p w14:paraId="47CA2D4B" w14:textId="77777777" w:rsidR="00795EC5" w:rsidRPr="00720D3A" w:rsidRDefault="00795EC5" w:rsidP="00795EC5">
            <w:pPr>
              <w:spacing w:after="0" w:line="240" w:lineRule="auto"/>
              <w:rPr>
                <w:rFonts w:eastAsia="Times New Roman" w:cs="Arial"/>
                <w:lang w:val="es-CR" w:eastAsia="es-CR"/>
              </w:rPr>
            </w:pPr>
            <w:r w:rsidRPr="00720D3A">
              <w:rPr>
                <w:rFonts w:eastAsia="Times New Roman" w:cs="Arial"/>
                <w:lang w:val="es-CR" w:eastAsia="es-CR"/>
              </w:rPr>
              <w:t>Adelanto por Obras en Proceso- Colones</w:t>
            </w:r>
          </w:p>
        </w:tc>
      </w:tr>
      <w:tr w:rsidR="00795EC5" w:rsidRPr="00720D3A" w14:paraId="47CA2D50"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tcPr>
          <w:p w14:paraId="47CA2D4D" w14:textId="77777777" w:rsidR="00795EC5" w:rsidRPr="00720D3A" w:rsidRDefault="00795EC5" w:rsidP="00795EC5">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tcPr>
          <w:p w14:paraId="47CA2D4E" w14:textId="77777777" w:rsidR="00795EC5" w:rsidRPr="00720D3A" w:rsidRDefault="00795EC5" w:rsidP="00795EC5">
            <w:pPr>
              <w:spacing w:after="0" w:line="240" w:lineRule="auto"/>
              <w:rPr>
                <w:rFonts w:eastAsia="Times New Roman" w:cs="Arial"/>
                <w:lang w:val="es-CR" w:eastAsia="es-CR"/>
              </w:rPr>
            </w:pPr>
            <w:r w:rsidRPr="00720D3A">
              <w:rPr>
                <w:rFonts w:eastAsia="Times New Roman" w:cs="Arial"/>
                <w:lang w:val="es-CR" w:eastAsia="es-CR"/>
              </w:rPr>
              <w:t>701015020450</w:t>
            </w:r>
          </w:p>
        </w:tc>
        <w:tc>
          <w:tcPr>
            <w:tcW w:w="5846" w:type="dxa"/>
            <w:tcBorders>
              <w:top w:val="nil"/>
              <w:left w:val="nil"/>
              <w:bottom w:val="single" w:sz="4" w:space="0" w:color="auto"/>
              <w:right w:val="single" w:sz="4" w:space="0" w:color="auto"/>
            </w:tcBorders>
            <w:shd w:val="clear" w:color="auto" w:fill="auto"/>
            <w:noWrap/>
          </w:tcPr>
          <w:p w14:paraId="47CA2D4F" w14:textId="77777777" w:rsidR="00795EC5" w:rsidRPr="00720D3A" w:rsidRDefault="00795EC5" w:rsidP="00795EC5">
            <w:pPr>
              <w:spacing w:after="0" w:line="240" w:lineRule="auto"/>
              <w:rPr>
                <w:rFonts w:eastAsia="Times New Roman" w:cs="Arial"/>
                <w:lang w:val="es-CR" w:eastAsia="es-CR"/>
              </w:rPr>
            </w:pPr>
            <w:r w:rsidRPr="00720D3A">
              <w:rPr>
                <w:rFonts w:eastAsia="Times New Roman" w:cs="Arial"/>
                <w:lang w:val="es-CR" w:eastAsia="es-CR"/>
              </w:rPr>
              <w:t>Adelanto por Obras en Proceso- Moneda Extranjera</w:t>
            </w:r>
          </w:p>
        </w:tc>
      </w:tr>
      <w:tr w:rsidR="00965136" w:rsidRPr="00720D3A" w14:paraId="47CA2D54"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5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5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701035010100   </w:t>
            </w:r>
          </w:p>
        </w:tc>
        <w:tc>
          <w:tcPr>
            <w:tcW w:w="5846" w:type="dxa"/>
            <w:tcBorders>
              <w:top w:val="nil"/>
              <w:left w:val="nil"/>
              <w:bottom w:val="single" w:sz="4" w:space="0" w:color="auto"/>
              <w:right w:val="single" w:sz="4" w:space="0" w:color="auto"/>
            </w:tcBorders>
            <w:shd w:val="clear" w:color="auto" w:fill="auto"/>
            <w:noWrap/>
            <w:hideMark/>
          </w:tcPr>
          <w:p w14:paraId="47CA2D53"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Instrumentos financieros vencidos pendientes de cobro</w:t>
            </w:r>
          </w:p>
        </w:tc>
      </w:tr>
      <w:tr w:rsidR="00965136" w:rsidRPr="00720D3A" w14:paraId="47CA2D58"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5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5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701035010200   </w:t>
            </w:r>
          </w:p>
        </w:tc>
        <w:tc>
          <w:tcPr>
            <w:tcW w:w="5846" w:type="dxa"/>
            <w:tcBorders>
              <w:top w:val="nil"/>
              <w:left w:val="nil"/>
              <w:bottom w:val="single" w:sz="4" w:space="0" w:color="auto"/>
              <w:right w:val="single" w:sz="4" w:space="0" w:color="auto"/>
            </w:tcBorders>
            <w:shd w:val="clear" w:color="auto" w:fill="auto"/>
            <w:noWrap/>
            <w:hideMark/>
          </w:tcPr>
          <w:p w14:paraId="47CA2D57"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(Estimación por Deterioro para Instrumentos financieros vencidos)</w:t>
            </w:r>
          </w:p>
        </w:tc>
      </w:tr>
      <w:tr w:rsidR="00965136" w:rsidRPr="00720D3A" w14:paraId="47CA2D5C"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5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5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701035020100   </w:t>
            </w:r>
          </w:p>
        </w:tc>
        <w:tc>
          <w:tcPr>
            <w:tcW w:w="5846" w:type="dxa"/>
            <w:tcBorders>
              <w:top w:val="nil"/>
              <w:left w:val="nil"/>
              <w:bottom w:val="single" w:sz="4" w:space="0" w:color="auto"/>
              <w:right w:val="single" w:sz="4" w:space="0" w:color="auto"/>
            </w:tcBorders>
            <w:shd w:val="clear" w:color="auto" w:fill="auto"/>
            <w:noWrap/>
            <w:hideMark/>
          </w:tcPr>
          <w:p w14:paraId="47CA2D5B"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Instrumentos financieros vencidos pendientes de cobro</w:t>
            </w:r>
          </w:p>
        </w:tc>
      </w:tr>
      <w:tr w:rsidR="00965136" w:rsidRPr="00720D3A" w14:paraId="47CA2D60"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5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5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701035020200   </w:t>
            </w:r>
          </w:p>
        </w:tc>
        <w:tc>
          <w:tcPr>
            <w:tcW w:w="5846" w:type="dxa"/>
            <w:tcBorders>
              <w:top w:val="nil"/>
              <w:left w:val="nil"/>
              <w:bottom w:val="single" w:sz="4" w:space="0" w:color="auto"/>
              <w:right w:val="single" w:sz="4" w:space="0" w:color="auto"/>
            </w:tcBorders>
            <w:shd w:val="clear" w:color="auto" w:fill="auto"/>
            <w:noWrap/>
            <w:hideMark/>
          </w:tcPr>
          <w:p w14:paraId="47CA2D5F"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(Estimación por Deterioro para Instrumentos financieros vencidos)</w:t>
            </w:r>
          </w:p>
        </w:tc>
      </w:tr>
      <w:tr w:rsidR="00965136" w:rsidRPr="00720D3A" w14:paraId="47CA2D64"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6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lastRenderedPageBreak/>
              <w:t>BG_FONDOS</w:t>
            </w:r>
          </w:p>
        </w:tc>
        <w:tc>
          <w:tcPr>
            <w:tcW w:w="1660" w:type="dxa"/>
            <w:tcBorders>
              <w:top w:val="nil"/>
              <w:left w:val="nil"/>
              <w:bottom w:val="single" w:sz="4" w:space="0" w:color="auto"/>
              <w:right w:val="single" w:sz="4" w:space="0" w:color="auto"/>
            </w:tcBorders>
            <w:shd w:val="clear" w:color="auto" w:fill="auto"/>
            <w:noWrap/>
            <w:hideMark/>
          </w:tcPr>
          <w:p w14:paraId="47CA2D6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702006010100   </w:t>
            </w:r>
          </w:p>
        </w:tc>
        <w:tc>
          <w:tcPr>
            <w:tcW w:w="5846" w:type="dxa"/>
            <w:tcBorders>
              <w:top w:val="nil"/>
              <w:left w:val="nil"/>
              <w:bottom w:val="single" w:sz="4" w:space="0" w:color="auto"/>
              <w:right w:val="single" w:sz="4" w:space="0" w:color="auto"/>
            </w:tcBorders>
            <w:shd w:val="clear" w:color="auto" w:fill="auto"/>
            <w:noWrap/>
            <w:hideMark/>
          </w:tcPr>
          <w:p w14:paraId="47CA2D63"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Valor de adquisición de Terrenos</w:t>
            </w:r>
          </w:p>
        </w:tc>
      </w:tr>
      <w:tr w:rsidR="00965136" w:rsidRPr="00720D3A" w14:paraId="47CA2D68"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6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6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702006010200   </w:t>
            </w:r>
          </w:p>
        </w:tc>
        <w:tc>
          <w:tcPr>
            <w:tcW w:w="5846" w:type="dxa"/>
            <w:tcBorders>
              <w:top w:val="nil"/>
              <w:left w:val="nil"/>
              <w:bottom w:val="single" w:sz="4" w:space="0" w:color="auto"/>
              <w:right w:val="single" w:sz="4" w:space="0" w:color="auto"/>
            </w:tcBorders>
            <w:shd w:val="clear" w:color="auto" w:fill="auto"/>
            <w:noWrap/>
            <w:hideMark/>
          </w:tcPr>
          <w:p w14:paraId="47CA2D67"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Valor de adquisición de otros activos</w:t>
            </w:r>
          </w:p>
        </w:tc>
      </w:tr>
      <w:tr w:rsidR="00965136" w:rsidRPr="00720D3A" w14:paraId="47CA2D6C"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6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6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702006010300   </w:t>
            </w:r>
          </w:p>
        </w:tc>
        <w:tc>
          <w:tcPr>
            <w:tcW w:w="5846" w:type="dxa"/>
            <w:tcBorders>
              <w:top w:val="nil"/>
              <w:left w:val="nil"/>
              <w:bottom w:val="single" w:sz="4" w:space="0" w:color="auto"/>
              <w:right w:val="single" w:sz="4" w:space="0" w:color="auto"/>
            </w:tcBorders>
            <w:shd w:val="clear" w:color="auto" w:fill="auto"/>
            <w:noWrap/>
            <w:hideMark/>
          </w:tcPr>
          <w:p w14:paraId="47CA2D6B"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Costos de desarrollo</w:t>
            </w:r>
          </w:p>
        </w:tc>
      </w:tr>
      <w:tr w:rsidR="00965136" w:rsidRPr="00720D3A" w14:paraId="47CA2D70"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6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6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702006010400   </w:t>
            </w:r>
          </w:p>
        </w:tc>
        <w:tc>
          <w:tcPr>
            <w:tcW w:w="5846" w:type="dxa"/>
            <w:tcBorders>
              <w:top w:val="nil"/>
              <w:left w:val="nil"/>
              <w:bottom w:val="single" w:sz="4" w:space="0" w:color="auto"/>
              <w:right w:val="single" w:sz="4" w:space="0" w:color="auto"/>
            </w:tcBorders>
            <w:shd w:val="clear" w:color="auto" w:fill="auto"/>
            <w:noWrap/>
            <w:hideMark/>
          </w:tcPr>
          <w:p w14:paraId="47CA2D6F"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(Deterioro de activos)</w:t>
            </w:r>
          </w:p>
        </w:tc>
      </w:tr>
      <w:tr w:rsidR="00965136" w:rsidRPr="00720D3A" w14:paraId="47CA2D74"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7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7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702006020100   </w:t>
            </w:r>
          </w:p>
        </w:tc>
        <w:tc>
          <w:tcPr>
            <w:tcW w:w="5846" w:type="dxa"/>
            <w:tcBorders>
              <w:top w:val="nil"/>
              <w:left w:val="nil"/>
              <w:bottom w:val="single" w:sz="4" w:space="0" w:color="auto"/>
              <w:right w:val="single" w:sz="4" w:space="0" w:color="auto"/>
            </w:tcBorders>
            <w:shd w:val="clear" w:color="auto" w:fill="auto"/>
            <w:noWrap/>
            <w:hideMark/>
          </w:tcPr>
          <w:p w14:paraId="47CA2D73"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Valor de adquisición de Terrenos</w:t>
            </w:r>
          </w:p>
        </w:tc>
      </w:tr>
      <w:tr w:rsidR="00965136" w:rsidRPr="00720D3A" w14:paraId="47CA2D78"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7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7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702006020200   </w:t>
            </w:r>
          </w:p>
        </w:tc>
        <w:tc>
          <w:tcPr>
            <w:tcW w:w="5846" w:type="dxa"/>
            <w:tcBorders>
              <w:top w:val="nil"/>
              <w:left w:val="nil"/>
              <w:bottom w:val="single" w:sz="4" w:space="0" w:color="auto"/>
              <w:right w:val="single" w:sz="4" w:space="0" w:color="auto"/>
            </w:tcBorders>
            <w:shd w:val="clear" w:color="auto" w:fill="auto"/>
            <w:noWrap/>
            <w:hideMark/>
          </w:tcPr>
          <w:p w14:paraId="47CA2D77"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Valor de adquisición de otros activos</w:t>
            </w:r>
          </w:p>
        </w:tc>
      </w:tr>
      <w:tr w:rsidR="00965136" w:rsidRPr="00720D3A" w14:paraId="47CA2D7C"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7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7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702006020300   </w:t>
            </w:r>
          </w:p>
        </w:tc>
        <w:tc>
          <w:tcPr>
            <w:tcW w:w="5846" w:type="dxa"/>
            <w:tcBorders>
              <w:top w:val="nil"/>
              <w:left w:val="nil"/>
              <w:bottom w:val="single" w:sz="4" w:space="0" w:color="auto"/>
              <w:right w:val="single" w:sz="4" w:space="0" w:color="auto"/>
            </w:tcBorders>
            <w:shd w:val="clear" w:color="auto" w:fill="auto"/>
            <w:noWrap/>
            <w:hideMark/>
          </w:tcPr>
          <w:p w14:paraId="47CA2D7B"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Costos de desarrollo</w:t>
            </w:r>
          </w:p>
        </w:tc>
      </w:tr>
      <w:tr w:rsidR="00965136" w:rsidRPr="00720D3A" w14:paraId="47CA2D80"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7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7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702006020400   </w:t>
            </w:r>
          </w:p>
        </w:tc>
        <w:tc>
          <w:tcPr>
            <w:tcW w:w="5846" w:type="dxa"/>
            <w:tcBorders>
              <w:top w:val="nil"/>
              <w:left w:val="nil"/>
              <w:bottom w:val="single" w:sz="4" w:space="0" w:color="auto"/>
              <w:right w:val="single" w:sz="4" w:space="0" w:color="auto"/>
            </w:tcBorders>
            <w:shd w:val="clear" w:color="auto" w:fill="auto"/>
            <w:noWrap/>
            <w:hideMark/>
          </w:tcPr>
          <w:p w14:paraId="47CA2D7F"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(Deterioro de activos)</w:t>
            </w:r>
          </w:p>
        </w:tc>
      </w:tr>
      <w:tr w:rsidR="00965136" w:rsidRPr="00720D3A" w14:paraId="47CA2D84"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8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8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702010010500</w:t>
            </w:r>
          </w:p>
        </w:tc>
        <w:tc>
          <w:tcPr>
            <w:tcW w:w="5846" w:type="dxa"/>
            <w:tcBorders>
              <w:top w:val="nil"/>
              <w:left w:val="nil"/>
              <w:bottom w:val="single" w:sz="4" w:space="0" w:color="auto"/>
              <w:right w:val="single" w:sz="4" w:space="0" w:color="auto"/>
            </w:tcBorders>
            <w:shd w:val="clear" w:color="auto" w:fill="auto"/>
            <w:noWrap/>
            <w:hideMark/>
          </w:tcPr>
          <w:p w14:paraId="47CA2D83"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Plusvalía Comprada </w:t>
            </w:r>
          </w:p>
        </w:tc>
      </w:tr>
      <w:tr w:rsidR="00965136" w:rsidRPr="00720D3A" w14:paraId="47CA2D88"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8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8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702010010501</w:t>
            </w:r>
          </w:p>
        </w:tc>
        <w:tc>
          <w:tcPr>
            <w:tcW w:w="5846" w:type="dxa"/>
            <w:tcBorders>
              <w:top w:val="nil"/>
              <w:left w:val="nil"/>
              <w:bottom w:val="single" w:sz="4" w:space="0" w:color="auto"/>
              <w:right w:val="single" w:sz="4" w:space="0" w:color="auto"/>
            </w:tcBorders>
            <w:shd w:val="clear" w:color="auto" w:fill="auto"/>
            <w:noWrap/>
            <w:hideMark/>
          </w:tcPr>
          <w:p w14:paraId="47CA2D87"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Valor de origen de la plusvalía comprada</w:t>
            </w:r>
          </w:p>
        </w:tc>
      </w:tr>
      <w:tr w:rsidR="00965136" w:rsidRPr="00720D3A" w14:paraId="47CA2D8C"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8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8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702010010502</w:t>
            </w:r>
          </w:p>
        </w:tc>
        <w:tc>
          <w:tcPr>
            <w:tcW w:w="5846" w:type="dxa"/>
            <w:tcBorders>
              <w:top w:val="nil"/>
              <w:left w:val="nil"/>
              <w:bottom w:val="single" w:sz="4" w:space="0" w:color="auto"/>
              <w:right w:val="single" w:sz="4" w:space="0" w:color="auto"/>
            </w:tcBorders>
            <w:shd w:val="clear" w:color="auto" w:fill="auto"/>
            <w:noWrap/>
            <w:hideMark/>
          </w:tcPr>
          <w:p w14:paraId="47CA2D8B"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(Deterioro de la plusvalía comprada)</w:t>
            </w:r>
          </w:p>
        </w:tc>
      </w:tr>
      <w:tr w:rsidR="00965136" w:rsidRPr="00720D3A" w14:paraId="47CA2D90"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8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8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702010020500</w:t>
            </w:r>
          </w:p>
        </w:tc>
        <w:tc>
          <w:tcPr>
            <w:tcW w:w="5846" w:type="dxa"/>
            <w:tcBorders>
              <w:top w:val="nil"/>
              <w:left w:val="nil"/>
              <w:bottom w:val="single" w:sz="4" w:space="0" w:color="auto"/>
              <w:right w:val="single" w:sz="4" w:space="0" w:color="auto"/>
            </w:tcBorders>
            <w:shd w:val="clear" w:color="auto" w:fill="auto"/>
            <w:noWrap/>
            <w:hideMark/>
          </w:tcPr>
          <w:p w14:paraId="47CA2D8F"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Plusvalía Comprada </w:t>
            </w:r>
          </w:p>
        </w:tc>
      </w:tr>
      <w:tr w:rsidR="00965136" w:rsidRPr="00720D3A" w14:paraId="47CA2D94"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9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9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702010020501</w:t>
            </w:r>
          </w:p>
        </w:tc>
        <w:tc>
          <w:tcPr>
            <w:tcW w:w="5846" w:type="dxa"/>
            <w:tcBorders>
              <w:top w:val="nil"/>
              <w:left w:val="nil"/>
              <w:bottom w:val="single" w:sz="4" w:space="0" w:color="auto"/>
              <w:right w:val="single" w:sz="4" w:space="0" w:color="auto"/>
            </w:tcBorders>
            <w:shd w:val="clear" w:color="auto" w:fill="auto"/>
            <w:noWrap/>
            <w:hideMark/>
          </w:tcPr>
          <w:p w14:paraId="47CA2D93"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Valor de origen de la plusvalía comprada</w:t>
            </w:r>
          </w:p>
        </w:tc>
      </w:tr>
      <w:tr w:rsidR="00965136" w:rsidRPr="00720D3A" w14:paraId="47CA2D98"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9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9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702010020502</w:t>
            </w:r>
          </w:p>
        </w:tc>
        <w:tc>
          <w:tcPr>
            <w:tcW w:w="5846" w:type="dxa"/>
            <w:tcBorders>
              <w:top w:val="nil"/>
              <w:left w:val="nil"/>
              <w:bottom w:val="single" w:sz="4" w:space="0" w:color="auto"/>
              <w:right w:val="single" w:sz="4" w:space="0" w:color="auto"/>
            </w:tcBorders>
            <w:shd w:val="clear" w:color="auto" w:fill="auto"/>
            <w:noWrap/>
            <w:hideMark/>
          </w:tcPr>
          <w:p w14:paraId="47CA2D97"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(Deterioro de la plusvalía comprada)</w:t>
            </w:r>
          </w:p>
        </w:tc>
      </w:tr>
      <w:tr w:rsidR="00E3756B" w:rsidRPr="00720D3A" w14:paraId="47CA2D9C"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tcPr>
          <w:p w14:paraId="47CA2D99" w14:textId="77777777" w:rsidR="00E3756B" w:rsidRPr="00720D3A" w:rsidRDefault="00E3756B" w:rsidP="00E3756B">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tcPr>
          <w:p w14:paraId="47CA2D9A" w14:textId="77777777" w:rsidR="00E3756B" w:rsidRPr="00720D3A" w:rsidRDefault="00E3756B" w:rsidP="00E3756B">
            <w:pPr>
              <w:spacing w:after="0" w:line="240" w:lineRule="auto"/>
              <w:rPr>
                <w:rFonts w:eastAsia="Times New Roman" w:cs="Arial"/>
                <w:lang w:val="es-CR" w:eastAsia="es-CR"/>
              </w:rPr>
            </w:pPr>
            <w:r w:rsidRPr="00720D3A">
              <w:rPr>
                <w:rFonts w:eastAsia="Times New Roman" w:cs="Arial"/>
                <w:lang w:val="es-CR" w:eastAsia="es-CR"/>
              </w:rPr>
              <w:t xml:space="preserve">801007000000   </w:t>
            </w:r>
          </w:p>
        </w:tc>
        <w:tc>
          <w:tcPr>
            <w:tcW w:w="5846" w:type="dxa"/>
            <w:tcBorders>
              <w:top w:val="nil"/>
              <w:left w:val="nil"/>
              <w:bottom w:val="single" w:sz="4" w:space="0" w:color="auto"/>
              <w:right w:val="single" w:sz="4" w:space="0" w:color="auto"/>
            </w:tcBorders>
            <w:shd w:val="clear" w:color="auto" w:fill="auto"/>
            <w:noWrap/>
          </w:tcPr>
          <w:p w14:paraId="47CA2D9B" w14:textId="77777777" w:rsidR="00E3756B" w:rsidRPr="00720D3A" w:rsidRDefault="00F461AC" w:rsidP="00E3756B">
            <w:pPr>
              <w:spacing w:after="0" w:line="240" w:lineRule="auto"/>
              <w:rPr>
                <w:rFonts w:eastAsia="Times New Roman" w:cs="Arial"/>
                <w:lang w:val="es-CR" w:eastAsia="es-CR"/>
              </w:rPr>
            </w:pPr>
            <w:r w:rsidRPr="00720D3A">
              <w:rPr>
                <w:rFonts w:eastAsia="Times New Roman" w:cs="Arial"/>
                <w:lang w:val="es-CR" w:eastAsia="es-CR"/>
              </w:rPr>
              <w:t>(</w:t>
            </w:r>
            <w:r w:rsidR="00E3756B" w:rsidRPr="00720D3A">
              <w:rPr>
                <w:rFonts w:eastAsia="Times New Roman" w:cs="Arial"/>
                <w:lang w:val="es-CR" w:eastAsia="es-CR"/>
              </w:rPr>
              <w:t>Amortización parcial de participaciones</w:t>
            </w:r>
            <w:r w:rsidRPr="00720D3A">
              <w:rPr>
                <w:rFonts w:eastAsia="Times New Roman" w:cs="Arial"/>
                <w:lang w:val="es-CR" w:eastAsia="es-CR"/>
              </w:rPr>
              <w:t>)</w:t>
            </w:r>
          </w:p>
        </w:tc>
      </w:tr>
      <w:tr w:rsidR="00965136" w:rsidRPr="00720D3A" w14:paraId="47CA2DA0"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9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9E" w14:textId="77777777" w:rsidR="00965136" w:rsidRPr="00720D3A" w:rsidRDefault="00965136" w:rsidP="00E3756B">
            <w:pPr>
              <w:spacing w:after="0" w:line="240" w:lineRule="auto"/>
              <w:rPr>
                <w:rFonts w:eastAsia="Times New Roman" w:cs="Arial"/>
                <w:lang w:val="es-CR" w:eastAsia="es-CR"/>
              </w:rPr>
            </w:pPr>
            <w:r w:rsidRPr="00720D3A">
              <w:rPr>
                <w:rFonts w:eastAsia="Times New Roman" w:cs="Arial"/>
                <w:lang w:val="es-CR" w:eastAsia="es-CR"/>
              </w:rPr>
              <w:t xml:space="preserve">802100000000   </w:t>
            </w:r>
          </w:p>
        </w:tc>
        <w:tc>
          <w:tcPr>
            <w:tcW w:w="5846" w:type="dxa"/>
            <w:tcBorders>
              <w:top w:val="nil"/>
              <w:left w:val="nil"/>
              <w:bottom w:val="single" w:sz="4" w:space="0" w:color="auto"/>
              <w:right w:val="single" w:sz="4" w:space="0" w:color="auto"/>
            </w:tcBorders>
            <w:shd w:val="clear" w:color="auto" w:fill="auto"/>
            <w:noWrap/>
            <w:hideMark/>
          </w:tcPr>
          <w:p w14:paraId="47CA2D9F"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Ajustes por conversión de estados financieros</w:t>
            </w:r>
          </w:p>
        </w:tc>
      </w:tr>
      <w:tr w:rsidR="00965136" w:rsidRPr="00720D3A" w14:paraId="47CA2DA4"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A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A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802200000000   </w:t>
            </w:r>
          </w:p>
        </w:tc>
        <w:tc>
          <w:tcPr>
            <w:tcW w:w="5846" w:type="dxa"/>
            <w:tcBorders>
              <w:top w:val="nil"/>
              <w:left w:val="nil"/>
              <w:bottom w:val="single" w:sz="4" w:space="0" w:color="auto"/>
              <w:right w:val="single" w:sz="4" w:space="0" w:color="auto"/>
            </w:tcBorders>
            <w:shd w:val="clear" w:color="auto" w:fill="auto"/>
            <w:noWrap/>
            <w:hideMark/>
          </w:tcPr>
          <w:p w14:paraId="47CA2DA3"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Ajustes por otro resultado integral</w:t>
            </w:r>
          </w:p>
        </w:tc>
      </w:tr>
      <w:tr w:rsidR="00965136" w:rsidRPr="00720D3A" w14:paraId="47CA2DA8"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A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RA_FONDOS</w:t>
            </w:r>
          </w:p>
        </w:tc>
        <w:tc>
          <w:tcPr>
            <w:tcW w:w="1660" w:type="dxa"/>
            <w:tcBorders>
              <w:top w:val="nil"/>
              <w:left w:val="nil"/>
              <w:bottom w:val="single" w:sz="4" w:space="0" w:color="auto"/>
              <w:right w:val="single" w:sz="4" w:space="0" w:color="auto"/>
            </w:tcBorders>
            <w:shd w:val="clear" w:color="auto" w:fill="auto"/>
            <w:noWrap/>
            <w:hideMark/>
          </w:tcPr>
          <w:p w14:paraId="47CA2DA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902000000000</w:t>
            </w:r>
          </w:p>
        </w:tc>
        <w:tc>
          <w:tcPr>
            <w:tcW w:w="5846" w:type="dxa"/>
            <w:tcBorders>
              <w:top w:val="nil"/>
              <w:left w:val="nil"/>
              <w:bottom w:val="single" w:sz="4" w:space="0" w:color="auto"/>
              <w:right w:val="single" w:sz="4" w:space="0" w:color="auto"/>
            </w:tcBorders>
            <w:shd w:val="clear" w:color="auto" w:fill="auto"/>
            <w:noWrap/>
            <w:hideMark/>
          </w:tcPr>
          <w:p w14:paraId="47CA2DA7"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OTROS RESULTADOS INTEGRALES DESPUES DE IMPUESTOS</w:t>
            </w:r>
          </w:p>
        </w:tc>
      </w:tr>
      <w:tr w:rsidR="00965136" w:rsidRPr="00720D3A" w14:paraId="47CA2DAC"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A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RA_FONDOS</w:t>
            </w:r>
          </w:p>
        </w:tc>
        <w:tc>
          <w:tcPr>
            <w:tcW w:w="1660" w:type="dxa"/>
            <w:tcBorders>
              <w:top w:val="nil"/>
              <w:left w:val="nil"/>
              <w:bottom w:val="single" w:sz="4" w:space="0" w:color="auto"/>
              <w:right w:val="single" w:sz="4" w:space="0" w:color="auto"/>
            </w:tcBorders>
            <w:shd w:val="clear" w:color="auto" w:fill="auto"/>
            <w:noWrap/>
            <w:hideMark/>
          </w:tcPr>
          <w:p w14:paraId="47CA2DA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902005000000</w:t>
            </w:r>
          </w:p>
        </w:tc>
        <w:tc>
          <w:tcPr>
            <w:tcW w:w="5846" w:type="dxa"/>
            <w:tcBorders>
              <w:top w:val="nil"/>
              <w:left w:val="nil"/>
              <w:bottom w:val="single" w:sz="4" w:space="0" w:color="auto"/>
              <w:right w:val="single" w:sz="4" w:space="0" w:color="auto"/>
            </w:tcBorders>
            <w:shd w:val="clear" w:color="auto" w:fill="auto"/>
            <w:noWrap/>
            <w:hideMark/>
          </w:tcPr>
          <w:p w14:paraId="47CA2DAB" w14:textId="77777777" w:rsidR="00965136" w:rsidRPr="00720D3A" w:rsidRDefault="00965136" w:rsidP="00965136">
            <w:pPr>
              <w:spacing w:after="0" w:line="240" w:lineRule="auto"/>
              <w:ind w:firstLineChars="200" w:firstLine="440"/>
              <w:rPr>
                <w:rFonts w:eastAsia="Times New Roman" w:cs="Arial"/>
                <w:lang w:val="es-CR" w:eastAsia="es-CR"/>
              </w:rPr>
            </w:pPr>
            <w:r w:rsidRPr="00720D3A">
              <w:rPr>
                <w:rFonts w:eastAsia="Times New Roman" w:cs="Arial"/>
                <w:lang w:val="es-CR" w:eastAsia="es-CR"/>
              </w:rPr>
              <w:t>Ajuste por valuación de inversiones al valor razonable con cambios en otro resultado integral</w:t>
            </w:r>
          </w:p>
        </w:tc>
      </w:tr>
      <w:tr w:rsidR="00965136" w:rsidRPr="00720D3A" w14:paraId="47CA2DB0"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A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RA_FONDOS</w:t>
            </w:r>
          </w:p>
        </w:tc>
        <w:tc>
          <w:tcPr>
            <w:tcW w:w="1660" w:type="dxa"/>
            <w:tcBorders>
              <w:top w:val="nil"/>
              <w:left w:val="nil"/>
              <w:bottom w:val="single" w:sz="4" w:space="0" w:color="auto"/>
              <w:right w:val="single" w:sz="4" w:space="0" w:color="auto"/>
            </w:tcBorders>
            <w:shd w:val="clear" w:color="auto" w:fill="auto"/>
            <w:noWrap/>
            <w:hideMark/>
          </w:tcPr>
          <w:p w14:paraId="47CA2DA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902010000000</w:t>
            </w:r>
          </w:p>
        </w:tc>
        <w:tc>
          <w:tcPr>
            <w:tcW w:w="5846" w:type="dxa"/>
            <w:tcBorders>
              <w:top w:val="nil"/>
              <w:left w:val="nil"/>
              <w:bottom w:val="single" w:sz="4" w:space="0" w:color="auto"/>
              <w:right w:val="single" w:sz="4" w:space="0" w:color="auto"/>
            </w:tcBorders>
            <w:shd w:val="clear" w:color="auto" w:fill="auto"/>
            <w:noWrap/>
            <w:hideMark/>
          </w:tcPr>
          <w:p w14:paraId="47CA2DAF" w14:textId="77777777" w:rsidR="00965136" w:rsidRPr="00720D3A" w:rsidRDefault="00965136" w:rsidP="00965136">
            <w:pPr>
              <w:spacing w:after="0" w:line="240" w:lineRule="auto"/>
              <w:ind w:firstLineChars="200" w:firstLine="440"/>
              <w:rPr>
                <w:rFonts w:eastAsia="Times New Roman" w:cs="Arial"/>
                <w:lang w:val="es-CR" w:eastAsia="es-CR"/>
              </w:rPr>
            </w:pPr>
            <w:r w:rsidRPr="00720D3A">
              <w:rPr>
                <w:rFonts w:eastAsia="Times New Roman" w:cs="Arial"/>
                <w:lang w:val="es-CR" w:eastAsia="es-CR"/>
              </w:rPr>
              <w:t>Ajuste por valuación de instrumentos financieros restringidos</w:t>
            </w:r>
          </w:p>
        </w:tc>
      </w:tr>
      <w:tr w:rsidR="00965136" w:rsidRPr="00720D3A" w14:paraId="47CA2DB4"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B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RA_FONDOS</w:t>
            </w:r>
          </w:p>
        </w:tc>
        <w:tc>
          <w:tcPr>
            <w:tcW w:w="1660" w:type="dxa"/>
            <w:tcBorders>
              <w:top w:val="nil"/>
              <w:left w:val="nil"/>
              <w:bottom w:val="single" w:sz="4" w:space="0" w:color="auto"/>
              <w:right w:val="single" w:sz="4" w:space="0" w:color="auto"/>
            </w:tcBorders>
            <w:shd w:val="clear" w:color="auto" w:fill="auto"/>
            <w:noWrap/>
            <w:hideMark/>
          </w:tcPr>
          <w:p w14:paraId="47CA2DB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902015000000</w:t>
            </w:r>
          </w:p>
        </w:tc>
        <w:tc>
          <w:tcPr>
            <w:tcW w:w="5846" w:type="dxa"/>
            <w:tcBorders>
              <w:top w:val="nil"/>
              <w:left w:val="nil"/>
              <w:bottom w:val="single" w:sz="4" w:space="0" w:color="auto"/>
              <w:right w:val="single" w:sz="4" w:space="0" w:color="auto"/>
            </w:tcBorders>
            <w:shd w:val="clear" w:color="auto" w:fill="auto"/>
            <w:noWrap/>
            <w:hideMark/>
          </w:tcPr>
          <w:p w14:paraId="47CA2DB3" w14:textId="77777777" w:rsidR="00965136" w:rsidRPr="00720D3A" w:rsidRDefault="00965136" w:rsidP="00965136">
            <w:pPr>
              <w:spacing w:after="0" w:line="240" w:lineRule="auto"/>
              <w:ind w:firstLineChars="200" w:firstLine="440"/>
              <w:rPr>
                <w:rFonts w:eastAsia="Times New Roman" w:cs="Arial"/>
                <w:lang w:val="es-CR" w:eastAsia="es-CR"/>
              </w:rPr>
            </w:pPr>
            <w:r w:rsidRPr="00720D3A">
              <w:rPr>
                <w:rFonts w:eastAsia="Times New Roman" w:cs="Arial"/>
                <w:lang w:val="es-CR" w:eastAsia="es-CR"/>
              </w:rPr>
              <w:t>Ajuste por valuación de instrumentos financieros en cesación de pagos, morosos o en litigio</w:t>
            </w:r>
          </w:p>
        </w:tc>
      </w:tr>
      <w:tr w:rsidR="00965136" w:rsidRPr="00720D3A" w14:paraId="47CA2DB8"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B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RA_FONDOS</w:t>
            </w:r>
          </w:p>
        </w:tc>
        <w:tc>
          <w:tcPr>
            <w:tcW w:w="1660" w:type="dxa"/>
            <w:tcBorders>
              <w:top w:val="nil"/>
              <w:left w:val="nil"/>
              <w:bottom w:val="single" w:sz="4" w:space="0" w:color="auto"/>
              <w:right w:val="single" w:sz="4" w:space="0" w:color="auto"/>
            </w:tcBorders>
            <w:shd w:val="clear" w:color="auto" w:fill="auto"/>
            <w:noWrap/>
            <w:hideMark/>
          </w:tcPr>
          <w:p w14:paraId="47CA2DB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902020000000</w:t>
            </w:r>
          </w:p>
        </w:tc>
        <w:tc>
          <w:tcPr>
            <w:tcW w:w="5846" w:type="dxa"/>
            <w:tcBorders>
              <w:top w:val="nil"/>
              <w:left w:val="nil"/>
              <w:bottom w:val="single" w:sz="4" w:space="0" w:color="auto"/>
              <w:right w:val="single" w:sz="4" w:space="0" w:color="auto"/>
            </w:tcBorders>
            <w:shd w:val="clear" w:color="auto" w:fill="auto"/>
            <w:noWrap/>
            <w:hideMark/>
          </w:tcPr>
          <w:p w14:paraId="47CA2DB7" w14:textId="77777777" w:rsidR="00965136" w:rsidRPr="00720D3A" w:rsidRDefault="00965136" w:rsidP="00965136">
            <w:pPr>
              <w:spacing w:after="0" w:line="240" w:lineRule="auto"/>
              <w:ind w:firstLineChars="200" w:firstLine="440"/>
              <w:rPr>
                <w:rFonts w:eastAsia="Times New Roman" w:cs="Arial"/>
                <w:lang w:val="es-CR" w:eastAsia="es-CR"/>
              </w:rPr>
            </w:pPr>
            <w:r w:rsidRPr="00720D3A">
              <w:rPr>
                <w:rFonts w:eastAsia="Times New Roman" w:cs="Arial"/>
                <w:lang w:val="es-CR" w:eastAsia="es-CR"/>
              </w:rPr>
              <w:t>Ajuste por conversión de estados financieros</w:t>
            </w:r>
          </w:p>
        </w:tc>
      </w:tr>
      <w:tr w:rsidR="00965136" w:rsidRPr="00720D3A" w14:paraId="47CA2DBC"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B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RA_FONDOS</w:t>
            </w:r>
          </w:p>
        </w:tc>
        <w:tc>
          <w:tcPr>
            <w:tcW w:w="1660" w:type="dxa"/>
            <w:tcBorders>
              <w:top w:val="nil"/>
              <w:left w:val="nil"/>
              <w:bottom w:val="single" w:sz="4" w:space="0" w:color="auto"/>
              <w:right w:val="single" w:sz="4" w:space="0" w:color="auto"/>
            </w:tcBorders>
            <w:shd w:val="clear" w:color="auto" w:fill="auto"/>
            <w:noWrap/>
            <w:hideMark/>
          </w:tcPr>
          <w:p w14:paraId="47CA2DB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902025000000</w:t>
            </w:r>
          </w:p>
        </w:tc>
        <w:tc>
          <w:tcPr>
            <w:tcW w:w="5846" w:type="dxa"/>
            <w:tcBorders>
              <w:top w:val="nil"/>
              <w:left w:val="nil"/>
              <w:bottom w:val="single" w:sz="4" w:space="0" w:color="auto"/>
              <w:right w:val="single" w:sz="4" w:space="0" w:color="auto"/>
            </w:tcBorders>
            <w:shd w:val="clear" w:color="auto" w:fill="auto"/>
            <w:noWrap/>
            <w:hideMark/>
          </w:tcPr>
          <w:p w14:paraId="47CA2DBB" w14:textId="77777777" w:rsidR="00965136" w:rsidRPr="00720D3A" w:rsidRDefault="00965136" w:rsidP="00965136">
            <w:pPr>
              <w:spacing w:after="0" w:line="240" w:lineRule="auto"/>
              <w:ind w:firstLineChars="200" w:firstLine="440"/>
              <w:rPr>
                <w:rFonts w:eastAsia="Times New Roman" w:cs="Arial"/>
                <w:lang w:val="es-CR" w:eastAsia="es-CR"/>
              </w:rPr>
            </w:pPr>
            <w:r w:rsidRPr="00720D3A">
              <w:rPr>
                <w:rFonts w:eastAsia="Times New Roman" w:cs="Arial"/>
                <w:lang w:val="es-CR" w:eastAsia="es-CR"/>
              </w:rPr>
              <w:t>Ajustes por otro resultado integral.</w:t>
            </w:r>
          </w:p>
        </w:tc>
      </w:tr>
      <w:tr w:rsidR="00965136" w:rsidRPr="00720D3A" w14:paraId="47CA2DC0"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B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RA_FONDOS</w:t>
            </w:r>
          </w:p>
        </w:tc>
        <w:tc>
          <w:tcPr>
            <w:tcW w:w="1660" w:type="dxa"/>
            <w:tcBorders>
              <w:top w:val="nil"/>
              <w:left w:val="nil"/>
              <w:bottom w:val="single" w:sz="4" w:space="0" w:color="auto"/>
              <w:right w:val="single" w:sz="4" w:space="0" w:color="auto"/>
            </w:tcBorders>
            <w:shd w:val="clear" w:color="auto" w:fill="auto"/>
            <w:noWrap/>
            <w:hideMark/>
          </w:tcPr>
          <w:p w14:paraId="47CA2DB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950000000000</w:t>
            </w:r>
          </w:p>
        </w:tc>
        <w:tc>
          <w:tcPr>
            <w:tcW w:w="5846" w:type="dxa"/>
            <w:tcBorders>
              <w:top w:val="nil"/>
              <w:left w:val="nil"/>
              <w:bottom w:val="single" w:sz="4" w:space="0" w:color="auto"/>
              <w:right w:val="single" w:sz="4" w:space="0" w:color="auto"/>
            </w:tcBorders>
            <w:shd w:val="clear" w:color="auto" w:fill="auto"/>
            <w:noWrap/>
            <w:hideMark/>
          </w:tcPr>
          <w:p w14:paraId="47CA2DBF"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UTILIDAD (PERDIDA) NETA YOTROS RESULTADOS INTREGRALES ACUMULADOS</w:t>
            </w:r>
          </w:p>
        </w:tc>
      </w:tr>
      <w:tr w:rsidR="00965136" w:rsidRPr="00720D3A" w14:paraId="47CA2DC4"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C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ER_FONDOS</w:t>
            </w:r>
          </w:p>
        </w:tc>
        <w:tc>
          <w:tcPr>
            <w:tcW w:w="1660" w:type="dxa"/>
            <w:tcBorders>
              <w:top w:val="nil"/>
              <w:left w:val="nil"/>
              <w:bottom w:val="single" w:sz="4" w:space="0" w:color="auto"/>
              <w:right w:val="single" w:sz="4" w:space="0" w:color="auto"/>
            </w:tcBorders>
            <w:shd w:val="clear" w:color="auto" w:fill="auto"/>
            <w:noWrap/>
            <w:hideMark/>
          </w:tcPr>
          <w:p w14:paraId="47CA2DC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901000000000</w:t>
            </w:r>
          </w:p>
        </w:tc>
        <w:tc>
          <w:tcPr>
            <w:tcW w:w="5846" w:type="dxa"/>
            <w:tcBorders>
              <w:top w:val="nil"/>
              <w:left w:val="nil"/>
              <w:bottom w:val="single" w:sz="4" w:space="0" w:color="auto"/>
              <w:right w:val="single" w:sz="4" w:space="0" w:color="auto"/>
            </w:tcBorders>
            <w:shd w:val="clear" w:color="auto" w:fill="auto"/>
            <w:noWrap/>
            <w:hideMark/>
          </w:tcPr>
          <w:p w14:paraId="47CA2DC3"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OTROS RESULTADOS INTEGRALES DESPUES DE IMPUESTOS</w:t>
            </w:r>
          </w:p>
        </w:tc>
      </w:tr>
      <w:tr w:rsidR="00965136" w:rsidRPr="00720D3A" w14:paraId="47CA2DC8"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C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ER_FONDOS</w:t>
            </w:r>
          </w:p>
        </w:tc>
        <w:tc>
          <w:tcPr>
            <w:tcW w:w="1660" w:type="dxa"/>
            <w:tcBorders>
              <w:top w:val="nil"/>
              <w:left w:val="nil"/>
              <w:bottom w:val="single" w:sz="4" w:space="0" w:color="auto"/>
              <w:right w:val="single" w:sz="4" w:space="0" w:color="auto"/>
            </w:tcBorders>
            <w:shd w:val="clear" w:color="auto" w:fill="auto"/>
            <w:noWrap/>
            <w:hideMark/>
          </w:tcPr>
          <w:p w14:paraId="47CA2DC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901005000000</w:t>
            </w:r>
          </w:p>
        </w:tc>
        <w:tc>
          <w:tcPr>
            <w:tcW w:w="5846" w:type="dxa"/>
            <w:tcBorders>
              <w:top w:val="nil"/>
              <w:left w:val="nil"/>
              <w:bottom w:val="single" w:sz="4" w:space="0" w:color="auto"/>
              <w:right w:val="single" w:sz="4" w:space="0" w:color="auto"/>
            </w:tcBorders>
            <w:shd w:val="clear" w:color="auto" w:fill="auto"/>
            <w:noWrap/>
            <w:hideMark/>
          </w:tcPr>
          <w:p w14:paraId="47CA2DC7" w14:textId="77777777" w:rsidR="00965136" w:rsidRPr="00720D3A" w:rsidRDefault="00965136" w:rsidP="00965136">
            <w:pPr>
              <w:spacing w:after="0" w:line="240" w:lineRule="auto"/>
              <w:ind w:firstLineChars="200" w:firstLine="440"/>
              <w:rPr>
                <w:rFonts w:eastAsia="Times New Roman" w:cs="Arial"/>
                <w:lang w:val="es-CR" w:eastAsia="es-CR"/>
              </w:rPr>
            </w:pPr>
            <w:r w:rsidRPr="00720D3A">
              <w:rPr>
                <w:rFonts w:eastAsia="Times New Roman" w:cs="Arial"/>
                <w:lang w:val="es-CR" w:eastAsia="es-CR"/>
              </w:rPr>
              <w:t>Ajuste por valuación de inversiones al valor razonable con cambios en otro resultado integral</w:t>
            </w:r>
          </w:p>
        </w:tc>
      </w:tr>
      <w:tr w:rsidR="00965136" w:rsidRPr="00720D3A" w14:paraId="47CA2DCC"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C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ER_FONDOS</w:t>
            </w:r>
          </w:p>
        </w:tc>
        <w:tc>
          <w:tcPr>
            <w:tcW w:w="1660" w:type="dxa"/>
            <w:tcBorders>
              <w:top w:val="nil"/>
              <w:left w:val="nil"/>
              <w:bottom w:val="single" w:sz="4" w:space="0" w:color="auto"/>
              <w:right w:val="single" w:sz="4" w:space="0" w:color="auto"/>
            </w:tcBorders>
            <w:shd w:val="clear" w:color="auto" w:fill="auto"/>
            <w:noWrap/>
            <w:hideMark/>
          </w:tcPr>
          <w:p w14:paraId="47CA2DC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901010000000</w:t>
            </w:r>
          </w:p>
        </w:tc>
        <w:tc>
          <w:tcPr>
            <w:tcW w:w="5846" w:type="dxa"/>
            <w:tcBorders>
              <w:top w:val="nil"/>
              <w:left w:val="nil"/>
              <w:bottom w:val="single" w:sz="4" w:space="0" w:color="auto"/>
              <w:right w:val="single" w:sz="4" w:space="0" w:color="auto"/>
            </w:tcBorders>
            <w:shd w:val="clear" w:color="auto" w:fill="auto"/>
            <w:noWrap/>
            <w:hideMark/>
          </w:tcPr>
          <w:p w14:paraId="47CA2DCB" w14:textId="77777777" w:rsidR="00965136" w:rsidRPr="00720D3A" w:rsidRDefault="00965136" w:rsidP="00965136">
            <w:pPr>
              <w:spacing w:after="0" w:line="240" w:lineRule="auto"/>
              <w:ind w:firstLineChars="200" w:firstLine="440"/>
              <w:rPr>
                <w:rFonts w:eastAsia="Times New Roman" w:cs="Arial"/>
                <w:lang w:val="es-CR" w:eastAsia="es-CR"/>
              </w:rPr>
            </w:pPr>
            <w:r w:rsidRPr="00720D3A">
              <w:rPr>
                <w:rFonts w:eastAsia="Times New Roman" w:cs="Arial"/>
                <w:lang w:val="es-CR" w:eastAsia="es-CR"/>
              </w:rPr>
              <w:t>Ajuste por valuación de instrumentos financieros restringidos</w:t>
            </w:r>
          </w:p>
        </w:tc>
      </w:tr>
      <w:tr w:rsidR="00965136" w:rsidRPr="00720D3A" w14:paraId="47CA2DD0"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C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ER_FONDOS</w:t>
            </w:r>
          </w:p>
        </w:tc>
        <w:tc>
          <w:tcPr>
            <w:tcW w:w="1660" w:type="dxa"/>
            <w:tcBorders>
              <w:top w:val="nil"/>
              <w:left w:val="nil"/>
              <w:bottom w:val="single" w:sz="4" w:space="0" w:color="auto"/>
              <w:right w:val="single" w:sz="4" w:space="0" w:color="auto"/>
            </w:tcBorders>
            <w:shd w:val="clear" w:color="auto" w:fill="auto"/>
            <w:noWrap/>
            <w:hideMark/>
          </w:tcPr>
          <w:p w14:paraId="47CA2DC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901015000000</w:t>
            </w:r>
          </w:p>
        </w:tc>
        <w:tc>
          <w:tcPr>
            <w:tcW w:w="5846" w:type="dxa"/>
            <w:tcBorders>
              <w:top w:val="nil"/>
              <w:left w:val="nil"/>
              <w:bottom w:val="single" w:sz="4" w:space="0" w:color="auto"/>
              <w:right w:val="single" w:sz="4" w:space="0" w:color="auto"/>
            </w:tcBorders>
            <w:shd w:val="clear" w:color="auto" w:fill="auto"/>
            <w:noWrap/>
            <w:hideMark/>
          </w:tcPr>
          <w:p w14:paraId="47CA2DCF" w14:textId="77777777" w:rsidR="00965136" w:rsidRPr="00720D3A" w:rsidRDefault="00965136" w:rsidP="00965136">
            <w:pPr>
              <w:spacing w:after="0" w:line="240" w:lineRule="auto"/>
              <w:ind w:firstLineChars="200" w:firstLine="440"/>
              <w:rPr>
                <w:rFonts w:eastAsia="Times New Roman" w:cs="Arial"/>
                <w:lang w:val="es-CR" w:eastAsia="es-CR"/>
              </w:rPr>
            </w:pPr>
            <w:r w:rsidRPr="00720D3A">
              <w:rPr>
                <w:rFonts w:eastAsia="Times New Roman" w:cs="Arial"/>
                <w:lang w:val="es-CR" w:eastAsia="es-CR"/>
              </w:rPr>
              <w:t>Ajuste por valuación de instrumentos financieros en cesación de pagos, morosos o en litigio</w:t>
            </w:r>
          </w:p>
        </w:tc>
      </w:tr>
      <w:tr w:rsidR="00965136" w:rsidRPr="00720D3A" w14:paraId="47CA2DD4"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D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ER_FONDOS</w:t>
            </w:r>
          </w:p>
        </w:tc>
        <w:tc>
          <w:tcPr>
            <w:tcW w:w="1660" w:type="dxa"/>
            <w:tcBorders>
              <w:top w:val="nil"/>
              <w:left w:val="nil"/>
              <w:bottom w:val="single" w:sz="4" w:space="0" w:color="auto"/>
              <w:right w:val="single" w:sz="4" w:space="0" w:color="auto"/>
            </w:tcBorders>
            <w:shd w:val="clear" w:color="auto" w:fill="auto"/>
            <w:noWrap/>
            <w:hideMark/>
          </w:tcPr>
          <w:p w14:paraId="47CA2DD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901020000000</w:t>
            </w:r>
          </w:p>
        </w:tc>
        <w:tc>
          <w:tcPr>
            <w:tcW w:w="5846" w:type="dxa"/>
            <w:tcBorders>
              <w:top w:val="nil"/>
              <w:left w:val="nil"/>
              <w:bottom w:val="single" w:sz="4" w:space="0" w:color="auto"/>
              <w:right w:val="single" w:sz="4" w:space="0" w:color="auto"/>
            </w:tcBorders>
            <w:shd w:val="clear" w:color="auto" w:fill="auto"/>
            <w:noWrap/>
            <w:hideMark/>
          </w:tcPr>
          <w:p w14:paraId="47CA2DD3" w14:textId="77777777" w:rsidR="00965136" w:rsidRPr="00720D3A" w:rsidRDefault="00965136" w:rsidP="00965136">
            <w:pPr>
              <w:spacing w:after="0" w:line="240" w:lineRule="auto"/>
              <w:ind w:firstLineChars="200" w:firstLine="440"/>
              <w:rPr>
                <w:rFonts w:eastAsia="Times New Roman" w:cs="Arial"/>
                <w:lang w:val="es-CR" w:eastAsia="es-CR"/>
              </w:rPr>
            </w:pPr>
            <w:r w:rsidRPr="00720D3A">
              <w:rPr>
                <w:rFonts w:eastAsia="Times New Roman" w:cs="Arial"/>
                <w:lang w:val="es-CR" w:eastAsia="es-CR"/>
              </w:rPr>
              <w:t>Ajuste por conversión de estados financieros</w:t>
            </w:r>
          </w:p>
        </w:tc>
      </w:tr>
      <w:tr w:rsidR="00965136" w:rsidRPr="00720D3A" w14:paraId="47CA2DD8"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D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ER_FONDOS</w:t>
            </w:r>
          </w:p>
        </w:tc>
        <w:tc>
          <w:tcPr>
            <w:tcW w:w="1660" w:type="dxa"/>
            <w:tcBorders>
              <w:top w:val="nil"/>
              <w:left w:val="nil"/>
              <w:bottom w:val="single" w:sz="4" w:space="0" w:color="auto"/>
              <w:right w:val="single" w:sz="4" w:space="0" w:color="auto"/>
            </w:tcBorders>
            <w:shd w:val="clear" w:color="auto" w:fill="auto"/>
            <w:noWrap/>
            <w:hideMark/>
          </w:tcPr>
          <w:p w14:paraId="47CA2DD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901025000000</w:t>
            </w:r>
          </w:p>
        </w:tc>
        <w:tc>
          <w:tcPr>
            <w:tcW w:w="5846" w:type="dxa"/>
            <w:tcBorders>
              <w:top w:val="nil"/>
              <w:left w:val="nil"/>
              <w:bottom w:val="single" w:sz="4" w:space="0" w:color="auto"/>
              <w:right w:val="single" w:sz="4" w:space="0" w:color="auto"/>
            </w:tcBorders>
            <w:shd w:val="clear" w:color="auto" w:fill="auto"/>
            <w:noWrap/>
            <w:hideMark/>
          </w:tcPr>
          <w:p w14:paraId="47CA2DD7" w14:textId="77777777" w:rsidR="00965136" w:rsidRPr="00720D3A" w:rsidRDefault="00965136" w:rsidP="00965136">
            <w:pPr>
              <w:spacing w:after="0" w:line="240" w:lineRule="auto"/>
              <w:ind w:firstLineChars="200" w:firstLine="440"/>
              <w:rPr>
                <w:rFonts w:eastAsia="Times New Roman" w:cs="Arial"/>
                <w:lang w:val="es-CR" w:eastAsia="es-CR"/>
              </w:rPr>
            </w:pPr>
            <w:r w:rsidRPr="00720D3A">
              <w:rPr>
                <w:rFonts w:eastAsia="Times New Roman" w:cs="Arial"/>
                <w:lang w:val="es-CR" w:eastAsia="es-CR"/>
              </w:rPr>
              <w:t>Ajustes por otro resultado integral.</w:t>
            </w:r>
          </w:p>
        </w:tc>
      </w:tr>
      <w:tr w:rsidR="00965136" w:rsidRPr="00720D3A" w14:paraId="47CA2DDC"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D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ER_FONDOS</w:t>
            </w:r>
          </w:p>
        </w:tc>
        <w:tc>
          <w:tcPr>
            <w:tcW w:w="1660" w:type="dxa"/>
            <w:tcBorders>
              <w:top w:val="nil"/>
              <w:left w:val="nil"/>
              <w:bottom w:val="single" w:sz="4" w:space="0" w:color="auto"/>
              <w:right w:val="single" w:sz="4" w:space="0" w:color="auto"/>
            </w:tcBorders>
            <w:shd w:val="clear" w:color="auto" w:fill="auto"/>
            <w:noWrap/>
            <w:hideMark/>
          </w:tcPr>
          <w:p w14:paraId="47CA2DD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950000000000</w:t>
            </w:r>
          </w:p>
        </w:tc>
        <w:tc>
          <w:tcPr>
            <w:tcW w:w="5846" w:type="dxa"/>
            <w:tcBorders>
              <w:top w:val="nil"/>
              <w:left w:val="nil"/>
              <w:bottom w:val="single" w:sz="4" w:space="0" w:color="auto"/>
              <w:right w:val="single" w:sz="4" w:space="0" w:color="auto"/>
            </w:tcBorders>
            <w:shd w:val="clear" w:color="auto" w:fill="auto"/>
            <w:noWrap/>
            <w:hideMark/>
          </w:tcPr>
          <w:p w14:paraId="47CA2DDB"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UTILIDAD (PERDIDA) NETA YOTROS RESULTADOS INTREGRALES ACUMULADOS</w:t>
            </w:r>
          </w:p>
        </w:tc>
      </w:tr>
    </w:tbl>
    <w:p w14:paraId="47CA2DDD" w14:textId="77777777" w:rsidR="00965136" w:rsidRPr="00720D3A" w:rsidRDefault="00965136" w:rsidP="003724A7">
      <w:pPr>
        <w:pStyle w:val="Numeracin"/>
        <w:numPr>
          <w:ilvl w:val="0"/>
          <w:numId w:val="0"/>
        </w:numPr>
        <w:spacing w:before="0"/>
        <w:ind w:right="-193"/>
        <w:rPr>
          <w:rFonts w:ascii="Arial" w:eastAsia="Arial Unicode MS" w:hAnsi="Arial" w:cs="Arial"/>
          <w:b/>
          <w:szCs w:val="22"/>
          <w:lang w:val="es-CR"/>
        </w:rPr>
      </w:pPr>
    </w:p>
    <w:p w14:paraId="47CA2DDE" w14:textId="77777777" w:rsidR="00965136" w:rsidRPr="00720D3A" w:rsidRDefault="00965136" w:rsidP="00965136">
      <w:pPr>
        <w:pStyle w:val="Numeracin"/>
        <w:numPr>
          <w:ilvl w:val="0"/>
          <w:numId w:val="6"/>
        </w:numPr>
        <w:spacing w:before="0"/>
        <w:ind w:right="-193"/>
        <w:rPr>
          <w:rFonts w:ascii="Arial" w:hAnsi="Arial" w:cs="Arial"/>
          <w:szCs w:val="22"/>
        </w:rPr>
      </w:pPr>
      <w:r w:rsidRPr="00720D3A">
        <w:rPr>
          <w:rFonts w:ascii="Arial" w:hAnsi="Arial" w:cs="Arial"/>
          <w:szCs w:val="22"/>
        </w:rPr>
        <w:t>Se eliminan las siguientes cuentas a los Estados Financieros de Fondos de Inversión (Anexo  15), de acuerdo con el siguiente detalle:</w:t>
      </w:r>
    </w:p>
    <w:p w14:paraId="47CA2DDF" w14:textId="77777777" w:rsidR="00965136" w:rsidRPr="00720D3A" w:rsidRDefault="00965136" w:rsidP="003724A7">
      <w:pPr>
        <w:pStyle w:val="Numeracin"/>
        <w:numPr>
          <w:ilvl w:val="0"/>
          <w:numId w:val="0"/>
        </w:numPr>
        <w:spacing w:before="0"/>
        <w:ind w:right="-193"/>
        <w:rPr>
          <w:rFonts w:ascii="Arial" w:eastAsia="Arial Unicode MS" w:hAnsi="Arial" w:cs="Arial"/>
          <w:b/>
          <w:szCs w:val="22"/>
        </w:rPr>
      </w:pPr>
    </w:p>
    <w:tbl>
      <w:tblPr>
        <w:tblW w:w="8926" w:type="dxa"/>
        <w:tblCellMar>
          <w:left w:w="70" w:type="dxa"/>
          <w:right w:w="70" w:type="dxa"/>
        </w:tblCellMar>
        <w:tblLook w:val="04A0" w:firstRow="1" w:lastRow="0" w:firstColumn="1" w:lastColumn="0" w:noHBand="0" w:noVBand="1"/>
      </w:tblPr>
      <w:tblGrid>
        <w:gridCol w:w="1522"/>
        <w:gridCol w:w="1660"/>
        <w:gridCol w:w="5846"/>
      </w:tblGrid>
      <w:tr w:rsidR="00965136" w:rsidRPr="00720D3A" w14:paraId="47CA2DE3" w14:textId="77777777" w:rsidTr="00965136">
        <w:trPr>
          <w:trHeight w:val="255"/>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CA2DE0" w14:textId="77777777" w:rsidR="00965136" w:rsidRPr="00720D3A" w:rsidRDefault="00965136" w:rsidP="00965136">
            <w:pPr>
              <w:spacing w:after="0" w:line="240" w:lineRule="auto"/>
              <w:jc w:val="center"/>
              <w:rPr>
                <w:rFonts w:eastAsia="Times New Roman" w:cs="Arial"/>
                <w:b/>
                <w:lang w:val="es-CR" w:eastAsia="es-CR"/>
              </w:rPr>
            </w:pPr>
            <w:r w:rsidRPr="00720D3A">
              <w:rPr>
                <w:rFonts w:eastAsia="Times New Roman" w:cs="Arial"/>
                <w:b/>
                <w:lang w:val="es-CR" w:eastAsia="es-CR"/>
              </w:rPr>
              <w:t>CATÁLOGO</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47CA2DE1" w14:textId="77777777" w:rsidR="00965136" w:rsidRPr="00720D3A" w:rsidRDefault="00965136" w:rsidP="00965136">
            <w:pPr>
              <w:spacing w:after="0" w:line="240" w:lineRule="auto"/>
              <w:jc w:val="center"/>
              <w:rPr>
                <w:rFonts w:eastAsia="Times New Roman" w:cs="Arial"/>
                <w:b/>
                <w:lang w:val="es-CR" w:eastAsia="es-CR"/>
              </w:rPr>
            </w:pPr>
            <w:r w:rsidRPr="00720D3A">
              <w:rPr>
                <w:rFonts w:eastAsia="Times New Roman" w:cs="Arial"/>
                <w:b/>
                <w:lang w:val="es-CR" w:eastAsia="es-CR"/>
              </w:rPr>
              <w:t>CÓDIGO</w:t>
            </w:r>
          </w:p>
        </w:tc>
        <w:tc>
          <w:tcPr>
            <w:tcW w:w="5846" w:type="dxa"/>
            <w:tcBorders>
              <w:top w:val="single" w:sz="4" w:space="0" w:color="auto"/>
              <w:left w:val="nil"/>
              <w:bottom w:val="single" w:sz="4" w:space="0" w:color="auto"/>
              <w:right w:val="single" w:sz="4" w:space="0" w:color="auto"/>
            </w:tcBorders>
            <w:shd w:val="clear" w:color="auto" w:fill="auto"/>
            <w:noWrap/>
            <w:vAlign w:val="center"/>
          </w:tcPr>
          <w:p w14:paraId="47CA2DE2" w14:textId="77777777" w:rsidR="00965136" w:rsidRPr="00720D3A" w:rsidRDefault="00965136" w:rsidP="00965136">
            <w:pPr>
              <w:spacing w:after="0" w:line="240" w:lineRule="auto"/>
              <w:jc w:val="center"/>
              <w:rPr>
                <w:rFonts w:eastAsia="Times New Roman" w:cs="Arial"/>
                <w:b/>
                <w:lang w:val="es-CR" w:eastAsia="es-CR"/>
              </w:rPr>
            </w:pPr>
            <w:r w:rsidRPr="00720D3A">
              <w:rPr>
                <w:rFonts w:eastAsia="Times New Roman" w:cs="Arial"/>
                <w:b/>
                <w:lang w:val="es-CR" w:eastAsia="es-CR"/>
              </w:rPr>
              <w:t>NOMBRE</w:t>
            </w:r>
          </w:p>
        </w:tc>
      </w:tr>
      <w:tr w:rsidR="00965136" w:rsidRPr="00720D3A" w14:paraId="47CA2DE7" w14:textId="77777777" w:rsidTr="00965136">
        <w:trPr>
          <w:trHeight w:val="255"/>
        </w:trPr>
        <w:tc>
          <w:tcPr>
            <w:tcW w:w="1420" w:type="dxa"/>
            <w:tcBorders>
              <w:top w:val="single" w:sz="4" w:space="0" w:color="auto"/>
              <w:left w:val="single" w:sz="4" w:space="0" w:color="auto"/>
              <w:bottom w:val="single" w:sz="4" w:space="0" w:color="auto"/>
              <w:right w:val="single" w:sz="4" w:space="0" w:color="auto"/>
            </w:tcBorders>
            <w:shd w:val="clear" w:color="auto" w:fill="auto"/>
            <w:noWrap/>
            <w:hideMark/>
          </w:tcPr>
          <w:p w14:paraId="47CA2DE4"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single" w:sz="4" w:space="0" w:color="auto"/>
              <w:left w:val="nil"/>
              <w:bottom w:val="single" w:sz="4" w:space="0" w:color="auto"/>
              <w:right w:val="single" w:sz="4" w:space="0" w:color="auto"/>
            </w:tcBorders>
            <w:shd w:val="clear" w:color="auto" w:fill="auto"/>
            <w:noWrap/>
            <w:hideMark/>
          </w:tcPr>
          <w:p w14:paraId="47CA2DE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701005010100   </w:t>
            </w:r>
          </w:p>
        </w:tc>
        <w:tc>
          <w:tcPr>
            <w:tcW w:w="5846" w:type="dxa"/>
            <w:tcBorders>
              <w:top w:val="single" w:sz="4" w:space="0" w:color="auto"/>
              <w:left w:val="nil"/>
              <w:bottom w:val="single" w:sz="4" w:space="0" w:color="auto"/>
              <w:right w:val="single" w:sz="4" w:space="0" w:color="auto"/>
            </w:tcBorders>
            <w:shd w:val="clear" w:color="auto" w:fill="auto"/>
            <w:noWrap/>
            <w:hideMark/>
          </w:tcPr>
          <w:p w14:paraId="47CA2DE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Sector Público-¢</w:t>
            </w:r>
          </w:p>
        </w:tc>
      </w:tr>
      <w:tr w:rsidR="00965136" w:rsidRPr="00720D3A" w14:paraId="47CA2DEB"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E8"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E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701005010105   </w:t>
            </w:r>
          </w:p>
        </w:tc>
        <w:tc>
          <w:tcPr>
            <w:tcW w:w="5846" w:type="dxa"/>
            <w:tcBorders>
              <w:top w:val="nil"/>
              <w:left w:val="nil"/>
              <w:bottom w:val="single" w:sz="4" w:space="0" w:color="auto"/>
              <w:right w:val="single" w:sz="4" w:space="0" w:color="auto"/>
            </w:tcBorders>
            <w:shd w:val="clear" w:color="auto" w:fill="auto"/>
            <w:noWrap/>
            <w:hideMark/>
          </w:tcPr>
          <w:p w14:paraId="47CA2DE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Disponibles para la venta</w:t>
            </w:r>
          </w:p>
        </w:tc>
      </w:tr>
      <w:tr w:rsidR="00965136" w:rsidRPr="00720D3A" w14:paraId="47CA2DEF"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EC"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E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701005010110   </w:t>
            </w:r>
          </w:p>
        </w:tc>
        <w:tc>
          <w:tcPr>
            <w:tcW w:w="5846" w:type="dxa"/>
            <w:tcBorders>
              <w:top w:val="nil"/>
              <w:left w:val="nil"/>
              <w:bottom w:val="single" w:sz="4" w:space="0" w:color="auto"/>
              <w:right w:val="single" w:sz="4" w:space="0" w:color="auto"/>
            </w:tcBorders>
            <w:shd w:val="clear" w:color="auto" w:fill="auto"/>
            <w:noWrap/>
            <w:hideMark/>
          </w:tcPr>
          <w:p w14:paraId="47CA2DE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Dados en Garantía de reportos</w:t>
            </w:r>
          </w:p>
        </w:tc>
      </w:tr>
      <w:tr w:rsidR="00965136" w:rsidRPr="00720D3A" w14:paraId="47CA2DF3"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F0"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F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701005010115   </w:t>
            </w:r>
          </w:p>
        </w:tc>
        <w:tc>
          <w:tcPr>
            <w:tcW w:w="5846" w:type="dxa"/>
            <w:tcBorders>
              <w:top w:val="nil"/>
              <w:left w:val="nil"/>
              <w:bottom w:val="single" w:sz="4" w:space="0" w:color="auto"/>
              <w:right w:val="single" w:sz="4" w:space="0" w:color="auto"/>
            </w:tcBorders>
            <w:shd w:val="clear" w:color="auto" w:fill="auto"/>
            <w:noWrap/>
            <w:hideMark/>
          </w:tcPr>
          <w:p w14:paraId="47CA2DF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Dados en préstamo de valores</w:t>
            </w:r>
          </w:p>
        </w:tc>
      </w:tr>
      <w:tr w:rsidR="00965136" w:rsidRPr="00720D3A" w14:paraId="47CA2DF7"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F4"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F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701005010120   </w:t>
            </w:r>
          </w:p>
        </w:tc>
        <w:tc>
          <w:tcPr>
            <w:tcW w:w="5846" w:type="dxa"/>
            <w:tcBorders>
              <w:top w:val="nil"/>
              <w:left w:val="nil"/>
              <w:bottom w:val="single" w:sz="4" w:space="0" w:color="auto"/>
              <w:right w:val="single" w:sz="4" w:space="0" w:color="auto"/>
            </w:tcBorders>
            <w:shd w:val="clear" w:color="auto" w:fill="auto"/>
            <w:noWrap/>
            <w:hideMark/>
          </w:tcPr>
          <w:p w14:paraId="47CA2DF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Derechos sobre valores por compromisos de compra</w:t>
            </w:r>
          </w:p>
        </w:tc>
      </w:tr>
      <w:tr w:rsidR="00965136" w:rsidRPr="00720D3A" w14:paraId="47CA2DFB"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F8"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DF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701005010125   </w:t>
            </w:r>
          </w:p>
        </w:tc>
        <w:tc>
          <w:tcPr>
            <w:tcW w:w="5846" w:type="dxa"/>
            <w:tcBorders>
              <w:top w:val="nil"/>
              <w:left w:val="nil"/>
              <w:bottom w:val="single" w:sz="4" w:space="0" w:color="auto"/>
              <w:right w:val="single" w:sz="4" w:space="0" w:color="auto"/>
            </w:tcBorders>
            <w:shd w:val="clear" w:color="auto" w:fill="auto"/>
            <w:noWrap/>
            <w:hideMark/>
          </w:tcPr>
          <w:p w14:paraId="47CA2DF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Dados en garantía por operaciones a plazo</w:t>
            </w:r>
          </w:p>
        </w:tc>
      </w:tr>
      <w:tr w:rsidR="00965136" w:rsidRPr="00720D3A" w14:paraId="47CA2DFF"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DFC"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lastRenderedPageBreak/>
              <w:t>BG_FONDOS</w:t>
            </w:r>
          </w:p>
        </w:tc>
        <w:tc>
          <w:tcPr>
            <w:tcW w:w="1660" w:type="dxa"/>
            <w:tcBorders>
              <w:top w:val="nil"/>
              <w:left w:val="nil"/>
              <w:bottom w:val="single" w:sz="4" w:space="0" w:color="auto"/>
              <w:right w:val="single" w:sz="4" w:space="0" w:color="auto"/>
            </w:tcBorders>
            <w:shd w:val="clear" w:color="auto" w:fill="auto"/>
            <w:noWrap/>
            <w:hideMark/>
          </w:tcPr>
          <w:p w14:paraId="47CA2DF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701005010200   </w:t>
            </w:r>
          </w:p>
        </w:tc>
        <w:tc>
          <w:tcPr>
            <w:tcW w:w="5846" w:type="dxa"/>
            <w:tcBorders>
              <w:top w:val="nil"/>
              <w:left w:val="nil"/>
              <w:bottom w:val="single" w:sz="4" w:space="0" w:color="auto"/>
              <w:right w:val="single" w:sz="4" w:space="0" w:color="auto"/>
            </w:tcBorders>
            <w:shd w:val="clear" w:color="auto" w:fill="auto"/>
            <w:noWrap/>
            <w:hideMark/>
          </w:tcPr>
          <w:p w14:paraId="47CA2DF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Empresas privadas y mutuales-¢</w:t>
            </w:r>
          </w:p>
        </w:tc>
      </w:tr>
      <w:tr w:rsidR="00965136" w:rsidRPr="00720D3A" w14:paraId="47CA2E03"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00"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0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701005010205   </w:t>
            </w:r>
          </w:p>
        </w:tc>
        <w:tc>
          <w:tcPr>
            <w:tcW w:w="5846" w:type="dxa"/>
            <w:tcBorders>
              <w:top w:val="nil"/>
              <w:left w:val="nil"/>
              <w:bottom w:val="single" w:sz="4" w:space="0" w:color="auto"/>
              <w:right w:val="single" w:sz="4" w:space="0" w:color="auto"/>
            </w:tcBorders>
            <w:shd w:val="clear" w:color="auto" w:fill="auto"/>
            <w:noWrap/>
            <w:hideMark/>
          </w:tcPr>
          <w:p w14:paraId="47CA2E0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Disponibles para la venta</w:t>
            </w:r>
          </w:p>
        </w:tc>
      </w:tr>
      <w:tr w:rsidR="00965136" w:rsidRPr="00720D3A" w14:paraId="47CA2E07"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04"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0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701005010210   </w:t>
            </w:r>
          </w:p>
        </w:tc>
        <w:tc>
          <w:tcPr>
            <w:tcW w:w="5846" w:type="dxa"/>
            <w:tcBorders>
              <w:top w:val="nil"/>
              <w:left w:val="nil"/>
              <w:bottom w:val="single" w:sz="4" w:space="0" w:color="auto"/>
              <w:right w:val="single" w:sz="4" w:space="0" w:color="auto"/>
            </w:tcBorders>
            <w:shd w:val="clear" w:color="auto" w:fill="auto"/>
            <w:noWrap/>
            <w:hideMark/>
          </w:tcPr>
          <w:p w14:paraId="47CA2E0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Dados en Garantía de reportos</w:t>
            </w:r>
          </w:p>
        </w:tc>
      </w:tr>
      <w:tr w:rsidR="00965136" w:rsidRPr="00720D3A" w14:paraId="47CA2E0B"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08"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0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701005010215   </w:t>
            </w:r>
          </w:p>
        </w:tc>
        <w:tc>
          <w:tcPr>
            <w:tcW w:w="5846" w:type="dxa"/>
            <w:tcBorders>
              <w:top w:val="nil"/>
              <w:left w:val="nil"/>
              <w:bottom w:val="single" w:sz="4" w:space="0" w:color="auto"/>
              <w:right w:val="single" w:sz="4" w:space="0" w:color="auto"/>
            </w:tcBorders>
            <w:shd w:val="clear" w:color="auto" w:fill="auto"/>
            <w:noWrap/>
            <w:hideMark/>
          </w:tcPr>
          <w:p w14:paraId="47CA2E0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Dados en préstamo de valores</w:t>
            </w:r>
          </w:p>
        </w:tc>
      </w:tr>
      <w:tr w:rsidR="00965136" w:rsidRPr="00720D3A" w14:paraId="47CA2E0F"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0C"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0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701005010220   </w:t>
            </w:r>
          </w:p>
        </w:tc>
        <w:tc>
          <w:tcPr>
            <w:tcW w:w="5846" w:type="dxa"/>
            <w:tcBorders>
              <w:top w:val="nil"/>
              <w:left w:val="nil"/>
              <w:bottom w:val="single" w:sz="4" w:space="0" w:color="auto"/>
              <w:right w:val="single" w:sz="4" w:space="0" w:color="auto"/>
            </w:tcBorders>
            <w:shd w:val="clear" w:color="auto" w:fill="auto"/>
            <w:noWrap/>
            <w:hideMark/>
          </w:tcPr>
          <w:p w14:paraId="47CA2E0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Derechos sobre valores por compromisos de compra</w:t>
            </w:r>
          </w:p>
        </w:tc>
      </w:tr>
      <w:tr w:rsidR="00965136" w:rsidRPr="00720D3A" w14:paraId="47CA2E13"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10"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1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701005010225   </w:t>
            </w:r>
          </w:p>
        </w:tc>
        <w:tc>
          <w:tcPr>
            <w:tcW w:w="5846" w:type="dxa"/>
            <w:tcBorders>
              <w:top w:val="nil"/>
              <w:left w:val="nil"/>
              <w:bottom w:val="single" w:sz="4" w:space="0" w:color="auto"/>
              <w:right w:val="single" w:sz="4" w:space="0" w:color="auto"/>
            </w:tcBorders>
            <w:shd w:val="clear" w:color="auto" w:fill="auto"/>
            <w:noWrap/>
            <w:hideMark/>
          </w:tcPr>
          <w:p w14:paraId="47CA2E1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Dados en garantía por operaciones a plazo</w:t>
            </w:r>
          </w:p>
        </w:tc>
      </w:tr>
      <w:tr w:rsidR="00965136" w:rsidRPr="00720D3A" w14:paraId="47CA2E17"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14"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1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701005015000   </w:t>
            </w:r>
          </w:p>
        </w:tc>
        <w:tc>
          <w:tcPr>
            <w:tcW w:w="5846" w:type="dxa"/>
            <w:tcBorders>
              <w:top w:val="nil"/>
              <w:left w:val="nil"/>
              <w:bottom w:val="single" w:sz="4" w:space="0" w:color="auto"/>
              <w:right w:val="single" w:sz="4" w:space="0" w:color="auto"/>
            </w:tcBorders>
            <w:shd w:val="clear" w:color="auto" w:fill="auto"/>
            <w:noWrap/>
            <w:hideMark/>
          </w:tcPr>
          <w:p w14:paraId="47CA2E1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Primas y Descuentos sobre valores en ¢</w:t>
            </w:r>
          </w:p>
        </w:tc>
      </w:tr>
      <w:tr w:rsidR="00965136" w:rsidRPr="00720D3A" w14:paraId="47CA2E1B"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18"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1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701005015001   </w:t>
            </w:r>
          </w:p>
        </w:tc>
        <w:tc>
          <w:tcPr>
            <w:tcW w:w="5846" w:type="dxa"/>
            <w:tcBorders>
              <w:top w:val="nil"/>
              <w:left w:val="nil"/>
              <w:bottom w:val="single" w:sz="4" w:space="0" w:color="auto"/>
              <w:right w:val="single" w:sz="4" w:space="0" w:color="auto"/>
            </w:tcBorders>
            <w:shd w:val="clear" w:color="auto" w:fill="auto"/>
            <w:noWrap/>
            <w:hideMark/>
          </w:tcPr>
          <w:p w14:paraId="47CA2E1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Primas sobre valores en ¢</w:t>
            </w:r>
          </w:p>
        </w:tc>
      </w:tr>
      <w:tr w:rsidR="00965136" w:rsidRPr="00720D3A" w14:paraId="47CA2E1F"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1C"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1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701005015002   </w:t>
            </w:r>
          </w:p>
        </w:tc>
        <w:tc>
          <w:tcPr>
            <w:tcW w:w="5846" w:type="dxa"/>
            <w:tcBorders>
              <w:top w:val="nil"/>
              <w:left w:val="nil"/>
              <w:bottom w:val="single" w:sz="4" w:space="0" w:color="auto"/>
              <w:right w:val="single" w:sz="4" w:space="0" w:color="auto"/>
            </w:tcBorders>
            <w:shd w:val="clear" w:color="auto" w:fill="auto"/>
            <w:noWrap/>
            <w:hideMark/>
          </w:tcPr>
          <w:p w14:paraId="47CA2E1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Descuentos sobre valores en ¢</w:t>
            </w:r>
          </w:p>
        </w:tc>
      </w:tr>
      <w:tr w:rsidR="00965136" w:rsidRPr="00720D3A" w14:paraId="47CA2E23"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20"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2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701005019000   </w:t>
            </w:r>
          </w:p>
        </w:tc>
        <w:tc>
          <w:tcPr>
            <w:tcW w:w="5846" w:type="dxa"/>
            <w:tcBorders>
              <w:top w:val="nil"/>
              <w:left w:val="nil"/>
              <w:bottom w:val="single" w:sz="4" w:space="0" w:color="auto"/>
              <w:right w:val="single" w:sz="4" w:space="0" w:color="auto"/>
            </w:tcBorders>
            <w:shd w:val="clear" w:color="auto" w:fill="auto"/>
            <w:noWrap/>
            <w:hideMark/>
          </w:tcPr>
          <w:p w14:paraId="47CA2E2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Ganancias (Pérdidas) no realizadas por valuación de inversiones Colones</w:t>
            </w:r>
          </w:p>
        </w:tc>
      </w:tr>
      <w:tr w:rsidR="00965136" w:rsidRPr="00720D3A" w14:paraId="47CA2E27"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24"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2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701005020100   </w:t>
            </w:r>
          </w:p>
        </w:tc>
        <w:tc>
          <w:tcPr>
            <w:tcW w:w="5846" w:type="dxa"/>
            <w:tcBorders>
              <w:top w:val="nil"/>
              <w:left w:val="nil"/>
              <w:bottom w:val="single" w:sz="4" w:space="0" w:color="auto"/>
              <w:right w:val="single" w:sz="4" w:space="0" w:color="auto"/>
            </w:tcBorders>
            <w:shd w:val="clear" w:color="auto" w:fill="auto"/>
            <w:noWrap/>
            <w:hideMark/>
          </w:tcPr>
          <w:p w14:paraId="47CA2E2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Sector Público-Moneda Extranjera</w:t>
            </w:r>
          </w:p>
        </w:tc>
      </w:tr>
      <w:tr w:rsidR="00965136" w:rsidRPr="00720D3A" w14:paraId="47CA2E2B"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28"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2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701005020105   </w:t>
            </w:r>
          </w:p>
        </w:tc>
        <w:tc>
          <w:tcPr>
            <w:tcW w:w="5846" w:type="dxa"/>
            <w:tcBorders>
              <w:top w:val="nil"/>
              <w:left w:val="nil"/>
              <w:bottom w:val="single" w:sz="4" w:space="0" w:color="auto"/>
              <w:right w:val="single" w:sz="4" w:space="0" w:color="auto"/>
            </w:tcBorders>
            <w:shd w:val="clear" w:color="auto" w:fill="auto"/>
            <w:noWrap/>
            <w:hideMark/>
          </w:tcPr>
          <w:p w14:paraId="47CA2E2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Disponibles para la venta</w:t>
            </w:r>
          </w:p>
        </w:tc>
      </w:tr>
      <w:tr w:rsidR="00965136" w:rsidRPr="00720D3A" w14:paraId="47CA2E2F"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2C"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2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701005020110   </w:t>
            </w:r>
          </w:p>
        </w:tc>
        <w:tc>
          <w:tcPr>
            <w:tcW w:w="5846" w:type="dxa"/>
            <w:tcBorders>
              <w:top w:val="nil"/>
              <w:left w:val="nil"/>
              <w:bottom w:val="single" w:sz="4" w:space="0" w:color="auto"/>
              <w:right w:val="single" w:sz="4" w:space="0" w:color="auto"/>
            </w:tcBorders>
            <w:shd w:val="clear" w:color="auto" w:fill="auto"/>
            <w:noWrap/>
            <w:hideMark/>
          </w:tcPr>
          <w:p w14:paraId="47CA2E2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Dados en Garantía de reportos</w:t>
            </w:r>
          </w:p>
        </w:tc>
      </w:tr>
      <w:tr w:rsidR="00965136" w:rsidRPr="00720D3A" w14:paraId="47CA2E33"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30"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3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701005020115   </w:t>
            </w:r>
          </w:p>
        </w:tc>
        <w:tc>
          <w:tcPr>
            <w:tcW w:w="5846" w:type="dxa"/>
            <w:tcBorders>
              <w:top w:val="nil"/>
              <w:left w:val="nil"/>
              <w:bottom w:val="single" w:sz="4" w:space="0" w:color="auto"/>
              <w:right w:val="single" w:sz="4" w:space="0" w:color="auto"/>
            </w:tcBorders>
            <w:shd w:val="clear" w:color="auto" w:fill="auto"/>
            <w:noWrap/>
            <w:hideMark/>
          </w:tcPr>
          <w:p w14:paraId="47CA2E3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Dados en préstamo de valores</w:t>
            </w:r>
          </w:p>
        </w:tc>
      </w:tr>
      <w:tr w:rsidR="00965136" w:rsidRPr="00720D3A" w14:paraId="47CA2E37"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34"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3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701005020120   </w:t>
            </w:r>
          </w:p>
        </w:tc>
        <w:tc>
          <w:tcPr>
            <w:tcW w:w="5846" w:type="dxa"/>
            <w:tcBorders>
              <w:top w:val="nil"/>
              <w:left w:val="nil"/>
              <w:bottom w:val="single" w:sz="4" w:space="0" w:color="auto"/>
              <w:right w:val="single" w:sz="4" w:space="0" w:color="auto"/>
            </w:tcBorders>
            <w:shd w:val="clear" w:color="auto" w:fill="auto"/>
            <w:noWrap/>
            <w:hideMark/>
          </w:tcPr>
          <w:p w14:paraId="47CA2E3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Derechos sobre valores por compromisos de compra</w:t>
            </w:r>
          </w:p>
        </w:tc>
      </w:tr>
      <w:tr w:rsidR="00965136" w:rsidRPr="00720D3A" w14:paraId="47CA2E3B"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38"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3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701005020125   </w:t>
            </w:r>
          </w:p>
        </w:tc>
        <w:tc>
          <w:tcPr>
            <w:tcW w:w="5846" w:type="dxa"/>
            <w:tcBorders>
              <w:top w:val="nil"/>
              <w:left w:val="nil"/>
              <w:bottom w:val="single" w:sz="4" w:space="0" w:color="auto"/>
              <w:right w:val="single" w:sz="4" w:space="0" w:color="auto"/>
            </w:tcBorders>
            <w:shd w:val="clear" w:color="auto" w:fill="auto"/>
            <w:noWrap/>
            <w:hideMark/>
          </w:tcPr>
          <w:p w14:paraId="47CA2E3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Dados en garantía de operaciones a plazo</w:t>
            </w:r>
          </w:p>
        </w:tc>
      </w:tr>
      <w:tr w:rsidR="00965136" w:rsidRPr="00720D3A" w14:paraId="47CA2E3F"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3C"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3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701005020200   </w:t>
            </w:r>
          </w:p>
        </w:tc>
        <w:tc>
          <w:tcPr>
            <w:tcW w:w="5846" w:type="dxa"/>
            <w:tcBorders>
              <w:top w:val="nil"/>
              <w:left w:val="nil"/>
              <w:bottom w:val="single" w:sz="4" w:space="0" w:color="auto"/>
              <w:right w:val="single" w:sz="4" w:space="0" w:color="auto"/>
            </w:tcBorders>
            <w:shd w:val="clear" w:color="auto" w:fill="auto"/>
            <w:noWrap/>
            <w:hideMark/>
          </w:tcPr>
          <w:p w14:paraId="47CA2E3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Empresas privadas y mutuales-Moneda Extranjera</w:t>
            </w:r>
          </w:p>
        </w:tc>
      </w:tr>
      <w:tr w:rsidR="00965136" w:rsidRPr="00720D3A" w14:paraId="47CA2E43"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40"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4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701005020205   </w:t>
            </w:r>
          </w:p>
        </w:tc>
        <w:tc>
          <w:tcPr>
            <w:tcW w:w="5846" w:type="dxa"/>
            <w:tcBorders>
              <w:top w:val="nil"/>
              <w:left w:val="nil"/>
              <w:bottom w:val="single" w:sz="4" w:space="0" w:color="auto"/>
              <w:right w:val="single" w:sz="4" w:space="0" w:color="auto"/>
            </w:tcBorders>
            <w:shd w:val="clear" w:color="auto" w:fill="auto"/>
            <w:noWrap/>
            <w:hideMark/>
          </w:tcPr>
          <w:p w14:paraId="47CA2E4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Disponibles para la venta</w:t>
            </w:r>
          </w:p>
        </w:tc>
      </w:tr>
      <w:tr w:rsidR="00965136" w:rsidRPr="00720D3A" w14:paraId="47CA2E47"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44"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4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701005020210   </w:t>
            </w:r>
          </w:p>
        </w:tc>
        <w:tc>
          <w:tcPr>
            <w:tcW w:w="5846" w:type="dxa"/>
            <w:tcBorders>
              <w:top w:val="nil"/>
              <w:left w:val="nil"/>
              <w:bottom w:val="single" w:sz="4" w:space="0" w:color="auto"/>
              <w:right w:val="single" w:sz="4" w:space="0" w:color="auto"/>
            </w:tcBorders>
            <w:shd w:val="clear" w:color="auto" w:fill="auto"/>
            <w:noWrap/>
            <w:hideMark/>
          </w:tcPr>
          <w:p w14:paraId="47CA2E4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Dados en Garantía de reportos</w:t>
            </w:r>
          </w:p>
        </w:tc>
      </w:tr>
      <w:tr w:rsidR="00965136" w:rsidRPr="00720D3A" w14:paraId="47CA2E4B"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48"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4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701005020215   </w:t>
            </w:r>
          </w:p>
        </w:tc>
        <w:tc>
          <w:tcPr>
            <w:tcW w:w="5846" w:type="dxa"/>
            <w:tcBorders>
              <w:top w:val="nil"/>
              <w:left w:val="nil"/>
              <w:bottom w:val="single" w:sz="4" w:space="0" w:color="auto"/>
              <w:right w:val="single" w:sz="4" w:space="0" w:color="auto"/>
            </w:tcBorders>
            <w:shd w:val="clear" w:color="auto" w:fill="auto"/>
            <w:noWrap/>
            <w:hideMark/>
          </w:tcPr>
          <w:p w14:paraId="47CA2E4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Dados en préstamo de valores</w:t>
            </w:r>
          </w:p>
        </w:tc>
      </w:tr>
      <w:tr w:rsidR="00965136" w:rsidRPr="00720D3A" w14:paraId="47CA2E4F" w14:textId="77777777" w:rsidTr="00965136">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4C"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4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701005020220   </w:t>
            </w:r>
          </w:p>
        </w:tc>
        <w:tc>
          <w:tcPr>
            <w:tcW w:w="5846" w:type="dxa"/>
            <w:tcBorders>
              <w:top w:val="nil"/>
              <w:left w:val="nil"/>
              <w:bottom w:val="single" w:sz="4" w:space="0" w:color="auto"/>
              <w:right w:val="single" w:sz="4" w:space="0" w:color="auto"/>
            </w:tcBorders>
            <w:shd w:val="clear" w:color="auto" w:fill="auto"/>
            <w:noWrap/>
            <w:hideMark/>
          </w:tcPr>
          <w:p w14:paraId="47CA2E4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Derechos sobre valores por compromisos de compra</w:t>
            </w:r>
          </w:p>
        </w:tc>
      </w:tr>
      <w:tr w:rsidR="00965136" w:rsidRPr="00720D3A" w14:paraId="47CA2E53" w14:textId="77777777" w:rsidTr="007B3B7D">
        <w:trPr>
          <w:trHeight w:val="255"/>
        </w:trPr>
        <w:tc>
          <w:tcPr>
            <w:tcW w:w="1420" w:type="dxa"/>
            <w:tcBorders>
              <w:top w:val="nil"/>
              <w:left w:val="single" w:sz="4" w:space="0" w:color="auto"/>
              <w:bottom w:val="single" w:sz="4" w:space="0" w:color="auto"/>
              <w:right w:val="single" w:sz="4" w:space="0" w:color="auto"/>
            </w:tcBorders>
            <w:shd w:val="clear" w:color="auto" w:fill="auto"/>
            <w:noWrap/>
            <w:hideMark/>
          </w:tcPr>
          <w:p w14:paraId="47CA2E50"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nil"/>
              <w:left w:val="nil"/>
              <w:bottom w:val="single" w:sz="4" w:space="0" w:color="auto"/>
              <w:right w:val="single" w:sz="4" w:space="0" w:color="auto"/>
            </w:tcBorders>
            <w:shd w:val="clear" w:color="auto" w:fill="auto"/>
            <w:noWrap/>
            <w:hideMark/>
          </w:tcPr>
          <w:p w14:paraId="47CA2E5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701005020225   </w:t>
            </w:r>
          </w:p>
        </w:tc>
        <w:tc>
          <w:tcPr>
            <w:tcW w:w="5846" w:type="dxa"/>
            <w:tcBorders>
              <w:top w:val="nil"/>
              <w:left w:val="nil"/>
              <w:bottom w:val="single" w:sz="4" w:space="0" w:color="auto"/>
              <w:right w:val="single" w:sz="4" w:space="0" w:color="auto"/>
            </w:tcBorders>
            <w:shd w:val="clear" w:color="auto" w:fill="auto"/>
            <w:noWrap/>
            <w:hideMark/>
          </w:tcPr>
          <w:p w14:paraId="47CA2E5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Dados en garantía de operaciones a plazo</w:t>
            </w:r>
          </w:p>
        </w:tc>
      </w:tr>
      <w:tr w:rsidR="00965136" w:rsidRPr="00720D3A" w14:paraId="47CA2E57" w14:textId="77777777" w:rsidTr="007B3B7D">
        <w:trPr>
          <w:trHeight w:val="255"/>
        </w:trPr>
        <w:tc>
          <w:tcPr>
            <w:tcW w:w="1420" w:type="dxa"/>
            <w:tcBorders>
              <w:top w:val="single" w:sz="4" w:space="0" w:color="auto"/>
              <w:left w:val="single" w:sz="4" w:space="0" w:color="auto"/>
              <w:bottom w:val="single" w:sz="4" w:space="0" w:color="auto"/>
              <w:right w:val="single" w:sz="4" w:space="0" w:color="auto"/>
            </w:tcBorders>
            <w:shd w:val="clear" w:color="auto" w:fill="auto"/>
            <w:noWrap/>
            <w:hideMark/>
          </w:tcPr>
          <w:p w14:paraId="47CA2E54"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single" w:sz="4" w:space="0" w:color="auto"/>
              <w:left w:val="nil"/>
              <w:bottom w:val="single" w:sz="4" w:space="0" w:color="auto"/>
              <w:right w:val="single" w:sz="4" w:space="0" w:color="auto"/>
            </w:tcBorders>
            <w:shd w:val="clear" w:color="auto" w:fill="auto"/>
            <w:noWrap/>
            <w:hideMark/>
          </w:tcPr>
          <w:p w14:paraId="47CA2E5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701005025000   </w:t>
            </w:r>
          </w:p>
        </w:tc>
        <w:tc>
          <w:tcPr>
            <w:tcW w:w="5846" w:type="dxa"/>
            <w:tcBorders>
              <w:top w:val="single" w:sz="4" w:space="0" w:color="auto"/>
              <w:left w:val="nil"/>
              <w:bottom w:val="single" w:sz="4" w:space="0" w:color="auto"/>
              <w:right w:val="single" w:sz="4" w:space="0" w:color="auto"/>
            </w:tcBorders>
            <w:shd w:val="clear" w:color="auto" w:fill="auto"/>
            <w:noWrap/>
            <w:hideMark/>
          </w:tcPr>
          <w:p w14:paraId="47CA2E5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Primas y Descuentos sobre valores en Moneda Extranjera</w:t>
            </w:r>
          </w:p>
        </w:tc>
      </w:tr>
      <w:tr w:rsidR="00965136" w:rsidRPr="00720D3A" w14:paraId="47CA2E5B" w14:textId="77777777" w:rsidTr="007B3B7D">
        <w:trPr>
          <w:trHeight w:val="255"/>
        </w:trPr>
        <w:tc>
          <w:tcPr>
            <w:tcW w:w="1420" w:type="dxa"/>
            <w:tcBorders>
              <w:top w:val="single" w:sz="4" w:space="0" w:color="auto"/>
              <w:left w:val="single" w:sz="4" w:space="0" w:color="auto"/>
              <w:bottom w:val="single" w:sz="4" w:space="0" w:color="auto"/>
              <w:right w:val="single" w:sz="4" w:space="0" w:color="auto"/>
            </w:tcBorders>
            <w:shd w:val="clear" w:color="auto" w:fill="auto"/>
            <w:noWrap/>
            <w:hideMark/>
          </w:tcPr>
          <w:p w14:paraId="47CA2E58"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single" w:sz="4" w:space="0" w:color="auto"/>
              <w:left w:val="nil"/>
              <w:bottom w:val="single" w:sz="4" w:space="0" w:color="auto"/>
              <w:right w:val="single" w:sz="4" w:space="0" w:color="auto"/>
            </w:tcBorders>
            <w:shd w:val="clear" w:color="auto" w:fill="auto"/>
            <w:noWrap/>
            <w:hideMark/>
          </w:tcPr>
          <w:p w14:paraId="47CA2E5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701005025001   </w:t>
            </w:r>
          </w:p>
        </w:tc>
        <w:tc>
          <w:tcPr>
            <w:tcW w:w="5846" w:type="dxa"/>
            <w:tcBorders>
              <w:top w:val="single" w:sz="4" w:space="0" w:color="auto"/>
              <w:left w:val="nil"/>
              <w:bottom w:val="single" w:sz="4" w:space="0" w:color="auto"/>
              <w:right w:val="single" w:sz="4" w:space="0" w:color="auto"/>
            </w:tcBorders>
            <w:shd w:val="clear" w:color="auto" w:fill="auto"/>
            <w:noWrap/>
            <w:hideMark/>
          </w:tcPr>
          <w:p w14:paraId="47CA2E5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Primas sobre valores en Moneda Extranjera</w:t>
            </w:r>
          </w:p>
        </w:tc>
      </w:tr>
      <w:tr w:rsidR="00965136" w:rsidRPr="00720D3A" w14:paraId="47CA2E5F" w14:textId="77777777" w:rsidTr="007B3B7D">
        <w:trPr>
          <w:trHeight w:val="255"/>
        </w:trPr>
        <w:tc>
          <w:tcPr>
            <w:tcW w:w="1420" w:type="dxa"/>
            <w:tcBorders>
              <w:top w:val="single" w:sz="4" w:space="0" w:color="auto"/>
              <w:left w:val="single" w:sz="4" w:space="0" w:color="auto"/>
              <w:bottom w:val="single" w:sz="4" w:space="0" w:color="auto"/>
              <w:right w:val="single" w:sz="4" w:space="0" w:color="auto"/>
            </w:tcBorders>
            <w:shd w:val="clear" w:color="auto" w:fill="auto"/>
            <w:noWrap/>
            <w:hideMark/>
          </w:tcPr>
          <w:p w14:paraId="47CA2E5C"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single" w:sz="4" w:space="0" w:color="auto"/>
              <w:left w:val="nil"/>
              <w:bottom w:val="single" w:sz="4" w:space="0" w:color="auto"/>
              <w:right w:val="single" w:sz="4" w:space="0" w:color="auto"/>
            </w:tcBorders>
            <w:shd w:val="clear" w:color="auto" w:fill="auto"/>
            <w:noWrap/>
            <w:hideMark/>
          </w:tcPr>
          <w:p w14:paraId="47CA2E5D"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701005025002   </w:t>
            </w:r>
          </w:p>
        </w:tc>
        <w:tc>
          <w:tcPr>
            <w:tcW w:w="5846" w:type="dxa"/>
            <w:tcBorders>
              <w:top w:val="single" w:sz="4" w:space="0" w:color="auto"/>
              <w:left w:val="nil"/>
              <w:bottom w:val="single" w:sz="4" w:space="0" w:color="auto"/>
              <w:right w:val="single" w:sz="4" w:space="0" w:color="auto"/>
            </w:tcBorders>
            <w:shd w:val="clear" w:color="auto" w:fill="auto"/>
            <w:noWrap/>
            <w:hideMark/>
          </w:tcPr>
          <w:p w14:paraId="47CA2E5E"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Descuentos sobre valores en Moneda Extranjera</w:t>
            </w:r>
          </w:p>
        </w:tc>
      </w:tr>
      <w:tr w:rsidR="00965136" w:rsidRPr="00720D3A" w14:paraId="47CA2E63" w14:textId="77777777" w:rsidTr="007B3B7D">
        <w:trPr>
          <w:trHeight w:val="255"/>
        </w:trPr>
        <w:tc>
          <w:tcPr>
            <w:tcW w:w="1420" w:type="dxa"/>
            <w:tcBorders>
              <w:top w:val="single" w:sz="4" w:space="0" w:color="auto"/>
              <w:left w:val="single" w:sz="4" w:space="0" w:color="auto"/>
              <w:bottom w:val="single" w:sz="4" w:space="0" w:color="auto"/>
              <w:right w:val="single" w:sz="4" w:space="0" w:color="auto"/>
            </w:tcBorders>
            <w:shd w:val="clear" w:color="auto" w:fill="auto"/>
            <w:noWrap/>
            <w:hideMark/>
          </w:tcPr>
          <w:p w14:paraId="47CA2E60"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single" w:sz="4" w:space="0" w:color="auto"/>
              <w:left w:val="nil"/>
              <w:bottom w:val="single" w:sz="4" w:space="0" w:color="auto"/>
              <w:right w:val="single" w:sz="4" w:space="0" w:color="auto"/>
            </w:tcBorders>
            <w:shd w:val="clear" w:color="auto" w:fill="auto"/>
            <w:noWrap/>
            <w:hideMark/>
          </w:tcPr>
          <w:p w14:paraId="47CA2E61"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701005029000   </w:t>
            </w:r>
          </w:p>
        </w:tc>
        <w:tc>
          <w:tcPr>
            <w:tcW w:w="5846" w:type="dxa"/>
            <w:tcBorders>
              <w:top w:val="single" w:sz="4" w:space="0" w:color="auto"/>
              <w:left w:val="nil"/>
              <w:bottom w:val="single" w:sz="4" w:space="0" w:color="auto"/>
              <w:right w:val="single" w:sz="4" w:space="0" w:color="auto"/>
            </w:tcBorders>
            <w:shd w:val="clear" w:color="auto" w:fill="auto"/>
            <w:noWrap/>
            <w:hideMark/>
          </w:tcPr>
          <w:p w14:paraId="47CA2E62"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Ganancias (Pérdidas) no realizadas por valuación de inversiones en Moneda Extranjera</w:t>
            </w:r>
          </w:p>
        </w:tc>
      </w:tr>
      <w:tr w:rsidR="00965136" w:rsidRPr="00720D3A" w14:paraId="47CA2E67" w14:textId="77777777" w:rsidTr="007B3B7D">
        <w:trPr>
          <w:trHeight w:val="255"/>
        </w:trPr>
        <w:tc>
          <w:tcPr>
            <w:tcW w:w="1420" w:type="dxa"/>
            <w:tcBorders>
              <w:top w:val="single" w:sz="4" w:space="0" w:color="auto"/>
              <w:left w:val="single" w:sz="4" w:space="0" w:color="auto"/>
              <w:bottom w:val="single" w:sz="4" w:space="0" w:color="auto"/>
              <w:right w:val="single" w:sz="4" w:space="0" w:color="auto"/>
            </w:tcBorders>
            <w:shd w:val="clear" w:color="auto" w:fill="auto"/>
            <w:noWrap/>
            <w:hideMark/>
          </w:tcPr>
          <w:p w14:paraId="47CA2E64"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single" w:sz="4" w:space="0" w:color="auto"/>
              <w:left w:val="nil"/>
              <w:bottom w:val="single" w:sz="4" w:space="0" w:color="auto"/>
              <w:right w:val="single" w:sz="4" w:space="0" w:color="auto"/>
            </w:tcBorders>
            <w:shd w:val="clear" w:color="auto" w:fill="auto"/>
            <w:noWrap/>
            <w:hideMark/>
          </w:tcPr>
          <w:p w14:paraId="47CA2E65"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702005010400   </w:t>
            </w:r>
          </w:p>
        </w:tc>
        <w:tc>
          <w:tcPr>
            <w:tcW w:w="5846" w:type="dxa"/>
            <w:tcBorders>
              <w:top w:val="single" w:sz="4" w:space="0" w:color="auto"/>
              <w:left w:val="nil"/>
              <w:bottom w:val="single" w:sz="4" w:space="0" w:color="auto"/>
              <w:right w:val="single" w:sz="4" w:space="0" w:color="auto"/>
            </w:tcBorders>
            <w:shd w:val="clear" w:color="auto" w:fill="auto"/>
            <w:noWrap/>
            <w:hideMark/>
          </w:tcPr>
          <w:p w14:paraId="47CA2E66"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Terrenos</w:t>
            </w:r>
          </w:p>
        </w:tc>
      </w:tr>
      <w:tr w:rsidR="00965136" w:rsidRPr="00720D3A" w14:paraId="47CA2E6B" w14:textId="77777777" w:rsidTr="007B3B7D">
        <w:trPr>
          <w:trHeight w:val="255"/>
        </w:trPr>
        <w:tc>
          <w:tcPr>
            <w:tcW w:w="1420" w:type="dxa"/>
            <w:tcBorders>
              <w:top w:val="single" w:sz="4" w:space="0" w:color="auto"/>
              <w:left w:val="single" w:sz="4" w:space="0" w:color="auto"/>
              <w:bottom w:val="single" w:sz="4" w:space="0" w:color="auto"/>
              <w:right w:val="single" w:sz="4" w:space="0" w:color="auto"/>
            </w:tcBorders>
            <w:shd w:val="clear" w:color="auto" w:fill="auto"/>
            <w:noWrap/>
            <w:hideMark/>
          </w:tcPr>
          <w:p w14:paraId="47CA2E68"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BG_FONDOS</w:t>
            </w:r>
          </w:p>
        </w:tc>
        <w:tc>
          <w:tcPr>
            <w:tcW w:w="1660" w:type="dxa"/>
            <w:tcBorders>
              <w:top w:val="single" w:sz="4" w:space="0" w:color="auto"/>
              <w:left w:val="nil"/>
              <w:bottom w:val="single" w:sz="4" w:space="0" w:color="auto"/>
              <w:right w:val="single" w:sz="4" w:space="0" w:color="auto"/>
            </w:tcBorders>
            <w:shd w:val="clear" w:color="auto" w:fill="auto"/>
            <w:noWrap/>
            <w:hideMark/>
          </w:tcPr>
          <w:p w14:paraId="47CA2E69"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 xml:space="preserve">702005020400   </w:t>
            </w:r>
          </w:p>
        </w:tc>
        <w:tc>
          <w:tcPr>
            <w:tcW w:w="5846" w:type="dxa"/>
            <w:tcBorders>
              <w:top w:val="single" w:sz="4" w:space="0" w:color="auto"/>
              <w:left w:val="nil"/>
              <w:bottom w:val="single" w:sz="4" w:space="0" w:color="auto"/>
              <w:right w:val="single" w:sz="4" w:space="0" w:color="auto"/>
            </w:tcBorders>
            <w:shd w:val="clear" w:color="auto" w:fill="auto"/>
            <w:noWrap/>
            <w:hideMark/>
          </w:tcPr>
          <w:p w14:paraId="47CA2E6A" w14:textId="77777777" w:rsidR="00965136" w:rsidRPr="00720D3A" w:rsidRDefault="00965136" w:rsidP="00965136">
            <w:pPr>
              <w:spacing w:after="0" w:line="240" w:lineRule="auto"/>
              <w:rPr>
                <w:rFonts w:eastAsia="Times New Roman" w:cs="Arial"/>
                <w:lang w:val="es-CR" w:eastAsia="es-CR"/>
              </w:rPr>
            </w:pPr>
            <w:r w:rsidRPr="00720D3A">
              <w:rPr>
                <w:rFonts w:eastAsia="Times New Roman" w:cs="Arial"/>
                <w:lang w:val="es-CR" w:eastAsia="es-CR"/>
              </w:rPr>
              <w:t>Terrenos</w:t>
            </w:r>
          </w:p>
        </w:tc>
      </w:tr>
    </w:tbl>
    <w:p w14:paraId="47CA2E6C" w14:textId="77777777" w:rsidR="00965136" w:rsidRPr="00720D3A" w:rsidRDefault="00965136" w:rsidP="003724A7">
      <w:pPr>
        <w:pStyle w:val="Numeracin"/>
        <w:numPr>
          <w:ilvl w:val="0"/>
          <w:numId w:val="0"/>
        </w:numPr>
        <w:spacing w:before="0"/>
        <w:ind w:right="-193"/>
        <w:rPr>
          <w:rFonts w:ascii="Arial" w:eastAsia="Arial Unicode MS" w:hAnsi="Arial" w:cs="Arial"/>
          <w:b/>
          <w:szCs w:val="22"/>
          <w:lang w:val="es-CR"/>
        </w:rPr>
      </w:pPr>
    </w:p>
    <w:p w14:paraId="47CA2E6D" w14:textId="77777777" w:rsidR="00965136" w:rsidRPr="00720D3A" w:rsidRDefault="00965136" w:rsidP="00965136">
      <w:pPr>
        <w:pStyle w:val="Numeracin"/>
        <w:numPr>
          <w:ilvl w:val="0"/>
          <w:numId w:val="6"/>
        </w:numPr>
        <w:spacing w:before="0"/>
        <w:ind w:right="-193"/>
        <w:rPr>
          <w:rFonts w:ascii="Arial" w:hAnsi="Arial" w:cs="Arial"/>
          <w:szCs w:val="22"/>
        </w:rPr>
      </w:pPr>
      <w:r w:rsidRPr="00720D3A">
        <w:rPr>
          <w:rFonts w:ascii="Arial" w:hAnsi="Arial" w:cs="Arial"/>
          <w:szCs w:val="22"/>
        </w:rPr>
        <w:t xml:space="preserve">Se modifica el nombre de las siguientes cuentas a los Estados Financieros de Fondos de Inversión (Anexo  15), </w:t>
      </w:r>
      <w:r w:rsidR="00530A22" w:rsidRPr="00720D3A">
        <w:rPr>
          <w:rFonts w:ascii="Arial" w:hAnsi="Arial" w:cs="Arial"/>
          <w:szCs w:val="22"/>
        </w:rPr>
        <w:t xml:space="preserve">y del Reporte Diario Fondos (Anexo 13) </w:t>
      </w:r>
      <w:r w:rsidRPr="00720D3A">
        <w:rPr>
          <w:rFonts w:ascii="Arial" w:hAnsi="Arial" w:cs="Arial"/>
          <w:szCs w:val="22"/>
        </w:rPr>
        <w:t>de acuerdo con el siguiente detalle:</w:t>
      </w:r>
    </w:p>
    <w:p w14:paraId="47CA2E6E" w14:textId="77777777" w:rsidR="00965136" w:rsidRPr="00720D3A" w:rsidRDefault="00965136" w:rsidP="003724A7">
      <w:pPr>
        <w:pStyle w:val="Numeracin"/>
        <w:numPr>
          <w:ilvl w:val="0"/>
          <w:numId w:val="0"/>
        </w:numPr>
        <w:spacing w:before="0"/>
        <w:ind w:right="-193"/>
        <w:rPr>
          <w:rFonts w:ascii="Arial" w:eastAsia="Arial Unicode MS" w:hAnsi="Arial" w:cs="Arial"/>
          <w:b/>
          <w:szCs w:val="22"/>
        </w:rPr>
      </w:pPr>
    </w:p>
    <w:tbl>
      <w:tblPr>
        <w:tblW w:w="8927" w:type="dxa"/>
        <w:tblLayout w:type="fixed"/>
        <w:tblCellMar>
          <w:left w:w="70" w:type="dxa"/>
          <w:right w:w="70" w:type="dxa"/>
        </w:tblCellMar>
        <w:tblLook w:val="04A0" w:firstRow="1" w:lastRow="0" w:firstColumn="1" w:lastColumn="0" w:noHBand="0" w:noVBand="1"/>
      </w:tblPr>
      <w:tblGrid>
        <w:gridCol w:w="1555"/>
        <w:gridCol w:w="1701"/>
        <w:gridCol w:w="2551"/>
        <w:gridCol w:w="3120"/>
      </w:tblGrid>
      <w:tr w:rsidR="00F461AC" w:rsidRPr="00720D3A" w14:paraId="47CA2E73" w14:textId="77777777" w:rsidTr="00DD78F3">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CA2E6F" w14:textId="77777777" w:rsidR="00F461AC" w:rsidRPr="00720D3A" w:rsidRDefault="00F461AC" w:rsidP="00F461AC">
            <w:pPr>
              <w:spacing w:after="0" w:line="240" w:lineRule="auto"/>
              <w:jc w:val="center"/>
              <w:rPr>
                <w:rFonts w:eastAsia="Times New Roman" w:cs="Arial"/>
                <w:b/>
                <w:lang w:val="es-CR" w:eastAsia="es-CR"/>
              </w:rPr>
            </w:pPr>
            <w:r w:rsidRPr="00720D3A">
              <w:rPr>
                <w:rFonts w:eastAsia="Times New Roman" w:cs="Arial"/>
                <w:b/>
                <w:lang w:val="es-CR" w:eastAsia="es-CR"/>
              </w:rPr>
              <w:t>CATÁLOGO</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7CA2E70" w14:textId="77777777" w:rsidR="00F461AC" w:rsidRPr="00720D3A" w:rsidRDefault="00F461AC" w:rsidP="00F461AC">
            <w:pPr>
              <w:spacing w:after="0" w:line="240" w:lineRule="auto"/>
              <w:jc w:val="center"/>
              <w:rPr>
                <w:rFonts w:eastAsia="Times New Roman" w:cs="Arial"/>
                <w:b/>
                <w:lang w:val="es-CR" w:eastAsia="es-CR"/>
              </w:rPr>
            </w:pPr>
            <w:r w:rsidRPr="00720D3A">
              <w:rPr>
                <w:rFonts w:eastAsia="Times New Roman" w:cs="Arial"/>
                <w:b/>
                <w:lang w:val="es-CR" w:eastAsia="es-CR"/>
              </w:rPr>
              <w:t>CÓDIGO</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47CA2E71" w14:textId="77777777" w:rsidR="00F461AC" w:rsidRPr="00720D3A" w:rsidRDefault="00F461AC" w:rsidP="00F461AC">
            <w:pPr>
              <w:spacing w:after="0" w:line="240" w:lineRule="auto"/>
              <w:jc w:val="center"/>
              <w:rPr>
                <w:rFonts w:eastAsia="Times New Roman" w:cs="Arial"/>
                <w:b/>
                <w:lang w:val="es-CR" w:eastAsia="es-CR"/>
              </w:rPr>
            </w:pPr>
            <w:r w:rsidRPr="00720D3A">
              <w:rPr>
                <w:rFonts w:eastAsia="Times New Roman" w:cs="Arial"/>
                <w:b/>
                <w:lang w:val="es-CR" w:eastAsia="es-CR"/>
              </w:rPr>
              <w:t>NOMBRE ANTERIOR</w:t>
            </w:r>
          </w:p>
        </w:tc>
        <w:tc>
          <w:tcPr>
            <w:tcW w:w="3120" w:type="dxa"/>
            <w:tcBorders>
              <w:top w:val="single" w:sz="4" w:space="0" w:color="auto"/>
              <w:left w:val="nil"/>
              <w:bottom w:val="single" w:sz="4" w:space="0" w:color="auto"/>
              <w:right w:val="single" w:sz="4" w:space="0" w:color="auto"/>
            </w:tcBorders>
            <w:vAlign w:val="center"/>
          </w:tcPr>
          <w:p w14:paraId="47CA2E72" w14:textId="77777777" w:rsidR="00F461AC" w:rsidRPr="00720D3A" w:rsidRDefault="00F461AC" w:rsidP="00F461AC">
            <w:pPr>
              <w:spacing w:after="0" w:line="240" w:lineRule="auto"/>
              <w:jc w:val="center"/>
              <w:rPr>
                <w:rFonts w:eastAsia="Times New Roman" w:cs="Arial"/>
                <w:b/>
                <w:lang w:val="es-CR" w:eastAsia="es-CR"/>
              </w:rPr>
            </w:pPr>
            <w:r w:rsidRPr="00720D3A">
              <w:rPr>
                <w:rFonts w:eastAsia="Times New Roman" w:cs="Arial"/>
                <w:b/>
                <w:lang w:val="es-CR" w:eastAsia="es-CR"/>
              </w:rPr>
              <w:t>NOMBRE PROPUESTO</w:t>
            </w:r>
          </w:p>
        </w:tc>
      </w:tr>
      <w:tr w:rsidR="00F461AC" w:rsidRPr="00720D3A" w14:paraId="47CA2E78" w14:textId="77777777" w:rsidTr="00DD78F3">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7CA2E74"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BG_FONDOS</w:t>
            </w:r>
          </w:p>
        </w:tc>
        <w:tc>
          <w:tcPr>
            <w:tcW w:w="1701" w:type="dxa"/>
            <w:tcBorders>
              <w:top w:val="nil"/>
              <w:left w:val="nil"/>
              <w:bottom w:val="single" w:sz="4" w:space="0" w:color="auto"/>
              <w:right w:val="single" w:sz="4" w:space="0" w:color="auto"/>
            </w:tcBorders>
            <w:shd w:val="clear" w:color="auto" w:fill="auto"/>
            <w:noWrap/>
            <w:hideMark/>
          </w:tcPr>
          <w:p w14:paraId="47CA2E75"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 xml:space="preserve">702005010100   </w:t>
            </w:r>
          </w:p>
        </w:tc>
        <w:tc>
          <w:tcPr>
            <w:tcW w:w="2551" w:type="dxa"/>
            <w:tcBorders>
              <w:top w:val="nil"/>
              <w:left w:val="nil"/>
              <w:bottom w:val="single" w:sz="4" w:space="0" w:color="auto"/>
              <w:right w:val="single" w:sz="4" w:space="0" w:color="auto"/>
            </w:tcBorders>
            <w:shd w:val="clear" w:color="auto" w:fill="auto"/>
            <w:noWrap/>
            <w:hideMark/>
          </w:tcPr>
          <w:p w14:paraId="47CA2E76"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Edificios</w:t>
            </w:r>
          </w:p>
        </w:tc>
        <w:tc>
          <w:tcPr>
            <w:tcW w:w="3120" w:type="dxa"/>
            <w:tcBorders>
              <w:top w:val="nil"/>
              <w:left w:val="nil"/>
              <w:bottom w:val="single" w:sz="4" w:space="0" w:color="auto"/>
              <w:right w:val="single" w:sz="4" w:space="0" w:color="auto"/>
            </w:tcBorders>
          </w:tcPr>
          <w:p w14:paraId="47CA2E77"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Valor de adquisición de inversión en propiedades</w:t>
            </w:r>
          </w:p>
        </w:tc>
      </w:tr>
      <w:tr w:rsidR="00F461AC" w:rsidRPr="00720D3A" w14:paraId="47CA2E7D" w14:textId="77777777" w:rsidTr="00DD78F3">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7CA2E79"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BG_FONDOS</w:t>
            </w:r>
          </w:p>
        </w:tc>
        <w:tc>
          <w:tcPr>
            <w:tcW w:w="1701" w:type="dxa"/>
            <w:tcBorders>
              <w:top w:val="nil"/>
              <w:left w:val="nil"/>
              <w:bottom w:val="single" w:sz="4" w:space="0" w:color="auto"/>
              <w:right w:val="single" w:sz="4" w:space="0" w:color="auto"/>
            </w:tcBorders>
            <w:shd w:val="clear" w:color="auto" w:fill="auto"/>
            <w:noWrap/>
            <w:hideMark/>
          </w:tcPr>
          <w:p w14:paraId="47CA2E7A"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 xml:space="preserve">702005010200   </w:t>
            </w:r>
          </w:p>
        </w:tc>
        <w:tc>
          <w:tcPr>
            <w:tcW w:w="2551" w:type="dxa"/>
            <w:tcBorders>
              <w:top w:val="nil"/>
              <w:left w:val="nil"/>
              <w:bottom w:val="single" w:sz="4" w:space="0" w:color="auto"/>
              <w:right w:val="single" w:sz="4" w:space="0" w:color="auto"/>
            </w:tcBorders>
            <w:shd w:val="clear" w:color="auto" w:fill="auto"/>
            <w:noWrap/>
            <w:hideMark/>
          </w:tcPr>
          <w:p w14:paraId="47CA2E7B"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Mejoras de Edificios capitalizadas</w:t>
            </w:r>
          </w:p>
        </w:tc>
        <w:tc>
          <w:tcPr>
            <w:tcW w:w="3120" w:type="dxa"/>
            <w:tcBorders>
              <w:top w:val="nil"/>
              <w:left w:val="nil"/>
              <w:bottom w:val="single" w:sz="4" w:space="0" w:color="auto"/>
              <w:right w:val="single" w:sz="4" w:space="0" w:color="auto"/>
            </w:tcBorders>
          </w:tcPr>
          <w:p w14:paraId="47CA2E7C"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Mejoras capitalizadas</w:t>
            </w:r>
          </w:p>
        </w:tc>
      </w:tr>
      <w:tr w:rsidR="00F461AC" w:rsidRPr="00720D3A" w14:paraId="47CA2E82" w14:textId="77777777" w:rsidTr="00DD78F3">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7CA2E7E"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BG_FONDOS</w:t>
            </w:r>
          </w:p>
        </w:tc>
        <w:tc>
          <w:tcPr>
            <w:tcW w:w="1701" w:type="dxa"/>
            <w:tcBorders>
              <w:top w:val="nil"/>
              <w:left w:val="nil"/>
              <w:bottom w:val="single" w:sz="4" w:space="0" w:color="auto"/>
              <w:right w:val="single" w:sz="4" w:space="0" w:color="auto"/>
            </w:tcBorders>
            <w:shd w:val="clear" w:color="auto" w:fill="auto"/>
            <w:noWrap/>
            <w:hideMark/>
          </w:tcPr>
          <w:p w14:paraId="47CA2E7F"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 xml:space="preserve">702005010300   </w:t>
            </w:r>
          </w:p>
        </w:tc>
        <w:tc>
          <w:tcPr>
            <w:tcW w:w="2551" w:type="dxa"/>
            <w:tcBorders>
              <w:top w:val="nil"/>
              <w:left w:val="nil"/>
              <w:bottom w:val="single" w:sz="4" w:space="0" w:color="auto"/>
              <w:right w:val="single" w:sz="4" w:space="0" w:color="auto"/>
            </w:tcBorders>
            <w:shd w:val="clear" w:color="auto" w:fill="auto"/>
            <w:noWrap/>
            <w:hideMark/>
          </w:tcPr>
          <w:p w14:paraId="47CA2E80"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Ampliaciones de Edificios (Colones)</w:t>
            </w:r>
          </w:p>
        </w:tc>
        <w:tc>
          <w:tcPr>
            <w:tcW w:w="3120" w:type="dxa"/>
            <w:tcBorders>
              <w:top w:val="nil"/>
              <w:left w:val="nil"/>
              <w:bottom w:val="single" w:sz="4" w:space="0" w:color="auto"/>
              <w:right w:val="single" w:sz="4" w:space="0" w:color="auto"/>
            </w:tcBorders>
          </w:tcPr>
          <w:p w14:paraId="47CA2E81"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Ampliaciones capitalizadas</w:t>
            </w:r>
          </w:p>
        </w:tc>
      </w:tr>
      <w:tr w:rsidR="00F461AC" w:rsidRPr="00720D3A" w14:paraId="47CA2E87" w14:textId="77777777" w:rsidTr="00DD78F3">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7CA2E83"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BG_FONDOS</w:t>
            </w:r>
          </w:p>
        </w:tc>
        <w:tc>
          <w:tcPr>
            <w:tcW w:w="1701" w:type="dxa"/>
            <w:tcBorders>
              <w:top w:val="nil"/>
              <w:left w:val="nil"/>
              <w:bottom w:val="single" w:sz="4" w:space="0" w:color="auto"/>
              <w:right w:val="single" w:sz="4" w:space="0" w:color="auto"/>
            </w:tcBorders>
            <w:shd w:val="clear" w:color="auto" w:fill="auto"/>
            <w:noWrap/>
            <w:hideMark/>
          </w:tcPr>
          <w:p w14:paraId="47CA2E84"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 xml:space="preserve">702005015000   </w:t>
            </w:r>
          </w:p>
        </w:tc>
        <w:tc>
          <w:tcPr>
            <w:tcW w:w="2551" w:type="dxa"/>
            <w:tcBorders>
              <w:top w:val="nil"/>
              <w:left w:val="nil"/>
              <w:bottom w:val="single" w:sz="4" w:space="0" w:color="auto"/>
              <w:right w:val="single" w:sz="4" w:space="0" w:color="auto"/>
            </w:tcBorders>
            <w:shd w:val="clear" w:color="auto" w:fill="auto"/>
            <w:noWrap/>
            <w:hideMark/>
          </w:tcPr>
          <w:p w14:paraId="47CA2E85"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Estimación por valuación de las inversiones en propiedad a valor de mercado en Colones</w:t>
            </w:r>
          </w:p>
        </w:tc>
        <w:tc>
          <w:tcPr>
            <w:tcW w:w="3120" w:type="dxa"/>
            <w:tcBorders>
              <w:top w:val="nil"/>
              <w:left w:val="nil"/>
              <w:bottom w:val="single" w:sz="4" w:space="0" w:color="auto"/>
              <w:right w:val="single" w:sz="4" w:space="0" w:color="auto"/>
            </w:tcBorders>
          </w:tcPr>
          <w:p w14:paraId="47CA2E86"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Estimación por valuación de las inversiones en propiedad a valor razonable</w:t>
            </w:r>
          </w:p>
        </w:tc>
      </w:tr>
      <w:tr w:rsidR="00F461AC" w:rsidRPr="00720D3A" w14:paraId="47CA2E8C" w14:textId="77777777" w:rsidTr="00DD78F3">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7CA2E88"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BG_FONDOS</w:t>
            </w:r>
          </w:p>
        </w:tc>
        <w:tc>
          <w:tcPr>
            <w:tcW w:w="1701" w:type="dxa"/>
            <w:tcBorders>
              <w:top w:val="nil"/>
              <w:left w:val="nil"/>
              <w:bottom w:val="single" w:sz="4" w:space="0" w:color="auto"/>
              <w:right w:val="single" w:sz="4" w:space="0" w:color="auto"/>
            </w:tcBorders>
            <w:shd w:val="clear" w:color="auto" w:fill="auto"/>
            <w:noWrap/>
            <w:hideMark/>
          </w:tcPr>
          <w:p w14:paraId="47CA2E89"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 xml:space="preserve">702005020100   </w:t>
            </w:r>
          </w:p>
        </w:tc>
        <w:tc>
          <w:tcPr>
            <w:tcW w:w="2551" w:type="dxa"/>
            <w:tcBorders>
              <w:top w:val="nil"/>
              <w:left w:val="nil"/>
              <w:bottom w:val="single" w:sz="4" w:space="0" w:color="auto"/>
              <w:right w:val="single" w:sz="4" w:space="0" w:color="auto"/>
            </w:tcBorders>
            <w:shd w:val="clear" w:color="auto" w:fill="auto"/>
            <w:noWrap/>
            <w:hideMark/>
          </w:tcPr>
          <w:p w14:paraId="47CA2E8A"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Edificios</w:t>
            </w:r>
          </w:p>
        </w:tc>
        <w:tc>
          <w:tcPr>
            <w:tcW w:w="3120" w:type="dxa"/>
            <w:tcBorders>
              <w:top w:val="nil"/>
              <w:left w:val="nil"/>
              <w:bottom w:val="single" w:sz="4" w:space="0" w:color="auto"/>
              <w:right w:val="single" w:sz="4" w:space="0" w:color="auto"/>
            </w:tcBorders>
          </w:tcPr>
          <w:p w14:paraId="47CA2E8B"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Valor de adquisición de inversión en propiedades</w:t>
            </w:r>
          </w:p>
        </w:tc>
      </w:tr>
      <w:tr w:rsidR="00F461AC" w:rsidRPr="00720D3A" w14:paraId="47CA2E91" w14:textId="77777777" w:rsidTr="00DD78F3">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7CA2E8D"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BG_FONDOS</w:t>
            </w:r>
          </w:p>
        </w:tc>
        <w:tc>
          <w:tcPr>
            <w:tcW w:w="1701" w:type="dxa"/>
            <w:tcBorders>
              <w:top w:val="nil"/>
              <w:left w:val="nil"/>
              <w:bottom w:val="single" w:sz="4" w:space="0" w:color="auto"/>
              <w:right w:val="single" w:sz="4" w:space="0" w:color="auto"/>
            </w:tcBorders>
            <w:shd w:val="clear" w:color="auto" w:fill="auto"/>
            <w:noWrap/>
            <w:hideMark/>
          </w:tcPr>
          <w:p w14:paraId="47CA2E8E"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 xml:space="preserve">702005020200   </w:t>
            </w:r>
          </w:p>
        </w:tc>
        <w:tc>
          <w:tcPr>
            <w:tcW w:w="2551" w:type="dxa"/>
            <w:tcBorders>
              <w:top w:val="nil"/>
              <w:left w:val="nil"/>
              <w:bottom w:val="single" w:sz="4" w:space="0" w:color="auto"/>
              <w:right w:val="single" w:sz="4" w:space="0" w:color="auto"/>
            </w:tcBorders>
            <w:shd w:val="clear" w:color="auto" w:fill="auto"/>
            <w:noWrap/>
            <w:hideMark/>
          </w:tcPr>
          <w:p w14:paraId="47CA2E8F"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Mejoras de Edificios capitalizadas</w:t>
            </w:r>
          </w:p>
        </w:tc>
        <w:tc>
          <w:tcPr>
            <w:tcW w:w="3120" w:type="dxa"/>
            <w:tcBorders>
              <w:top w:val="nil"/>
              <w:left w:val="nil"/>
              <w:bottom w:val="single" w:sz="4" w:space="0" w:color="auto"/>
              <w:right w:val="single" w:sz="4" w:space="0" w:color="auto"/>
            </w:tcBorders>
          </w:tcPr>
          <w:p w14:paraId="47CA2E90"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Mejoras capitalizadas</w:t>
            </w:r>
          </w:p>
        </w:tc>
      </w:tr>
      <w:tr w:rsidR="00F461AC" w:rsidRPr="00720D3A" w14:paraId="47CA2E96" w14:textId="77777777" w:rsidTr="00DD78F3">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7CA2E92"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lastRenderedPageBreak/>
              <w:t>BG_FONDOS</w:t>
            </w:r>
          </w:p>
        </w:tc>
        <w:tc>
          <w:tcPr>
            <w:tcW w:w="1701" w:type="dxa"/>
            <w:tcBorders>
              <w:top w:val="nil"/>
              <w:left w:val="nil"/>
              <w:bottom w:val="single" w:sz="4" w:space="0" w:color="auto"/>
              <w:right w:val="single" w:sz="4" w:space="0" w:color="auto"/>
            </w:tcBorders>
            <w:shd w:val="clear" w:color="auto" w:fill="auto"/>
            <w:noWrap/>
            <w:hideMark/>
          </w:tcPr>
          <w:p w14:paraId="47CA2E93"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 xml:space="preserve">702005020300   </w:t>
            </w:r>
          </w:p>
        </w:tc>
        <w:tc>
          <w:tcPr>
            <w:tcW w:w="2551" w:type="dxa"/>
            <w:tcBorders>
              <w:top w:val="nil"/>
              <w:left w:val="nil"/>
              <w:bottom w:val="single" w:sz="4" w:space="0" w:color="auto"/>
              <w:right w:val="single" w:sz="4" w:space="0" w:color="auto"/>
            </w:tcBorders>
            <w:shd w:val="clear" w:color="auto" w:fill="auto"/>
            <w:noWrap/>
            <w:hideMark/>
          </w:tcPr>
          <w:p w14:paraId="47CA2E94"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Ampliaciones de Edificios (Moneda Extranjera)</w:t>
            </w:r>
          </w:p>
        </w:tc>
        <w:tc>
          <w:tcPr>
            <w:tcW w:w="3120" w:type="dxa"/>
            <w:tcBorders>
              <w:top w:val="nil"/>
              <w:left w:val="nil"/>
              <w:bottom w:val="single" w:sz="4" w:space="0" w:color="auto"/>
              <w:right w:val="single" w:sz="4" w:space="0" w:color="auto"/>
            </w:tcBorders>
          </w:tcPr>
          <w:p w14:paraId="47CA2E95"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Ampliaciones capitalizadas</w:t>
            </w:r>
          </w:p>
        </w:tc>
      </w:tr>
      <w:tr w:rsidR="00F461AC" w:rsidRPr="00720D3A" w14:paraId="47CA2E9B" w14:textId="77777777" w:rsidTr="00DD78F3">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7CA2E97"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BG_FONDOS</w:t>
            </w:r>
          </w:p>
        </w:tc>
        <w:tc>
          <w:tcPr>
            <w:tcW w:w="1701" w:type="dxa"/>
            <w:tcBorders>
              <w:top w:val="nil"/>
              <w:left w:val="nil"/>
              <w:bottom w:val="single" w:sz="4" w:space="0" w:color="auto"/>
              <w:right w:val="single" w:sz="4" w:space="0" w:color="auto"/>
            </w:tcBorders>
            <w:shd w:val="clear" w:color="auto" w:fill="auto"/>
            <w:noWrap/>
            <w:hideMark/>
          </w:tcPr>
          <w:p w14:paraId="47CA2E98"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 xml:space="preserve">702005025000   </w:t>
            </w:r>
          </w:p>
        </w:tc>
        <w:tc>
          <w:tcPr>
            <w:tcW w:w="2551" w:type="dxa"/>
            <w:tcBorders>
              <w:top w:val="nil"/>
              <w:left w:val="nil"/>
              <w:bottom w:val="single" w:sz="4" w:space="0" w:color="auto"/>
              <w:right w:val="single" w:sz="4" w:space="0" w:color="auto"/>
            </w:tcBorders>
            <w:shd w:val="clear" w:color="auto" w:fill="auto"/>
            <w:noWrap/>
            <w:hideMark/>
          </w:tcPr>
          <w:p w14:paraId="47CA2E99"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Estimación por valuación de las inversiones en propiedad a valor de mercado en Moneda Extranjera</w:t>
            </w:r>
          </w:p>
        </w:tc>
        <w:tc>
          <w:tcPr>
            <w:tcW w:w="3120" w:type="dxa"/>
            <w:tcBorders>
              <w:top w:val="nil"/>
              <w:left w:val="nil"/>
              <w:bottom w:val="single" w:sz="4" w:space="0" w:color="auto"/>
              <w:right w:val="single" w:sz="4" w:space="0" w:color="auto"/>
            </w:tcBorders>
          </w:tcPr>
          <w:p w14:paraId="47CA2E9A"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Estimación por valuación de las inversiones en propiedad a valor razonable</w:t>
            </w:r>
          </w:p>
        </w:tc>
      </w:tr>
      <w:tr w:rsidR="00F461AC" w:rsidRPr="00720D3A" w14:paraId="47CA2EA0" w14:textId="77777777" w:rsidTr="00DD78F3">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7CA2E9C"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BG_FONDOS</w:t>
            </w:r>
          </w:p>
        </w:tc>
        <w:tc>
          <w:tcPr>
            <w:tcW w:w="1701" w:type="dxa"/>
            <w:tcBorders>
              <w:top w:val="nil"/>
              <w:left w:val="nil"/>
              <w:bottom w:val="single" w:sz="4" w:space="0" w:color="auto"/>
              <w:right w:val="single" w:sz="4" w:space="0" w:color="auto"/>
            </w:tcBorders>
            <w:shd w:val="clear" w:color="auto" w:fill="auto"/>
            <w:noWrap/>
            <w:hideMark/>
          </w:tcPr>
          <w:p w14:paraId="47CA2E9D"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 xml:space="preserve">802000000000   </w:t>
            </w:r>
          </w:p>
        </w:tc>
        <w:tc>
          <w:tcPr>
            <w:tcW w:w="2551" w:type="dxa"/>
            <w:tcBorders>
              <w:top w:val="nil"/>
              <w:left w:val="nil"/>
              <w:bottom w:val="single" w:sz="4" w:space="0" w:color="auto"/>
              <w:right w:val="single" w:sz="4" w:space="0" w:color="auto"/>
            </w:tcBorders>
            <w:shd w:val="clear" w:color="auto" w:fill="auto"/>
            <w:noWrap/>
            <w:hideMark/>
          </w:tcPr>
          <w:p w14:paraId="47CA2E9E"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Ganancias (Pérdidas) no realizadas por valuación de inversiones</w:t>
            </w:r>
          </w:p>
        </w:tc>
        <w:tc>
          <w:tcPr>
            <w:tcW w:w="3120" w:type="dxa"/>
            <w:tcBorders>
              <w:top w:val="nil"/>
              <w:left w:val="nil"/>
              <w:bottom w:val="single" w:sz="4" w:space="0" w:color="auto"/>
              <w:right w:val="single" w:sz="4" w:space="0" w:color="auto"/>
            </w:tcBorders>
          </w:tcPr>
          <w:p w14:paraId="47CA2E9F"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Ajustes por valuación de inversiones con cambios en otro resultado integral</w:t>
            </w:r>
          </w:p>
        </w:tc>
      </w:tr>
      <w:tr w:rsidR="00F461AC" w:rsidRPr="00720D3A" w14:paraId="47CA2EA5" w14:textId="77777777" w:rsidTr="00DD78F3">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7CA2EA1"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RA_FONDOS</w:t>
            </w:r>
          </w:p>
        </w:tc>
        <w:tc>
          <w:tcPr>
            <w:tcW w:w="1701" w:type="dxa"/>
            <w:tcBorders>
              <w:top w:val="nil"/>
              <w:left w:val="nil"/>
              <w:bottom w:val="single" w:sz="4" w:space="0" w:color="auto"/>
              <w:right w:val="single" w:sz="4" w:space="0" w:color="auto"/>
            </w:tcBorders>
            <w:shd w:val="clear" w:color="auto" w:fill="auto"/>
            <w:noWrap/>
            <w:hideMark/>
          </w:tcPr>
          <w:p w14:paraId="47CA2EA2"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 xml:space="preserve">852015000000   </w:t>
            </w:r>
          </w:p>
        </w:tc>
        <w:tc>
          <w:tcPr>
            <w:tcW w:w="2551" w:type="dxa"/>
            <w:tcBorders>
              <w:top w:val="nil"/>
              <w:left w:val="nil"/>
              <w:bottom w:val="single" w:sz="4" w:space="0" w:color="auto"/>
              <w:right w:val="single" w:sz="4" w:space="0" w:color="auto"/>
            </w:tcBorders>
            <w:shd w:val="clear" w:color="auto" w:fill="auto"/>
            <w:noWrap/>
            <w:hideMark/>
          </w:tcPr>
          <w:p w14:paraId="47CA2EA3"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Variación estimada por incobrables y deterioro de instrumentos y partidas por cobrar</w:t>
            </w:r>
          </w:p>
        </w:tc>
        <w:tc>
          <w:tcPr>
            <w:tcW w:w="3120" w:type="dxa"/>
            <w:tcBorders>
              <w:top w:val="nil"/>
              <w:left w:val="nil"/>
              <w:bottom w:val="single" w:sz="4" w:space="0" w:color="auto"/>
              <w:right w:val="single" w:sz="4" w:space="0" w:color="auto"/>
            </w:tcBorders>
          </w:tcPr>
          <w:p w14:paraId="47CA2EA4"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Variación estimada por incobrables y deterioro de instrumentos y partidas de activos</w:t>
            </w:r>
          </w:p>
        </w:tc>
      </w:tr>
      <w:tr w:rsidR="00F461AC" w:rsidRPr="00720D3A" w14:paraId="47CA2EAA" w14:textId="77777777" w:rsidTr="00DD78F3">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hideMark/>
          </w:tcPr>
          <w:p w14:paraId="47CA2EA6"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ER_FONDOS</w:t>
            </w:r>
          </w:p>
        </w:tc>
        <w:tc>
          <w:tcPr>
            <w:tcW w:w="1701" w:type="dxa"/>
            <w:tcBorders>
              <w:top w:val="single" w:sz="4" w:space="0" w:color="auto"/>
              <w:left w:val="nil"/>
              <w:bottom w:val="single" w:sz="4" w:space="0" w:color="auto"/>
              <w:right w:val="single" w:sz="4" w:space="0" w:color="auto"/>
            </w:tcBorders>
            <w:shd w:val="clear" w:color="auto" w:fill="auto"/>
            <w:noWrap/>
            <w:hideMark/>
          </w:tcPr>
          <w:p w14:paraId="47CA2EA7"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 xml:space="preserve">851015000000   </w:t>
            </w:r>
          </w:p>
        </w:tc>
        <w:tc>
          <w:tcPr>
            <w:tcW w:w="2551" w:type="dxa"/>
            <w:tcBorders>
              <w:top w:val="single" w:sz="4" w:space="0" w:color="auto"/>
              <w:left w:val="nil"/>
              <w:bottom w:val="single" w:sz="4" w:space="0" w:color="auto"/>
              <w:right w:val="single" w:sz="4" w:space="0" w:color="auto"/>
            </w:tcBorders>
            <w:shd w:val="clear" w:color="auto" w:fill="auto"/>
            <w:noWrap/>
            <w:hideMark/>
          </w:tcPr>
          <w:p w14:paraId="47CA2EA8"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Variación estimada por incobrables y deterioro de instrumentos y partidas por cobrar</w:t>
            </w:r>
          </w:p>
        </w:tc>
        <w:tc>
          <w:tcPr>
            <w:tcW w:w="3120" w:type="dxa"/>
            <w:tcBorders>
              <w:top w:val="single" w:sz="4" w:space="0" w:color="auto"/>
              <w:left w:val="nil"/>
              <w:bottom w:val="single" w:sz="4" w:space="0" w:color="auto"/>
              <w:right w:val="single" w:sz="4" w:space="0" w:color="auto"/>
            </w:tcBorders>
          </w:tcPr>
          <w:p w14:paraId="47CA2EA9"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Variación estimada por incobrables y deterioro de instrumentos y partidas de activos</w:t>
            </w:r>
          </w:p>
        </w:tc>
      </w:tr>
      <w:tr w:rsidR="00F461AC" w:rsidRPr="00720D3A" w14:paraId="47CA2EAF" w14:textId="77777777" w:rsidTr="00DD78F3">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tcPr>
          <w:p w14:paraId="47CA2EAB"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RD_FONDOS</w:t>
            </w:r>
          </w:p>
        </w:tc>
        <w:tc>
          <w:tcPr>
            <w:tcW w:w="1701" w:type="dxa"/>
            <w:tcBorders>
              <w:top w:val="single" w:sz="4" w:space="0" w:color="auto"/>
              <w:left w:val="nil"/>
              <w:bottom w:val="single" w:sz="4" w:space="0" w:color="auto"/>
              <w:right w:val="single" w:sz="4" w:space="0" w:color="auto"/>
            </w:tcBorders>
            <w:shd w:val="clear" w:color="auto" w:fill="auto"/>
            <w:noWrap/>
          </w:tcPr>
          <w:p w14:paraId="47CA2EAC"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101003000000</w:t>
            </w:r>
          </w:p>
        </w:tc>
        <w:tc>
          <w:tcPr>
            <w:tcW w:w="2551" w:type="dxa"/>
            <w:tcBorders>
              <w:top w:val="single" w:sz="4" w:space="0" w:color="auto"/>
              <w:left w:val="nil"/>
              <w:bottom w:val="single" w:sz="4" w:space="0" w:color="auto"/>
              <w:right w:val="single" w:sz="4" w:space="0" w:color="auto"/>
            </w:tcBorders>
            <w:shd w:val="clear" w:color="auto" w:fill="auto"/>
            <w:noWrap/>
          </w:tcPr>
          <w:p w14:paraId="47CA2EAD"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Valores Negociables - Locales y del Exterior</w:t>
            </w:r>
          </w:p>
        </w:tc>
        <w:tc>
          <w:tcPr>
            <w:tcW w:w="3120" w:type="dxa"/>
            <w:tcBorders>
              <w:top w:val="single" w:sz="4" w:space="0" w:color="auto"/>
              <w:left w:val="nil"/>
              <w:bottom w:val="single" w:sz="4" w:space="0" w:color="auto"/>
              <w:right w:val="single" w:sz="4" w:space="0" w:color="auto"/>
            </w:tcBorders>
          </w:tcPr>
          <w:p w14:paraId="47CA2EAE"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Inversiones en Instrumentos Financieros</w:t>
            </w:r>
          </w:p>
        </w:tc>
      </w:tr>
      <w:tr w:rsidR="00F461AC" w:rsidRPr="00720D3A" w14:paraId="47CA2EB4" w14:textId="77777777" w:rsidTr="00DD78F3">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tcPr>
          <w:p w14:paraId="47CA2EB0"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RD_FONDOS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CA2EB1"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 xml:space="preserve">305000000000   </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CA2EB2"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 xml:space="preserve">    Ganancias (Pérdidas) no realizadas por valuación de inversiones</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bottom"/>
          </w:tcPr>
          <w:p w14:paraId="47CA2EB3"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 xml:space="preserve">    Ajustes por valuación de inversiones con cambios en otro resultado integral</w:t>
            </w:r>
          </w:p>
        </w:tc>
      </w:tr>
      <w:tr w:rsidR="00F461AC" w:rsidRPr="00720D3A" w14:paraId="47CA2EB9" w14:textId="77777777" w:rsidTr="00DD78F3">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tcPr>
          <w:p w14:paraId="47CA2EB5"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RD_FONDOS</w:t>
            </w:r>
          </w:p>
        </w:tc>
        <w:tc>
          <w:tcPr>
            <w:tcW w:w="1701" w:type="dxa"/>
            <w:tcBorders>
              <w:top w:val="nil"/>
              <w:left w:val="single" w:sz="4" w:space="0" w:color="auto"/>
              <w:bottom w:val="single" w:sz="4" w:space="0" w:color="auto"/>
              <w:right w:val="single" w:sz="4" w:space="0" w:color="auto"/>
            </w:tcBorders>
            <w:shd w:val="clear" w:color="auto" w:fill="auto"/>
            <w:noWrap/>
            <w:vAlign w:val="bottom"/>
          </w:tcPr>
          <w:p w14:paraId="47CA2EB6"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 xml:space="preserve">306000000000   </w:t>
            </w:r>
          </w:p>
        </w:tc>
        <w:tc>
          <w:tcPr>
            <w:tcW w:w="2551" w:type="dxa"/>
            <w:tcBorders>
              <w:top w:val="nil"/>
              <w:left w:val="single" w:sz="4" w:space="0" w:color="auto"/>
              <w:bottom w:val="single" w:sz="4" w:space="0" w:color="auto"/>
              <w:right w:val="single" w:sz="4" w:space="0" w:color="auto"/>
            </w:tcBorders>
            <w:shd w:val="clear" w:color="auto" w:fill="auto"/>
            <w:noWrap/>
            <w:vAlign w:val="bottom"/>
          </w:tcPr>
          <w:p w14:paraId="47CA2EB7"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 xml:space="preserve">    Ganancias (Pérdidas) no realizadas por valuación de inversiones en propiedad</w:t>
            </w:r>
          </w:p>
        </w:tc>
        <w:tc>
          <w:tcPr>
            <w:tcW w:w="3120" w:type="dxa"/>
            <w:tcBorders>
              <w:top w:val="nil"/>
              <w:left w:val="single" w:sz="4" w:space="0" w:color="auto"/>
              <w:bottom w:val="single" w:sz="4" w:space="0" w:color="auto"/>
              <w:right w:val="single" w:sz="4" w:space="0" w:color="auto"/>
            </w:tcBorders>
            <w:shd w:val="clear" w:color="auto" w:fill="auto"/>
            <w:vAlign w:val="bottom"/>
          </w:tcPr>
          <w:p w14:paraId="47CA2EB8" w14:textId="77777777" w:rsidR="00F461AC" w:rsidRPr="00720D3A" w:rsidRDefault="00F461AC" w:rsidP="00F461AC">
            <w:pPr>
              <w:spacing w:after="0" w:line="240" w:lineRule="auto"/>
              <w:rPr>
                <w:rFonts w:eastAsia="Times New Roman" w:cs="Arial"/>
                <w:lang w:val="es-CR" w:eastAsia="es-CR"/>
              </w:rPr>
            </w:pPr>
            <w:r w:rsidRPr="00720D3A">
              <w:rPr>
                <w:rFonts w:eastAsia="Times New Roman" w:cs="Arial"/>
                <w:lang w:val="es-CR" w:eastAsia="es-CR"/>
              </w:rPr>
              <w:t xml:space="preserve">    </w:t>
            </w:r>
            <w:r w:rsidR="00AF17BC" w:rsidRPr="00720D3A">
              <w:rPr>
                <w:rFonts w:eastAsia="Times New Roman" w:cs="Arial"/>
                <w:lang w:val="es-CR" w:eastAsia="es-CR"/>
              </w:rPr>
              <w:t>Reserva Valuación de Inversiones en Propiedad</w:t>
            </w:r>
          </w:p>
        </w:tc>
      </w:tr>
    </w:tbl>
    <w:p w14:paraId="47CA2EBA" w14:textId="77777777" w:rsidR="00965136" w:rsidRPr="00720D3A" w:rsidRDefault="00965136" w:rsidP="003724A7">
      <w:pPr>
        <w:pStyle w:val="Numeracin"/>
        <w:numPr>
          <w:ilvl w:val="0"/>
          <w:numId w:val="0"/>
        </w:numPr>
        <w:spacing w:before="0"/>
        <w:ind w:right="-193"/>
        <w:rPr>
          <w:rFonts w:ascii="Arial" w:eastAsia="Arial Unicode MS" w:hAnsi="Arial" w:cs="Arial"/>
          <w:b/>
          <w:szCs w:val="22"/>
          <w:lang w:val="es-CR"/>
        </w:rPr>
      </w:pPr>
    </w:p>
    <w:p w14:paraId="47CA2EBB" w14:textId="77777777" w:rsidR="001F26FC" w:rsidRPr="00720D3A" w:rsidRDefault="001F26FC" w:rsidP="001F26FC">
      <w:pPr>
        <w:pStyle w:val="Numeracin"/>
        <w:numPr>
          <w:ilvl w:val="0"/>
          <w:numId w:val="6"/>
        </w:numPr>
        <w:spacing w:before="0"/>
        <w:ind w:right="-193"/>
        <w:rPr>
          <w:rFonts w:ascii="Arial" w:hAnsi="Arial" w:cs="Arial"/>
          <w:szCs w:val="22"/>
        </w:rPr>
      </w:pPr>
      <w:r w:rsidRPr="00720D3A">
        <w:rPr>
          <w:rFonts w:ascii="Arial" w:hAnsi="Arial" w:cs="Arial"/>
          <w:szCs w:val="22"/>
        </w:rPr>
        <w:t>Se modifica el nombre y descriptivo de los campos Costo, Mejoras, Plusvalías/Minusvalías y Ampliaciones del  Reporte de Composición de Cartera de Fondos Inmobiliarios (Anexo 22), de acuerdo con el siguiente detalle:</w:t>
      </w:r>
    </w:p>
    <w:p w14:paraId="47CA2EBC" w14:textId="77777777" w:rsidR="001F26FC" w:rsidRPr="00720D3A" w:rsidRDefault="001F26FC" w:rsidP="001F26FC">
      <w:pPr>
        <w:pStyle w:val="Numeracin"/>
        <w:numPr>
          <w:ilvl w:val="0"/>
          <w:numId w:val="0"/>
        </w:numPr>
        <w:spacing w:before="0"/>
        <w:ind w:right="-193"/>
        <w:rPr>
          <w:rFonts w:ascii="Arial" w:eastAsia="Arial Unicode MS" w:hAnsi="Arial" w:cs="Arial"/>
          <w:b/>
          <w:szCs w:val="22"/>
        </w:rPr>
      </w:pPr>
    </w:p>
    <w:bookmarkStart w:id="1" w:name="_MON_1580913906"/>
    <w:bookmarkEnd w:id="1"/>
    <w:p w14:paraId="47CA2EBD" w14:textId="77777777" w:rsidR="00A40C4E" w:rsidRPr="00720D3A" w:rsidRDefault="00453842" w:rsidP="00A40C4E">
      <w:pPr>
        <w:pStyle w:val="Numeracin"/>
        <w:numPr>
          <w:ilvl w:val="0"/>
          <w:numId w:val="0"/>
        </w:numPr>
        <w:spacing w:before="0"/>
        <w:ind w:left="567" w:right="-193"/>
        <w:jc w:val="center"/>
        <w:rPr>
          <w:rFonts w:ascii="Arial" w:hAnsi="Arial" w:cs="Arial"/>
          <w:szCs w:val="22"/>
        </w:rPr>
      </w:pPr>
      <w:r w:rsidRPr="00720D3A">
        <w:rPr>
          <w:rFonts w:ascii="Arial" w:hAnsi="Arial" w:cs="Arial"/>
          <w:szCs w:val="22"/>
        </w:rPr>
        <w:object w:dxaOrig="1551" w:dyaOrig="991" w14:anchorId="47CA2EDA">
          <v:shape id="_x0000_i1026" type="#_x0000_t75" style="width:78pt;height:49.5pt" o:ole="">
            <v:imagedata r:id="rId13" o:title=""/>
          </v:shape>
          <o:OLEObject Type="Embed" ProgID="Word.Document.8" ShapeID="_x0000_i1026" DrawAspect="Icon" ObjectID="_1608456270" r:id="rId14">
            <o:FieldCodes>\s</o:FieldCodes>
          </o:OLEObject>
        </w:object>
      </w:r>
    </w:p>
    <w:p w14:paraId="47CA2EBE" w14:textId="77777777" w:rsidR="00A40C4E" w:rsidRPr="00720D3A" w:rsidRDefault="00A40C4E" w:rsidP="00DD78F3">
      <w:pPr>
        <w:pStyle w:val="Numeracin"/>
        <w:numPr>
          <w:ilvl w:val="0"/>
          <w:numId w:val="0"/>
        </w:numPr>
        <w:spacing w:before="0"/>
        <w:ind w:right="-193"/>
        <w:rPr>
          <w:rFonts w:ascii="Arial" w:hAnsi="Arial" w:cs="Arial"/>
          <w:szCs w:val="22"/>
        </w:rPr>
      </w:pPr>
    </w:p>
    <w:p w14:paraId="47CA2EBF" w14:textId="77777777" w:rsidR="00A40C4E" w:rsidRPr="00720D3A" w:rsidRDefault="00A40C4E" w:rsidP="00A40C4E">
      <w:pPr>
        <w:pStyle w:val="Numeracin"/>
        <w:numPr>
          <w:ilvl w:val="0"/>
          <w:numId w:val="6"/>
        </w:numPr>
        <w:spacing w:before="0"/>
        <w:ind w:right="-193"/>
        <w:rPr>
          <w:rFonts w:ascii="Arial" w:hAnsi="Arial" w:cs="Arial"/>
          <w:szCs w:val="22"/>
        </w:rPr>
      </w:pPr>
      <w:r w:rsidRPr="00720D3A">
        <w:rPr>
          <w:rFonts w:ascii="Arial" w:hAnsi="Arial" w:cs="Arial"/>
          <w:szCs w:val="22"/>
        </w:rPr>
        <w:t xml:space="preserve">Se elimina la remisión del catálogo de cuentas de orden de fondos de inversión </w:t>
      </w:r>
      <w:r w:rsidR="00F461AC" w:rsidRPr="00720D3A">
        <w:rPr>
          <w:rFonts w:ascii="Arial" w:hAnsi="Arial" w:cs="Arial"/>
          <w:szCs w:val="22"/>
        </w:rPr>
        <w:t xml:space="preserve">que forma parte del Anexo 15 </w:t>
      </w:r>
      <w:r w:rsidRPr="00720D3A">
        <w:rPr>
          <w:rFonts w:ascii="Arial" w:hAnsi="Arial" w:cs="Arial"/>
          <w:szCs w:val="22"/>
        </w:rPr>
        <w:t>(CO_</w:t>
      </w:r>
      <w:r w:rsidR="00AF17BC" w:rsidRPr="00720D3A">
        <w:rPr>
          <w:rFonts w:ascii="Arial" w:hAnsi="Arial" w:cs="Arial"/>
          <w:szCs w:val="22"/>
        </w:rPr>
        <w:t>FONDOS</w:t>
      </w:r>
      <w:r w:rsidRPr="00720D3A">
        <w:rPr>
          <w:rFonts w:ascii="Arial" w:hAnsi="Arial" w:cs="Arial"/>
          <w:szCs w:val="22"/>
        </w:rPr>
        <w:t>).</w:t>
      </w:r>
    </w:p>
    <w:p w14:paraId="47CA2EC0" w14:textId="77777777" w:rsidR="00A40C4E" w:rsidRPr="00720D3A" w:rsidRDefault="00A40C4E" w:rsidP="002E2615">
      <w:pPr>
        <w:pStyle w:val="Numeracin"/>
        <w:numPr>
          <w:ilvl w:val="0"/>
          <w:numId w:val="0"/>
        </w:numPr>
        <w:spacing w:before="0"/>
        <w:ind w:right="-193"/>
        <w:rPr>
          <w:rFonts w:ascii="Arial" w:eastAsia="Arial Unicode MS" w:hAnsi="Arial" w:cs="Arial"/>
          <w:b/>
          <w:szCs w:val="22"/>
          <w:lang w:val="es-CR"/>
        </w:rPr>
      </w:pPr>
    </w:p>
    <w:p w14:paraId="47CA2EC1" w14:textId="652D1655" w:rsidR="00646C87" w:rsidRDefault="00B71972" w:rsidP="00720D3A">
      <w:pPr>
        <w:pStyle w:val="Numeracin"/>
        <w:numPr>
          <w:ilvl w:val="0"/>
          <w:numId w:val="0"/>
        </w:numPr>
        <w:spacing w:before="0"/>
        <w:ind w:right="-193"/>
        <w:jc w:val="center"/>
        <w:rPr>
          <w:rFonts w:ascii="Arial" w:eastAsia="Arial Unicode MS" w:hAnsi="Arial" w:cs="Arial"/>
          <w:b/>
          <w:szCs w:val="22"/>
        </w:rPr>
      </w:pPr>
      <w:r>
        <w:rPr>
          <w:rFonts w:ascii="Arial" w:eastAsia="Arial Unicode MS" w:hAnsi="Arial" w:cs="Arial"/>
          <w:b/>
          <w:szCs w:val="22"/>
        </w:rPr>
        <w:object w:dxaOrig="1539" w:dyaOrig="997" w14:anchorId="0DBEB517">
          <v:shape id="_x0000_i1027" type="#_x0000_t75" style="width:77.25pt;height:49.5pt" o:ole="">
            <v:imagedata r:id="rId15" o:title=""/>
          </v:shape>
          <o:OLEObject Type="Embed" ProgID="Excel.Sheet.8" ShapeID="_x0000_i1027" DrawAspect="Icon" ObjectID="_1608456271" r:id="rId16"/>
        </w:object>
      </w:r>
    </w:p>
    <w:p w14:paraId="47CA2EC2" w14:textId="77777777" w:rsidR="002E2615" w:rsidRPr="00720D3A" w:rsidRDefault="002E2615" w:rsidP="002E2615">
      <w:pPr>
        <w:pStyle w:val="Numeracin"/>
        <w:numPr>
          <w:ilvl w:val="0"/>
          <w:numId w:val="0"/>
        </w:numPr>
        <w:spacing w:before="0"/>
        <w:ind w:right="-193"/>
        <w:rPr>
          <w:rFonts w:ascii="Arial" w:hAnsi="Arial" w:cs="Arial"/>
          <w:b/>
          <w:szCs w:val="22"/>
        </w:rPr>
      </w:pPr>
    </w:p>
    <w:p w14:paraId="47CA2EC3" w14:textId="77777777" w:rsidR="00646C87" w:rsidRPr="00720D3A" w:rsidRDefault="00646C87" w:rsidP="00646C87">
      <w:pPr>
        <w:pStyle w:val="Numeracin"/>
        <w:numPr>
          <w:ilvl w:val="0"/>
          <w:numId w:val="6"/>
        </w:numPr>
        <w:spacing w:before="0"/>
        <w:ind w:right="-193"/>
        <w:rPr>
          <w:rFonts w:ascii="Arial" w:hAnsi="Arial" w:cs="Arial"/>
          <w:b/>
          <w:i/>
          <w:szCs w:val="22"/>
        </w:rPr>
      </w:pPr>
      <w:r w:rsidRPr="00720D3A">
        <w:rPr>
          <w:rFonts w:ascii="Arial" w:hAnsi="Arial" w:cs="Arial"/>
          <w:szCs w:val="22"/>
        </w:rPr>
        <w:t>Se modifica el plazo de entrega de los estados financieros no auditados de los Puestos de Bolsa, Sociedades Administradoras de Fondos de Inversión y Sociedades Titularizadoras y Fiduciarias, de acuerdo con el siguiente detalle:</w:t>
      </w:r>
    </w:p>
    <w:p w14:paraId="47CA2EC4" w14:textId="77777777" w:rsidR="00646C87" w:rsidRPr="00720D3A" w:rsidRDefault="00646C87" w:rsidP="00646C87">
      <w:pPr>
        <w:pStyle w:val="Numeracin"/>
        <w:numPr>
          <w:ilvl w:val="0"/>
          <w:numId w:val="0"/>
        </w:numPr>
        <w:spacing w:before="0"/>
        <w:ind w:right="-193"/>
        <w:rPr>
          <w:rFonts w:ascii="Arial" w:hAnsi="Arial" w:cs="Arial"/>
          <w:szCs w:val="22"/>
        </w:rPr>
      </w:pPr>
    </w:p>
    <w:p w14:paraId="47CA2EC5" w14:textId="77777777" w:rsidR="00646C87" w:rsidRDefault="00646C87" w:rsidP="00646C87">
      <w:pPr>
        <w:pStyle w:val="Numeracin"/>
        <w:numPr>
          <w:ilvl w:val="0"/>
          <w:numId w:val="0"/>
        </w:numPr>
        <w:spacing w:before="0"/>
        <w:ind w:left="643" w:right="-193" w:hanging="360"/>
        <w:rPr>
          <w:rFonts w:ascii="Arial" w:hAnsi="Arial" w:cs="Arial"/>
          <w:szCs w:val="22"/>
        </w:rPr>
      </w:pPr>
    </w:p>
    <w:p w14:paraId="47CA2EC6" w14:textId="77777777" w:rsidR="002E2615" w:rsidRPr="00720D3A" w:rsidRDefault="002E2615" w:rsidP="00646C87">
      <w:pPr>
        <w:pStyle w:val="Numeracin"/>
        <w:numPr>
          <w:ilvl w:val="0"/>
          <w:numId w:val="0"/>
        </w:numPr>
        <w:spacing w:before="0"/>
        <w:ind w:left="643" w:right="-193" w:hanging="360"/>
        <w:rPr>
          <w:rFonts w:ascii="Arial" w:hAnsi="Arial" w:cs="Arial"/>
          <w:szCs w:val="22"/>
        </w:rPr>
      </w:pPr>
    </w:p>
    <w:tbl>
      <w:tblPr>
        <w:tblW w:w="8364" w:type="dxa"/>
        <w:tblInd w:w="-5" w:type="dxa"/>
        <w:tblLook w:val="04A0" w:firstRow="1" w:lastRow="0" w:firstColumn="1" w:lastColumn="0" w:noHBand="0" w:noVBand="1"/>
      </w:tblPr>
      <w:tblGrid>
        <w:gridCol w:w="2111"/>
        <w:gridCol w:w="1858"/>
        <w:gridCol w:w="2127"/>
        <w:gridCol w:w="2268"/>
      </w:tblGrid>
      <w:tr w:rsidR="00646C87" w:rsidRPr="00720D3A" w14:paraId="47CA2ECB" w14:textId="77777777" w:rsidTr="002E2615">
        <w:trPr>
          <w:trHeight w:val="510"/>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A2EC7" w14:textId="77777777" w:rsidR="00646C87" w:rsidRPr="00720D3A" w:rsidRDefault="00646C87" w:rsidP="002E2615">
            <w:pPr>
              <w:spacing w:after="0" w:line="240" w:lineRule="auto"/>
              <w:ind w:right="18"/>
              <w:jc w:val="center"/>
              <w:rPr>
                <w:rFonts w:eastAsia="Times New Roman" w:cs="Arial"/>
                <w:b/>
                <w:bCs/>
                <w:lang w:val="es-CR"/>
              </w:rPr>
            </w:pPr>
            <w:r w:rsidRPr="00720D3A">
              <w:rPr>
                <w:rFonts w:eastAsia="Times New Roman" w:cs="Arial"/>
                <w:b/>
                <w:bCs/>
                <w:lang w:val="es-CR"/>
              </w:rPr>
              <w:t>Informe o Reporte</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47CA2EC8" w14:textId="77777777" w:rsidR="00646C87" w:rsidRPr="00720D3A" w:rsidRDefault="00646C87" w:rsidP="002E2615">
            <w:pPr>
              <w:spacing w:after="0" w:line="240" w:lineRule="auto"/>
              <w:ind w:right="33"/>
              <w:jc w:val="center"/>
              <w:rPr>
                <w:rFonts w:eastAsia="Times New Roman" w:cs="Arial"/>
                <w:b/>
                <w:bCs/>
                <w:lang w:val="es-CR"/>
              </w:rPr>
            </w:pPr>
            <w:r w:rsidRPr="00720D3A">
              <w:rPr>
                <w:rFonts w:eastAsia="Times New Roman" w:cs="Arial"/>
                <w:b/>
                <w:bCs/>
                <w:lang w:val="es-CR"/>
              </w:rPr>
              <w:t>Formato o normas sobre el Contenido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7CA2EC9" w14:textId="77777777" w:rsidR="00646C87" w:rsidRPr="00720D3A" w:rsidRDefault="00646C87" w:rsidP="002E2615">
            <w:pPr>
              <w:spacing w:after="0" w:line="240" w:lineRule="auto"/>
              <w:ind w:right="34"/>
              <w:jc w:val="center"/>
              <w:rPr>
                <w:rFonts w:eastAsia="Times New Roman" w:cs="Arial"/>
                <w:b/>
                <w:bCs/>
                <w:lang w:val="es-CR"/>
              </w:rPr>
            </w:pPr>
            <w:r w:rsidRPr="00720D3A">
              <w:rPr>
                <w:rFonts w:eastAsia="Times New Roman" w:cs="Arial"/>
                <w:b/>
                <w:bCs/>
                <w:lang w:val="es-CR"/>
              </w:rPr>
              <w:t>Plazo máximo de entrega vigente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7CA2ECA" w14:textId="77777777" w:rsidR="00646C87" w:rsidRPr="00720D3A" w:rsidRDefault="00646C87" w:rsidP="002E2615">
            <w:pPr>
              <w:spacing w:after="0" w:line="240" w:lineRule="auto"/>
              <w:ind w:right="34"/>
              <w:jc w:val="center"/>
              <w:rPr>
                <w:rFonts w:eastAsia="Times New Roman" w:cs="Arial"/>
                <w:b/>
                <w:bCs/>
                <w:lang w:val="es-CR"/>
              </w:rPr>
            </w:pPr>
            <w:r w:rsidRPr="00720D3A">
              <w:rPr>
                <w:rFonts w:eastAsia="Times New Roman" w:cs="Arial"/>
                <w:b/>
                <w:bCs/>
                <w:lang w:val="es-CR"/>
              </w:rPr>
              <w:t>Plazo máximo de entrega propuesto</w:t>
            </w:r>
          </w:p>
        </w:tc>
      </w:tr>
      <w:tr w:rsidR="00646C87" w:rsidRPr="00720D3A" w14:paraId="47CA2ED1" w14:textId="77777777" w:rsidTr="002E2615">
        <w:trPr>
          <w:trHeight w:val="1056"/>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14:paraId="47CA2ECC" w14:textId="77777777" w:rsidR="00646C87" w:rsidRPr="00720D3A" w:rsidRDefault="00646C87" w:rsidP="002E2615">
            <w:pPr>
              <w:spacing w:after="0" w:line="240" w:lineRule="auto"/>
              <w:ind w:right="18"/>
              <w:jc w:val="center"/>
              <w:rPr>
                <w:rFonts w:cs="Arial"/>
              </w:rPr>
            </w:pPr>
            <w:r w:rsidRPr="00720D3A">
              <w:rPr>
                <w:rFonts w:cs="Arial"/>
              </w:rPr>
              <w:t>Estados financieros no auditados</w:t>
            </w:r>
          </w:p>
        </w:tc>
        <w:tc>
          <w:tcPr>
            <w:tcW w:w="1858" w:type="dxa"/>
            <w:tcBorders>
              <w:top w:val="single" w:sz="4" w:space="0" w:color="auto"/>
              <w:left w:val="nil"/>
              <w:bottom w:val="single" w:sz="4" w:space="0" w:color="auto"/>
              <w:right w:val="single" w:sz="4" w:space="0" w:color="auto"/>
            </w:tcBorders>
            <w:shd w:val="clear" w:color="auto" w:fill="auto"/>
            <w:vAlign w:val="center"/>
          </w:tcPr>
          <w:p w14:paraId="47CA2ECD" w14:textId="77777777" w:rsidR="00646C87" w:rsidRPr="00720D3A" w:rsidRDefault="00646C87" w:rsidP="002E2615">
            <w:pPr>
              <w:spacing w:after="0" w:line="240" w:lineRule="auto"/>
              <w:jc w:val="center"/>
              <w:rPr>
                <w:rFonts w:cs="Arial"/>
              </w:rPr>
            </w:pPr>
            <w:r w:rsidRPr="00720D3A">
              <w:rPr>
                <w:rFonts w:cs="Arial"/>
              </w:rPr>
              <w:t xml:space="preserve"> Anexos </w:t>
            </w:r>
          </w:p>
          <w:p w14:paraId="47CA2ECE" w14:textId="77777777" w:rsidR="00646C87" w:rsidRPr="00720D3A" w:rsidRDefault="00646C87" w:rsidP="002E2615">
            <w:pPr>
              <w:spacing w:after="0" w:line="240" w:lineRule="auto"/>
              <w:jc w:val="center"/>
              <w:rPr>
                <w:rFonts w:cs="Arial"/>
              </w:rPr>
            </w:pPr>
            <w:r w:rsidRPr="00720D3A">
              <w:rPr>
                <w:rFonts w:cs="Arial"/>
              </w:rPr>
              <w:t xml:space="preserve">8, 14, 52 </w:t>
            </w:r>
          </w:p>
        </w:tc>
        <w:tc>
          <w:tcPr>
            <w:tcW w:w="2127" w:type="dxa"/>
            <w:tcBorders>
              <w:top w:val="single" w:sz="4" w:space="0" w:color="auto"/>
              <w:left w:val="nil"/>
              <w:bottom w:val="single" w:sz="4" w:space="0" w:color="auto"/>
              <w:right w:val="single" w:sz="4" w:space="0" w:color="auto"/>
            </w:tcBorders>
            <w:shd w:val="clear" w:color="auto" w:fill="auto"/>
            <w:vAlign w:val="center"/>
          </w:tcPr>
          <w:p w14:paraId="47CA2ECF" w14:textId="77777777" w:rsidR="00646C87" w:rsidRPr="00720D3A" w:rsidRDefault="00646C87" w:rsidP="002E2615">
            <w:pPr>
              <w:spacing w:after="0" w:line="240" w:lineRule="auto"/>
              <w:ind w:right="34"/>
              <w:jc w:val="center"/>
              <w:rPr>
                <w:rFonts w:cs="Arial"/>
              </w:rPr>
            </w:pPr>
            <w:r w:rsidRPr="00720D3A">
              <w:rPr>
                <w:rFonts w:cs="Arial"/>
              </w:rPr>
              <w:t>7 días hábiles después del cierre mensual</w:t>
            </w:r>
          </w:p>
        </w:tc>
        <w:tc>
          <w:tcPr>
            <w:tcW w:w="2268" w:type="dxa"/>
            <w:tcBorders>
              <w:top w:val="single" w:sz="4" w:space="0" w:color="auto"/>
              <w:left w:val="nil"/>
              <w:bottom w:val="single" w:sz="4" w:space="0" w:color="auto"/>
              <w:right w:val="single" w:sz="4" w:space="0" w:color="auto"/>
            </w:tcBorders>
            <w:shd w:val="clear" w:color="auto" w:fill="auto"/>
            <w:vAlign w:val="center"/>
          </w:tcPr>
          <w:p w14:paraId="47CA2ED0" w14:textId="77777777" w:rsidR="00646C87" w:rsidRPr="00720D3A" w:rsidRDefault="00646C87" w:rsidP="002E2615">
            <w:pPr>
              <w:spacing w:after="0" w:line="240" w:lineRule="auto"/>
              <w:ind w:right="34"/>
              <w:jc w:val="center"/>
              <w:rPr>
                <w:rFonts w:cs="Arial"/>
              </w:rPr>
            </w:pPr>
            <w:r w:rsidRPr="00720D3A">
              <w:rPr>
                <w:rFonts w:cs="Arial"/>
              </w:rPr>
              <w:t>5 días hábiles después del cierre mensual</w:t>
            </w:r>
          </w:p>
        </w:tc>
      </w:tr>
    </w:tbl>
    <w:p w14:paraId="47CA2ED2" w14:textId="77777777" w:rsidR="00646C87" w:rsidRPr="00720D3A" w:rsidRDefault="00646C87" w:rsidP="00646C87">
      <w:pPr>
        <w:pStyle w:val="Numeracin"/>
        <w:numPr>
          <w:ilvl w:val="0"/>
          <w:numId w:val="0"/>
        </w:numPr>
        <w:spacing w:before="0"/>
        <w:ind w:left="643" w:right="-193" w:hanging="360"/>
        <w:rPr>
          <w:rFonts w:ascii="Arial" w:hAnsi="Arial" w:cs="Arial"/>
          <w:szCs w:val="22"/>
        </w:rPr>
      </w:pPr>
    </w:p>
    <w:p w14:paraId="47CA2ED3" w14:textId="64708C9B" w:rsidR="00646C87" w:rsidRPr="00720D3A" w:rsidRDefault="00EB75E7" w:rsidP="00D00DF7">
      <w:pPr>
        <w:pStyle w:val="Numeracin"/>
        <w:numPr>
          <w:ilvl w:val="0"/>
          <w:numId w:val="0"/>
        </w:numPr>
        <w:spacing w:before="0"/>
        <w:ind w:left="643" w:right="-193" w:hanging="360"/>
        <w:jc w:val="center"/>
        <w:rPr>
          <w:rFonts w:ascii="Arial" w:hAnsi="Arial" w:cs="Arial"/>
          <w:szCs w:val="22"/>
        </w:rPr>
      </w:pPr>
      <w:r>
        <w:rPr>
          <w:rFonts w:ascii="Arial" w:hAnsi="Arial" w:cs="Arial"/>
          <w:szCs w:val="22"/>
        </w:rPr>
        <w:object w:dxaOrig="1539" w:dyaOrig="997" w14:anchorId="4CCEFD2F">
          <v:shape id="_x0000_i1030" type="#_x0000_t75" style="width:77.25pt;height:49.5pt" o:ole="">
            <v:imagedata r:id="rId17" o:title=""/>
          </v:shape>
          <o:OLEObject Type="Embed" ProgID="Excel.Sheet.8" ShapeID="_x0000_i1030" DrawAspect="Icon" ObjectID="_1608456272" r:id="rId18"/>
        </w:object>
      </w:r>
      <w:bookmarkStart w:id="2" w:name="_GoBack"/>
      <w:bookmarkEnd w:id="2"/>
      <w:r w:rsidR="00D46299">
        <w:rPr>
          <w:rFonts w:ascii="Arial" w:hAnsi="Arial" w:cs="Arial"/>
          <w:szCs w:val="22"/>
        </w:rPr>
        <w:br w:type="textWrapping" w:clear="all"/>
      </w:r>
    </w:p>
    <w:p w14:paraId="47CA2ED4" w14:textId="77777777" w:rsidR="00A46E76" w:rsidRPr="00720D3A" w:rsidRDefault="00A46E76" w:rsidP="00A46E76">
      <w:pPr>
        <w:ind w:right="-193"/>
        <w:jc w:val="both"/>
        <w:rPr>
          <w:rFonts w:eastAsia="Times New Roman" w:cs="Arial"/>
          <w:b/>
          <w:lang w:eastAsia="es-ES"/>
        </w:rPr>
      </w:pPr>
      <w:r w:rsidRPr="00720D3A">
        <w:rPr>
          <w:rFonts w:eastAsia="Times New Roman" w:cs="Arial"/>
          <w:b/>
          <w:lang w:eastAsia="es-ES"/>
        </w:rPr>
        <w:t>Artículo 2. Vigencia</w:t>
      </w:r>
    </w:p>
    <w:p w14:paraId="47CA2ED5" w14:textId="77777777" w:rsidR="00646C87" w:rsidRPr="00720D3A" w:rsidRDefault="00646C87" w:rsidP="00646C87">
      <w:pPr>
        <w:spacing w:after="0" w:line="240" w:lineRule="auto"/>
        <w:ind w:right="-193"/>
        <w:jc w:val="both"/>
        <w:rPr>
          <w:rFonts w:eastAsia="Times New Roman" w:cs="Arial"/>
          <w:lang w:val="es-CR"/>
        </w:rPr>
      </w:pPr>
      <w:r w:rsidRPr="00720D3A">
        <w:rPr>
          <w:rFonts w:eastAsia="Times New Roman" w:cs="Arial"/>
          <w:lang w:val="es-CR"/>
        </w:rPr>
        <w:t>Rige a partir del 1 de enero del 2019.</w:t>
      </w:r>
    </w:p>
    <w:p w14:paraId="47CA2ED6" w14:textId="77777777" w:rsidR="00646C87" w:rsidRPr="00720D3A" w:rsidRDefault="00646C87">
      <w:pPr>
        <w:ind w:right="-193"/>
        <w:jc w:val="both"/>
        <w:rPr>
          <w:rFonts w:eastAsia="Times New Roman" w:cs="Arial"/>
        </w:rPr>
      </w:pPr>
    </w:p>
    <w:p w14:paraId="47CA2ED7" w14:textId="77777777" w:rsidR="00646C87" w:rsidRPr="00720D3A" w:rsidRDefault="00646C87" w:rsidP="00646C87">
      <w:pPr>
        <w:ind w:right="-193"/>
        <w:jc w:val="both"/>
        <w:rPr>
          <w:rFonts w:eastAsia="Times New Roman" w:cs="Arial"/>
          <w:b/>
        </w:rPr>
      </w:pPr>
      <w:r w:rsidRPr="00720D3A">
        <w:rPr>
          <w:rFonts w:eastAsia="Times New Roman" w:cs="Arial"/>
          <w:b/>
        </w:rPr>
        <w:t>Transitorio I.</w:t>
      </w:r>
    </w:p>
    <w:p w14:paraId="47CA2ED8" w14:textId="77777777" w:rsidR="00D50369" w:rsidRPr="00720D3A" w:rsidRDefault="00355562" w:rsidP="00985AB8">
      <w:pPr>
        <w:ind w:right="-193"/>
        <w:jc w:val="both"/>
        <w:rPr>
          <w:rFonts w:cs="Arial"/>
        </w:rPr>
      </w:pPr>
      <w:r w:rsidRPr="00720D3A">
        <w:rPr>
          <w:rFonts w:eastAsia="Times New Roman" w:cs="Arial"/>
        </w:rPr>
        <w:t xml:space="preserve">Las modificaciones señaladas en </w:t>
      </w:r>
      <w:r w:rsidR="00646C87" w:rsidRPr="00720D3A">
        <w:rPr>
          <w:rFonts w:eastAsia="Times New Roman" w:cs="Arial"/>
        </w:rPr>
        <w:t>e</w:t>
      </w:r>
      <w:r w:rsidRPr="00720D3A">
        <w:rPr>
          <w:rFonts w:eastAsia="Times New Roman" w:cs="Arial"/>
        </w:rPr>
        <w:t>l</w:t>
      </w:r>
      <w:r w:rsidR="00646C87" w:rsidRPr="00720D3A">
        <w:rPr>
          <w:rFonts w:eastAsia="Times New Roman" w:cs="Arial"/>
        </w:rPr>
        <w:t xml:space="preserve"> inciso</w:t>
      </w:r>
      <w:r w:rsidRPr="00720D3A">
        <w:rPr>
          <w:rFonts w:eastAsia="Times New Roman" w:cs="Arial"/>
        </w:rPr>
        <w:t xml:space="preserve"> </w:t>
      </w:r>
      <w:r w:rsidR="00646C87" w:rsidRPr="00720D3A">
        <w:rPr>
          <w:rFonts w:eastAsia="Times New Roman" w:cs="Arial"/>
        </w:rPr>
        <w:t>h.</w:t>
      </w:r>
      <w:r w:rsidRPr="00720D3A">
        <w:rPr>
          <w:rFonts w:eastAsia="Times New Roman" w:cs="Arial"/>
        </w:rPr>
        <w:t xml:space="preserve"> relacionadas con modificaciones </w:t>
      </w:r>
      <w:r w:rsidR="00646C87" w:rsidRPr="00720D3A">
        <w:rPr>
          <w:rFonts w:eastAsia="Times New Roman" w:cs="Arial"/>
        </w:rPr>
        <w:t xml:space="preserve">al plazo de entrega de la información </w:t>
      </w:r>
      <w:r w:rsidRPr="00720D3A">
        <w:rPr>
          <w:rFonts w:eastAsia="Times New Roman" w:cs="Arial"/>
        </w:rPr>
        <w:t xml:space="preserve">de los estados financieros </w:t>
      </w:r>
      <w:r w:rsidR="00646C87" w:rsidRPr="00720D3A">
        <w:rPr>
          <w:rFonts w:eastAsia="Times New Roman" w:cs="Arial"/>
        </w:rPr>
        <w:t>rigen</w:t>
      </w:r>
      <w:r w:rsidRPr="00720D3A">
        <w:rPr>
          <w:rFonts w:eastAsia="Times New Roman" w:cs="Arial"/>
        </w:rPr>
        <w:t xml:space="preserve"> a partir del 01 de enero de 2020.</w:t>
      </w:r>
    </w:p>
    <w:sectPr w:rsidR="00D50369" w:rsidRPr="00720D3A" w:rsidSect="002E2615">
      <w:headerReference w:type="default" r:id="rId19"/>
      <w:footerReference w:type="default" r:id="rId20"/>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2EB4DB" w14:textId="77777777" w:rsidR="00B77C5A" w:rsidRDefault="00B77C5A">
      <w:pPr>
        <w:spacing w:after="0" w:line="240" w:lineRule="auto"/>
      </w:pPr>
      <w:r>
        <w:separator/>
      </w:r>
    </w:p>
  </w:endnote>
  <w:endnote w:type="continuationSeparator" w:id="0">
    <w:p w14:paraId="58BC3ABB" w14:textId="77777777" w:rsidR="00B77C5A" w:rsidRDefault="00B77C5A">
      <w:pPr>
        <w:spacing w:after="0" w:line="240" w:lineRule="auto"/>
      </w:pPr>
      <w:r>
        <w:continuationSeparator/>
      </w:r>
    </w:p>
  </w:endnote>
  <w:endnote w:type="continuationNotice" w:id="1">
    <w:p w14:paraId="74DB3207" w14:textId="77777777" w:rsidR="00B77C5A" w:rsidRDefault="00B77C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1B75BB"/>
      </w:rPr>
      <w:id w:val="-85377393"/>
      <w:docPartObj>
        <w:docPartGallery w:val="Page Numbers (Bottom of Page)"/>
        <w:docPartUnique/>
      </w:docPartObj>
    </w:sdtPr>
    <w:sdtEndPr>
      <w:rPr>
        <w:noProof/>
      </w:rPr>
    </w:sdtEndPr>
    <w:sdtContent>
      <w:p w14:paraId="47CA2EE5" w14:textId="77777777" w:rsidR="002E2615" w:rsidRPr="00DD78F3" w:rsidRDefault="002E2615">
        <w:pPr>
          <w:pStyle w:val="Footer"/>
          <w:rPr>
            <w:color w:val="1B75BB"/>
          </w:rPr>
        </w:pPr>
        <w:r w:rsidRPr="00DD78F3">
          <w:rPr>
            <w:color w:val="1B75BB"/>
          </w:rPr>
          <w:t xml:space="preserve">| </w:t>
        </w:r>
        <w:r w:rsidRPr="00DD78F3">
          <w:rPr>
            <w:color w:val="1B75BB"/>
          </w:rPr>
          <w:fldChar w:fldCharType="begin"/>
        </w:r>
        <w:r w:rsidRPr="00DD78F3">
          <w:rPr>
            <w:color w:val="1B75BB"/>
          </w:rPr>
          <w:instrText xml:space="preserve"> PAGE   \* MERGEFORMAT </w:instrText>
        </w:r>
        <w:r w:rsidRPr="00DD78F3">
          <w:rPr>
            <w:color w:val="1B75BB"/>
          </w:rPr>
          <w:fldChar w:fldCharType="separate"/>
        </w:r>
        <w:r w:rsidR="00EB75E7">
          <w:rPr>
            <w:noProof/>
            <w:color w:val="1B75BB"/>
          </w:rPr>
          <w:t>2</w:t>
        </w:r>
        <w:r w:rsidRPr="00DD78F3">
          <w:rPr>
            <w:noProof/>
            <w:color w:val="1B75BB"/>
          </w:rPr>
          <w:fldChar w:fldCharType="end"/>
        </w:r>
      </w:p>
    </w:sdtContent>
  </w:sdt>
  <w:p w14:paraId="47CA2EE6" w14:textId="77777777" w:rsidR="002E2615" w:rsidRDefault="002E26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80F27" w14:textId="77777777" w:rsidR="00B77C5A" w:rsidRDefault="00B77C5A">
      <w:pPr>
        <w:spacing w:after="0" w:line="240" w:lineRule="auto"/>
      </w:pPr>
      <w:r>
        <w:separator/>
      </w:r>
    </w:p>
  </w:footnote>
  <w:footnote w:type="continuationSeparator" w:id="0">
    <w:p w14:paraId="3EC5A74F" w14:textId="77777777" w:rsidR="00B77C5A" w:rsidRDefault="00B77C5A">
      <w:pPr>
        <w:spacing w:after="0" w:line="240" w:lineRule="auto"/>
      </w:pPr>
      <w:r>
        <w:continuationSeparator/>
      </w:r>
    </w:p>
  </w:footnote>
  <w:footnote w:type="continuationNotice" w:id="1">
    <w:p w14:paraId="69E8A37F" w14:textId="77777777" w:rsidR="00B77C5A" w:rsidRDefault="00B77C5A">
      <w:pPr>
        <w:spacing w:after="0" w:line="240" w:lineRule="auto"/>
      </w:pPr>
    </w:p>
  </w:footnote>
  <w:footnote w:id="2">
    <w:p w14:paraId="47CA2EEB" w14:textId="676111BE" w:rsidR="002E2615" w:rsidRPr="00720D3A" w:rsidRDefault="002E2615">
      <w:pPr>
        <w:pStyle w:val="FootnoteText"/>
        <w:rPr>
          <w:lang w:val="es-CR"/>
        </w:rPr>
      </w:pPr>
      <w:r>
        <w:rPr>
          <w:rStyle w:val="FootnoteReference"/>
        </w:rPr>
        <w:footnoteRef/>
      </w:r>
      <w:r>
        <w:t xml:space="preserve"> </w:t>
      </w:r>
      <w:r w:rsidRPr="00720D3A">
        <w:rPr>
          <w:rFonts w:cs="Arial"/>
          <w:bCs/>
          <w:iCs/>
          <w:noProof/>
          <w:lang w:val="es-ES_tradnl"/>
        </w:rPr>
        <w:t>Superintendencia general de valores. Despacho de la superintendente. A las once horas del tres del mes de julio del dos mil dieciocho.</w:t>
      </w:r>
      <w:r w:rsidR="00676705">
        <w:rPr>
          <w:rFonts w:cs="Arial"/>
          <w:bCs/>
          <w:iCs/>
          <w:noProof/>
          <w:lang w:val="es-ES_tradnl"/>
        </w:rPr>
        <w:t xml:space="preserve"> Publicado en el Alcance Digital No. 169 del 25 de setiembre del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A2EE3" w14:textId="77777777" w:rsidR="002E2615" w:rsidRDefault="002E2615" w:rsidP="00720D3A">
    <w:pPr>
      <w:pStyle w:val="Header"/>
      <w:jc w:val="right"/>
      <w:rPr>
        <w:rFonts w:ascii="Calibri" w:hAnsi="Calibri" w:cs="Arial"/>
        <w:i/>
        <w:noProof/>
        <w:sz w:val="20"/>
        <w:szCs w:val="20"/>
        <w:lang w:eastAsia="es-CR"/>
      </w:rPr>
    </w:pPr>
    <w:r>
      <w:rPr>
        <w:noProof/>
        <w:lang w:val="es-CR" w:eastAsia="es-CR"/>
      </w:rPr>
      <mc:AlternateContent>
        <mc:Choice Requires="wps">
          <w:drawing>
            <wp:anchor distT="4294967292" distB="4294967292" distL="114300" distR="114300" simplePos="0" relativeHeight="251659264" behindDoc="0" locked="0" layoutInCell="1" allowOverlap="1" wp14:anchorId="47CA2EE7" wp14:editId="47CA2EE8">
              <wp:simplePos x="0" y="0"/>
              <wp:positionH relativeFrom="margin">
                <wp:align>left</wp:align>
              </wp:positionH>
              <wp:positionV relativeFrom="paragraph">
                <wp:posOffset>368935</wp:posOffset>
              </wp:positionV>
              <wp:extent cx="5381625" cy="28575"/>
              <wp:effectExtent l="0" t="0" r="28575" b="2857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81625" cy="28575"/>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EEF2B" id="Straight Connector 4" o:spid="_x0000_s1026" style="position:absolute;flip:y;z-index:251659264;visibility:visible;mso-wrap-style:square;mso-width-percent:0;mso-height-percent:0;mso-wrap-distance-left:9pt;mso-wrap-distance-top:-1e-4mm;mso-wrap-distance-right:9pt;mso-wrap-distance-bottom:-1e-4mm;mso-position-horizontal:left;mso-position-horizontal-relative:margin;mso-position-vertical:absolute;mso-position-vertical-relative:text;mso-width-percent:0;mso-height-percent:0;mso-width-relative:page;mso-height-relative:page" from="0,29.05pt" to="423.7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" strokecolor="#1b75bb" strokeweight="1.5pt">
              <w10:wrap anchorx="margin"/>
            </v:line>
          </w:pict>
        </mc:Fallback>
      </mc:AlternateContent>
    </w:r>
    <w:r w:rsidRPr="006B3914">
      <w:rPr>
        <w:rFonts w:ascii="Calibri" w:hAnsi="Calibri" w:cs="Arial"/>
        <w:i/>
        <w:noProof/>
        <w:sz w:val="20"/>
        <w:szCs w:val="20"/>
        <w:lang w:val="es-CR" w:eastAsia="es-CR"/>
      </w:rPr>
      <w:drawing>
        <wp:inline distT="0" distB="0" distL="0" distR="0" wp14:anchorId="47CA2EE9" wp14:editId="47CA2EEA">
          <wp:extent cx="1581150" cy="390525"/>
          <wp:effectExtent l="0" t="0" r="0" b="9525"/>
          <wp:docPr id="1" name="Picture 1"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47CA2EE4" w14:textId="77777777" w:rsidR="002E2615" w:rsidRPr="002F32EE" w:rsidRDefault="002E2615" w:rsidP="00720D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A0C"/>
    <w:multiLevelType w:val="hybridMultilevel"/>
    <w:tmpl w:val="4C2ED8D4"/>
    <w:lvl w:ilvl="0" w:tplc="C1C42DD0">
      <w:start w:val="1"/>
      <w:numFmt w:val="decimal"/>
      <w:pStyle w:val="Numeracin"/>
      <w:lvlText w:val="%1."/>
      <w:lvlJc w:val="left"/>
      <w:pPr>
        <w:ind w:left="643" w:hanging="360"/>
      </w:pPr>
      <w:rPr>
        <w:b w:val="0"/>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E1B87"/>
    <w:multiLevelType w:val="hybridMultilevel"/>
    <w:tmpl w:val="C1788F18"/>
    <w:lvl w:ilvl="0" w:tplc="F0B8834A">
      <w:start w:val="1"/>
      <w:numFmt w:val="lowerLetter"/>
      <w:lvlText w:val="%1."/>
      <w:lvlJc w:val="left"/>
      <w:pPr>
        <w:ind w:left="1272" w:hanging="705"/>
      </w:pPr>
      <w:rPr>
        <w:rFonts w:hint="default"/>
        <w:b w:val="0"/>
        <w:i w:val="0"/>
      </w:rPr>
    </w:lvl>
    <w:lvl w:ilvl="1" w:tplc="04090019">
      <w:start w:val="1"/>
      <w:numFmt w:val="lowerLetter"/>
      <w:lvlText w:val="%2."/>
      <w:lvlJc w:val="left"/>
      <w:pPr>
        <w:ind w:left="1440" w:hanging="360"/>
      </w:pPr>
    </w:lvl>
    <w:lvl w:ilvl="2" w:tplc="1F22B38A">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92078F"/>
    <w:multiLevelType w:val="hybridMultilevel"/>
    <w:tmpl w:val="C1788F18"/>
    <w:lvl w:ilvl="0" w:tplc="F0B8834A">
      <w:start w:val="1"/>
      <w:numFmt w:val="lowerLetter"/>
      <w:lvlText w:val="%1."/>
      <w:lvlJc w:val="left"/>
      <w:pPr>
        <w:ind w:left="1272" w:hanging="705"/>
      </w:pPr>
      <w:rPr>
        <w:rFonts w:hint="default"/>
        <w:b w:val="0"/>
        <w:i w:val="0"/>
      </w:rPr>
    </w:lvl>
    <w:lvl w:ilvl="1" w:tplc="04090019">
      <w:start w:val="1"/>
      <w:numFmt w:val="lowerLetter"/>
      <w:lvlText w:val="%2."/>
      <w:lvlJc w:val="left"/>
      <w:pPr>
        <w:ind w:left="1440" w:hanging="360"/>
      </w:pPr>
    </w:lvl>
    <w:lvl w:ilvl="2" w:tplc="1F22B38A">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346C2E"/>
    <w:multiLevelType w:val="hybridMultilevel"/>
    <w:tmpl w:val="34448716"/>
    <w:lvl w:ilvl="0" w:tplc="31A0341A">
      <w:start w:val="1"/>
      <w:numFmt w:val="lowerLetter"/>
      <w:pStyle w:val="incisos"/>
      <w:lvlText w:val="%1)"/>
      <w:lvlJc w:val="left"/>
      <w:pPr>
        <w:tabs>
          <w:tab w:val="num" w:pos="907"/>
        </w:tabs>
        <w:ind w:left="907" w:hanging="339"/>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896EFF"/>
    <w:multiLevelType w:val="hybridMultilevel"/>
    <w:tmpl w:val="25DA711C"/>
    <w:lvl w:ilvl="0" w:tplc="BB0C5E5E">
      <w:start w:val="1"/>
      <w:numFmt w:val="lowerLetter"/>
      <w:lvlText w:val="%1."/>
      <w:lvlJc w:val="left"/>
      <w:pPr>
        <w:ind w:left="1065" w:hanging="705"/>
      </w:pPr>
      <w:rPr>
        <w:rFonts w:hint="default"/>
      </w:rPr>
    </w:lvl>
    <w:lvl w:ilvl="1" w:tplc="04090019">
      <w:start w:val="1"/>
      <w:numFmt w:val="lowerLetter"/>
      <w:lvlText w:val="%2."/>
      <w:lvlJc w:val="left"/>
      <w:pPr>
        <w:ind w:left="1440" w:hanging="360"/>
      </w:pPr>
    </w:lvl>
    <w:lvl w:ilvl="2" w:tplc="1F22B38A">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6134F4"/>
    <w:multiLevelType w:val="hybridMultilevel"/>
    <w:tmpl w:val="25DA711C"/>
    <w:lvl w:ilvl="0" w:tplc="BB0C5E5E">
      <w:start w:val="1"/>
      <w:numFmt w:val="lowerLetter"/>
      <w:lvlText w:val="%1."/>
      <w:lvlJc w:val="left"/>
      <w:pPr>
        <w:ind w:left="1065" w:hanging="705"/>
      </w:pPr>
      <w:rPr>
        <w:rFonts w:hint="default"/>
      </w:rPr>
    </w:lvl>
    <w:lvl w:ilvl="1" w:tplc="04090019">
      <w:start w:val="1"/>
      <w:numFmt w:val="lowerLetter"/>
      <w:lvlText w:val="%2."/>
      <w:lvlJc w:val="left"/>
      <w:pPr>
        <w:ind w:left="1440" w:hanging="360"/>
      </w:pPr>
    </w:lvl>
    <w:lvl w:ilvl="2" w:tplc="1F22B38A">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C37EDD"/>
    <w:multiLevelType w:val="hybridMultilevel"/>
    <w:tmpl w:val="C43A6900"/>
    <w:lvl w:ilvl="0" w:tplc="D774099A">
      <w:start w:val="1"/>
      <w:numFmt w:val="decimal"/>
      <w:pStyle w:val="Artculo"/>
      <w:lvlText w:val="Artículo %1."/>
      <w:lvlJc w:val="left"/>
      <w:pPr>
        <w:ind w:left="36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C92205"/>
    <w:multiLevelType w:val="hybridMultilevel"/>
    <w:tmpl w:val="25DA711C"/>
    <w:lvl w:ilvl="0" w:tplc="BB0C5E5E">
      <w:start w:val="1"/>
      <w:numFmt w:val="lowerLetter"/>
      <w:lvlText w:val="%1."/>
      <w:lvlJc w:val="left"/>
      <w:pPr>
        <w:ind w:left="1065" w:hanging="705"/>
      </w:pPr>
      <w:rPr>
        <w:rFonts w:hint="default"/>
      </w:rPr>
    </w:lvl>
    <w:lvl w:ilvl="1" w:tplc="04090019">
      <w:start w:val="1"/>
      <w:numFmt w:val="lowerLetter"/>
      <w:lvlText w:val="%2."/>
      <w:lvlJc w:val="left"/>
      <w:pPr>
        <w:ind w:left="1440" w:hanging="360"/>
      </w:pPr>
    </w:lvl>
    <w:lvl w:ilvl="2" w:tplc="1F22B38A">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6F4464"/>
    <w:multiLevelType w:val="hybridMultilevel"/>
    <w:tmpl w:val="60E817C4"/>
    <w:lvl w:ilvl="0" w:tplc="1D0493F4">
      <w:start w:val="1"/>
      <w:numFmt w:val="lowerLetter"/>
      <w:lvlText w:val="%1."/>
      <w:lvlJc w:val="left"/>
      <w:pPr>
        <w:ind w:left="927" w:hanging="360"/>
      </w:pPr>
      <w:rPr>
        <w:rFonts w:ascii="Arial" w:hAnsi="Arial" w:cs="Arial" w:hint="default"/>
        <w:b w:val="0"/>
        <w:color w:val="auto"/>
        <w:sz w:val="22"/>
        <w:szCs w:val="22"/>
      </w:rPr>
    </w:lvl>
    <w:lvl w:ilvl="1" w:tplc="DCFEA2C8">
      <w:start w:val="1"/>
      <w:numFmt w:val="lowerLetter"/>
      <w:lvlText w:val="%2)"/>
      <w:lvlJc w:val="left"/>
      <w:pPr>
        <w:ind w:left="1647" w:hanging="360"/>
      </w:pPr>
      <w:rPr>
        <w:rFonts w:hint="default"/>
      </w:r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B443A8D"/>
    <w:multiLevelType w:val="hybridMultilevel"/>
    <w:tmpl w:val="25DA711C"/>
    <w:lvl w:ilvl="0" w:tplc="BB0C5E5E">
      <w:start w:val="1"/>
      <w:numFmt w:val="lowerLetter"/>
      <w:lvlText w:val="%1."/>
      <w:lvlJc w:val="left"/>
      <w:pPr>
        <w:ind w:left="1065" w:hanging="705"/>
      </w:pPr>
      <w:rPr>
        <w:rFonts w:hint="default"/>
      </w:rPr>
    </w:lvl>
    <w:lvl w:ilvl="1" w:tplc="04090019">
      <w:start w:val="1"/>
      <w:numFmt w:val="lowerLetter"/>
      <w:lvlText w:val="%2."/>
      <w:lvlJc w:val="left"/>
      <w:pPr>
        <w:ind w:left="1440" w:hanging="360"/>
      </w:pPr>
    </w:lvl>
    <w:lvl w:ilvl="2" w:tplc="1F22B38A">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4"/>
  </w:num>
  <w:num w:numId="4">
    <w:abstractNumId w:val="3"/>
  </w:num>
  <w:num w:numId="5">
    <w:abstractNumId w:val="6"/>
  </w:num>
  <w:num w:numId="6">
    <w:abstractNumId w:val="2"/>
  </w:num>
  <w:num w:numId="7">
    <w:abstractNumId w:val="0"/>
  </w:num>
  <w:num w:numId="8">
    <w:abstractNumId w:val="3"/>
  </w:num>
  <w:num w:numId="9">
    <w:abstractNumId w:val="0"/>
  </w:num>
  <w:num w:numId="10">
    <w:abstractNumId w:val="0"/>
  </w:num>
  <w:num w:numId="11">
    <w:abstractNumId w:val="0"/>
  </w:num>
  <w:num w:numId="12">
    <w:abstractNumId w:val="0"/>
  </w:num>
  <w:num w:numId="13">
    <w:abstractNumId w:val="9"/>
  </w:num>
  <w:num w:numId="14">
    <w:abstractNumId w:val="0"/>
  </w:num>
  <w:num w:numId="15">
    <w:abstractNumId w:val="0"/>
  </w:num>
  <w:num w:numId="16">
    <w:abstractNumId w:val="5"/>
  </w:num>
  <w:num w:numId="17">
    <w:abstractNumId w:val="0"/>
  </w:num>
  <w:num w:numId="18">
    <w:abstractNumId w:val="7"/>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1"/>
  </w:num>
  <w:num w:numId="29">
    <w:abstractNumId w:val="0"/>
  </w:num>
  <w:num w:numId="30">
    <w:abstractNumId w:val="0"/>
  </w:num>
  <w:num w:numId="31">
    <w:abstractNumId w:val="0"/>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D3C"/>
    <w:rsid w:val="00001F6D"/>
    <w:rsid w:val="00010325"/>
    <w:rsid w:val="00021E1F"/>
    <w:rsid w:val="0002685C"/>
    <w:rsid w:val="00056F9D"/>
    <w:rsid w:val="00063FF9"/>
    <w:rsid w:val="00072A96"/>
    <w:rsid w:val="00084D3C"/>
    <w:rsid w:val="000967A6"/>
    <w:rsid w:val="000D438E"/>
    <w:rsid w:val="000F6B5F"/>
    <w:rsid w:val="00100EDE"/>
    <w:rsid w:val="00126EC3"/>
    <w:rsid w:val="00133FE4"/>
    <w:rsid w:val="00135946"/>
    <w:rsid w:val="001619B2"/>
    <w:rsid w:val="00164E54"/>
    <w:rsid w:val="0016552C"/>
    <w:rsid w:val="001A523F"/>
    <w:rsid w:val="001C1A9C"/>
    <w:rsid w:val="001F20A5"/>
    <w:rsid w:val="001F26FC"/>
    <w:rsid w:val="0020562F"/>
    <w:rsid w:val="00222E91"/>
    <w:rsid w:val="002535B6"/>
    <w:rsid w:val="00272917"/>
    <w:rsid w:val="002D7B14"/>
    <w:rsid w:val="002E0E1C"/>
    <w:rsid w:val="002E2615"/>
    <w:rsid w:val="00311F05"/>
    <w:rsid w:val="0032386A"/>
    <w:rsid w:val="00345DA2"/>
    <w:rsid w:val="00355562"/>
    <w:rsid w:val="003565C8"/>
    <w:rsid w:val="003618BD"/>
    <w:rsid w:val="00371867"/>
    <w:rsid w:val="003724A7"/>
    <w:rsid w:val="00372FD5"/>
    <w:rsid w:val="003C6ED2"/>
    <w:rsid w:val="0041084B"/>
    <w:rsid w:val="004527CA"/>
    <w:rsid w:val="00453842"/>
    <w:rsid w:val="00483BCD"/>
    <w:rsid w:val="00511A73"/>
    <w:rsid w:val="00530A22"/>
    <w:rsid w:val="00542ACB"/>
    <w:rsid w:val="00546D16"/>
    <w:rsid w:val="005729F4"/>
    <w:rsid w:val="00572EA7"/>
    <w:rsid w:val="00576862"/>
    <w:rsid w:val="005E65F9"/>
    <w:rsid w:val="00617C38"/>
    <w:rsid w:val="00620001"/>
    <w:rsid w:val="006306A6"/>
    <w:rsid w:val="00640E00"/>
    <w:rsid w:val="00646C87"/>
    <w:rsid w:val="00665D2B"/>
    <w:rsid w:val="00670EB9"/>
    <w:rsid w:val="00676705"/>
    <w:rsid w:val="006D4E64"/>
    <w:rsid w:val="00720D3A"/>
    <w:rsid w:val="0075241E"/>
    <w:rsid w:val="0077641B"/>
    <w:rsid w:val="00795EC5"/>
    <w:rsid w:val="007B3B7D"/>
    <w:rsid w:val="007D394A"/>
    <w:rsid w:val="007E18A4"/>
    <w:rsid w:val="007F37C4"/>
    <w:rsid w:val="007F63A2"/>
    <w:rsid w:val="008152A3"/>
    <w:rsid w:val="008448AA"/>
    <w:rsid w:val="00854A17"/>
    <w:rsid w:val="00862B34"/>
    <w:rsid w:val="00864ADD"/>
    <w:rsid w:val="008922F5"/>
    <w:rsid w:val="008A3E90"/>
    <w:rsid w:val="008B1A60"/>
    <w:rsid w:val="008B580D"/>
    <w:rsid w:val="008B76C2"/>
    <w:rsid w:val="008F5263"/>
    <w:rsid w:val="00913430"/>
    <w:rsid w:val="00923D8E"/>
    <w:rsid w:val="00965136"/>
    <w:rsid w:val="00985AB8"/>
    <w:rsid w:val="009C07F7"/>
    <w:rsid w:val="00A03092"/>
    <w:rsid w:val="00A0492E"/>
    <w:rsid w:val="00A0750D"/>
    <w:rsid w:val="00A40C4E"/>
    <w:rsid w:val="00A46E76"/>
    <w:rsid w:val="00A66667"/>
    <w:rsid w:val="00A73E44"/>
    <w:rsid w:val="00A91AAA"/>
    <w:rsid w:val="00AB2200"/>
    <w:rsid w:val="00AC2078"/>
    <w:rsid w:val="00AC2FD8"/>
    <w:rsid w:val="00AD5FA8"/>
    <w:rsid w:val="00AD65D9"/>
    <w:rsid w:val="00AF17BC"/>
    <w:rsid w:val="00AF433E"/>
    <w:rsid w:val="00B10159"/>
    <w:rsid w:val="00B71972"/>
    <w:rsid w:val="00B77C5A"/>
    <w:rsid w:val="00B97F7A"/>
    <w:rsid w:val="00BB73E8"/>
    <w:rsid w:val="00C2389A"/>
    <w:rsid w:val="00C23B7A"/>
    <w:rsid w:val="00C32C1D"/>
    <w:rsid w:val="00C93E04"/>
    <w:rsid w:val="00C95B8E"/>
    <w:rsid w:val="00C97F2C"/>
    <w:rsid w:val="00CE7ACA"/>
    <w:rsid w:val="00CF2896"/>
    <w:rsid w:val="00D00DF7"/>
    <w:rsid w:val="00D25823"/>
    <w:rsid w:val="00D42851"/>
    <w:rsid w:val="00D46155"/>
    <w:rsid w:val="00D46299"/>
    <w:rsid w:val="00D50369"/>
    <w:rsid w:val="00D6423E"/>
    <w:rsid w:val="00D7596F"/>
    <w:rsid w:val="00D9660B"/>
    <w:rsid w:val="00DD4E93"/>
    <w:rsid w:val="00DD78F3"/>
    <w:rsid w:val="00DE01DA"/>
    <w:rsid w:val="00E12B84"/>
    <w:rsid w:val="00E165D7"/>
    <w:rsid w:val="00E3756B"/>
    <w:rsid w:val="00E620B7"/>
    <w:rsid w:val="00E628A0"/>
    <w:rsid w:val="00E728D0"/>
    <w:rsid w:val="00E75211"/>
    <w:rsid w:val="00E83A58"/>
    <w:rsid w:val="00EB75E7"/>
    <w:rsid w:val="00EE2604"/>
    <w:rsid w:val="00F175FD"/>
    <w:rsid w:val="00F461AC"/>
    <w:rsid w:val="00F54943"/>
    <w:rsid w:val="00F63F55"/>
    <w:rsid w:val="00F929C4"/>
    <w:rsid w:val="00FE31B5"/>
    <w:rsid w:val="00FE51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CA2C9F"/>
  <w15:chartTrackingRefBased/>
  <w15:docId w15:val="{38264AB0-75B3-4580-9260-6C53D07B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8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dereglamento">
    <w:name w:val="Texto de reglamento"/>
    <w:basedOn w:val="Normal"/>
    <w:link w:val="TextodereglamentoChar"/>
    <w:qFormat/>
    <w:rsid w:val="00084D3C"/>
    <w:pPr>
      <w:spacing w:before="120" w:after="0" w:line="240" w:lineRule="auto"/>
      <w:jc w:val="both"/>
    </w:pPr>
    <w:rPr>
      <w:rFonts w:ascii="Times New Roman" w:eastAsia="Times New Roman" w:hAnsi="Times New Roman" w:cs="Times New Roman"/>
      <w:szCs w:val="24"/>
      <w:lang w:eastAsia="es-ES"/>
    </w:rPr>
  </w:style>
  <w:style w:type="paragraph" w:customStyle="1" w:styleId="Numeracin">
    <w:name w:val="Numeración"/>
    <w:basedOn w:val="Textodereglamento"/>
    <w:link w:val="NumeracinChar"/>
    <w:qFormat/>
    <w:rsid w:val="00084D3C"/>
    <w:pPr>
      <w:numPr>
        <w:numId w:val="1"/>
      </w:numPr>
    </w:pPr>
  </w:style>
  <w:style w:type="character" w:customStyle="1" w:styleId="TextodereglamentoChar">
    <w:name w:val="Texto de reglamento Char"/>
    <w:link w:val="Textodereglamento"/>
    <w:rsid w:val="00084D3C"/>
    <w:rPr>
      <w:rFonts w:ascii="Times New Roman" w:eastAsia="Times New Roman" w:hAnsi="Times New Roman" w:cs="Times New Roman"/>
      <w:szCs w:val="24"/>
      <w:lang w:eastAsia="es-ES"/>
    </w:rPr>
  </w:style>
  <w:style w:type="character" w:customStyle="1" w:styleId="NumeracinChar">
    <w:name w:val="Numeración Char"/>
    <w:link w:val="Numeracin"/>
    <w:rsid w:val="00084D3C"/>
    <w:rPr>
      <w:rFonts w:ascii="Times New Roman" w:eastAsia="Times New Roman" w:hAnsi="Times New Roman" w:cs="Times New Roman"/>
      <w:szCs w:val="24"/>
      <w:lang w:eastAsia="es-ES"/>
    </w:rPr>
  </w:style>
  <w:style w:type="paragraph" w:styleId="ListParagraph">
    <w:name w:val="List Paragraph"/>
    <w:aliases w:val="Titulo 2"/>
    <w:basedOn w:val="Normal"/>
    <w:link w:val="ListParagraphChar"/>
    <w:uiPriority w:val="34"/>
    <w:qFormat/>
    <w:rsid w:val="00084D3C"/>
    <w:pPr>
      <w:ind w:left="720"/>
      <w:contextualSpacing/>
    </w:pPr>
  </w:style>
  <w:style w:type="paragraph" w:styleId="Header">
    <w:name w:val="header"/>
    <w:basedOn w:val="Normal"/>
    <w:link w:val="HeaderChar"/>
    <w:uiPriority w:val="99"/>
    <w:unhideWhenUsed/>
    <w:rsid w:val="00084D3C"/>
    <w:pPr>
      <w:tabs>
        <w:tab w:val="center" w:pos="4419"/>
        <w:tab w:val="right" w:pos="8838"/>
      </w:tabs>
      <w:spacing w:after="0" w:line="240" w:lineRule="auto"/>
    </w:pPr>
  </w:style>
  <w:style w:type="character" w:customStyle="1" w:styleId="HeaderChar">
    <w:name w:val="Header Char"/>
    <w:basedOn w:val="DefaultParagraphFont"/>
    <w:link w:val="Header"/>
    <w:uiPriority w:val="99"/>
    <w:rsid w:val="00084D3C"/>
  </w:style>
  <w:style w:type="character" w:customStyle="1" w:styleId="ListParagraphChar">
    <w:name w:val="List Paragraph Char"/>
    <w:aliases w:val="Titulo 2 Char"/>
    <w:link w:val="ListParagraph"/>
    <w:uiPriority w:val="34"/>
    <w:locked/>
    <w:rsid w:val="00084D3C"/>
  </w:style>
  <w:style w:type="paragraph" w:customStyle="1" w:styleId="incisos">
    <w:name w:val="incisos"/>
    <w:basedOn w:val="Textodereglamento"/>
    <w:qFormat/>
    <w:rsid w:val="00084D3C"/>
    <w:pPr>
      <w:numPr>
        <w:numId w:val="4"/>
      </w:numPr>
      <w:spacing w:before="60"/>
    </w:pPr>
    <w:rPr>
      <w:sz w:val="24"/>
    </w:rPr>
  </w:style>
  <w:style w:type="paragraph" w:customStyle="1" w:styleId="Artculo">
    <w:name w:val="Artículo"/>
    <w:basedOn w:val="Normal"/>
    <w:next w:val="Textodereglamento"/>
    <w:qFormat/>
    <w:rsid w:val="00084D3C"/>
    <w:pPr>
      <w:keepNext/>
      <w:numPr>
        <w:numId w:val="5"/>
      </w:numPr>
      <w:spacing w:before="180" w:after="60" w:line="240" w:lineRule="auto"/>
    </w:pPr>
    <w:rPr>
      <w:rFonts w:ascii="Times New Roman" w:eastAsia="Times New Roman" w:hAnsi="Times New Roman" w:cs="Times New Roman"/>
      <w:b/>
      <w:szCs w:val="24"/>
      <w:lang w:eastAsia="es-ES"/>
    </w:rPr>
  </w:style>
  <w:style w:type="paragraph" w:styleId="Footer">
    <w:name w:val="footer"/>
    <w:basedOn w:val="Normal"/>
    <w:link w:val="FooterChar"/>
    <w:uiPriority w:val="99"/>
    <w:unhideWhenUsed/>
    <w:rsid w:val="00CE7ACA"/>
    <w:pPr>
      <w:tabs>
        <w:tab w:val="center" w:pos="4419"/>
        <w:tab w:val="right" w:pos="8838"/>
      </w:tabs>
      <w:spacing w:after="0" w:line="240" w:lineRule="auto"/>
    </w:pPr>
  </w:style>
  <w:style w:type="character" w:customStyle="1" w:styleId="FooterChar">
    <w:name w:val="Footer Char"/>
    <w:basedOn w:val="DefaultParagraphFont"/>
    <w:link w:val="Footer"/>
    <w:uiPriority w:val="99"/>
    <w:rsid w:val="00CE7ACA"/>
  </w:style>
  <w:style w:type="paragraph" w:styleId="FootnoteText">
    <w:name w:val="footnote text"/>
    <w:basedOn w:val="Normal"/>
    <w:link w:val="FootnoteTextChar"/>
    <w:uiPriority w:val="99"/>
    <w:semiHidden/>
    <w:unhideWhenUsed/>
    <w:rsid w:val="00372F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2FD5"/>
    <w:rPr>
      <w:sz w:val="20"/>
      <w:szCs w:val="20"/>
    </w:rPr>
  </w:style>
  <w:style w:type="character" w:styleId="FootnoteReference">
    <w:name w:val="footnote reference"/>
    <w:basedOn w:val="DefaultParagraphFont"/>
    <w:uiPriority w:val="99"/>
    <w:semiHidden/>
    <w:unhideWhenUsed/>
    <w:rsid w:val="00372FD5"/>
    <w:rPr>
      <w:vertAlign w:val="superscript"/>
    </w:rPr>
  </w:style>
  <w:style w:type="character" w:styleId="CommentReference">
    <w:name w:val="annotation reference"/>
    <w:basedOn w:val="DefaultParagraphFont"/>
    <w:uiPriority w:val="99"/>
    <w:semiHidden/>
    <w:unhideWhenUsed/>
    <w:rsid w:val="00A46E76"/>
    <w:rPr>
      <w:sz w:val="16"/>
      <w:szCs w:val="16"/>
    </w:rPr>
  </w:style>
  <w:style w:type="paragraph" w:styleId="CommentText">
    <w:name w:val="annotation text"/>
    <w:basedOn w:val="Normal"/>
    <w:link w:val="CommentTextChar"/>
    <w:uiPriority w:val="99"/>
    <w:semiHidden/>
    <w:unhideWhenUsed/>
    <w:rsid w:val="00A46E76"/>
    <w:pPr>
      <w:spacing w:line="240" w:lineRule="auto"/>
    </w:pPr>
    <w:rPr>
      <w:sz w:val="20"/>
      <w:szCs w:val="20"/>
    </w:rPr>
  </w:style>
  <w:style w:type="character" w:customStyle="1" w:styleId="CommentTextChar">
    <w:name w:val="Comment Text Char"/>
    <w:basedOn w:val="DefaultParagraphFont"/>
    <w:link w:val="CommentText"/>
    <w:uiPriority w:val="99"/>
    <w:semiHidden/>
    <w:rsid w:val="00A46E76"/>
    <w:rPr>
      <w:sz w:val="20"/>
      <w:szCs w:val="20"/>
    </w:rPr>
  </w:style>
  <w:style w:type="paragraph" w:styleId="CommentSubject">
    <w:name w:val="annotation subject"/>
    <w:basedOn w:val="CommentText"/>
    <w:next w:val="CommentText"/>
    <w:link w:val="CommentSubjectChar"/>
    <w:uiPriority w:val="99"/>
    <w:semiHidden/>
    <w:unhideWhenUsed/>
    <w:rsid w:val="00A46E76"/>
    <w:rPr>
      <w:b/>
      <w:bCs/>
    </w:rPr>
  </w:style>
  <w:style w:type="character" w:customStyle="1" w:styleId="CommentSubjectChar">
    <w:name w:val="Comment Subject Char"/>
    <w:basedOn w:val="CommentTextChar"/>
    <w:link w:val="CommentSubject"/>
    <w:uiPriority w:val="99"/>
    <w:semiHidden/>
    <w:rsid w:val="00A46E76"/>
    <w:rPr>
      <w:b/>
      <w:bCs/>
      <w:sz w:val="20"/>
      <w:szCs w:val="20"/>
    </w:rPr>
  </w:style>
  <w:style w:type="paragraph" w:styleId="BalloonText">
    <w:name w:val="Balloon Text"/>
    <w:basedOn w:val="Normal"/>
    <w:link w:val="BalloonTextChar"/>
    <w:uiPriority w:val="99"/>
    <w:semiHidden/>
    <w:unhideWhenUsed/>
    <w:rsid w:val="00A46E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E76"/>
    <w:rPr>
      <w:rFonts w:ascii="Segoe UI" w:hAnsi="Segoe UI" w:cs="Segoe UI"/>
      <w:sz w:val="18"/>
      <w:szCs w:val="18"/>
    </w:rPr>
  </w:style>
  <w:style w:type="paragraph" w:styleId="Title">
    <w:name w:val="Title"/>
    <w:basedOn w:val="Normal"/>
    <w:link w:val="TitleChar"/>
    <w:uiPriority w:val="10"/>
    <w:qFormat/>
    <w:rsid w:val="00720D3A"/>
    <w:pPr>
      <w:widowControl w:val="0"/>
      <w:spacing w:after="0" w:line="240" w:lineRule="auto"/>
      <w:jc w:val="center"/>
      <w:outlineLvl w:val="0"/>
    </w:pPr>
    <w:rPr>
      <w:rFonts w:eastAsia="Times New Roman" w:cs="Times New Roman"/>
      <w:b/>
      <w:i/>
      <w:sz w:val="24"/>
      <w:szCs w:val="24"/>
      <w:lang w:val="es-CR"/>
    </w:rPr>
  </w:style>
  <w:style w:type="character" w:customStyle="1" w:styleId="TitleChar">
    <w:name w:val="Title Char"/>
    <w:basedOn w:val="DefaultParagraphFont"/>
    <w:link w:val="Title"/>
    <w:uiPriority w:val="10"/>
    <w:rsid w:val="00720D3A"/>
    <w:rPr>
      <w:rFonts w:eastAsia="Times New Roman" w:cs="Times New Roman"/>
      <w:b/>
      <w:i/>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739078">
      <w:bodyDiv w:val="1"/>
      <w:marLeft w:val="0"/>
      <w:marRight w:val="0"/>
      <w:marTop w:val="0"/>
      <w:marBottom w:val="0"/>
      <w:divBdr>
        <w:top w:val="none" w:sz="0" w:space="0" w:color="auto"/>
        <w:left w:val="none" w:sz="0" w:space="0" w:color="auto"/>
        <w:bottom w:val="none" w:sz="0" w:space="0" w:color="auto"/>
        <w:right w:val="none" w:sz="0" w:space="0" w:color="auto"/>
      </w:divBdr>
    </w:div>
    <w:div w:id="453015156">
      <w:bodyDiv w:val="1"/>
      <w:marLeft w:val="0"/>
      <w:marRight w:val="0"/>
      <w:marTop w:val="0"/>
      <w:marBottom w:val="0"/>
      <w:divBdr>
        <w:top w:val="none" w:sz="0" w:space="0" w:color="auto"/>
        <w:left w:val="none" w:sz="0" w:space="0" w:color="auto"/>
        <w:bottom w:val="none" w:sz="0" w:space="0" w:color="auto"/>
        <w:right w:val="none" w:sz="0" w:space="0" w:color="auto"/>
      </w:divBdr>
    </w:div>
    <w:div w:id="965114030">
      <w:bodyDiv w:val="1"/>
      <w:marLeft w:val="0"/>
      <w:marRight w:val="0"/>
      <w:marTop w:val="0"/>
      <w:marBottom w:val="0"/>
      <w:divBdr>
        <w:top w:val="none" w:sz="0" w:space="0" w:color="auto"/>
        <w:left w:val="none" w:sz="0" w:space="0" w:color="auto"/>
        <w:bottom w:val="none" w:sz="0" w:space="0" w:color="auto"/>
        <w:right w:val="none" w:sz="0" w:space="0" w:color="auto"/>
      </w:divBdr>
    </w:div>
    <w:div w:id="968902226">
      <w:bodyDiv w:val="1"/>
      <w:marLeft w:val="0"/>
      <w:marRight w:val="0"/>
      <w:marTop w:val="0"/>
      <w:marBottom w:val="0"/>
      <w:divBdr>
        <w:top w:val="none" w:sz="0" w:space="0" w:color="auto"/>
        <w:left w:val="none" w:sz="0" w:space="0" w:color="auto"/>
        <w:bottom w:val="none" w:sz="0" w:space="0" w:color="auto"/>
        <w:right w:val="none" w:sz="0" w:space="0" w:color="auto"/>
      </w:divBdr>
    </w:div>
    <w:div w:id="170304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emf"/>
  <Relationship Id="rId12" Type="http://schemas.openxmlformats.org/officeDocument/2006/relationships/package" Target="embeddings/Microsoft_Word_Document1.docx"/>
  <Relationship Id="rId13" Type="http://schemas.openxmlformats.org/officeDocument/2006/relationships/image" Target="media/image2.emf"/>
  <Relationship Id="rId14" Type="http://schemas.openxmlformats.org/officeDocument/2006/relationships/oleObject" Target="embeddings/Microsoft_Word_97_-_2003_Document1.doc"/>
  <Relationship Id="rId15" Type="http://schemas.openxmlformats.org/officeDocument/2006/relationships/image" Target="media/image3.emf"/>
  <Relationship Id="rId16" Type="http://schemas.openxmlformats.org/officeDocument/2006/relationships/oleObject" Target="embeddings/Microsoft_Excel_97-2003_Worksheet2.xls"/>
  <Relationship Id="rId17" Type="http://schemas.openxmlformats.org/officeDocument/2006/relationships/image" Target="media/image4.emf"/>
  <Relationship Id="rId18" Type="http://schemas.openxmlformats.org/officeDocument/2006/relationships/oleObject" Target="embeddings/Microsoft_Excel_97-2003_Worksheet3.xls"/>
  <Relationship Id="rId19" Type="http://schemas.openxmlformats.org/officeDocument/2006/relationships/header" Target="header1.xml"/>
  <Relationship Id="rId2" Type="http://schemas.openxmlformats.org/officeDocument/2006/relationships/customXml" Target="/customXml/item2.xml"/>
  <Relationship Id="rId20" Type="http://schemas.openxmlformats.org/officeDocument/2006/relationships/footer" Target="footer1.xml"/>
  <Relationship Id="rId21" Type="http://schemas.openxmlformats.org/officeDocument/2006/relationships/fontTable" Target="fontTable.xml"/>
  <Relationship Id="rId22" Type="http://schemas.openxmlformats.org/officeDocument/2006/relationships/theme" Target="theme/theme1.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1.xml.rels><?xml version="1.0" encoding="UTF-8"?>

<Relationships xmlns="http://schemas.openxmlformats.org/package/2006/relationships">
  <Relationship Id="rId1"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27AD03-9A72-48FC-A43A-2E2427F3A69C}"/>
</file>

<file path=customXml/itemProps2.xml><?xml version="1.0" encoding="utf-8"?>
<ds:datastoreItem xmlns:ds="http://schemas.openxmlformats.org/officeDocument/2006/customXml" ds:itemID="{8E501F2D-7F1E-4473-A83A-5B2923FEFB0B}"/>
</file>

<file path=customXml/itemProps3.xml><?xml version="1.0" encoding="utf-8"?>
<ds:datastoreItem xmlns:ds="http://schemas.openxmlformats.org/officeDocument/2006/customXml" ds:itemID="{4FE575C5-5098-4F67-8425-91582A2802B8}"/>
</file>

<file path=customXml/itemProps4.xml><?xml version="1.0" encoding="utf-8"?>
<ds:datastoreItem xmlns:ds="http://schemas.openxmlformats.org/officeDocument/2006/customXml" ds:itemID="{2D17A8B5-6696-4C4E-8749-DC5EE07FE495}"/>
</file>

<file path=docProps/app.xml><?xml version="1.0" encoding="utf-8"?>
<Properties xmlns="http://schemas.openxmlformats.org/officeDocument/2006/extended-properties" xmlns:vt="http://schemas.openxmlformats.org/officeDocument/2006/docPropsVTypes">
  <Template>Normal.dotm</Template>
  <TotalTime>10</TotalTime>
  <Pages>7</Pages>
  <Words>2498</Words>
  <Characters>13740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SGV-A-231 Modificación al Acuerdo SGV-A-75 “Suministro de Información Periódica”</vt:lpstr>
    </vt:vector>
  </TitlesOfParts>
  <Company>SUGEVAL</Company>
  <LinksUpToDate>false</LinksUpToDate>
  <CharactersWithSpaces>16206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SGV-A-231 Modificación al Acuerdo SGV-A-75 “Suministro de Información Periódica”</dc:title>
  <dc:creator>FERNANDEZ PORRAS PATRICIA</dc:creator>
  <cp:lastModifiedBy>FERNANDEZ PORRAS PATRICIA</cp:lastModifiedBy>
  <cp:revision>5</cp:revision>
  <dcterms:created xsi:type="dcterms:W3CDTF">2018-12-13T22:21:00Z</dcterms:created>
  <dcterms:modified xsi:type="dcterms:W3CDTF">2019-01-08T18:38:00Z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5" name="FileLeafRef">
    <vt:lpwstr>SGV-A-231.docx</vt:lpwstr>
  </property>
  <property fmtid="{D5CDD505-2E9C-101B-9397-08002B2CF9AE}" pid="6" name="Order">
    <vt:r8>1128800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DocumentSet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