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0671D" w14:textId="3C06DD15" w:rsidR="009B5931" w:rsidRPr="00F57BA5" w:rsidRDefault="009B5931" w:rsidP="00C3282C">
      <w:pPr>
        <w:autoSpaceDE w:val="0"/>
        <w:autoSpaceDN w:val="0"/>
        <w:adjustRightInd w:val="0"/>
        <w:spacing w:after="0" w:line="240" w:lineRule="auto"/>
        <w:jc w:val="both"/>
        <w:rPr>
          <w:rFonts w:ascii="Arial" w:hAnsi="Arial" w:cs="Arial"/>
          <w:b/>
          <w:bCs/>
        </w:rPr>
      </w:pPr>
      <w:r w:rsidRPr="00C3282C">
        <w:rPr>
          <w:rFonts w:ascii="Arial" w:hAnsi="Arial" w:cs="Arial"/>
          <w:b/>
          <w:bCs/>
          <w:sz w:val="24"/>
          <w:szCs w:val="24"/>
        </w:rPr>
        <w:t>“SGV-A-</w:t>
      </w:r>
      <w:r w:rsidR="00B52C32" w:rsidRPr="00C3282C">
        <w:rPr>
          <w:rFonts w:ascii="Arial" w:hAnsi="Arial" w:cs="Arial"/>
          <w:b/>
          <w:bCs/>
          <w:sz w:val="24"/>
          <w:szCs w:val="24"/>
        </w:rPr>
        <w:t>246</w:t>
      </w:r>
      <w:r w:rsidRPr="00C3282C">
        <w:rPr>
          <w:rFonts w:ascii="Arial" w:hAnsi="Arial" w:cs="Arial"/>
          <w:b/>
          <w:bCs/>
          <w:sz w:val="24"/>
          <w:szCs w:val="24"/>
        </w:rPr>
        <w:t xml:space="preserve"> LINEAMIENTOS ESPECÍFICOS PARA LA PREVENCIÓN DEL RIESGO DE LC/FT/FPADM, APLICABLES A LAS BOLSAS DE VALORES Y AL SERVICIO DE ANOTACIÓN EN CUENTA</w:t>
      </w:r>
      <w:r w:rsidR="00C3282C">
        <w:rPr>
          <w:rStyle w:val="Refdenotaalpie"/>
          <w:rFonts w:ascii="Arial" w:hAnsi="Arial" w:cs="Arial"/>
          <w:b/>
          <w:bCs/>
        </w:rPr>
        <w:footnoteReference w:id="1"/>
      </w:r>
    </w:p>
    <w:p w14:paraId="32907E6E" w14:textId="77777777" w:rsidR="009B5931" w:rsidRPr="00F57BA5" w:rsidRDefault="009B5931" w:rsidP="009B5931">
      <w:pPr>
        <w:autoSpaceDE w:val="0"/>
        <w:autoSpaceDN w:val="0"/>
        <w:adjustRightInd w:val="0"/>
        <w:spacing w:after="0" w:line="240" w:lineRule="auto"/>
        <w:jc w:val="both"/>
        <w:rPr>
          <w:rFonts w:ascii="Arial" w:hAnsi="Arial" w:cs="Arial"/>
          <w:b/>
          <w:bCs/>
        </w:rPr>
      </w:pPr>
    </w:p>
    <w:p w14:paraId="30972868" w14:textId="77777777" w:rsidR="009B5931" w:rsidRPr="00F57BA5" w:rsidRDefault="009B5931" w:rsidP="009B5931">
      <w:pPr>
        <w:autoSpaceDE w:val="0"/>
        <w:autoSpaceDN w:val="0"/>
        <w:adjustRightInd w:val="0"/>
        <w:spacing w:after="0" w:line="240" w:lineRule="auto"/>
        <w:jc w:val="both"/>
        <w:rPr>
          <w:rFonts w:ascii="Arial" w:hAnsi="Arial" w:cs="Arial"/>
        </w:rPr>
      </w:pPr>
    </w:p>
    <w:p w14:paraId="31F5EABC" w14:textId="77777777" w:rsidR="009B5931" w:rsidRPr="00F57BA5"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Considerando que:</w:t>
      </w:r>
    </w:p>
    <w:p w14:paraId="423AF6AE" w14:textId="77777777" w:rsidR="009B5931" w:rsidRPr="00F57BA5" w:rsidRDefault="009B5931" w:rsidP="009B5931">
      <w:pPr>
        <w:autoSpaceDE w:val="0"/>
        <w:autoSpaceDN w:val="0"/>
        <w:adjustRightInd w:val="0"/>
        <w:spacing w:after="0" w:line="240" w:lineRule="auto"/>
        <w:jc w:val="both"/>
        <w:rPr>
          <w:rFonts w:ascii="Arial" w:hAnsi="Arial" w:cs="Arial"/>
          <w:b/>
          <w:bCs/>
        </w:rPr>
      </w:pPr>
    </w:p>
    <w:p w14:paraId="6B163684" w14:textId="77777777" w:rsidR="009B5931" w:rsidRPr="00B55344"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B55344">
        <w:rPr>
          <w:rFonts w:ascii="Arial" w:hAnsi="Arial" w:cs="Arial"/>
        </w:rPr>
        <w:t xml:space="preserve">El artículo 1 del </w:t>
      </w:r>
      <w:r w:rsidRPr="00B55344">
        <w:rPr>
          <w:rFonts w:ascii="Arial" w:hAnsi="Arial" w:cs="Arial"/>
          <w:i/>
          <w:iCs/>
        </w:rPr>
        <w:t>Reglamento para la prevención del riesgo de legitimación de capitales, financiamiento al terrorismo y financiamiento de la proliferación de armas de destrucción masiva, aplicable a los sujetos obligados por el artículo 14 de la Ley 7786</w:t>
      </w:r>
      <w:r w:rsidRPr="00B55344">
        <w:rPr>
          <w:rFonts w:ascii="Arial" w:hAnsi="Arial" w:cs="Arial"/>
        </w:rPr>
        <w:t>, en adelante Acuerdo SUGEF 12-21, aprobado por el Consejo Nacional de Supervisión del Sistema Financiero, en los artículos 7 y 6, de las actas de las sesiones 1637-2021 y 1638-2021, celebradas el 18 de enero de 2021, dispone como objeto prevenir las operaciones de ocultación y movilización de capitales de procedencia dudosa y otras transacciones, encaminadas a legitimar capitales o a financiar actividades u organizaciones terroristas y financiar la proliferación de armas de destrucción masiva.</w:t>
      </w:r>
    </w:p>
    <w:p w14:paraId="4E3666D4" w14:textId="77777777" w:rsidR="009B5931" w:rsidRPr="00F57BA5"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F57BA5">
        <w:rPr>
          <w:rFonts w:ascii="Arial" w:hAnsi="Arial" w:cs="Arial"/>
        </w:rPr>
        <w:t>El artículo 4 del Acuerdo SUGEF 12-21 señala que las Superintendencias podrán emitir lineamientos o directrices diferenciados para cada mercado regulado, de acuerdo con los riesgos de legitimación de capitales, financiamiento al terrorismo, y financiamiento de proliferación de armas de destrucción masiva (en adelante LC/FT/FPADM), estableciendo medidas de debida diligencia simplificadas o reforzadas, según sea el caso. Asimismo, una vez adoptado cualquier lineamiento o directriz diferenciado, la superintendencia respectiva lo remitirá inmediatamente al resto de superintendencias y al CONASSIF.</w:t>
      </w:r>
    </w:p>
    <w:p w14:paraId="1813BD0B" w14:textId="77777777" w:rsidR="009B5931" w:rsidRPr="00F57BA5"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F57BA5">
        <w:rPr>
          <w:rFonts w:ascii="Arial" w:hAnsi="Arial" w:cs="Arial"/>
        </w:rPr>
        <w:t>La Nota interpretativa de la Recomendación 10, Debida diligencia del cliente, del Grupo de Acción Financiera Internacional (GAFI) referente al enfoque basado en riesgos menores, aclara que hay circunstancias en las que el riesgo de lavado de activos o financiamiento del terrorismo puede ser menor, y siempre que medie un análisis adecuado del riesgo por parte del país, puede ser razonable que un país permita a sus instituciones financieras aplicar medidas simplificadas de Debida Diligencia del Cliente (DDC) cuando éstas están sujetas a requisitos para combatir el lavado de activos y el financiamiento del terrorismo en concordancia con las Recomendaciones del GAFI y están supervisadas o monitoreadas en concordancia con las Recomendaciones. Entre estas están las sociedades mercantiles públicas cotizadas en una bolsa y sujetas a requisitos sobre la revelación. Asimismo, riesgos menores pueden asignarse a productos o servicios financieros que ofrecen servicios definidos y limitados apropiadamente a ciertos tipos de clientes, pudiendo reducir en estos casos la frecuencia de actualizaciones de la identificación del cliente, el grado de monitoreo continuo y el examen de las transacciones, así como la no recopilación de información específica.</w:t>
      </w:r>
    </w:p>
    <w:p w14:paraId="4848034C" w14:textId="77777777" w:rsidR="009B5931" w:rsidRPr="00F57BA5"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F57BA5">
        <w:rPr>
          <w:rFonts w:ascii="Arial" w:hAnsi="Arial" w:cs="Arial"/>
        </w:rPr>
        <w:t xml:space="preserve">Las bolsas de valores son entidades autorizadas y supervisadas por la SUGEVAL según se define en el Capítulo II del Título III de la </w:t>
      </w:r>
      <w:r w:rsidRPr="00F57BA5">
        <w:rPr>
          <w:rFonts w:ascii="Arial" w:hAnsi="Arial" w:cs="Arial"/>
          <w:i/>
          <w:iCs/>
        </w:rPr>
        <w:t>Ley Reguladora del Mercado de Valores</w:t>
      </w:r>
      <w:r w:rsidRPr="00F57BA5">
        <w:rPr>
          <w:rFonts w:ascii="Arial" w:hAnsi="Arial" w:cs="Arial"/>
        </w:rPr>
        <w:t xml:space="preserve">, Ley 7732; y sobre sus funciones se establece en el artículo 27 de este cuerpo legal, y en el Acuerdo SUGEVAL 50-10 Reglamento de Bolsas de Valores, aprobado por el Consejo Nacional de Supervisión del Sistema Financiero, </w:t>
      </w:r>
      <w:r w:rsidRPr="00F57BA5">
        <w:rPr>
          <w:rFonts w:ascii="Arial" w:hAnsi="Arial" w:cs="Arial"/>
        </w:rPr>
        <w:lastRenderedPageBreak/>
        <w:t>mediante artículo 11 del acta de la sesión 890-2010, celebrada el 12 de noviembre de 2010 y publicado en La Gaceta Oficial 240 del 10 de diciembre del 2010, que sus actividades estén limitadas a un objeto único, relacionado con facilitar las transacciones con valores, y ejercer las funciones de autorización, fiscalización y regulación, conferidas por la ley, sobre los puestos y agentes de bolsa.</w:t>
      </w:r>
    </w:p>
    <w:p w14:paraId="0DB34C36" w14:textId="77777777" w:rsidR="009B5931" w:rsidRPr="00F57BA5"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F57BA5">
        <w:rPr>
          <w:rFonts w:ascii="Arial" w:hAnsi="Arial" w:cs="Arial"/>
        </w:rPr>
        <w:t>Los principales clientes de las bolsas de valores son los puestos de bolsa, que a su vez son entidades reguladas por la SUGEVAL según se establece en el Título IV de la Ley 7732. Las bolsas de valores están obligadas a cumplir las disposiciones relativas a la Ley sobre estupefacientes, sustancias psicotrópicas, drogas de uso no autorizado, legitimación de capitales y actividades conexas.</w:t>
      </w:r>
    </w:p>
    <w:p w14:paraId="327F5FAD" w14:textId="77777777" w:rsidR="009B5931" w:rsidRPr="00F57BA5"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F57BA5">
        <w:rPr>
          <w:rFonts w:ascii="Arial" w:hAnsi="Arial" w:cs="Arial"/>
        </w:rPr>
        <w:t>Entre las funciones de las bolsas de valores, establecidas en el artículo 29, Capítulo II del Título III de la Ley 7732, no se encuentra la apertura de cuentas, la custodia de valores ni el ofrecimiento de servicios a clientes finales del mercado de valores. La actividad de identificación de clientes finales del mercado, seguimiento y monitoreo de sus operaciones, incluyendo aquellas que son objeto de remisión a la Superintendencias, tales como las que se efectúan en efectivo o mediante transferencias internacionales, se realiza a través de los sujetos obligados que ejecutan la función de custodia de las cuentas de valores, siendo estos los puestos de bolsa y los bancos en su función de custodios, que igualmente deben cumplir con las disposiciones LC/FT/FPADM.</w:t>
      </w:r>
    </w:p>
    <w:p w14:paraId="5B864231" w14:textId="77777777" w:rsidR="009B5931" w:rsidRPr="00F57BA5"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F57BA5">
        <w:rPr>
          <w:rFonts w:ascii="Arial" w:hAnsi="Arial" w:cs="Arial"/>
        </w:rPr>
        <w:t>Por su parte el Artículo 29, incisos a) y h) de la misma Ley otorga a las bolsas de valores la potestad de autorizar el ejercicio y supervisar a los agentes de bolsa según lo establecido en el Título Sexto, Capítulo 1 de las Reglas del Negocio de la Bolsa Nacional de Valores y subsidiarias, sin perjuicio de las atribuciones de la Superintendencia; no obstante, siendo que los agentes de bolsa son personas físicas representantes de un puesto de bolsa, que realizan actividades bursátiles a nombre de un puesto, el riesgo de mantener la relación laborar o de prestación de servicios recae sobre el puesto de bolsa que tiene la obligación de aplicar la política Conozca a su empleado y mayor posibilidad de acceso a la información personal y de comportamiento del colaborador a través del tiempo, por lo que resulta más factible y eficiente que sean estas entidades las que cumplan con estas disposiciones LC/FT/FPDAM.</w:t>
      </w:r>
    </w:p>
    <w:p w14:paraId="48A6438B" w14:textId="77777777" w:rsidR="009B5931" w:rsidRPr="00F57BA5" w:rsidRDefault="009B5931" w:rsidP="009B5931">
      <w:pPr>
        <w:pStyle w:val="Prrafodelista"/>
        <w:numPr>
          <w:ilvl w:val="0"/>
          <w:numId w:val="1"/>
        </w:numPr>
        <w:autoSpaceDE w:val="0"/>
        <w:autoSpaceDN w:val="0"/>
        <w:adjustRightInd w:val="0"/>
        <w:spacing w:after="0" w:line="240" w:lineRule="auto"/>
        <w:jc w:val="both"/>
        <w:rPr>
          <w:rFonts w:ascii="Arial" w:hAnsi="Arial" w:cs="Arial"/>
          <w:i/>
          <w:iCs/>
        </w:rPr>
      </w:pPr>
      <w:r w:rsidRPr="00F57BA5">
        <w:rPr>
          <w:rFonts w:ascii="Arial" w:hAnsi="Arial" w:cs="Arial"/>
        </w:rPr>
        <w:t xml:space="preserve">En Costa Rica no se ha instaurado una sociedad de compensación y liquidación de las previstas en artículo 127, Capítulo II del Título VII de la Ley 7732. La Bolsa Nacional de Valores (en adelante BNV) ha asumido la prestación de los servicios de compensación y liquidación en concordancia con lo establecido en el artículo 3 del </w:t>
      </w:r>
      <w:r w:rsidRPr="00F57BA5">
        <w:rPr>
          <w:rFonts w:ascii="Arial" w:hAnsi="Arial" w:cs="Arial"/>
          <w:i/>
          <w:iCs/>
        </w:rPr>
        <w:t>Reglamento de Compensación y Liquidación</w:t>
      </w:r>
      <w:r w:rsidRPr="00F57BA5">
        <w:rPr>
          <w:rFonts w:ascii="Arial" w:hAnsi="Arial" w:cs="Arial"/>
        </w:rPr>
        <w:t>. Dado que los miembros liquidadores de este sistema están delimitados a: las entidades de compensación y liquidación; a los puestos de bolsa y a los bancos inscritos en el Registro Nacional de Valores e Intermediarios como entidades de custodia autorizadas, se tiene que estos ya son sujetos a la supervisión y fiscalización de la SUGEVAL o de la SUGEF y están obligados a cumplir las disposiciones relativas a la Ley sobre estupefacientes, sustancias psicotrópicas, drogas de uso no autorizado, legitimación de capitales y actividades conexas; por lo que se considera razonable no requerir a la BNV nuevamente el cumplimiento de disposiciones de LC/FT/FPDAM relacionadas con la función de compensación y liquidación asumida. Adicionalmente pueden ser miembros liquidadores las instituciones públicas que cumplan con los requisitos especiales que, para el efecto, la Superintendencia establezca mediante acuerdo de alcance general, pero a la fecha no se ha autorizado a ninguna institución pública como miembro liquidador.</w:t>
      </w:r>
    </w:p>
    <w:p w14:paraId="2D79FAFF" w14:textId="77777777" w:rsidR="009B5931" w:rsidRPr="00F57BA5"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F57BA5">
        <w:rPr>
          <w:rFonts w:ascii="Arial" w:hAnsi="Arial" w:cs="Arial"/>
        </w:rPr>
        <w:lastRenderedPageBreak/>
        <w:t xml:space="preserve">Además de lo señalado en los considerados del 4 al 8 anteriores, conforme al </w:t>
      </w:r>
      <w:r w:rsidRPr="00F57BA5">
        <w:rPr>
          <w:rFonts w:ascii="Arial" w:hAnsi="Arial" w:cs="Arial"/>
          <w:i/>
          <w:iCs/>
        </w:rPr>
        <w:t>Reglamento de Bolsas de Valores</w:t>
      </w:r>
      <w:r w:rsidRPr="00F57BA5">
        <w:rPr>
          <w:rFonts w:ascii="Arial" w:hAnsi="Arial" w:cs="Arial"/>
        </w:rPr>
        <w:t>, Acuerdo SUGEVAL 50-10, aprobado por el Consejo Nacional de Supervisión del Sistema Financiero, mediante artículo 11 del acta de la sesión 890-2010, celebrada el 12 de noviembre de 2010 y publicado en La Gaceta Oficial 240 del 10 de diciembre del 2010, las bolsas también tienen autorizadas las actividades de administración de fideicomisos de garantía cuando los tipos de contrato negociados lo requieran; la prestación de servicios informáticos para el establecimiento de los sistemas transaccionales y el desarrollo y la distribución de aplicaciones y servicios informáticos complementarios a los sistemas transaccionales de valores; la capacitación en sus sistemas transaccionales, en los tipos de contrato y valores negociados en la misma bolsa y la formación general sobre el funcionamiento de bolsas de valores; y dado que las entidades que se relacionan con la prestación de estos servicios son los puestos de bolsa, los bancos custodios y los agentes de bolsa, en las responsabilidades del cumplimiento de disposiciones de LC/FT/FPDAM, les aplica lo descrito en los considerandos anteriores.</w:t>
      </w:r>
    </w:p>
    <w:p w14:paraId="3B9ED7C3" w14:textId="77777777" w:rsidR="009B5931" w:rsidRPr="00F57BA5"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F57BA5">
        <w:rPr>
          <w:rFonts w:ascii="Arial" w:hAnsi="Arial" w:cs="Arial"/>
        </w:rPr>
        <w:t>De acuerdo con el artículo 117 de la Ley 7732, en su inciso a) numeral 2, las centrales de valores autorizadas serán responsables de administrar el registro de las emisiones de los emisores privados el servicio de administración y custodia de los libros de registro de accionistas de esos emisores que son sujetos fiscalizados autorizados por la SUGEVAL y para los que se exige mantener un régimen de transparencia de información pública sobre sus principales socios y ejecutivos clave, y la información del prospecto debidamente actualizada, por lo que los objetivos de prevención de LC/FT/FPDAM se encuentran atendidos con el nivel de difusión pública que existe sobre los emisores cotizados. Además, las centrales depositarias de valores realizan una actualización diaria de la información de los valores anotados, a partir de la información recibida de las entidades de custodia adheridas, que son las únicas competentes para emitir constancias de titularidad sobre tales valores. Estas se encuentran sujetas a la supervisión y fiscalización de la SUGEVAL o de la SUGEF, y están obligadas a cumplir las disposiciones relativas a la Ley sobre estupefacientes, sustancias psicotrópicas, drogas de uso no autorizado, legitimación de capitales y actividades conexas, en lo que les resulte aplicable.</w:t>
      </w:r>
    </w:p>
    <w:p w14:paraId="57C8267C" w14:textId="77777777" w:rsidR="009B5931" w:rsidRPr="00F57BA5"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F57BA5">
        <w:rPr>
          <w:rFonts w:ascii="Arial" w:hAnsi="Arial" w:cs="Arial"/>
        </w:rPr>
        <w:t>Las centrales de valores autorizadas para operar como miembros del Sistema Nacional de Registro de Anotaciones en Cuenta pueden brindar, adicionalmente el servicio de administración y custodia del registro de accionistas y del libro de participaciones de fondos de inversión cerrados, según lo establece el artículo 27 del Reglamento sobre el Sistema de Anotación en Cuenta. Dado que este servicio es contratado por los emisores o las sociedades administradoras responsables de los fondos de inversión, estas entidades son los clientes directos de la central depositaria de valores y se encuentran sujetos a la supervisión y fiscalización de la SUGEVAL.</w:t>
      </w:r>
    </w:p>
    <w:p w14:paraId="34794A4D" w14:textId="77777777" w:rsidR="009B5931"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F57BA5">
        <w:rPr>
          <w:rFonts w:ascii="Arial" w:hAnsi="Arial" w:cs="Arial"/>
        </w:rPr>
        <w:t>En virtud de las situaciones evidenciadas durante los procesos de supervisión llevados a cabo por esta Superintendencia, y las adecuaciones ya aprobadas, solicitadas en los casos específicos de la Bolsa Nacional de Valores, S.A. y de Interclear Central de Valores, S.A., que demuestran que el alcance de las labores de las oficialías de cump</w:t>
      </w:r>
      <w:bookmarkStart w:id="0" w:name="_GoBack"/>
      <w:bookmarkEnd w:id="0"/>
      <w:r w:rsidRPr="00F57BA5">
        <w:rPr>
          <w:rFonts w:ascii="Arial" w:hAnsi="Arial" w:cs="Arial"/>
        </w:rPr>
        <w:t xml:space="preserve">limiento de estas entidades se encuentra disminuido debido a que sus productos y servicios están definidos y limitados a ciertos tipos de clientes que les pueden representar riesgo menor, pudiendo entonces, entre otras cosas, reducir la frecuencia de actualizaciones de la identificación de sus </w:t>
      </w:r>
      <w:r w:rsidRPr="00F57BA5">
        <w:rPr>
          <w:rFonts w:ascii="Arial" w:hAnsi="Arial" w:cs="Arial"/>
        </w:rPr>
        <w:lastRenderedPageBreak/>
        <w:t>clientes, optar por la no recopilación de información específica; no requerir monitoreo y examinación de transacciones; y, basados en el enfoque de riesgo menor de LC/FT/FPADM, prescindir de las revisiones de auditoría externa; se considera conveniente emitir lineamientos sobre algunas de las obligaciones de las bolsas de valores y las entidades que brindan servicios de anotación en cuenta dispuestas en el Acuerdo SUGEF 12-21.</w:t>
      </w:r>
    </w:p>
    <w:p w14:paraId="2C242AFD" w14:textId="77777777" w:rsidR="009B5931" w:rsidRPr="00F57BA5" w:rsidRDefault="009B5931" w:rsidP="009B5931">
      <w:pPr>
        <w:pStyle w:val="Prrafodelista"/>
        <w:numPr>
          <w:ilvl w:val="0"/>
          <w:numId w:val="1"/>
        </w:numPr>
        <w:autoSpaceDE w:val="0"/>
        <w:autoSpaceDN w:val="0"/>
        <w:adjustRightInd w:val="0"/>
        <w:spacing w:after="0" w:line="240" w:lineRule="auto"/>
        <w:jc w:val="both"/>
        <w:rPr>
          <w:rFonts w:ascii="Arial" w:hAnsi="Arial" w:cs="Arial"/>
        </w:rPr>
      </w:pPr>
      <w:r w:rsidRPr="00B55344">
        <w:rPr>
          <w:rFonts w:ascii="Arial" w:hAnsi="Arial" w:cs="Arial"/>
        </w:rPr>
        <w:t>El presente Acuerdo fue sometido al trámite de consulta, de conformidad con el artículo 361 de la Ley General de Administración Pública</w:t>
      </w:r>
      <w:r>
        <w:rPr>
          <w:rFonts w:ascii="Arial" w:hAnsi="Arial" w:cs="Arial"/>
        </w:rPr>
        <w:t>, de conformidad con el acuerdo de</w:t>
      </w:r>
      <w:r w:rsidRPr="00B55344">
        <w:rPr>
          <w:rFonts w:ascii="Arial" w:hAnsi="Arial" w:cs="Arial"/>
        </w:rPr>
        <w:t>l Consejo Nacional de Supervisión del Sistema Financiero, en los artículos 8, de las actas de las sesiones 1600-2020 y 1601-2020, celebradas el 24 de agosto de 2020</w:t>
      </w:r>
      <w:r>
        <w:rPr>
          <w:rFonts w:ascii="Arial" w:hAnsi="Arial" w:cs="Arial"/>
        </w:rPr>
        <w:t>.</w:t>
      </w:r>
    </w:p>
    <w:p w14:paraId="0291FC89" w14:textId="77777777" w:rsidR="009B5931" w:rsidRPr="00F57BA5" w:rsidRDefault="009B5931" w:rsidP="009B5931">
      <w:pPr>
        <w:autoSpaceDE w:val="0"/>
        <w:autoSpaceDN w:val="0"/>
        <w:adjustRightInd w:val="0"/>
        <w:spacing w:after="0" w:line="240" w:lineRule="auto"/>
        <w:jc w:val="both"/>
        <w:rPr>
          <w:rFonts w:ascii="Arial" w:hAnsi="Arial" w:cs="Arial"/>
        </w:rPr>
      </w:pPr>
    </w:p>
    <w:p w14:paraId="3591D854" w14:textId="77777777" w:rsidR="009B5931" w:rsidRPr="00F57BA5"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dispone:</w:t>
      </w:r>
    </w:p>
    <w:p w14:paraId="3724F013" w14:textId="77777777" w:rsidR="009B5931" w:rsidRPr="00F57BA5" w:rsidRDefault="009B5931" w:rsidP="009B5931">
      <w:pPr>
        <w:autoSpaceDE w:val="0"/>
        <w:autoSpaceDN w:val="0"/>
        <w:adjustRightInd w:val="0"/>
        <w:spacing w:after="0" w:line="240" w:lineRule="auto"/>
        <w:jc w:val="both"/>
        <w:rPr>
          <w:rFonts w:ascii="Arial" w:hAnsi="Arial" w:cs="Arial"/>
        </w:rPr>
      </w:pPr>
    </w:p>
    <w:p w14:paraId="1F1AE66A" w14:textId="77777777" w:rsidR="009B5931" w:rsidRPr="00F57BA5"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Emitir el Acuerdo SGV-A-</w:t>
      </w:r>
      <w:r w:rsidR="00B42112">
        <w:rPr>
          <w:rFonts w:ascii="Arial" w:hAnsi="Arial" w:cs="Arial"/>
        </w:rPr>
        <w:t>246</w:t>
      </w:r>
      <w:r w:rsidRPr="00F57BA5">
        <w:rPr>
          <w:rFonts w:ascii="Arial" w:hAnsi="Arial" w:cs="Arial"/>
        </w:rPr>
        <w:t xml:space="preserve"> ‘Lineamientos específicos para la prevención del riesgo de LC/FT/FPADM, aplicables a las bolsas de valores y al servicio de anotación en cuenta’ en lo siguiente:</w:t>
      </w:r>
    </w:p>
    <w:p w14:paraId="66063E5B" w14:textId="77777777" w:rsidR="009B5931" w:rsidRPr="00F57BA5" w:rsidRDefault="009B5931" w:rsidP="009B5931">
      <w:pPr>
        <w:autoSpaceDE w:val="0"/>
        <w:autoSpaceDN w:val="0"/>
        <w:adjustRightInd w:val="0"/>
        <w:spacing w:after="0" w:line="240" w:lineRule="auto"/>
        <w:jc w:val="both"/>
        <w:rPr>
          <w:rFonts w:ascii="Arial" w:hAnsi="Arial" w:cs="Arial"/>
        </w:rPr>
      </w:pPr>
    </w:p>
    <w:p w14:paraId="18931EB3" w14:textId="77777777" w:rsidR="009B5931" w:rsidRPr="00F57BA5" w:rsidRDefault="009B5931" w:rsidP="009B5931">
      <w:pPr>
        <w:autoSpaceDE w:val="0"/>
        <w:autoSpaceDN w:val="0"/>
        <w:adjustRightInd w:val="0"/>
        <w:spacing w:after="0" w:line="240" w:lineRule="auto"/>
        <w:jc w:val="center"/>
        <w:rPr>
          <w:rFonts w:ascii="Arial" w:hAnsi="Arial" w:cs="Arial"/>
          <w:b/>
          <w:bCs/>
        </w:rPr>
      </w:pPr>
      <w:r w:rsidRPr="00F57BA5">
        <w:rPr>
          <w:rFonts w:ascii="Arial" w:hAnsi="Arial" w:cs="Arial"/>
          <w:b/>
          <w:bCs/>
        </w:rPr>
        <w:t>SGV-A-</w:t>
      </w:r>
      <w:r w:rsidR="00B42112">
        <w:rPr>
          <w:rFonts w:ascii="Arial" w:hAnsi="Arial" w:cs="Arial"/>
          <w:b/>
          <w:bCs/>
        </w:rPr>
        <w:t>246</w:t>
      </w:r>
      <w:r w:rsidRPr="00F57BA5">
        <w:rPr>
          <w:rFonts w:ascii="Arial" w:hAnsi="Arial" w:cs="Arial"/>
          <w:b/>
          <w:bCs/>
        </w:rPr>
        <w:t xml:space="preserve"> ‘LINEAMIENTOS ESPECÍFICOS PARA LA PREVENCIÓN DEL RIESGO DE LC/FT/FPADM, APLICABLES A LAS BOLSAS DE VALORES Y AL SERVICIO DE ANOTACIÓN EN CUENTA’</w:t>
      </w:r>
    </w:p>
    <w:p w14:paraId="5F0D733F" w14:textId="77777777" w:rsidR="009B5931" w:rsidRPr="00F57BA5" w:rsidRDefault="009B5931" w:rsidP="009B5931">
      <w:pPr>
        <w:autoSpaceDE w:val="0"/>
        <w:autoSpaceDN w:val="0"/>
        <w:adjustRightInd w:val="0"/>
        <w:spacing w:after="0" w:line="240" w:lineRule="auto"/>
        <w:jc w:val="both"/>
        <w:rPr>
          <w:rFonts w:ascii="Arial" w:hAnsi="Arial" w:cs="Arial"/>
          <w:b/>
          <w:bCs/>
        </w:rPr>
      </w:pPr>
    </w:p>
    <w:p w14:paraId="220B16E6" w14:textId="77777777" w:rsidR="009B5931" w:rsidRPr="00F57BA5"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Artículo 1. Alcance</w:t>
      </w:r>
    </w:p>
    <w:p w14:paraId="1E7A3552" w14:textId="77777777" w:rsidR="009B5931" w:rsidRDefault="009B5931" w:rsidP="009B5931">
      <w:pPr>
        <w:autoSpaceDE w:val="0"/>
        <w:autoSpaceDN w:val="0"/>
        <w:adjustRightInd w:val="0"/>
        <w:spacing w:after="0" w:line="240" w:lineRule="auto"/>
        <w:jc w:val="both"/>
        <w:rPr>
          <w:rFonts w:ascii="Arial" w:hAnsi="Arial" w:cs="Arial"/>
        </w:rPr>
      </w:pPr>
    </w:p>
    <w:p w14:paraId="515C545E" w14:textId="77777777" w:rsidR="009B5931" w:rsidRPr="00F57BA5"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Lo dispuesto en el Acuerdo SUGEF 12-21 aplica a las bolsas de valores y las entidades que brindan servicios de anotación en cuenta, autorizadas por la SUGEVAL, excepto por el tratamiento diferenciado en los temas relacionados con la auditoría externa de LC/FT/FPADM; la designación del oficial y del oficial adjunto de cumplimiento; la metodología para la clasificación de riesgo de los clientes; la debida diligencia simplificada y reforzada; la actualización de la información de los clientes; la base de datos conozca a su cliente; el mantenimiento de registros; relaciones con contrapartes financiera extranjeras y corresponsales financieros; programas informáticos; monitoreo; operaciones únicas y múltiples en efectivo; transferencias electrónicas; y remisión de información a la Superintendencia.</w:t>
      </w:r>
    </w:p>
    <w:p w14:paraId="5E1D8239" w14:textId="77777777" w:rsidR="009B5931" w:rsidRPr="00F57BA5" w:rsidRDefault="009B5931" w:rsidP="009B5931">
      <w:pPr>
        <w:autoSpaceDE w:val="0"/>
        <w:autoSpaceDN w:val="0"/>
        <w:adjustRightInd w:val="0"/>
        <w:spacing w:after="0" w:line="240" w:lineRule="auto"/>
        <w:jc w:val="both"/>
        <w:rPr>
          <w:rFonts w:ascii="Arial" w:hAnsi="Arial" w:cs="Arial"/>
        </w:rPr>
      </w:pPr>
    </w:p>
    <w:p w14:paraId="2D19AA03" w14:textId="77777777" w:rsidR="009B5931" w:rsidRPr="00F57BA5"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Artículo 2. Auditoría externa de LC/FT/FPADM</w:t>
      </w:r>
    </w:p>
    <w:p w14:paraId="4C9BFEBE" w14:textId="77777777" w:rsidR="009B5931" w:rsidRDefault="009B5931" w:rsidP="009B5931">
      <w:pPr>
        <w:autoSpaceDE w:val="0"/>
        <w:autoSpaceDN w:val="0"/>
        <w:adjustRightInd w:val="0"/>
        <w:spacing w:after="0" w:line="240" w:lineRule="auto"/>
        <w:jc w:val="both"/>
        <w:rPr>
          <w:rFonts w:ascii="Arial" w:hAnsi="Arial" w:cs="Arial"/>
        </w:rPr>
      </w:pPr>
    </w:p>
    <w:p w14:paraId="1788AE12" w14:textId="77777777" w:rsidR="009B5931" w:rsidRPr="00F57BA5"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Las bolsas de valores o las entidades que brindan servicios de anotación en cuenta pueden prescindir de someterse anualmente a una auditoría externa y de la remisión de informes y comunicaciones del auditor externo a la Superintendencia, descritos en los artículos 15 y 16 del Acuerdo SUGEF 12-21, asegurando que la función de auditoría interna emite eficazmente su criterio y conclusiones basadas en riesgo sobre la eficacia y efectividad de las políticas y procedimientos, para prevenir el riesgo de LC/FT/FPADM.</w:t>
      </w:r>
    </w:p>
    <w:p w14:paraId="718AA35B" w14:textId="77777777" w:rsidR="009B5931" w:rsidRPr="00F57BA5" w:rsidRDefault="009B5931" w:rsidP="009B5931">
      <w:pPr>
        <w:autoSpaceDE w:val="0"/>
        <w:autoSpaceDN w:val="0"/>
        <w:adjustRightInd w:val="0"/>
        <w:spacing w:after="0" w:line="240" w:lineRule="auto"/>
        <w:jc w:val="both"/>
        <w:rPr>
          <w:rFonts w:ascii="Arial" w:hAnsi="Arial" w:cs="Arial"/>
        </w:rPr>
      </w:pPr>
    </w:p>
    <w:p w14:paraId="6EA9CA73" w14:textId="77777777" w:rsidR="009B5931" w:rsidRPr="00F57BA5"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Artículo 3. Designación del oficial y del oficial adjunto de cumplimiento</w:t>
      </w:r>
    </w:p>
    <w:p w14:paraId="02C8894E" w14:textId="77777777" w:rsidR="009B5931" w:rsidRDefault="009B5931" w:rsidP="009B5931">
      <w:pPr>
        <w:autoSpaceDE w:val="0"/>
        <w:autoSpaceDN w:val="0"/>
        <w:adjustRightInd w:val="0"/>
        <w:spacing w:after="0" w:line="240" w:lineRule="auto"/>
        <w:jc w:val="both"/>
        <w:rPr>
          <w:rFonts w:ascii="Arial" w:hAnsi="Arial" w:cs="Arial"/>
        </w:rPr>
      </w:pPr>
    </w:p>
    <w:p w14:paraId="62481B9F" w14:textId="77777777" w:rsidR="009B5931" w:rsidRPr="00F57BA5"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 xml:space="preserve">Las bolsas de valores o las entidades que brindan servicios de anotación en cuenta deben designar a un oficial de cumplimiento y a un oficial de cumplimiento adjunto, que se pueden dedicar a esta función a tiempo parcial, en la proporción en que la que el órgano </w:t>
      </w:r>
      <w:r w:rsidRPr="00F57BA5">
        <w:rPr>
          <w:rFonts w:ascii="Arial" w:hAnsi="Arial" w:cs="Arial"/>
        </w:rPr>
        <w:lastRenderedPageBreak/>
        <w:t>de dirección determine y en tanto no se presenten situaciones de riesgo de LC/FT/FPA que ameriten la dedicación parcial mayor o completa de uno o ambos oficiales.</w:t>
      </w:r>
    </w:p>
    <w:p w14:paraId="7965726E" w14:textId="77777777" w:rsidR="009B5931" w:rsidRPr="00F57BA5"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Se deben aplicar los demás requerimientos establecidos en el artículo 17 del Acuerdo SUGEF 12-21.</w:t>
      </w:r>
    </w:p>
    <w:p w14:paraId="43E3DC46" w14:textId="77777777" w:rsidR="009B5931" w:rsidRPr="00F57BA5" w:rsidRDefault="009B5931" w:rsidP="009B5931">
      <w:pPr>
        <w:autoSpaceDE w:val="0"/>
        <w:autoSpaceDN w:val="0"/>
        <w:adjustRightInd w:val="0"/>
        <w:spacing w:after="0" w:line="240" w:lineRule="auto"/>
        <w:jc w:val="both"/>
        <w:rPr>
          <w:rFonts w:ascii="Arial" w:hAnsi="Arial" w:cs="Arial"/>
        </w:rPr>
      </w:pPr>
    </w:p>
    <w:p w14:paraId="17863C14" w14:textId="77777777" w:rsidR="009B5931" w:rsidRPr="00F57BA5"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No se requerirá presentar a la Superintendencia la solicitud de adecuación en la dedicación de los oficiales, establecida en los artículos 22 y 23 del Acuerdo SUGEF 12-21.</w:t>
      </w:r>
    </w:p>
    <w:p w14:paraId="13BB8C28" w14:textId="77777777" w:rsidR="009B5931" w:rsidRPr="00F57BA5" w:rsidRDefault="009B5931" w:rsidP="009B5931">
      <w:pPr>
        <w:autoSpaceDE w:val="0"/>
        <w:autoSpaceDN w:val="0"/>
        <w:adjustRightInd w:val="0"/>
        <w:spacing w:after="0" w:line="240" w:lineRule="auto"/>
        <w:jc w:val="both"/>
        <w:rPr>
          <w:rFonts w:ascii="Arial" w:hAnsi="Arial" w:cs="Arial"/>
        </w:rPr>
      </w:pPr>
    </w:p>
    <w:p w14:paraId="1CFC998C" w14:textId="77777777" w:rsidR="009B5931" w:rsidRPr="00F57BA5"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Artículo 4. Gestión de riesgos</w:t>
      </w:r>
    </w:p>
    <w:p w14:paraId="219B607C" w14:textId="77777777" w:rsidR="009B5931" w:rsidRDefault="009B5931" w:rsidP="009B5931">
      <w:pPr>
        <w:autoSpaceDE w:val="0"/>
        <w:autoSpaceDN w:val="0"/>
        <w:adjustRightInd w:val="0"/>
        <w:spacing w:after="0" w:line="240" w:lineRule="auto"/>
        <w:jc w:val="both"/>
        <w:rPr>
          <w:rFonts w:ascii="Arial" w:hAnsi="Arial" w:cs="Arial"/>
        </w:rPr>
      </w:pPr>
    </w:p>
    <w:p w14:paraId="60D1399B" w14:textId="77777777" w:rsidR="009B5931" w:rsidRPr="00F57BA5"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La Evaluación de Riesgo de las bolsas de valores y de las entidades que brindan servicios de anotación en cuenta, debe reflejar el grado de riesgo que le representan sus clientes directos, los productos que brinda y los servicios que ofrece.</w:t>
      </w:r>
    </w:p>
    <w:p w14:paraId="559BD0DD" w14:textId="77777777" w:rsidR="009B5931" w:rsidRPr="00F57BA5" w:rsidRDefault="009B5931" w:rsidP="009B5931">
      <w:pPr>
        <w:autoSpaceDE w:val="0"/>
        <w:autoSpaceDN w:val="0"/>
        <w:adjustRightInd w:val="0"/>
        <w:spacing w:after="0" w:line="240" w:lineRule="auto"/>
        <w:jc w:val="both"/>
        <w:rPr>
          <w:rFonts w:ascii="Arial" w:hAnsi="Arial" w:cs="Arial"/>
        </w:rPr>
      </w:pPr>
    </w:p>
    <w:p w14:paraId="55A89B28" w14:textId="77777777" w:rsidR="009B5931" w:rsidRPr="00F57BA5"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Si de su análisis de riesgo determinan que, por la operativa y tipo de transacciones que sus clientes realizan en sus sistemas, estos representan un riesgo bajo de LC/FT/FPADM a través los canales, productos y servicios puestos a disposición, deben dejar documentadas las razones de su criterio y optar por no diseñar ni aplicar la metodología de clasificación de riesgo de clientes requerida en el artículo 25 del Acuerdo SUGEF 12-21.</w:t>
      </w:r>
    </w:p>
    <w:p w14:paraId="40552473" w14:textId="77777777" w:rsidR="009B5931" w:rsidRPr="00F57BA5" w:rsidRDefault="009B5931" w:rsidP="009B5931">
      <w:pPr>
        <w:autoSpaceDE w:val="0"/>
        <w:autoSpaceDN w:val="0"/>
        <w:adjustRightInd w:val="0"/>
        <w:spacing w:after="0" w:line="240" w:lineRule="auto"/>
        <w:jc w:val="both"/>
        <w:rPr>
          <w:rFonts w:ascii="Arial" w:hAnsi="Arial" w:cs="Arial"/>
        </w:rPr>
      </w:pPr>
    </w:p>
    <w:p w14:paraId="1D641E3B" w14:textId="77777777" w:rsidR="009B5931" w:rsidRPr="00F57BA5"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Artículo 5. Debida diligencia</w:t>
      </w:r>
    </w:p>
    <w:p w14:paraId="24E877BB" w14:textId="77777777" w:rsidR="009B5931" w:rsidRDefault="009B5931" w:rsidP="009B5931">
      <w:pPr>
        <w:autoSpaceDE w:val="0"/>
        <w:autoSpaceDN w:val="0"/>
        <w:adjustRightInd w:val="0"/>
        <w:spacing w:after="0" w:line="240" w:lineRule="auto"/>
        <w:jc w:val="both"/>
        <w:rPr>
          <w:rFonts w:ascii="Arial" w:hAnsi="Arial" w:cs="Arial"/>
        </w:rPr>
      </w:pPr>
    </w:p>
    <w:p w14:paraId="0546008D" w14:textId="77777777" w:rsidR="009B5931"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Sobre las medidas de debida diligencia simplificadas o reforzadas, información y actualización del expediente del cliente y acceso a la Base de datos Conozca a su cliente:</w:t>
      </w:r>
    </w:p>
    <w:p w14:paraId="698FDCDD" w14:textId="77777777" w:rsidR="009B5931" w:rsidRPr="00F57BA5" w:rsidRDefault="009B5931" w:rsidP="009B5931">
      <w:pPr>
        <w:autoSpaceDE w:val="0"/>
        <w:autoSpaceDN w:val="0"/>
        <w:adjustRightInd w:val="0"/>
        <w:spacing w:after="0" w:line="240" w:lineRule="auto"/>
        <w:jc w:val="both"/>
        <w:rPr>
          <w:rFonts w:ascii="Arial" w:hAnsi="Arial" w:cs="Arial"/>
        </w:rPr>
      </w:pPr>
    </w:p>
    <w:p w14:paraId="4F18FA9A" w14:textId="77777777" w:rsidR="009B5931" w:rsidRDefault="009B5931" w:rsidP="009B5931">
      <w:pPr>
        <w:pStyle w:val="Prrafodelista"/>
        <w:numPr>
          <w:ilvl w:val="0"/>
          <w:numId w:val="2"/>
        </w:numPr>
        <w:autoSpaceDE w:val="0"/>
        <w:autoSpaceDN w:val="0"/>
        <w:adjustRightInd w:val="0"/>
        <w:spacing w:after="0" w:line="240" w:lineRule="auto"/>
        <w:jc w:val="both"/>
        <w:rPr>
          <w:rFonts w:ascii="Arial" w:hAnsi="Arial" w:cs="Arial"/>
        </w:rPr>
      </w:pPr>
      <w:r w:rsidRPr="00F57BA5">
        <w:rPr>
          <w:rFonts w:ascii="Arial" w:hAnsi="Arial" w:cs="Arial"/>
        </w:rPr>
        <w:t>Las bolsas de valores o las entidades que brindan servicios de anotación en cuenta que hayan justificado, mediante su evaluación de riesgo, el no desarrollar una metodología de calificación de riesgo para sus clientes, pueden prescindir de establecer las medidas de debida diligencia, simplificadas o reforzadas, señaladas en los artículos 28 y 29 del Acuerdo SUGEF 12-21.</w:t>
      </w:r>
    </w:p>
    <w:p w14:paraId="0C52CA81" w14:textId="77777777" w:rsidR="009B5931" w:rsidRPr="00F57BA5" w:rsidRDefault="009B5931" w:rsidP="009B5931">
      <w:pPr>
        <w:pStyle w:val="Prrafodelista"/>
        <w:autoSpaceDE w:val="0"/>
        <w:autoSpaceDN w:val="0"/>
        <w:adjustRightInd w:val="0"/>
        <w:spacing w:after="0" w:line="240" w:lineRule="auto"/>
        <w:jc w:val="both"/>
        <w:rPr>
          <w:rFonts w:ascii="Arial" w:hAnsi="Arial" w:cs="Arial"/>
        </w:rPr>
      </w:pPr>
    </w:p>
    <w:p w14:paraId="5F2F6132" w14:textId="77777777" w:rsidR="009B5931" w:rsidRDefault="009B5931" w:rsidP="009B5931">
      <w:pPr>
        <w:pStyle w:val="Prrafodelista"/>
        <w:numPr>
          <w:ilvl w:val="0"/>
          <w:numId w:val="2"/>
        </w:numPr>
        <w:autoSpaceDE w:val="0"/>
        <w:autoSpaceDN w:val="0"/>
        <w:adjustRightInd w:val="0"/>
        <w:spacing w:after="0" w:line="240" w:lineRule="auto"/>
        <w:jc w:val="both"/>
        <w:rPr>
          <w:rFonts w:ascii="Arial" w:hAnsi="Arial" w:cs="Arial"/>
        </w:rPr>
      </w:pPr>
      <w:r w:rsidRPr="00F57BA5">
        <w:rPr>
          <w:rFonts w:ascii="Arial" w:hAnsi="Arial" w:cs="Arial"/>
        </w:rPr>
        <w:t>Si de su análisis de riesgo determinan que la información relacionada específicamente con el origen de los fondos, la capacidad de inversión, la verificación del domicilio y la actividad económica, es ya obtenida mediante las funciones de autorización, fiscalización, regulación o de negocio que competen a las bolsas de valores o las entidades que brindan servicios de anotación en cuenta; o que no es aplicable por los giros de negocio que realizan, pueden establecer políticas para prescindir de solicitar los requisitos listados y descritos en el artículo 27 del Acuerdo SUGEF 12-21, como parte del expediente del cliente.</w:t>
      </w:r>
    </w:p>
    <w:p w14:paraId="37B0AD0E" w14:textId="77777777" w:rsidR="009B5931" w:rsidRPr="00F57BA5" w:rsidRDefault="009B5931" w:rsidP="009B5931">
      <w:pPr>
        <w:pStyle w:val="Prrafodelista"/>
        <w:autoSpaceDE w:val="0"/>
        <w:autoSpaceDN w:val="0"/>
        <w:adjustRightInd w:val="0"/>
        <w:spacing w:after="0" w:line="240" w:lineRule="auto"/>
        <w:jc w:val="both"/>
        <w:rPr>
          <w:rFonts w:ascii="Arial" w:hAnsi="Arial" w:cs="Arial"/>
        </w:rPr>
      </w:pPr>
    </w:p>
    <w:p w14:paraId="0FEBCF86" w14:textId="77777777" w:rsidR="009B5931" w:rsidRPr="00F57BA5" w:rsidRDefault="009B5931" w:rsidP="009B5931">
      <w:pPr>
        <w:pStyle w:val="Prrafodelista"/>
        <w:numPr>
          <w:ilvl w:val="0"/>
          <w:numId w:val="2"/>
        </w:numPr>
        <w:autoSpaceDE w:val="0"/>
        <w:autoSpaceDN w:val="0"/>
        <w:adjustRightInd w:val="0"/>
        <w:spacing w:after="0" w:line="240" w:lineRule="auto"/>
        <w:jc w:val="both"/>
        <w:rPr>
          <w:rFonts w:ascii="Arial" w:hAnsi="Arial" w:cs="Arial"/>
        </w:rPr>
      </w:pPr>
      <w:r w:rsidRPr="00F57BA5">
        <w:rPr>
          <w:rFonts w:ascii="Arial" w:hAnsi="Arial" w:cs="Arial"/>
        </w:rPr>
        <w:t>Las bolsas de valores o las entidades que brindan servicios de anotación en cuenta definirán acorde a su negocio, la periodicidad, el nivel y el tipo apropiado de actualización de la información de sus clientes; y aquellos factores que generarían la necesidad de una actualización anticipada del expediente. El plazo determinado para realizar la actualización puede sobrepasar hasta por el doble del máximo establecido en el artículo 36 del Acuerdo SUGEF 12-21, en tanto el tipo clientes se mantenga considerado de bajo riesgo de LC/FT/FPADM, documentado en la Evaluación de Riesgo de la entidad.</w:t>
      </w:r>
    </w:p>
    <w:p w14:paraId="64850E8F" w14:textId="77777777" w:rsidR="009B5931" w:rsidRPr="00F57BA5" w:rsidRDefault="009B5931" w:rsidP="009B5931">
      <w:pPr>
        <w:pStyle w:val="Prrafodelista"/>
        <w:autoSpaceDE w:val="0"/>
        <w:autoSpaceDN w:val="0"/>
        <w:adjustRightInd w:val="0"/>
        <w:spacing w:after="0" w:line="240" w:lineRule="auto"/>
        <w:jc w:val="both"/>
        <w:rPr>
          <w:rFonts w:ascii="Arial" w:hAnsi="Arial" w:cs="Arial"/>
        </w:rPr>
      </w:pPr>
    </w:p>
    <w:p w14:paraId="5F8C7DB5" w14:textId="77777777" w:rsidR="009B5931" w:rsidRPr="00F57BA5"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Artículo 6. Medidas preventivas</w:t>
      </w:r>
    </w:p>
    <w:p w14:paraId="2BBF68F7" w14:textId="77777777" w:rsidR="009B5931" w:rsidRDefault="009B5931" w:rsidP="009B5931">
      <w:pPr>
        <w:autoSpaceDE w:val="0"/>
        <w:autoSpaceDN w:val="0"/>
        <w:adjustRightInd w:val="0"/>
        <w:spacing w:after="0" w:line="240" w:lineRule="auto"/>
        <w:jc w:val="both"/>
        <w:rPr>
          <w:rFonts w:ascii="Arial" w:hAnsi="Arial" w:cs="Arial"/>
        </w:rPr>
      </w:pPr>
    </w:p>
    <w:p w14:paraId="692A87E5" w14:textId="77777777" w:rsidR="009B5931"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Sobre las medidas adicionales para clientes y actividades específicas:</w:t>
      </w:r>
    </w:p>
    <w:p w14:paraId="318F89CE" w14:textId="77777777" w:rsidR="009B5931" w:rsidRDefault="009B5931" w:rsidP="009B5931">
      <w:pPr>
        <w:pStyle w:val="Prrafodelista"/>
        <w:numPr>
          <w:ilvl w:val="0"/>
          <w:numId w:val="3"/>
        </w:numPr>
        <w:autoSpaceDE w:val="0"/>
        <w:autoSpaceDN w:val="0"/>
        <w:adjustRightInd w:val="0"/>
        <w:spacing w:after="0" w:line="240" w:lineRule="auto"/>
        <w:jc w:val="both"/>
        <w:rPr>
          <w:rFonts w:ascii="Arial" w:hAnsi="Arial" w:cs="Arial"/>
        </w:rPr>
      </w:pPr>
      <w:r w:rsidRPr="00F57BA5">
        <w:rPr>
          <w:rFonts w:ascii="Arial" w:hAnsi="Arial" w:cs="Arial"/>
        </w:rPr>
        <w:t>Las bolsas de valores o las entidades que brindan servicios de anotación en cuenta deben desarrollar y aprobar procedimientos para dejar documentados informes para cada una de las relaciones de negocios con contrapartes extranjeras o corresponsables financieros que mantengan. Estos informes deben incluir la descripción del conocimiento de la contraparte y de los riesgos de la relación de negocio, así como la valoración de riesgo de cada uno y deben ser actualizados periódicamente como parte de su evaluación de riesgo. Lo anterior sin detrimento de las obligaciones establecidas en el primer párrafo del artículo 44 del Acuerdo SUGEF 12-21.</w:t>
      </w:r>
    </w:p>
    <w:p w14:paraId="6AA67727" w14:textId="77777777" w:rsidR="009B5931" w:rsidRPr="00F57BA5" w:rsidRDefault="009B5931" w:rsidP="009B5931">
      <w:pPr>
        <w:pStyle w:val="Prrafodelista"/>
        <w:autoSpaceDE w:val="0"/>
        <w:autoSpaceDN w:val="0"/>
        <w:adjustRightInd w:val="0"/>
        <w:spacing w:after="0" w:line="240" w:lineRule="auto"/>
        <w:jc w:val="both"/>
        <w:rPr>
          <w:rFonts w:ascii="Arial" w:hAnsi="Arial" w:cs="Arial"/>
        </w:rPr>
      </w:pPr>
    </w:p>
    <w:p w14:paraId="0F3612C6" w14:textId="77777777" w:rsidR="009B5931" w:rsidRPr="00F57BA5" w:rsidRDefault="009B5931" w:rsidP="009B5931">
      <w:pPr>
        <w:pStyle w:val="Prrafodelista"/>
        <w:numPr>
          <w:ilvl w:val="0"/>
          <w:numId w:val="3"/>
        </w:numPr>
        <w:autoSpaceDE w:val="0"/>
        <w:autoSpaceDN w:val="0"/>
        <w:adjustRightInd w:val="0"/>
        <w:spacing w:after="0" w:line="240" w:lineRule="auto"/>
        <w:jc w:val="both"/>
        <w:rPr>
          <w:rFonts w:ascii="Arial" w:hAnsi="Arial" w:cs="Arial"/>
        </w:rPr>
      </w:pPr>
      <w:r w:rsidRPr="00F57BA5">
        <w:rPr>
          <w:rFonts w:ascii="Arial" w:hAnsi="Arial" w:cs="Arial"/>
        </w:rPr>
        <w:t>La valoración del riesgo que las bolsas de valores o las entidades que brindan servicios de anotación en cuenta asignen a una contraparte extranjera o a un corresponsal financiero con el que mantenga relaciones y que no cumpla con los estándares mínimos internacionales sobre controles LC/FT/FPADM, no se trasladará a sus clientes directos, pero deberá demostrarse que este es gestionado adecuadamente.</w:t>
      </w:r>
    </w:p>
    <w:p w14:paraId="287AF638" w14:textId="77777777" w:rsidR="009B5931" w:rsidRPr="00F57BA5" w:rsidRDefault="009B5931" w:rsidP="009B5931">
      <w:pPr>
        <w:pStyle w:val="Prrafodelista"/>
        <w:autoSpaceDE w:val="0"/>
        <w:autoSpaceDN w:val="0"/>
        <w:adjustRightInd w:val="0"/>
        <w:spacing w:after="0" w:line="240" w:lineRule="auto"/>
        <w:jc w:val="both"/>
        <w:rPr>
          <w:rFonts w:ascii="Arial" w:hAnsi="Arial" w:cs="Arial"/>
        </w:rPr>
      </w:pPr>
    </w:p>
    <w:p w14:paraId="10449657" w14:textId="77777777" w:rsidR="009B5931" w:rsidRPr="00F57BA5"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Artículo 7. Programas informáticos y monitoreo</w:t>
      </w:r>
    </w:p>
    <w:p w14:paraId="324852D6" w14:textId="77777777" w:rsidR="009B5931" w:rsidRPr="00C3282C" w:rsidRDefault="009B5931" w:rsidP="009B5931">
      <w:pPr>
        <w:autoSpaceDE w:val="0"/>
        <w:autoSpaceDN w:val="0"/>
        <w:adjustRightInd w:val="0"/>
        <w:spacing w:after="0" w:line="240" w:lineRule="auto"/>
        <w:jc w:val="both"/>
        <w:rPr>
          <w:rFonts w:ascii="Arial" w:hAnsi="Arial" w:cs="Arial"/>
          <w:sz w:val="16"/>
          <w:szCs w:val="16"/>
        </w:rPr>
      </w:pPr>
    </w:p>
    <w:p w14:paraId="1B9E9D4F" w14:textId="77777777" w:rsidR="009B5931" w:rsidRPr="00F57BA5"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Las bolsas de valores o las entidades que brindan servicios de anotación en cuenta, por su tipo de operativa y alcance de sus servicios, no requieren programas informáticos especializados de monitoreo de transacciones y pueden no contar con este tipo de herramienta. Tampoco les aplicaría el deber de realizar el monitoreo descrito en el artículo 51del Acuerdo SUGEF 12-21.</w:t>
      </w:r>
    </w:p>
    <w:p w14:paraId="2F0590B4" w14:textId="77777777" w:rsidR="009B5931" w:rsidRPr="00F57BA5" w:rsidRDefault="009B5931" w:rsidP="009B5931">
      <w:pPr>
        <w:autoSpaceDE w:val="0"/>
        <w:autoSpaceDN w:val="0"/>
        <w:adjustRightInd w:val="0"/>
        <w:spacing w:after="0" w:line="240" w:lineRule="auto"/>
        <w:jc w:val="both"/>
        <w:rPr>
          <w:rFonts w:ascii="Arial" w:hAnsi="Arial" w:cs="Arial"/>
        </w:rPr>
      </w:pPr>
    </w:p>
    <w:p w14:paraId="038D1B4B" w14:textId="77777777" w:rsidR="009B5931" w:rsidRPr="00F57BA5"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El monitoreo de los perfiles de sus clientes directos en publicaciones de organizaciones como el GAFI, ONU, OFAC, entre otras, sí deberá realizarse, velando por lo establecido en el artículo 51 del Acuerdo SUGEF 12-21.</w:t>
      </w:r>
    </w:p>
    <w:p w14:paraId="575CADD0" w14:textId="77777777" w:rsidR="009B5931" w:rsidRPr="00F57BA5" w:rsidRDefault="009B5931" w:rsidP="009B5931">
      <w:pPr>
        <w:autoSpaceDE w:val="0"/>
        <w:autoSpaceDN w:val="0"/>
        <w:adjustRightInd w:val="0"/>
        <w:spacing w:after="0" w:line="240" w:lineRule="auto"/>
        <w:jc w:val="both"/>
        <w:rPr>
          <w:rFonts w:ascii="Arial" w:hAnsi="Arial" w:cs="Arial"/>
        </w:rPr>
      </w:pPr>
    </w:p>
    <w:p w14:paraId="1984ECCA" w14:textId="77777777" w:rsidR="009B5931" w:rsidRPr="00F57BA5"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Artículo 8. Registro y notificación de transacciones</w:t>
      </w:r>
    </w:p>
    <w:p w14:paraId="1B7CCE43" w14:textId="77777777" w:rsidR="009B5931" w:rsidRDefault="009B5931" w:rsidP="009B5931">
      <w:pPr>
        <w:autoSpaceDE w:val="0"/>
        <w:autoSpaceDN w:val="0"/>
        <w:adjustRightInd w:val="0"/>
        <w:spacing w:after="0" w:line="240" w:lineRule="auto"/>
        <w:jc w:val="both"/>
        <w:rPr>
          <w:rFonts w:ascii="Arial" w:hAnsi="Arial" w:cs="Arial"/>
        </w:rPr>
      </w:pPr>
    </w:p>
    <w:p w14:paraId="1E01A1C1" w14:textId="77777777" w:rsidR="009B5931" w:rsidRPr="00F57BA5" w:rsidRDefault="009B5931" w:rsidP="009B5931">
      <w:pPr>
        <w:autoSpaceDE w:val="0"/>
        <w:autoSpaceDN w:val="0"/>
        <w:adjustRightInd w:val="0"/>
        <w:spacing w:after="0" w:line="240" w:lineRule="auto"/>
        <w:jc w:val="both"/>
        <w:rPr>
          <w:rFonts w:ascii="Arial" w:hAnsi="Arial" w:cs="Arial"/>
        </w:rPr>
      </w:pPr>
      <w:r w:rsidRPr="00F57BA5">
        <w:rPr>
          <w:rFonts w:ascii="Arial" w:hAnsi="Arial" w:cs="Arial"/>
        </w:rPr>
        <w:t>Las bolsas de valores o las entidades que brindan servicios de anotación en cuenta, por su tipo de operativa y alcance de sus servicios, no reportarán ni remitirán a la Superintendencia el reporte de operaciones únicas o múltiples, iguales o mayores a los US$10.000 (diez mil dólares en la moneda de los Estados Unidos de América) o su equivalente en colones u otras monedas extranjeras, realizadas en efectivo o mediante transferencias desde o hacia el exterior, establecidos en los artículos del 52 al 56 del Acuerdo SUGEF 12-21.</w:t>
      </w:r>
    </w:p>
    <w:p w14:paraId="3FA7328B" w14:textId="77777777" w:rsidR="009B5931" w:rsidRPr="00F57BA5" w:rsidRDefault="009B5931" w:rsidP="009B5931">
      <w:pPr>
        <w:autoSpaceDE w:val="0"/>
        <w:autoSpaceDN w:val="0"/>
        <w:adjustRightInd w:val="0"/>
        <w:spacing w:after="0" w:line="240" w:lineRule="auto"/>
        <w:jc w:val="both"/>
        <w:rPr>
          <w:rFonts w:ascii="Arial" w:hAnsi="Arial" w:cs="Arial"/>
        </w:rPr>
      </w:pPr>
    </w:p>
    <w:p w14:paraId="0C4AD8A3" w14:textId="77777777" w:rsidR="009B5931"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Artículo 9. Derogatorias</w:t>
      </w:r>
    </w:p>
    <w:p w14:paraId="2E65AC66" w14:textId="77777777" w:rsidR="009B5931" w:rsidRPr="00F57BA5" w:rsidRDefault="009B5931" w:rsidP="009B5931">
      <w:pPr>
        <w:autoSpaceDE w:val="0"/>
        <w:autoSpaceDN w:val="0"/>
        <w:adjustRightInd w:val="0"/>
        <w:spacing w:after="0" w:line="240" w:lineRule="auto"/>
        <w:jc w:val="both"/>
        <w:rPr>
          <w:rFonts w:ascii="Arial" w:hAnsi="Arial" w:cs="Arial"/>
          <w:b/>
          <w:bCs/>
        </w:rPr>
      </w:pPr>
    </w:p>
    <w:p w14:paraId="0D938DF7" w14:textId="77777777" w:rsidR="009B5931" w:rsidRPr="00F57BA5" w:rsidRDefault="009B5931" w:rsidP="009B5931">
      <w:pPr>
        <w:pStyle w:val="Prrafodelista"/>
        <w:numPr>
          <w:ilvl w:val="0"/>
          <w:numId w:val="4"/>
        </w:numPr>
        <w:autoSpaceDE w:val="0"/>
        <w:autoSpaceDN w:val="0"/>
        <w:adjustRightInd w:val="0"/>
        <w:spacing w:after="0" w:line="240" w:lineRule="auto"/>
        <w:jc w:val="both"/>
        <w:rPr>
          <w:rFonts w:ascii="Arial" w:hAnsi="Arial" w:cs="Arial"/>
        </w:rPr>
      </w:pPr>
      <w:r w:rsidRPr="00F57BA5">
        <w:rPr>
          <w:rFonts w:ascii="Arial" w:hAnsi="Arial" w:cs="Arial"/>
        </w:rPr>
        <w:t>Deróguese la autorización de referencia H00/0/1607 relacionada con la adecuación aprobada por Sugeval a Interclear Central de Valores, S.A. de fecha 23 de julio del 2018 en respuesta de la solicitud de referencia IC-038-2017.</w:t>
      </w:r>
    </w:p>
    <w:p w14:paraId="70B9E617" w14:textId="77777777" w:rsidR="009B5931" w:rsidRPr="00F57BA5" w:rsidRDefault="009B5931" w:rsidP="009B5931">
      <w:pPr>
        <w:pStyle w:val="Prrafodelista"/>
        <w:numPr>
          <w:ilvl w:val="0"/>
          <w:numId w:val="4"/>
        </w:numPr>
        <w:autoSpaceDE w:val="0"/>
        <w:autoSpaceDN w:val="0"/>
        <w:adjustRightInd w:val="0"/>
        <w:spacing w:after="0" w:line="240" w:lineRule="auto"/>
        <w:jc w:val="both"/>
        <w:rPr>
          <w:rFonts w:ascii="Arial" w:hAnsi="Arial" w:cs="Arial"/>
        </w:rPr>
      </w:pPr>
      <w:r w:rsidRPr="00F57BA5">
        <w:rPr>
          <w:rFonts w:ascii="Arial" w:hAnsi="Arial" w:cs="Arial"/>
        </w:rPr>
        <w:t>Deróguese la autorización de referencia H00/0/1608 relacionada con la adecuación aprobada por Sugeval a la Bolsa Nacional de Valores, S.A. de fecha 23 de julio del 2018 en respuesta de la solicitud de referencia G/176/2017.</w:t>
      </w:r>
    </w:p>
    <w:p w14:paraId="26BCE463" w14:textId="77777777" w:rsidR="009B5931" w:rsidRDefault="009B5931" w:rsidP="009B5931">
      <w:pPr>
        <w:autoSpaceDE w:val="0"/>
        <w:autoSpaceDN w:val="0"/>
        <w:adjustRightInd w:val="0"/>
        <w:spacing w:after="0" w:line="240" w:lineRule="auto"/>
        <w:jc w:val="both"/>
        <w:rPr>
          <w:rFonts w:ascii="Arial" w:hAnsi="Arial" w:cs="Arial"/>
        </w:rPr>
      </w:pPr>
    </w:p>
    <w:p w14:paraId="05769ADE" w14:textId="77777777" w:rsidR="00C3282C" w:rsidRDefault="00C3282C" w:rsidP="009B5931">
      <w:pPr>
        <w:autoSpaceDE w:val="0"/>
        <w:autoSpaceDN w:val="0"/>
        <w:adjustRightInd w:val="0"/>
        <w:spacing w:after="0" w:line="240" w:lineRule="auto"/>
        <w:jc w:val="both"/>
        <w:rPr>
          <w:rFonts w:ascii="Arial" w:hAnsi="Arial" w:cs="Arial"/>
          <w:b/>
          <w:bCs/>
        </w:rPr>
      </w:pPr>
    </w:p>
    <w:p w14:paraId="0AD35CEB" w14:textId="77777777" w:rsidR="00C3282C" w:rsidRDefault="00C3282C" w:rsidP="009B5931">
      <w:pPr>
        <w:autoSpaceDE w:val="0"/>
        <w:autoSpaceDN w:val="0"/>
        <w:adjustRightInd w:val="0"/>
        <w:spacing w:after="0" w:line="240" w:lineRule="auto"/>
        <w:jc w:val="both"/>
        <w:rPr>
          <w:rFonts w:ascii="Arial" w:hAnsi="Arial" w:cs="Arial"/>
          <w:b/>
          <w:bCs/>
        </w:rPr>
      </w:pPr>
    </w:p>
    <w:p w14:paraId="44D20FCB" w14:textId="77777777" w:rsidR="00C3282C" w:rsidRDefault="00C3282C" w:rsidP="009B5931">
      <w:pPr>
        <w:autoSpaceDE w:val="0"/>
        <w:autoSpaceDN w:val="0"/>
        <w:adjustRightInd w:val="0"/>
        <w:spacing w:after="0" w:line="240" w:lineRule="auto"/>
        <w:jc w:val="both"/>
        <w:rPr>
          <w:rFonts w:ascii="Arial" w:hAnsi="Arial" w:cs="Arial"/>
          <w:b/>
          <w:bCs/>
        </w:rPr>
      </w:pPr>
    </w:p>
    <w:p w14:paraId="331D5B0E" w14:textId="77777777" w:rsidR="00C3282C" w:rsidRDefault="00C3282C" w:rsidP="009B5931">
      <w:pPr>
        <w:autoSpaceDE w:val="0"/>
        <w:autoSpaceDN w:val="0"/>
        <w:adjustRightInd w:val="0"/>
        <w:spacing w:after="0" w:line="240" w:lineRule="auto"/>
        <w:jc w:val="both"/>
        <w:rPr>
          <w:rFonts w:ascii="Arial" w:hAnsi="Arial" w:cs="Arial"/>
          <w:b/>
          <w:bCs/>
        </w:rPr>
      </w:pPr>
    </w:p>
    <w:p w14:paraId="37927053" w14:textId="49B4AB53" w:rsidR="009B5931" w:rsidRDefault="009B5931" w:rsidP="009B5931">
      <w:pPr>
        <w:autoSpaceDE w:val="0"/>
        <w:autoSpaceDN w:val="0"/>
        <w:adjustRightInd w:val="0"/>
        <w:spacing w:after="0" w:line="240" w:lineRule="auto"/>
        <w:jc w:val="both"/>
        <w:rPr>
          <w:rFonts w:ascii="Arial" w:hAnsi="Arial" w:cs="Arial"/>
          <w:b/>
          <w:bCs/>
        </w:rPr>
      </w:pPr>
      <w:r w:rsidRPr="00F57BA5">
        <w:rPr>
          <w:rFonts w:ascii="Arial" w:hAnsi="Arial" w:cs="Arial"/>
          <w:b/>
          <w:bCs/>
        </w:rPr>
        <w:t xml:space="preserve">Artículo </w:t>
      </w:r>
      <w:r>
        <w:rPr>
          <w:rFonts w:ascii="Arial" w:hAnsi="Arial" w:cs="Arial"/>
          <w:b/>
          <w:bCs/>
        </w:rPr>
        <w:t>10</w:t>
      </w:r>
      <w:r w:rsidRPr="00F57BA5">
        <w:rPr>
          <w:rFonts w:ascii="Arial" w:hAnsi="Arial" w:cs="Arial"/>
          <w:b/>
          <w:bCs/>
        </w:rPr>
        <w:t xml:space="preserve">. </w:t>
      </w:r>
      <w:r>
        <w:rPr>
          <w:rFonts w:ascii="Arial" w:hAnsi="Arial" w:cs="Arial"/>
          <w:b/>
          <w:bCs/>
        </w:rPr>
        <w:t>Vigencia</w:t>
      </w:r>
    </w:p>
    <w:p w14:paraId="07EBE923" w14:textId="77777777" w:rsidR="009B5931" w:rsidRPr="00F57BA5" w:rsidRDefault="009B5931" w:rsidP="009B5931">
      <w:pPr>
        <w:autoSpaceDE w:val="0"/>
        <w:autoSpaceDN w:val="0"/>
        <w:adjustRightInd w:val="0"/>
        <w:spacing w:after="0" w:line="240" w:lineRule="auto"/>
        <w:jc w:val="both"/>
        <w:rPr>
          <w:rFonts w:ascii="Arial" w:hAnsi="Arial" w:cs="Arial"/>
          <w:b/>
          <w:bCs/>
        </w:rPr>
      </w:pPr>
    </w:p>
    <w:p w14:paraId="544B49E7" w14:textId="01F39D0F" w:rsidR="00B52C32" w:rsidRDefault="009B5931" w:rsidP="009B5931">
      <w:r w:rsidRPr="00B55344">
        <w:rPr>
          <w:rFonts w:ascii="Arial" w:hAnsi="Arial" w:cs="Arial"/>
        </w:rPr>
        <w:t xml:space="preserve">El presente </w:t>
      </w:r>
      <w:r>
        <w:rPr>
          <w:rFonts w:ascii="Arial" w:hAnsi="Arial" w:cs="Arial"/>
        </w:rPr>
        <w:t>acuerdo</w:t>
      </w:r>
      <w:r w:rsidRPr="00B55344">
        <w:rPr>
          <w:rFonts w:ascii="Arial" w:hAnsi="Arial" w:cs="Arial"/>
        </w:rPr>
        <w:t xml:space="preserve"> rige a partir del 1º de enero de 2022.</w:t>
      </w:r>
      <w:r w:rsidR="00B52C32" w:rsidRPr="00B97F72">
        <w:rPr>
          <w:rFonts w:eastAsia="Calibri" w:cs="Arial"/>
          <w:noProof/>
          <w:szCs w:val="24"/>
        </w:rPr>
        <w:drawing>
          <wp:inline distT="0" distB="0" distL="0" distR="0" wp14:anchorId="189DF8D4" wp14:editId="7F5F92F6">
            <wp:extent cx="2732405" cy="3295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sectPr w:rsidR="00B52C32" w:rsidSect="00C3282C">
      <w:headerReference w:type="even" r:id="rId9"/>
      <w:headerReference w:type="default" r:id="rId10"/>
      <w:footerReference w:type="even" r:id="rId11"/>
      <w:footerReference w:type="default" r:id="rId12"/>
      <w:headerReference w:type="first" r:id="rId13"/>
      <w:footerReference w:type="first" r:id="rId14"/>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30DC9" w14:textId="77777777" w:rsidR="0046328B" w:rsidRDefault="0046328B" w:rsidP="009B5931">
      <w:pPr>
        <w:spacing w:after="0" w:line="240" w:lineRule="auto"/>
      </w:pPr>
      <w:r>
        <w:separator/>
      </w:r>
    </w:p>
  </w:endnote>
  <w:endnote w:type="continuationSeparator" w:id="0">
    <w:p w14:paraId="6E6DE0BC" w14:textId="77777777" w:rsidR="0046328B" w:rsidRDefault="0046328B" w:rsidP="009B5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0E8C4" w14:textId="77777777" w:rsidR="00B7532F" w:rsidRDefault="00B7532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2F10E" w14:textId="77777777" w:rsidR="00C3282C" w:rsidRPr="009F5DD7" w:rsidRDefault="00C3282C" w:rsidP="00C3282C">
    <w:pPr>
      <w:pStyle w:val="Piedepgina"/>
      <w:pBdr>
        <w:top w:val="single" w:sz="4" w:space="1" w:color="D9D9D9"/>
      </w:pBdr>
      <w:rPr>
        <w:rFonts w:ascii="Arial" w:hAnsi="Arial" w:cs="Arial"/>
        <w:b/>
        <w:bCs/>
        <w:color w:val="1B75BB"/>
      </w:rPr>
    </w:pPr>
    <w:r w:rsidRPr="009F5DD7">
      <w:rPr>
        <w:rFonts w:ascii="Arial" w:hAnsi="Arial" w:cs="Arial"/>
        <w:color w:val="1B75BB"/>
      </w:rPr>
      <w:fldChar w:fldCharType="begin"/>
    </w:r>
    <w:r w:rsidRPr="009F5DD7">
      <w:rPr>
        <w:rFonts w:ascii="Arial" w:hAnsi="Arial" w:cs="Arial"/>
        <w:color w:val="1B75BB"/>
      </w:rPr>
      <w:instrText xml:space="preserve"> PAGE   \* MERGEFORMAT </w:instrText>
    </w:r>
    <w:r w:rsidRPr="009F5DD7">
      <w:rPr>
        <w:rFonts w:ascii="Arial" w:hAnsi="Arial" w:cs="Arial"/>
        <w:color w:val="1B75BB"/>
      </w:rPr>
      <w:fldChar w:fldCharType="separate"/>
    </w:r>
    <w:r>
      <w:rPr>
        <w:rFonts w:ascii="Arial" w:hAnsi="Arial" w:cs="Arial"/>
        <w:color w:val="1B75BB"/>
      </w:rPr>
      <w:t>2</w:t>
    </w:r>
    <w:r w:rsidRPr="009F5DD7">
      <w:rPr>
        <w:rFonts w:ascii="Arial" w:hAnsi="Arial" w:cs="Arial"/>
        <w:b/>
        <w:bCs/>
        <w:noProof/>
        <w:color w:val="1B75BB"/>
      </w:rPr>
      <w:fldChar w:fldCharType="end"/>
    </w:r>
    <w:r w:rsidRPr="009F5DD7">
      <w:rPr>
        <w:rFonts w:ascii="Arial" w:hAnsi="Arial" w:cs="Arial"/>
        <w:b/>
        <w:bCs/>
        <w:color w:val="1B75BB"/>
      </w:rPr>
      <w:t xml:space="preserve"> | </w:t>
    </w:r>
  </w:p>
  <w:p w14:paraId="6A2588F9" w14:textId="77777777" w:rsidR="00C3282C" w:rsidRDefault="00C3282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A06E9" w14:textId="77777777" w:rsidR="00B7532F" w:rsidRDefault="00B753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DD459" w14:textId="77777777" w:rsidR="0046328B" w:rsidRDefault="0046328B" w:rsidP="009B5931">
      <w:pPr>
        <w:spacing w:after="0" w:line="240" w:lineRule="auto"/>
      </w:pPr>
      <w:r>
        <w:separator/>
      </w:r>
    </w:p>
  </w:footnote>
  <w:footnote w:type="continuationSeparator" w:id="0">
    <w:p w14:paraId="2C6AC3C6" w14:textId="77777777" w:rsidR="0046328B" w:rsidRDefault="0046328B" w:rsidP="009B5931">
      <w:pPr>
        <w:spacing w:after="0" w:line="240" w:lineRule="auto"/>
      </w:pPr>
      <w:r>
        <w:continuationSeparator/>
      </w:r>
    </w:p>
  </w:footnote>
  <w:footnote w:id="1">
    <w:p w14:paraId="1B54D080" w14:textId="77777777" w:rsidR="00C3282C" w:rsidRPr="00F57BA5" w:rsidRDefault="00C3282C" w:rsidP="00C3282C">
      <w:pPr>
        <w:autoSpaceDE w:val="0"/>
        <w:autoSpaceDN w:val="0"/>
        <w:adjustRightInd w:val="0"/>
        <w:spacing w:after="0" w:line="240" w:lineRule="auto"/>
        <w:jc w:val="both"/>
        <w:rPr>
          <w:rFonts w:ascii="Arial" w:hAnsi="Arial" w:cs="Arial"/>
        </w:rPr>
      </w:pPr>
      <w:r>
        <w:rPr>
          <w:rStyle w:val="Refdenotaalpie"/>
        </w:rPr>
        <w:footnoteRef/>
      </w:r>
      <w:r>
        <w:t xml:space="preserve"> </w:t>
      </w:r>
      <w:r w:rsidRPr="00F57BA5">
        <w:rPr>
          <w:rFonts w:ascii="Arial" w:hAnsi="Arial" w:cs="Arial"/>
        </w:rPr>
        <w:t xml:space="preserve">Superintendencia General de Valores, Despacho de la Superintendente General de Valores, a las </w:t>
      </w:r>
      <w:r>
        <w:rPr>
          <w:rFonts w:ascii="Arial" w:hAnsi="Arial" w:cs="Arial"/>
        </w:rPr>
        <w:t>diez</w:t>
      </w:r>
      <w:r w:rsidRPr="00F57BA5">
        <w:rPr>
          <w:rFonts w:ascii="Arial" w:hAnsi="Arial" w:cs="Arial"/>
        </w:rPr>
        <w:t xml:space="preserve"> horas del</w:t>
      </w:r>
      <w:r>
        <w:rPr>
          <w:rFonts w:ascii="Arial" w:hAnsi="Arial" w:cs="Arial"/>
        </w:rPr>
        <w:t xml:space="preserve"> 23</w:t>
      </w:r>
      <w:r w:rsidRPr="00F57BA5">
        <w:rPr>
          <w:rFonts w:ascii="Arial" w:hAnsi="Arial" w:cs="Arial"/>
        </w:rPr>
        <w:t xml:space="preserve"> de </w:t>
      </w:r>
      <w:r>
        <w:rPr>
          <w:rFonts w:ascii="Arial" w:hAnsi="Arial" w:cs="Arial"/>
        </w:rPr>
        <w:t>marzo</w:t>
      </w:r>
      <w:r w:rsidRPr="00F57BA5">
        <w:rPr>
          <w:rFonts w:ascii="Arial" w:hAnsi="Arial" w:cs="Arial"/>
        </w:rPr>
        <w:t xml:space="preserve"> del 2021.</w:t>
      </w:r>
    </w:p>
    <w:p w14:paraId="6E5C4984" w14:textId="1FCF80F7" w:rsidR="00C3282C" w:rsidRDefault="00C3282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88E7C" w14:textId="77777777" w:rsidR="00B7532F" w:rsidRDefault="00B7532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A43C1" w14:textId="340AEEF5" w:rsidR="00C3282C" w:rsidRDefault="00C3282C" w:rsidP="00C3282C">
    <w:pPr>
      <w:pStyle w:val="Encabezado"/>
      <w:jc w:val="right"/>
    </w:pPr>
    <w:r>
      <w:rPr>
        <w:rFonts w:ascii="Calibri" w:hAnsi="Calibri" w:cs="Arial"/>
        <w:i/>
        <w:noProof/>
        <w:sz w:val="20"/>
        <w:szCs w:val="20"/>
        <w:lang w:eastAsia="es-CR"/>
      </w:rPr>
      <w:drawing>
        <wp:inline distT="0" distB="0" distL="0" distR="0" wp14:anchorId="6CC83F1E" wp14:editId="10AA3481">
          <wp:extent cx="1555750" cy="368300"/>
          <wp:effectExtent l="0" t="0" r="6350" b="0"/>
          <wp:docPr id="3" name="Imagen 3"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457625A5" w14:textId="62D6685D" w:rsidR="00C3282C" w:rsidRDefault="00C3282C" w:rsidP="00C3282C">
    <w:pPr>
      <w:pStyle w:val="Encabezado"/>
    </w:pPr>
    <w:r>
      <w:rPr>
        <w:noProof/>
      </w:rPr>
      <mc:AlternateContent>
        <mc:Choice Requires="wps">
          <w:drawing>
            <wp:anchor distT="4294967292" distB="4294967292" distL="114300" distR="114300" simplePos="0" relativeHeight="251658240" behindDoc="0" locked="0" layoutInCell="1" allowOverlap="1" wp14:anchorId="32908197" wp14:editId="41FFA537">
              <wp:simplePos x="0" y="0"/>
              <wp:positionH relativeFrom="margin">
                <wp:posOffset>50800</wp:posOffset>
              </wp:positionH>
              <wp:positionV relativeFrom="paragraph">
                <wp:posOffset>29845</wp:posOffset>
              </wp:positionV>
              <wp:extent cx="5459730" cy="0"/>
              <wp:effectExtent l="0" t="0" r="0" b="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59730" cy="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CF1E3" id="Conector recto 4" o:spid="_x0000_s1026" style="position:absolute;flip:y;z-index:251658240;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4pt,2.35pt" to="433.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B806C" w14:textId="77777777" w:rsidR="00B7532F" w:rsidRDefault="00B7532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357A8"/>
    <w:multiLevelType w:val="hybridMultilevel"/>
    <w:tmpl w:val="AC20E08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46B14218"/>
    <w:multiLevelType w:val="hybridMultilevel"/>
    <w:tmpl w:val="E4E4946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FF81460"/>
    <w:multiLevelType w:val="hybridMultilevel"/>
    <w:tmpl w:val="A4E4540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6C473CA2"/>
    <w:multiLevelType w:val="hybridMultilevel"/>
    <w:tmpl w:val="4F62B3D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931"/>
    <w:rsid w:val="00101F51"/>
    <w:rsid w:val="001810C3"/>
    <w:rsid w:val="00214DDA"/>
    <w:rsid w:val="00240CEF"/>
    <w:rsid w:val="003E42A0"/>
    <w:rsid w:val="0046328B"/>
    <w:rsid w:val="005373FF"/>
    <w:rsid w:val="009B5931"/>
    <w:rsid w:val="00A43853"/>
    <w:rsid w:val="00AF134F"/>
    <w:rsid w:val="00B42112"/>
    <w:rsid w:val="00B52C32"/>
    <w:rsid w:val="00B7532F"/>
    <w:rsid w:val="00C3282C"/>
    <w:rsid w:val="00C63AE5"/>
    <w:rsid w:val="00DF54C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7268F467"/>
  <w15:chartTrackingRefBased/>
  <w15:docId w15:val="{26419328-F142-4944-A5EA-753B162E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93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B5931"/>
    <w:pPr>
      <w:ind w:left="720"/>
      <w:contextualSpacing/>
    </w:pPr>
  </w:style>
  <w:style w:type="paragraph" w:styleId="Encabezado">
    <w:name w:val="header"/>
    <w:basedOn w:val="Normal"/>
    <w:link w:val="EncabezadoCar"/>
    <w:uiPriority w:val="99"/>
    <w:unhideWhenUsed/>
    <w:rsid w:val="00B52C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2C32"/>
  </w:style>
  <w:style w:type="paragraph" w:styleId="Piedepgina">
    <w:name w:val="footer"/>
    <w:basedOn w:val="Normal"/>
    <w:link w:val="PiedepginaCar"/>
    <w:uiPriority w:val="99"/>
    <w:unhideWhenUsed/>
    <w:rsid w:val="00B52C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2C32"/>
  </w:style>
  <w:style w:type="paragraph" w:styleId="Textonotapie">
    <w:name w:val="footnote text"/>
    <w:basedOn w:val="Normal"/>
    <w:link w:val="TextonotapieCar"/>
    <w:uiPriority w:val="99"/>
    <w:semiHidden/>
    <w:unhideWhenUsed/>
    <w:rsid w:val="00C3282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3282C"/>
    <w:rPr>
      <w:sz w:val="20"/>
      <w:szCs w:val="20"/>
    </w:rPr>
  </w:style>
  <w:style w:type="character" w:styleId="Refdenotaalpie">
    <w:name w:val="footnote reference"/>
    <w:basedOn w:val="Fuentedeprrafopredeter"/>
    <w:uiPriority w:val="99"/>
    <w:semiHidden/>
    <w:unhideWhenUsed/>
    <w:rsid w:val="00C32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DCC3B3-3EA1-4DCE-9E57-B0D5F99CB1DE}"/>
</file>

<file path=customXml/itemProps2.xml><?xml version="1.0" encoding="utf-8"?>
<ds:datastoreItem xmlns:ds="http://schemas.openxmlformats.org/officeDocument/2006/customXml" ds:itemID="{E6B84A69-181A-420E-B059-207134E25DEB}"/>
</file>

<file path=customXml/itemProps3.xml><?xml version="1.0" encoding="utf-8"?>
<ds:datastoreItem xmlns:ds="http://schemas.openxmlformats.org/officeDocument/2006/customXml" ds:itemID="{D51299AE-B547-4899-9391-90692BF31C89}"/>
</file>

<file path=customXml/itemProps4.xml><?xml version="1.0" encoding="utf-8"?>
<ds:datastoreItem xmlns:ds="http://schemas.openxmlformats.org/officeDocument/2006/customXml" ds:itemID="{1C40AB9A-D0A2-459C-88ED-1A4A6590552F}"/>
</file>

<file path=docProps/app.xml><?xml version="1.0" encoding="utf-8"?>
<Properties xmlns="http://schemas.openxmlformats.org/officeDocument/2006/extended-properties" xmlns:vt="http://schemas.openxmlformats.org/officeDocument/2006/docPropsVTypes">
  <Template>Normal</Template>
  <TotalTime>2</TotalTime>
  <Pages>7</Pages>
  <Words>3015</Words>
  <Characters>16586</Characters>
  <Application>Microsoft Office Word</Application>
  <DocSecurity>4</DocSecurity>
  <Lines>138</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Banco Central de Costa Rica</Company>
  <LinksUpToDate>false</LinksUpToDate>
  <CharactersWithSpaces>19562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SEGURA CANO RODRIGO ANIBAL</dc:creator>
  <cp:keywords/>
  <dc:description/>
  <cp:lastModifiedBy>FERNANDEZ PORRAS PATRICIA</cp:lastModifiedBy>
  <cp:revision>2</cp:revision>
  <dcterms:created xsi:type="dcterms:W3CDTF">2021-03-23T18:39:00Z</dcterms:created>
  <dcterms:modified xsi:type="dcterms:W3CDTF">2021-03-23T18:39:00Z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1130300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