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390210" w14:textId="77777777" w:rsidR="00A57C7B" w:rsidRPr="00644A72" w:rsidRDefault="00A57C7B" w:rsidP="00A57C7B">
      <w:pPr>
        <w:widowControl w:val="0"/>
        <w:tabs>
          <w:tab w:val="left" w:pos="2835"/>
        </w:tabs>
        <w:jc w:val="both"/>
        <w:outlineLvl w:val="0"/>
        <w:rPr>
          <w:rFonts w:ascii="Arial" w:hAnsi="Arial" w:cs="Arial"/>
          <w:b/>
          <w:bCs/>
          <w:iCs/>
          <w:noProof/>
          <w:sz w:val="24"/>
          <w:lang w:val="es-ES_tradnl"/>
        </w:rPr>
      </w:pPr>
      <w:r w:rsidRPr="00644A72">
        <w:rPr>
          <w:rFonts w:ascii="Arial" w:hAnsi="Arial" w:cs="Arial"/>
          <w:b/>
          <w:bCs/>
          <w:iCs/>
          <w:noProof/>
          <w:sz w:val="24"/>
          <w:lang w:val="es-ES_tradnl"/>
        </w:rPr>
        <w:t>SGV-</w:t>
      </w:r>
      <w:r w:rsidRPr="00832CA7">
        <w:rPr>
          <w:rFonts w:ascii="Arial" w:hAnsi="Arial" w:cs="Arial"/>
          <w:b/>
          <w:bCs/>
          <w:iCs/>
          <w:noProof/>
          <w:sz w:val="24"/>
          <w:lang w:val="es-ES_tradnl"/>
        </w:rPr>
        <w:t>A-</w:t>
      </w:r>
      <w:r w:rsidR="003449FD" w:rsidRPr="00832CA7">
        <w:rPr>
          <w:rFonts w:ascii="Arial" w:hAnsi="Arial" w:cs="Arial"/>
          <w:b/>
          <w:bCs/>
          <w:iCs/>
          <w:noProof/>
          <w:sz w:val="24"/>
          <w:lang w:val="es-ES_tradnl"/>
        </w:rPr>
        <w:t>254</w:t>
      </w:r>
      <w:r w:rsidRPr="00832CA7">
        <w:rPr>
          <w:rFonts w:ascii="Arial" w:hAnsi="Arial" w:cs="Arial"/>
          <w:b/>
          <w:bCs/>
          <w:iCs/>
          <w:noProof/>
          <w:sz w:val="24"/>
          <w:lang w:val="es-ES_tradnl"/>
        </w:rPr>
        <w:t>. MODIFICACIÓN</w:t>
      </w:r>
      <w:r w:rsidRPr="00644A72">
        <w:rPr>
          <w:rFonts w:ascii="Arial" w:hAnsi="Arial" w:cs="Arial"/>
          <w:b/>
          <w:bCs/>
          <w:iCs/>
          <w:noProof/>
          <w:sz w:val="24"/>
          <w:lang w:val="es-ES_tradnl"/>
        </w:rPr>
        <w:t xml:space="preserve"> AL ACUERDO SGV-A-182 “INSTRUCCIONES PARA LA REMISIÓN DE PROSPECTOS DE ENTIDADES EMISORAS Y DOCUMENTOS </w:t>
      </w:r>
      <w:r w:rsidRPr="008A5BF1">
        <w:rPr>
          <w:rFonts w:ascii="Arial" w:hAnsi="Arial" w:cs="Arial"/>
          <w:b/>
          <w:bCs/>
          <w:iCs/>
          <w:noProof/>
          <w:sz w:val="24"/>
          <w:lang w:val="es-ES_tradnl"/>
        </w:rPr>
        <w:t>RELACIONADOS”</w:t>
      </w:r>
      <w:r w:rsidR="00C2662A" w:rsidRPr="008A5BF1">
        <w:rPr>
          <w:rFonts w:ascii="Arial" w:hAnsi="Arial" w:cs="Arial"/>
          <w:b/>
          <w:lang w:val="es-ES"/>
        </w:rPr>
        <w:t xml:space="preserve"> </w:t>
      </w:r>
      <w:r w:rsidR="00C2662A" w:rsidRPr="008A5BF1">
        <w:rPr>
          <w:rStyle w:val="Refdenotaalpie"/>
          <w:rFonts w:ascii="Arial" w:hAnsi="Arial" w:cs="Arial"/>
          <w:b/>
          <w:lang w:val="es-ES"/>
        </w:rPr>
        <w:footnoteReference w:id="1"/>
      </w:r>
    </w:p>
    <w:p w14:paraId="1F10FD53" w14:textId="77777777" w:rsidR="00A57C7B" w:rsidRPr="008D57BF" w:rsidRDefault="00A57C7B" w:rsidP="00A57C7B">
      <w:pPr>
        <w:pStyle w:val="Ttulo"/>
        <w:tabs>
          <w:tab w:val="left" w:pos="2835"/>
        </w:tabs>
        <w:spacing w:before="240" w:after="240"/>
        <w:jc w:val="both"/>
        <w:rPr>
          <w:rFonts w:cs="Arial"/>
          <w:bCs/>
          <w:i w:val="0"/>
          <w:iCs/>
          <w:noProof/>
          <w:sz w:val="22"/>
          <w:szCs w:val="22"/>
          <w:lang w:val="es-ES_tradnl"/>
        </w:rPr>
      </w:pPr>
      <w:r w:rsidRPr="008D57BF">
        <w:rPr>
          <w:rFonts w:cs="Arial"/>
          <w:bCs/>
          <w:i w:val="0"/>
          <w:iCs/>
          <w:noProof/>
          <w:sz w:val="22"/>
          <w:szCs w:val="22"/>
          <w:lang w:val="es-ES_tradnl"/>
        </w:rPr>
        <w:t>Considerando que:</w:t>
      </w:r>
    </w:p>
    <w:p w14:paraId="69D32700" w14:textId="77777777" w:rsidR="00A57C7B" w:rsidRDefault="00A57C7B" w:rsidP="00A57C7B">
      <w:pPr>
        <w:widowControl w:val="0"/>
        <w:numPr>
          <w:ilvl w:val="0"/>
          <w:numId w:val="1"/>
        </w:numPr>
        <w:tabs>
          <w:tab w:val="clear" w:pos="1080"/>
        </w:tabs>
        <w:spacing w:before="240" w:after="240"/>
        <w:ind w:left="567" w:hanging="567"/>
        <w:jc w:val="both"/>
        <w:rPr>
          <w:rFonts w:ascii="Arial" w:hAnsi="Arial" w:cs="Arial"/>
          <w:szCs w:val="22"/>
        </w:rPr>
      </w:pPr>
      <w:r w:rsidRPr="008D57BF">
        <w:rPr>
          <w:rFonts w:ascii="Arial" w:hAnsi="Arial" w:cs="Arial"/>
          <w:szCs w:val="22"/>
        </w:rPr>
        <w:t>Mediante el Artículo 7 de la Sesión 986-2012 del 31 de julio del 2012, el Consejo Nacional de Supervisión del Sistema Financiero aprobó la modificación al Reglamento sobre oferta pública de valores. El Reglamento sobre oferta pública de valores define los requisitos y trámites para la inscripción de emisiones en el Registro Nacional de Valores e Intermediarios (RNVI) de autorización sobre la oferta pública de valores y señala que le corresponde al Superintendente establecer los medios y el procedimiento a realizar para presentar la documentación requerida</w:t>
      </w:r>
      <w:r>
        <w:rPr>
          <w:rFonts w:ascii="Arial" w:hAnsi="Arial" w:cs="Arial"/>
          <w:szCs w:val="22"/>
        </w:rPr>
        <w:t>.</w:t>
      </w:r>
    </w:p>
    <w:p w14:paraId="648C20A3" w14:textId="77777777" w:rsidR="00A57C7B" w:rsidRPr="00417908" w:rsidRDefault="00A57C7B" w:rsidP="00A57C7B">
      <w:pPr>
        <w:widowControl w:val="0"/>
        <w:numPr>
          <w:ilvl w:val="0"/>
          <w:numId w:val="1"/>
        </w:numPr>
        <w:tabs>
          <w:tab w:val="clear" w:pos="1080"/>
        </w:tabs>
        <w:spacing w:before="240" w:after="240"/>
        <w:ind w:left="567" w:hanging="567"/>
        <w:jc w:val="both"/>
        <w:rPr>
          <w:rFonts w:ascii="Arial" w:hAnsi="Arial" w:cs="Arial"/>
          <w:szCs w:val="22"/>
        </w:rPr>
      </w:pPr>
      <w:r w:rsidRPr="00417908">
        <w:rPr>
          <w:rFonts w:ascii="Arial" w:hAnsi="Arial" w:cs="Arial"/>
          <w:szCs w:val="22"/>
        </w:rPr>
        <w:t xml:space="preserve">Mediante el Artículo 13 de la Sesión 1124-2014 del 8 de setiembre del 2014, el Consejo Nacional de Supervisión del Sistema Financiero aprobó el Reglamento sobre financiamiento de proyectos de infraestructura, así como el Reglamento sobre procesos de titularización, en los que se definen los requisitos y trámites de autorización sobre la oferta pública de valores derivados de dichos procesos. Ambos Reglamentos señalan que la Superintendencia establecerá mediante </w:t>
      </w:r>
      <w:r>
        <w:rPr>
          <w:rFonts w:ascii="Arial" w:hAnsi="Arial" w:cs="Arial"/>
          <w:szCs w:val="22"/>
        </w:rPr>
        <w:t>a</w:t>
      </w:r>
      <w:r w:rsidRPr="00417908">
        <w:rPr>
          <w:rFonts w:ascii="Arial" w:hAnsi="Arial" w:cs="Arial"/>
          <w:szCs w:val="22"/>
        </w:rPr>
        <w:t xml:space="preserve">cuerdo de alcance general los trámites que se deberán presentar por medios electrónicos, así como los lineamientos para la presentación de requisitos aplicables en cada trámite. </w:t>
      </w:r>
    </w:p>
    <w:p w14:paraId="6ECCEDCB" w14:textId="77777777" w:rsidR="00A57C7B" w:rsidRDefault="00A57C7B" w:rsidP="00A57C7B">
      <w:pPr>
        <w:widowControl w:val="0"/>
        <w:numPr>
          <w:ilvl w:val="0"/>
          <w:numId w:val="1"/>
        </w:numPr>
        <w:spacing w:before="240" w:after="240"/>
        <w:ind w:left="567" w:hanging="567"/>
        <w:jc w:val="both"/>
        <w:rPr>
          <w:rFonts w:ascii="Arial" w:hAnsi="Arial" w:cs="Arial"/>
          <w:szCs w:val="22"/>
        </w:rPr>
      </w:pPr>
      <w:r w:rsidRPr="008D57BF">
        <w:rPr>
          <w:rFonts w:ascii="Arial" w:hAnsi="Arial" w:cs="Arial"/>
          <w:szCs w:val="22"/>
        </w:rPr>
        <w:t>El artículo 21 Reglamento sobre oferta pública de valores, el artículo 23 del Reglamento sobre financiamiento de proyectos de infraestructura y el artículo 36 del Reglamento sobre procesos de titularización señalan que el emisor es responsable de mantener la información suministrada en el prospecto debidamente actualizada, según lo establecido en el Reglamento sobre oferta pública de valores y según los procedimientos dispuestos por el Superintendente mediante acuerdo de alcance general.</w:t>
      </w:r>
    </w:p>
    <w:p w14:paraId="46CB8A1E" w14:textId="77777777" w:rsidR="00A57C7B" w:rsidRDefault="00A57C7B" w:rsidP="00A57C7B">
      <w:pPr>
        <w:widowControl w:val="0"/>
        <w:numPr>
          <w:ilvl w:val="0"/>
          <w:numId w:val="1"/>
        </w:numPr>
        <w:tabs>
          <w:tab w:val="clear" w:pos="1080"/>
        </w:tabs>
        <w:spacing w:before="240" w:after="240"/>
        <w:ind w:left="567" w:hanging="567"/>
        <w:jc w:val="both"/>
        <w:rPr>
          <w:rFonts w:ascii="Arial" w:hAnsi="Arial" w:cs="Arial"/>
          <w:szCs w:val="22"/>
        </w:rPr>
      </w:pPr>
      <w:r w:rsidRPr="008D57BF">
        <w:rPr>
          <w:rFonts w:ascii="Arial" w:hAnsi="Arial" w:cs="Arial"/>
          <w:szCs w:val="22"/>
        </w:rPr>
        <w:t>Mediante el artículo 11 del acta de sesión 1620-2020 celebrada el 16 de noviembre del 2020, el Consejo Nacional de Supervisión del Sistema Financiero aprobó la modificación a los reglamentos Reglamento sobre oferta pública de valores para la adición del literal d) al artículo 17, literal g) al artículo 18, literal g) a la referencia que incluye el literal a) del artículo 29, literal e) al artículo 31</w:t>
      </w:r>
      <w:r>
        <w:rPr>
          <w:rFonts w:ascii="Arial" w:hAnsi="Arial" w:cs="Arial"/>
          <w:szCs w:val="22"/>
        </w:rPr>
        <w:t>;</w:t>
      </w:r>
      <w:r w:rsidRPr="008D57BF">
        <w:rPr>
          <w:rFonts w:ascii="Arial" w:hAnsi="Arial" w:cs="Arial"/>
          <w:szCs w:val="22"/>
        </w:rPr>
        <w:t xml:space="preserve"> </w:t>
      </w:r>
      <w:r>
        <w:rPr>
          <w:rFonts w:ascii="Arial" w:hAnsi="Arial" w:cs="Arial"/>
          <w:szCs w:val="22"/>
        </w:rPr>
        <w:t xml:space="preserve">al </w:t>
      </w:r>
      <w:r w:rsidRPr="008D57BF">
        <w:rPr>
          <w:rFonts w:ascii="Arial" w:hAnsi="Arial" w:cs="Arial"/>
          <w:szCs w:val="22"/>
        </w:rPr>
        <w:t>Reglamento sobre financiamiento de proyectos de infraestructura para la adición del artículo 27 Bis, párrafo segundo al artículo 28</w:t>
      </w:r>
      <w:r>
        <w:rPr>
          <w:rFonts w:ascii="Arial" w:hAnsi="Arial" w:cs="Arial"/>
          <w:szCs w:val="22"/>
        </w:rPr>
        <w:t>;</w:t>
      </w:r>
      <w:r w:rsidRPr="008D57BF">
        <w:rPr>
          <w:rFonts w:ascii="Arial" w:hAnsi="Arial" w:cs="Arial"/>
          <w:szCs w:val="22"/>
        </w:rPr>
        <w:t xml:space="preserve"> </w:t>
      </w:r>
      <w:r>
        <w:rPr>
          <w:rFonts w:ascii="Arial" w:hAnsi="Arial" w:cs="Arial"/>
          <w:szCs w:val="22"/>
        </w:rPr>
        <w:t xml:space="preserve">al </w:t>
      </w:r>
      <w:r w:rsidRPr="008D57BF">
        <w:rPr>
          <w:rFonts w:ascii="Arial" w:hAnsi="Arial" w:cs="Arial"/>
          <w:szCs w:val="22"/>
        </w:rPr>
        <w:t xml:space="preserve">Reglamento sobre procesos de titularización para la adición del artículo 40 Bis, literal f) al artículo 42, literal m) al artículo 43 y al Reglamento sobre sociedades administradoras y fondos de inversión para la adición del literal g) al artículo 15. La modificación planteada a estos cuatro reglamentos incorpora como parte de los requerimientos para la inscripción de las emisiones o fondos de inversión que califiquen como verdes, sociales o sostenibles deban presentar una revisión externa, que contenga la opinión de un tercero experto e independiente del emisor, que acredite al menos el cumplimiento de estándares </w:t>
      </w:r>
      <w:r w:rsidRPr="008D57BF">
        <w:rPr>
          <w:rFonts w:ascii="Arial" w:hAnsi="Arial" w:cs="Arial"/>
          <w:szCs w:val="22"/>
        </w:rPr>
        <w:lastRenderedPageBreak/>
        <w:t xml:space="preserve">nacionales o internacionales para las emisiones de contenido crediticio que califiquen como verdes, sociales o sostenibles. La revisión externa </w:t>
      </w:r>
      <w:r>
        <w:rPr>
          <w:rFonts w:ascii="Arial" w:hAnsi="Arial" w:cs="Arial"/>
          <w:szCs w:val="22"/>
        </w:rPr>
        <w:t xml:space="preserve">se </w:t>
      </w:r>
      <w:r w:rsidRPr="008D57BF">
        <w:rPr>
          <w:rFonts w:ascii="Arial" w:hAnsi="Arial" w:cs="Arial"/>
          <w:szCs w:val="22"/>
        </w:rPr>
        <w:t>deberá</w:t>
      </w:r>
      <w:r>
        <w:rPr>
          <w:rFonts w:ascii="Arial" w:hAnsi="Arial" w:cs="Arial"/>
          <w:szCs w:val="22"/>
        </w:rPr>
        <w:t xml:space="preserve"> incluir como anexo al prospecto y</w:t>
      </w:r>
      <w:r w:rsidRPr="008D57BF">
        <w:rPr>
          <w:rFonts w:ascii="Arial" w:hAnsi="Arial" w:cs="Arial"/>
          <w:szCs w:val="22"/>
        </w:rPr>
        <w:t xml:space="preserve"> </w:t>
      </w:r>
      <w:r>
        <w:rPr>
          <w:rFonts w:ascii="Arial" w:hAnsi="Arial" w:cs="Arial"/>
          <w:szCs w:val="22"/>
        </w:rPr>
        <w:t xml:space="preserve">deberá </w:t>
      </w:r>
      <w:r w:rsidRPr="008D57BF">
        <w:rPr>
          <w:rFonts w:ascii="Arial" w:hAnsi="Arial" w:cs="Arial"/>
          <w:szCs w:val="22"/>
        </w:rPr>
        <w:t>actualizarse como mínimo anualmente, durante el plazo de la emisión.</w:t>
      </w:r>
    </w:p>
    <w:p w14:paraId="097E8708" w14:textId="77777777" w:rsidR="00A57C7B" w:rsidRPr="00727749" w:rsidRDefault="00A57C7B" w:rsidP="00A57C7B">
      <w:pPr>
        <w:widowControl w:val="0"/>
        <w:numPr>
          <w:ilvl w:val="0"/>
          <w:numId w:val="1"/>
        </w:numPr>
        <w:tabs>
          <w:tab w:val="clear" w:pos="1080"/>
        </w:tabs>
        <w:spacing w:before="240" w:after="240"/>
        <w:ind w:left="567" w:hanging="567"/>
        <w:jc w:val="both"/>
        <w:rPr>
          <w:rFonts w:ascii="Arial" w:hAnsi="Arial" w:cs="Arial"/>
          <w:szCs w:val="22"/>
        </w:rPr>
      </w:pPr>
      <w:r>
        <w:rPr>
          <w:rFonts w:ascii="Arial" w:hAnsi="Arial" w:cs="Arial"/>
          <w:szCs w:val="22"/>
        </w:rPr>
        <w:t>El Acuerdo SGV</w:t>
      </w:r>
      <w:r w:rsidRPr="00832CA7">
        <w:rPr>
          <w:rFonts w:ascii="Arial" w:hAnsi="Arial" w:cs="Arial"/>
          <w:szCs w:val="22"/>
        </w:rPr>
        <w:t>-A-</w:t>
      </w:r>
      <w:r w:rsidR="003449FD" w:rsidRPr="00832CA7">
        <w:rPr>
          <w:rFonts w:ascii="Arial" w:hAnsi="Arial" w:cs="Arial"/>
          <w:szCs w:val="22"/>
        </w:rPr>
        <w:t>252</w:t>
      </w:r>
      <w:r w:rsidRPr="00832CA7">
        <w:rPr>
          <w:rFonts w:ascii="Arial" w:hAnsi="Arial" w:cs="Arial"/>
          <w:szCs w:val="22"/>
        </w:rPr>
        <w:t xml:space="preserve"> Lineamientos</w:t>
      </w:r>
      <w:r w:rsidRPr="00727749">
        <w:rPr>
          <w:rFonts w:ascii="Arial" w:hAnsi="Arial" w:cs="Arial"/>
          <w:szCs w:val="22"/>
        </w:rPr>
        <w:t xml:space="preserve"> para emisiones verdes, sociales y sostenibles de oferta </w:t>
      </w:r>
      <w:proofErr w:type="gramStart"/>
      <w:r w:rsidRPr="00727749">
        <w:rPr>
          <w:rFonts w:ascii="Arial" w:hAnsi="Arial" w:cs="Arial"/>
          <w:szCs w:val="22"/>
        </w:rPr>
        <w:t xml:space="preserve">pública  </w:t>
      </w:r>
      <w:r>
        <w:rPr>
          <w:rFonts w:ascii="Arial" w:hAnsi="Arial" w:cs="Arial"/>
          <w:szCs w:val="22"/>
        </w:rPr>
        <w:t>pretende</w:t>
      </w:r>
      <w:proofErr w:type="gramEnd"/>
      <w:r>
        <w:rPr>
          <w:rFonts w:ascii="Arial" w:hAnsi="Arial" w:cs="Arial"/>
          <w:szCs w:val="22"/>
        </w:rPr>
        <w:t xml:space="preserve"> </w:t>
      </w:r>
      <w:r w:rsidRPr="00727749">
        <w:rPr>
          <w:rFonts w:ascii="Arial" w:hAnsi="Arial" w:cs="Arial"/>
          <w:szCs w:val="22"/>
        </w:rPr>
        <w:t xml:space="preserve">orientar a los emisores y a las sociedades administradoras de fondos de inversión sobre el contenido mínimo de información relacionado exclusivamente con emisiones verdes, sociales y sostenibles, el cual se deberá incluir dentro del prospecto del emisor cuando emitan este tipo de productos. </w:t>
      </w:r>
    </w:p>
    <w:p w14:paraId="560EE11F" w14:textId="77777777" w:rsidR="00A57C7B" w:rsidRPr="008D57BF" w:rsidRDefault="00A57C7B" w:rsidP="00A57C7B">
      <w:pPr>
        <w:widowControl w:val="0"/>
        <w:numPr>
          <w:ilvl w:val="0"/>
          <w:numId w:val="1"/>
        </w:numPr>
        <w:tabs>
          <w:tab w:val="clear" w:pos="1080"/>
        </w:tabs>
        <w:spacing w:before="240" w:after="240"/>
        <w:ind w:left="567" w:hanging="567"/>
        <w:jc w:val="both"/>
        <w:rPr>
          <w:rFonts w:ascii="Arial" w:hAnsi="Arial" w:cs="Arial"/>
          <w:szCs w:val="22"/>
        </w:rPr>
      </w:pPr>
      <w:r w:rsidRPr="008D57BF">
        <w:rPr>
          <w:rFonts w:ascii="Arial" w:hAnsi="Arial" w:cs="Arial"/>
          <w:szCs w:val="22"/>
        </w:rPr>
        <w:t xml:space="preserve">El Acuerdo SGV-A-182 “Instrucciones para la remisión de prospectos de entidades emisoras y documentos relacionados” regula los procedimientos que el emisor debe realizar a través de medios electrónicos para mantener la información del prospecto debidamente actualizada, de conformidad con lo dispuesto en el artículo 21 del Reglamento sobre oferta pública de valores. Es necesario ajustar dicho acuerdo con el fin de incorporar </w:t>
      </w:r>
      <w:r>
        <w:rPr>
          <w:rFonts w:ascii="Arial" w:hAnsi="Arial" w:cs="Arial"/>
          <w:szCs w:val="22"/>
        </w:rPr>
        <w:t>el requisito de la revisión externa en el caso de los trámites relacionados con emisiones verdes, sociales y sostenibles. Adicionalmente, se requiere incluir en dicho Acuerdo un nuevo tipo de trámite para aquellas series que forman parte de programas de emisiones genéricos y que se deseen destinar a actividades o proyectos verdes, sociales y sostenibles, con el fin de incorporar en los prospectos, de previo a su emisión, todas las revelaciones relacionadas con este tipo de productos.</w:t>
      </w:r>
      <w:r w:rsidRPr="008D57BF">
        <w:rPr>
          <w:rFonts w:ascii="Arial" w:hAnsi="Arial" w:cs="Arial"/>
          <w:szCs w:val="22"/>
        </w:rPr>
        <w:t xml:space="preserve"> </w:t>
      </w:r>
    </w:p>
    <w:p w14:paraId="13DF4A57" w14:textId="77777777" w:rsidR="00A57C7B" w:rsidRPr="008D57BF" w:rsidRDefault="00A57C7B" w:rsidP="00A57C7B">
      <w:pPr>
        <w:widowControl w:val="0"/>
        <w:numPr>
          <w:ilvl w:val="0"/>
          <w:numId w:val="1"/>
        </w:numPr>
        <w:tabs>
          <w:tab w:val="clear" w:pos="1080"/>
        </w:tabs>
        <w:spacing w:before="240" w:after="240"/>
        <w:ind w:left="567" w:hanging="567"/>
        <w:jc w:val="both"/>
        <w:rPr>
          <w:rFonts w:ascii="Arial" w:hAnsi="Arial" w:cs="Arial"/>
          <w:szCs w:val="22"/>
        </w:rPr>
      </w:pPr>
      <w:r w:rsidRPr="008D57BF">
        <w:rPr>
          <w:rFonts w:ascii="Arial" w:hAnsi="Arial" w:cs="Arial"/>
          <w:szCs w:val="22"/>
        </w:rPr>
        <w:t>De acuerdo con el artículo 8 de la Ley Reguladora del Mercado de Valores corresponde al Superintendente General adoptar todas las acciones necesarias para el cumplimiento efectivo de las funciones de regulación, fiscalización y supervisión que le competen a la Superintendencia General de Valores.</w:t>
      </w:r>
    </w:p>
    <w:p w14:paraId="7833AA8B" w14:textId="77777777" w:rsidR="004611EC" w:rsidRDefault="004611EC" w:rsidP="00A57C7B">
      <w:pPr>
        <w:widowControl w:val="0"/>
        <w:numPr>
          <w:ilvl w:val="0"/>
          <w:numId w:val="1"/>
        </w:numPr>
        <w:tabs>
          <w:tab w:val="clear" w:pos="1080"/>
          <w:tab w:val="left" w:pos="567"/>
        </w:tabs>
        <w:spacing w:before="240" w:after="240"/>
        <w:ind w:left="567" w:right="-193" w:hanging="567"/>
        <w:jc w:val="both"/>
        <w:rPr>
          <w:rFonts w:ascii="Arial" w:hAnsi="Arial" w:cs="Arial"/>
          <w:szCs w:val="22"/>
        </w:rPr>
      </w:pPr>
      <w:r w:rsidRPr="004611EC">
        <w:rPr>
          <w:rFonts w:ascii="Arial" w:hAnsi="Arial" w:cs="Arial"/>
          <w:szCs w:val="22"/>
        </w:rPr>
        <w:t>El presente Acuerdo fue sometido al trámite de consulta, de conformidad con el artículo 361 de la Ley General de Administración Pública. Del análisis realizado a las observaciones planteadas, se procedió a la incorporación de las modificaciones que resultaron pertinentes.</w:t>
      </w:r>
    </w:p>
    <w:p w14:paraId="71228683" w14:textId="77777777" w:rsidR="00A57C7B" w:rsidRPr="008D57BF" w:rsidRDefault="00A57C7B" w:rsidP="00A57C7B">
      <w:pPr>
        <w:widowControl w:val="0"/>
        <w:tabs>
          <w:tab w:val="left" w:pos="567"/>
        </w:tabs>
        <w:spacing w:before="240" w:after="240"/>
        <w:jc w:val="both"/>
        <w:rPr>
          <w:rFonts w:ascii="Arial" w:hAnsi="Arial" w:cs="Arial"/>
          <w:b/>
          <w:szCs w:val="22"/>
        </w:rPr>
      </w:pPr>
      <w:r w:rsidRPr="008D57BF">
        <w:rPr>
          <w:rFonts w:ascii="Arial" w:hAnsi="Arial" w:cs="Arial"/>
          <w:b/>
          <w:szCs w:val="22"/>
        </w:rPr>
        <w:t>Por tanto</w:t>
      </w:r>
      <w:r>
        <w:rPr>
          <w:rFonts w:ascii="Arial" w:hAnsi="Arial" w:cs="Arial"/>
          <w:b/>
          <w:szCs w:val="22"/>
        </w:rPr>
        <w:t xml:space="preserve">, </w:t>
      </w:r>
      <w:r w:rsidRPr="008D57BF">
        <w:rPr>
          <w:rFonts w:ascii="Arial" w:hAnsi="Arial" w:cs="Arial"/>
          <w:b/>
          <w:szCs w:val="22"/>
        </w:rPr>
        <w:t>dispone el presente acuerdo:</w:t>
      </w:r>
    </w:p>
    <w:p w14:paraId="548F3EB5" w14:textId="77777777" w:rsidR="00A57C7B" w:rsidRPr="008D57BF" w:rsidRDefault="00A57C7B" w:rsidP="00A57C7B">
      <w:pPr>
        <w:tabs>
          <w:tab w:val="left" w:pos="8910"/>
        </w:tabs>
        <w:spacing w:before="240" w:after="240"/>
        <w:jc w:val="center"/>
        <w:rPr>
          <w:rFonts w:ascii="Arial" w:hAnsi="Arial" w:cs="Arial"/>
          <w:b/>
          <w:szCs w:val="22"/>
        </w:rPr>
      </w:pPr>
      <w:r w:rsidRPr="008D57BF">
        <w:rPr>
          <w:rFonts w:ascii="Arial" w:hAnsi="Arial" w:cs="Arial"/>
          <w:b/>
          <w:szCs w:val="22"/>
        </w:rPr>
        <w:t>APROBAR EL ACUERDO SGV</w:t>
      </w:r>
      <w:r w:rsidRPr="00832CA7">
        <w:rPr>
          <w:rFonts w:ascii="Arial" w:hAnsi="Arial" w:cs="Arial"/>
          <w:b/>
          <w:szCs w:val="22"/>
        </w:rPr>
        <w:t>-A-</w:t>
      </w:r>
      <w:r w:rsidR="003449FD" w:rsidRPr="00832CA7">
        <w:rPr>
          <w:rFonts w:ascii="Arial" w:hAnsi="Arial" w:cs="Arial"/>
          <w:b/>
          <w:szCs w:val="22"/>
        </w:rPr>
        <w:t>254</w:t>
      </w:r>
      <w:r w:rsidRPr="00832CA7">
        <w:rPr>
          <w:rFonts w:ascii="Arial" w:hAnsi="Arial" w:cs="Arial"/>
          <w:b/>
          <w:szCs w:val="22"/>
        </w:rPr>
        <w:t>.  MODIFICACIÓN</w:t>
      </w:r>
      <w:r w:rsidRPr="008D57BF">
        <w:rPr>
          <w:rFonts w:ascii="Arial" w:hAnsi="Arial" w:cs="Arial"/>
          <w:b/>
          <w:szCs w:val="22"/>
        </w:rPr>
        <w:t xml:space="preserve"> AL ACUERDO SGV-A-182 “INSTRUCCIONES PARA LA REMISIÓN DE PROSPECTOS DE ENTIDADES EMISORAS Y DOCUMENTOS RELACIONADOS”</w:t>
      </w:r>
    </w:p>
    <w:p w14:paraId="16658DFB" w14:textId="77777777" w:rsidR="00A57C7B" w:rsidRPr="008D57BF" w:rsidRDefault="00A57C7B" w:rsidP="00A57C7B">
      <w:pPr>
        <w:spacing w:before="240" w:after="240"/>
        <w:jc w:val="both"/>
        <w:rPr>
          <w:rFonts w:ascii="Arial" w:hAnsi="Arial" w:cs="Arial"/>
          <w:b/>
          <w:color w:val="000000" w:themeColor="text1"/>
          <w:szCs w:val="22"/>
        </w:rPr>
      </w:pPr>
      <w:r w:rsidRPr="008D57BF">
        <w:rPr>
          <w:rFonts w:ascii="Arial" w:hAnsi="Arial" w:cs="Arial"/>
          <w:b/>
          <w:color w:val="000000" w:themeColor="text1"/>
          <w:szCs w:val="22"/>
        </w:rPr>
        <w:t>Artículo 1. Reforma</w:t>
      </w:r>
    </w:p>
    <w:p w14:paraId="5104A30F" w14:textId="77777777" w:rsidR="00A57C7B" w:rsidRDefault="00A57C7B" w:rsidP="00A57C7B">
      <w:pPr>
        <w:pStyle w:val="Prrafodelista"/>
        <w:numPr>
          <w:ilvl w:val="0"/>
          <w:numId w:val="5"/>
        </w:numPr>
        <w:tabs>
          <w:tab w:val="left" w:pos="8910"/>
        </w:tabs>
        <w:spacing w:before="240" w:after="240"/>
        <w:jc w:val="both"/>
        <w:rPr>
          <w:rFonts w:ascii="Arial" w:hAnsi="Arial" w:cs="Arial"/>
          <w:szCs w:val="22"/>
        </w:rPr>
      </w:pPr>
      <w:r w:rsidRPr="008D57BF">
        <w:rPr>
          <w:rFonts w:ascii="Arial" w:hAnsi="Arial" w:cs="Arial"/>
          <w:b/>
          <w:szCs w:val="22"/>
        </w:rPr>
        <w:t>Adicionar</w:t>
      </w:r>
      <w:r w:rsidRPr="008D57BF">
        <w:rPr>
          <w:rFonts w:ascii="Arial" w:hAnsi="Arial" w:cs="Arial"/>
          <w:szCs w:val="22"/>
        </w:rPr>
        <w:t>:</w:t>
      </w:r>
      <w:r>
        <w:rPr>
          <w:rFonts w:ascii="Arial" w:hAnsi="Arial" w:cs="Arial"/>
          <w:szCs w:val="22"/>
        </w:rPr>
        <w:t xml:space="preserve"> el inciso h) al artículo 2, el inciso k) al artículo 4, el inciso h) al artículo 5, el inciso i) al artículo 6</w:t>
      </w:r>
      <w:r w:rsidR="00C9323B">
        <w:rPr>
          <w:rFonts w:ascii="Arial" w:hAnsi="Arial" w:cs="Arial"/>
          <w:szCs w:val="22"/>
        </w:rPr>
        <w:t xml:space="preserve"> y</w:t>
      </w:r>
      <w:r>
        <w:rPr>
          <w:rFonts w:ascii="Arial" w:hAnsi="Arial" w:cs="Arial"/>
          <w:szCs w:val="22"/>
        </w:rPr>
        <w:t xml:space="preserve"> el </w:t>
      </w:r>
      <w:r w:rsidRPr="008D57BF">
        <w:rPr>
          <w:rFonts w:ascii="Arial" w:hAnsi="Arial" w:cs="Arial"/>
          <w:szCs w:val="22"/>
        </w:rPr>
        <w:t>artículo 12 Bis</w:t>
      </w:r>
      <w:r w:rsidR="00C9323B">
        <w:rPr>
          <w:rFonts w:ascii="Arial" w:hAnsi="Arial" w:cs="Arial"/>
          <w:szCs w:val="22"/>
        </w:rPr>
        <w:t>.</w:t>
      </w:r>
      <w:r>
        <w:rPr>
          <w:rFonts w:ascii="Arial" w:hAnsi="Arial" w:cs="Arial"/>
          <w:szCs w:val="22"/>
        </w:rPr>
        <w:t xml:space="preserve"> </w:t>
      </w:r>
    </w:p>
    <w:p w14:paraId="39F05E3A" w14:textId="77777777" w:rsidR="00A57C7B" w:rsidRPr="001F1D74" w:rsidRDefault="00A57C7B" w:rsidP="00A57C7B">
      <w:pPr>
        <w:pStyle w:val="Prrafodelista"/>
        <w:numPr>
          <w:ilvl w:val="0"/>
          <w:numId w:val="5"/>
        </w:numPr>
        <w:tabs>
          <w:tab w:val="left" w:pos="8910"/>
        </w:tabs>
        <w:spacing w:before="240" w:after="240"/>
        <w:jc w:val="both"/>
        <w:rPr>
          <w:rFonts w:ascii="Arial" w:hAnsi="Arial" w:cs="Arial"/>
          <w:szCs w:val="22"/>
        </w:rPr>
      </w:pPr>
      <w:r w:rsidRPr="001F1D74">
        <w:rPr>
          <w:rFonts w:ascii="Arial" w:hAnsi="Arial" w:cs="Arial"/>
          <w:b/>
          <w:szCs w:val="22"/>
        </w:rPr>
        <w:t xml:space="preserve">Modificar </w:t>
      </w:r>
      <w:r w:rsidRPr="001F1D74">
        <w:rPr>
          <w:rFonts w:ascii="Arial" w:hAnsi="Arial" w:cs="Arial"/>
          <w:bCs/>
          <w:szCs w:val="22"/>
        </w:rPr>
        <w:t>el último párrafo del artículo 2</w:t>
      </w:r>
      <w:r>
        <w:rPr>
          <w:rFonts w:ascii="Arial" w:hAnsi="Arial" w:cs="Arial"/>
          <w:bCs/>
          <w:szCs w:val="22"/>
        </w:rPr>
        <w:t>.</w:t>
      </w:r>
    </w:p>
    <w:p w14:paraId="555BA080" w14:textId="77777777" w:rsidR="00A57C7B" w:rsidRPr="008D57BF" w:rsidRDefault="00A57C7B" w:rsidP="00A57C7B">
      <w:pPr>
        <w:tabs>
          <w:tab w:val="left" w:pos="8910"/>
        </w:tabs>
        <w:spacing w:before="240" w:after="240"/>
        <w:contextualSpacing/>
        <w:jc w:val="both"/>
        <w:rPr>
          <w:rFonts w:ascii="Arial" w:hAnsi="Arial" w:cs="Arial"/>
          <w:szCs w:val="22"/>
        </w:rPr>
      </w:pPr>
      <w:r w:rsidRPr="008D57BF">
        <w:rPr>
          <w:rFonts w:ascii="Arial" w:hAnsi="Arial" w:cs="Arial"/>
          <w:szCs w:val="22"/>
        </w:rPr>
        <w:t xml:space="preserve">Para que se lean como sigue: </w:t>
      </w:r>
    </w:p>
    <w:p w14:paraId="372928A4" w14:textId="77777777" w:rsidR="00A57C7B" w:rsidRDefault="00A57C7B" w:rsidP="00A57C7B">
      <w:pPr>
        <w:spacing w:before="240" w:after="240"/>
        <w:rPr>
          <w:rFonts w:ascii="Century Gothic" w:hAnsi="Century Gothic" w:cs="Arial"/>
          <w:b/>
          <w:szCs w:val="22"/>
          <w:lang w:eastAsia="en-US"/>
        </w:rPr>
      </w:pPr>
    </w:p>
    <w:p w14:paraId="4108E2C3" w14:textId="77777777" w:rsidR="00A57C7B" w:rsidRPr="00E8090A" w:rsidRDefault="00A57C7B" w:rsidP="00A57C7B">
      <w:pPr>
        <w:spacing w:before="240" w:after="240"/>
        <w:rPr>
          <w:rFonts w:ascii="Century Gothic" w:hAnsi="Century Gothic" w:cs="Arial"/>
          <w:b/>
          <w:szCs w:val="22"/>
          <w:lang w:eastAsia="en-US"/>
        </w:rPr>
      </w:pPr>
      <w:r>
        <w:rPr>
          <w:rFonts w:ascii="Century Gothic" w:hAnsi="Century Gothic" w:cs="Arial"/>
          <w:b/>
          <w:szCs w:val="22"/>
          <w:lang w:eastAsia="en-US"/>
        </w:rPr>
        <w:lastRenderedPageBreak/>
        <w:t>“</w:t>
      </w:r>
      <w:r w:rsidRPr="00E8090A">
        <w:rPr>
          <w:rFonts w:ascii="Century Gothic" w:hAnsi="Century Gothic" w:cs="Arial"/>
          <w:b/>
          <w:szCs w:val="22"/>
          <w:lang w:eastAsia="en-US"/>
        </w:rPr>
        <w:t>Artículo 2. Procedimientos y trámites</w:t>
      </w:r>
    </w:p>
    <w:p w14:paraId="0CF01BC0" w14:textId="77777777" w:rsidR="00A57C7B" w:rsidRPr="00E8090A" w:rsidRDefault="00A57C7B" w:rsidP="00A57C7B">
      <w:pPr>
        <w:tabs>
          <w:tab w:val="left" w:pos="0"/>
          <w:tab w:val="left" w:pos="8910"/>
        </w:tabs>
        <w:spacing w:before="240" w:after="240"/>
        <w:ind w:right="33"/>
        <w:jc w:val="both"/>
        <w:rPr>
          <w:rFonts w:ascii="Arial" w:eastAsia="Calibri" w:hAnsi="Arial" w:cs="Arial"/>
          <w:szCs w:val="22"/>
          <w:lang w:eastAsia="en-US"/>
        </w:rPr>
      </w:pPr>
      <w:r w:rsidRPr="00E8090A">
        <w:rPr>
          <w:rFonts w:ascii="Arial" w:eastAsia="Calibri" w:hAnsi="Arial" w:cs="Arial"/>
          <w:szCs w:val="22"/>
          <w:lang w:eastAsia="en-US"/>
        </w:rPr>
        <w:t xml:space="preserve">La presentación de los requisitos establecidos en el Reglamento sobre </w:t>
      </w:r>
      <w:r>
        <w:rPr>
          <w:rFonts w:ascii="Arial" w:eastAsia="Calibri" w:hAnsi="Arial" w:cs="Arial"/>
          <w:szCs w:val="22"/>
          <w:lang w:eastAsia="en-US"/>
        </w:rPr>
        <w:t>O</w:t>
      </w:r>
      <w:r w:rsidRPr="00E8090A">
        <w:rPr>
          <w:rFonts w:ascii="Arial" w:eastAsia="Calibri" w:hAnsi="Arial" w:cs="Arial"/>
          <w:szCs w:val="22"/>
          <w:lang w:eastAsia="en-US"/>
        </w:rPr>
        <w:t xml:space="preserve">ferta </w:t>
      </w:r>
      <w:r>
        <w:rPr>
          <w:rFonts w:ascii="Arial" w:eastAsia="Calibri" w:hAnsi="Arial" w:cs="Arial"/>
          <w:szCs w:val="22"/>
          <w:lang w:eastAsia="en-US"/>
        </w:rPr>
        <w:t>P</w:t>
      </w:r>
      <w:r w:rsidRPr="00E8090A">
        <w:rPr>
          <w:rFonts w:ascii="Arial" w:eastAsia="Calibri" w:hAnsi="Arial" w:cs="Arial"/>
          <w:szCs w:val="22"/>
          <w:lang w:eastAsia="en-US"/>
        </w:rPr>
        <w:t xml:space="preserve">ública de </w:t>
      </w:r>
      <w:r>
        <w:rPr>
          <w:rFonts w:ascii="Arial" w:eastAsia="Calibri" w:hAnsi="Arial" w:cs="Arial"/>
          <w:szCs w:val="22"/>
          <w:lang w:eastAsia="en-US"/>
        </w:rPr>
        <w:t>V</w:t>
      </w:r>
      <w:r w:rsidRPr="00E8090A">
        <w:rPr>
          <w:rFonts w:ascii="Arial" w:eastAsia="Calibri" w:hAnsi="Arial" w:cs="Arial"/>
          <w:szCs w:val="22"/>
          <w:lang w:eastAsia="en-US"/>
        </w:rPr>
        <w:t xml:space="preserve">alores, el Reglamento sobre </w:t>
      </w:r>
      <w:r>
        <w:rPr>
          <w:rFonts w:ascii="Arial" w:eastAsia="Calibri" w:hAnsi="Arial" w:cs="Arial"/>
          <w:szCs w:val="22"/>
          <w:lang w:eastAsia="en-US"/>
        </w:rPr>
        <w:t>F</w:t>
      </w:r>
      <w:r w:rsidRPr="00E8090A">
        <w:rPr>
          <w:rFonts w:ascii="Arial" w:eastAsia="Calibri" w:hAnsi="Arial" w:cs="Arial"/>
          <w:szCs w:val="22"/>
          <w:lang w:eastAsia="en-US"/>
        </w:rPr>
        <w:t xml:space="preserve">inanciamiento de </w:t>
      </w:r>
      <w:r>
        <w:rPr>
          <w:rFonts w:ascii="Arial" w:eastAsia="Calibri" w:hAnsi="Arial" w:cs="Arial"/>
          <w:szCs w:val="22"/>
          <w:lang w:eastAsia="en-US"/>
        </w:rPr>
        <w:t>P</w:t>
      </w:r>
      <w:r w:rsidRPr="00E8090A">
        <w:rPr>
          <w:rFonts w:ascii="Arial" w:eastAsia="Calibri" w:hAnsi="Arial" w:cs="Arial"/>
          <w:szCs w:val="22"/>
          <w:lang w:eastAsia="en-US"/>
        </w:rPr>
        <w:t xml:space="preserve">royectos de </w:t>
      </w:r>
      <w:r>
        <w:rPr>
          <w:rFonts w:ascii="Arial" w:eastAsia="Calibri" w:hAnsi="Arial" w:cs="Arial"/>
          <w:szCs w:val="22"/>
          <w:lang w:eastAsia="en-US"/>
        </w:rPr>
        <w:t>I</w:t>
      </w:r>
      <w:r w:rsidRPr="00E8090A">
        <w:rPr>
          <w:rFonts w:ascii="Arial" w:eastAsia="Calibri" w:hAnsi="Arial" w:cs="Arial"/>
          <w:szCs w:val="22"/>
          <w:lang w:eastAsia="en-US"/>
        </w:rPr>
        <w:t xml:space="preserve">nfraestructura y el Reglamento sobre </w:t>
      </w:r>
      <w:r>
        <w:rPr>
          <w:rFonts w:ascii="Arial" w:eastAsia="Calibri" w:hAnsi="Arial" w:cs="Arial"/>
          <w:szCs w:val="22"/>
          <w:lang w:eastAsia="en-US"/>
        </w:rPr>
        <w:t>P</w:t>
      </w:r>
      <w:r w:rsidRPr="00E8090A">
        <w:rPr>
          <w:rFonts w:ascii="Arial" w:eastAsia="Calibri" w:hAnsi="Arial" w:cs="Arial"/>
          <w:szCs w:val="22"/>
          <w:lang w:eastAsia="en-US"/>
        </w:rPr>
        <w:t xml:space="preserve">rocesos de </w:t>
      </w:r>
      <w:r>
        <w:rPr>
          <w:rFonts w:ascii="Arial" w:eastAsia="Calibri" w:hAnsi="Arial" w:cs="Arial"/>
          <w:szCs w:val="22"/>
          <w:lang w:eastAsia="en-US"/>
        </w:rPr>
        <w:t>T</w:t>
      </w:r>
      <w:r w:rsidRPr="00E8090A">
        <w:rPr>
          <w:rFonts w:ascii="Arial" w:eastAsia="Calibri" w:hAnsi="Arial" w:cs="Arial"/>
          <w:szCs w:val="22"/>
          <w:lang w:eastAsia="en-US"/>
        </w:rPr>
        <w:t xml:space="preserve">itularización, se realiza de acuerdo con los siguientes procedimientos: </w:t>
      </w:r>
    </w:p>
    <w:p w14:paraId="72653E1C" w14:textId="77777777" w:rsidR="00A57C7B" w:rsidRPr="00A42407" w:rsidRDefault="00A57C7B" w:rsidP="00A57C7B">
      <w:pPr>
        <w:spacing w:before="240" w:after="240"/>
        <w:rPr>
          <w:rFonts w:ascii="Arial" w:hAnsi="Arial" w:cs="Arial"/>
          <w:bCs/>
          <w:szCs w:val="22"/>
          <w:lang w:eastAsia="en-US"/>
        </w:rPr>
      </w:pPr>
      <w:r w:rsidRPr="00A42407">
        <w:rPr>
          <w:rFonts w:ascii="Arial" w:hAnsi="Arial" w:cs="Arial"/>
          <w:bCs/>
          <w:szCs w:val="22"/>
          <w:lang w:eastAsia="en-US"/>
        </w:rPr>
        <w:t xml:space="preserve">(…) </w:t>
      </w:r>
    </w:p>
    <w:p w14:paraId="310C9C34" w14:textId="77777777" w:rsidR="00A57C7B" w:rsidRPr="001F1D74" w:rsidRDefault="00A57C7B" w:rsidP="00A57C7B">
      <w:pPr>
        <w:pStyle w:val="Prrafodelista"/>
        <w:numPr>
          <w:ilvl w:val="0"/>
          <w:numId w:val="6"/>
        </w:numPr>
        <w:tabs>
          <w:tab w:val="left" w:pos="317"/>
          <w:tab w:val="left" w:pos="709"/>
        </w:tabs>
        <w:spacing w:before="240" w:after="240"/>
        <w:ind w:right="33"/>
        <w:jc w:val="both"/>
        <w:rPr>
          <w:rFonts w:ascii="Arial" w:hAnsi="Arial" w:cs="Arial"/>
          <w:szCs w:val="22"/>
        </w:rPr>
      </w:pPr>
      <w:r>
        <w:rPr>
          <w:rFonts w:ascii="Arial" w:hAnsi="Arial" w:cs="Arial"/>
          <w:szCs w:val="22"/>
        </w:rPr>
        <w:t>Autorización</w:t>
      </w:r>
      <w:r w:rsidRPr="001F1D74">
        <w:rPr>
          <w:rFonts w:ascii="Arial" w:hAnsi="Arial" w:cs="Arial"/>
          <w:szCs w:val="22"/>
        </w:rPr>
        <w:t xml:space="preserve"> para emisiones verdes, sociales y sostenibles que formen</w:t>
      </w:r>
      <w:r>
        <w:rPr>
          <w:rFonts w:ascii="Arial" w:hAnsi="Arial" w:cs="Arial"/>
          <w:szCs w:val="22"/>
        </w:rPr>
        <w:t xml:space="preserve"> parte</w:t>
      </w:r>
      <w:r w:rsidRPr="001F1D74">
        <w:rPr>
          <w:rFonts w:ascii="Arial" w:hAnsi="Arial" w:cs="Arial"/>
          <w:szCs w:val="22"/>
        </w:rPr>
        <w:t xml:space="preserve"> de programas de emisiones genéricos, de conformidad con lo establecido en el artículo 12 Bis.</w:t>
      </w:r>
    </w:p>
    <w:p w14:paraId="4BD13D3F" w14:textId="77777777" w:rsidR="00A57C7B" w:rsidRPr="00A42407" w:rsidRDefault="00A57C7B" w:rsidP="00A57C7B">
      <w:pPr>
        <w:spacing w:before="240" w:after="240"/>
        <w:jc w:val="both"/>
        <w:rPr>
          <w:rFonts w:ascii="Arial" w:hAnsi="Arial" w:cs="Arial"/>
          <w:szCs w:val="22"/>
        </w:rPr>
      </w:pPr>
      <w:r w:rsidRPr="00A42407">
        <w:rPr>
          <w:rFonts w:ascii="Arial" w:hAnsi="Arial" w:cs="Arial"/>
          <w:szCs w:val="22"/>
        </w:rPr>
        <w:t xml:space="preserve">(…) </w:t>
      </w:r>
    </w:p>
    <w:p w14:paraId="3527893B" w14:textId="77777777" w:rsidR="00A57C7B" w:rsidRDefault="00A57C7B" w:rsidP="00A57C7B">
      <w:pPr>
        <w:spacing w:before="240" w:after="240"/>
        <w:jc w:val="both"/>
        <w:rPr>
          <w:rFonts w:ascii="Arial" w:hAnsi="Arial" w:cs="Arial"/>
          <w:b/>
          <w:bCs/>
          <w:szCs w:val="22"/>
        </w:rPr>
      </w:pPr>
      <w:r w:rsidRPr="00E8090A">
        <w:rPr>
          <w:rFonts w:ascii="Arial" w:hAnsi="Arial" w:cs="Arial"/>
          <w:szCs w:val="22"/>
        </w:rPr>
        <w:t xml:space="preserve">Los procedimientos y sus requisitos se rigen por lo dispuesto en el Reglamento sobre </w:t>
      </w:r>
      <w:r>
        <w:rPr>
          <w:rFonts w:ascii="Arial" w:hAnsi="Arial" w:cs="Arial"/>
          <w:szCs w:val="22"/>
        </w:rPr>
        <w:t>O</w:t>
      </w:r>
      <w:r w:rsidRPr="00E8090A">
        <w:rPr>
          <w:rFonts w:ascii="Arial" w:hAnsi="Arial" w:cs="Arial"/>
          <w:szCs w:val="22"/>
        </w:rPr>
        <w:t xml:space="preserve">ferta </w:t>
      </w:r>
      <w:r>
        <w:rPr>
          <w:rFonts w:ascii="Arial" w:hAnsi="Arial" w:cs="Arial"/>
          <w:szCs w:val="22"/>
        </w:rPr>
        <w:t>P</w:t>
      </w:r>
      <w:r w:rsidRPr="00E8090A">
        <w:rPr>
          <w:rFonts w:ascii="Arial" w:hAnsi="Arial" w:cs="Arial"/>
          <w:szCs w:val="22"/>
        </w:rPr>
        <w:t xml:space="preserve">ública de </w:t>
      </w:r>
      <w:r>
        <w:rPr>
          <w:rFonts w:ascii="Arial" w:hAnsi="Arial" w:cs="Arial"/>
          <w:szCs w:val="22"/>
        </w:rPr>
        <w:t>V</w:t>
      </w:r>
      <w:r w:rsidRPr="00E8090A">
        <w:rPr>
          <w:rFonts w:ascii="Arial" w:hAnsi="Arial" w:cs="Arial"/>
          <w:szCs w:val="22"/>
        </w:rPr>
        <w:t xml:space="preserve">alores, el Reglamento sobre </w:t>
      </w:r>
      <w:r>
        <w:rPr>
          <w:rFonts w:ascii="Arial" w:hAnsi="Arial" w:cs="Arial"/>
          <w:szCs w:val="22"/>
        </w:rPr>
        <w:t>F</w:t>
      </w:r>
      <w:r w:rsidRPr="00E8090A">
        <w:rPr>
          <w:rFonts w:ascii="Arial" w:hAnsi="Arial" w:cs="Arial"/>
          <w:szCs w:val="22"/>
        </w:rPr>
        <w:t xml:space="preserve">inanciamiento de </w:t>
      </w:r>
      <w:r>
        <w:rPr>
          <w:rFonts w:ascii="Arial" w:hAnsi="Arial" w:cs="Arial"/>
          <w:szCs w:val="22"/>
        </w:rPr>
        <w:t>P</w:t>
      </w:r>
      <w:r w:rsidRPr="00E8090A">
        <w:rPr>
          <w:rFonts w:ascii="Arial" w:hAnsi="Arial" w:cs="Arial"/>
          <w:szCs w:val="22"/>
        </w:rPr>
        <w:t xml:space="preserve">royectos de </w:t>
      </w:r>
      <w:r>
        <w:rPr>
          <w:rFonts w:ascii="Arial" w:hAnsi="Arial" w:cs="Arial"/>
          <w:szCs w:val="22"/>
        </w:rPr>
        <w:t>I</w:t>
      </w:r>
      <w:r w:rsidRPr="00E8090A">
        <w:rPr>
          <w:rFonts w:ascii="Arial" w:hAnsi="Arial" w:cs="Arial"/>
          <w:szCs w:val="22"/>
        </w:rPr>
        <w:t xml:space="preserve">nfraestructura y el Reglamento sobre </w:t>
      </w:r>
      <w:r>
        <w:rPr>
          <w:rFonts w:ascii="Arial" w:hAnsi="Arial" w:cs="Arial"/>
          <w:szCs w:val="22"/>
        </w:rPr>
        <w:t>P</w:t>
      </w:r>
      <w:r w:rsidRPr="00E8090A">
        <w:rPr>
          <w:rFonts w:ascii="Arial" w:hAnsi="Arial" w:cs="Arial"/>
          <w:szCs w:val="22"/>
        </w:rPr>
        <w:t xml:space="preserve">rocesos de </w:t>
      </w:r>
      <w:r>
        <w:rPr>
          <w:rFonts w:ascii="Arial" w:hAnsi="Arial" w:cs="Arial"/>
          <w:szCs w:val="22"/>
        </w:rPr>
        <w:t>T</w:t>
      </w:r>
      <w:r w:rsidRPr="00E8090A">
        <w:rPr>
          <w:rFonts w:ascii="Arial" w:hAnsi="Arial" w:cs="Arial"/>
          <w:szCs w:val="22"/>
        </w:rPr>
        <w:t>itularización.</w:t>
      </w:r>
      <w:r>
        <w:rPr>
          <w:rFonts w:ascii="Arial" w:hAnsi="Arial" w:cs="Arial"/>
          <w:szCs w:val="22"/>
        </w:rPr>
        <w:t xml:space="preserve"> En el caso del trámite de autorización para emisiones verdes, sociales y sostenibles que formen parte de un programa de emisiones genérico, este se rige por lo establecido en el Acuerdo </w:t>
      </w:r>
      <w:r w:rsidRPr="00832CA7">
        <w:rPr>
          <w:rFonts w:ascii="Arial" w:hAnsi="Arial" w:cs="Arial"/>
          <w:szCs w:val="22"/>
        </w:rPr>
        <w:t>SGV-A-</w:t>
      </w:r>
      <w:r w:rsidR="003449FD" w:rsidRPr="00832CA7">
        <w:rPr>
          <w:rFonts w:ascii="Arial" w:hAnsi="Arial" w:cs="Arial"/>
          <w:szCs w:val="22"/>
        </w:rPr>
        <w:t>252</w:t>
      </w:r>
      <w:r w:rsidRPr="00832CA7">
        <w:rPr>
          <w:rFonts w:ascii="Arial" w:hAnsi="Arial" w:cs="Arial"/>
          <w:szCs w:val="22"/>
        </w:rPr>
        <w:t xml:space="preserve"> Lineamientos</w:t>
      </w:r>
      <w:r>
        <w:rPr>
          <w:rFonts w:ascii="Arial" w:hAnsi="Arial" w:cs="Arial"/>
          <w:szCs w:val="22"/>
        </w:rPr>
        <w:t xml:space="preserve"> para emisiones verdes, sociales y sostenibles de oferta pública.</w:t>
      </w:r>
    </w:p>
    <w:p w14:paraId="48C87320" w14:textId="77777777" w:rsidR="00A57C7B" w:rsidRPr="005F2993" w:rsidRDefault="00A57C7B" w:rsidP="00A57C7B">
      <w:pPr>
        <w:spacing w:before="240" w:after="240"/>
        <w:rPr>
          <w:rFonts w:ascii="Arial" w:hAnsi="Arial" w:cs="Arial"/>
          <w:b/>
          <w:szCs w:val="22"/>
          <w:lang w:eastAsia="en-US"/>
        </w:rPr>
      </w:pPr>
      <w:r>
        <w:rPr>
          <w:rFonts w:ascii="Arial" w:hAnsi="Arial" w:cs="Arial"/>
          <w:b/>
          <w:szCs w:val="22"/>
          <w:lang w:eastAsia="en-US"/>
        </w:rPr>
        <w:t>“</w:t>
      </w:r>
      <w:r w:rsidRPr="005F2993">
        <w:rPr>
          <w:rFonts w:ascii="Arial" w:hAnsi="Arial" w:cs="Arial"/>
          <w:b/>
          <w:szCs w:val="22"/>
          <w:lang w:eastAsia="en-US"/>
        </w:rPr>
        <w:t>Artículo 4. Procedimiento para la inscripción de emisiones por parte de emisores inscritos en el RNVI</w:t>
      </w:r>
    </w:p>
    <w:p w14:paraId="4CF57288" w14:textId="77777777" w:rsidR="00A57C7B" w:rsidRDefault="00A57C7B" w:rsidP="00A57C7B">
      <w:pPr>
        <w:spacing w:before="240" w:after="240"/>
        <w:jc w:val="both"/>
        <w:rPr>
          <w:rFonts w:ascii="Arial" w:hAnsi="Arial" w:cs="Arial"/>
          <w:szCs w:val="22"/>
        </w:rPr>
      </w:pPr>
      <w:r w:rsidRPr="00E8090A">
        <w:rPr>
          <w:rFonts w:ascii="Arial" w:hAnsi="Arial" w:cs="Arial"/>
          <w:szCs w:val="22"/>
        </w:rPr>
        <w:t xml:space="preserve">La inscripción de emisiones por parte de emisores inscritos en el RNVI se realiza de conformidad con lo establecido en el artículo 29 del Reglamento sobre </w:t>
      </w:r>
      <w:r>
        <w:rPr>
          <w:rFonts w:ascii="Arial" w:hAnsi="Arial" w:cs="Arial"/>
          <w:szCs w:val="22"/>
        </w:rPr>
        <w:t>O</w:t>
      </w:r>
      <w:r w:rsidRPr="00E8090A">
        <w:rPr>
          <w:rFonts w:ascii="Arial" w:hAnsi="Arial" w:cs="Arial"/>
          <w:szCs w:val="22"/>
        </w:rPr>
        <w:t xml:space="preserve">ferta </w:t>
      </w:r>
      <w:r>
        <w:rPr>
          <w:rFonts w:ascii="Arial" w:hAnsi="Arial" w:cs="Arial"/>
          <w:szCs w:val="22"/>
        </w:rPr>
        <w:t>P</w:t>
      </w:r>
      <w:r w:rsidRPr="00E8090A">
        <w:rPr>
          <w:rFonts w:ascii="Arial" w:hAnsi="Arial" w:cs="Arial"/>
          <w:szCs w:val="22"/>
        </w:rPr>
        <w:t xml:space="preserve">ública de </w:t>
      </w:r>
      <w:r>
        <w:rPr>
          <w:rFonts w:ascii="Arial" w:hAnsi="Arial" w:cs="Arial"/>
          <w:szCs w:val="22"/>
        </w:rPr>
        <w:t>V</w:t>
      </w:r>
      <w:r w:rsidRPr="00E8090A">
        <w:rPr>
          <w:rFonts w:ascii="Arial" w:hAnsi="Arial" w:cs="Arial"/>
          <w:szCs w:val="22"/>
        </w:rPr>
        <w:t xml:space="preserve">alores, el artículo 28 del Reglamento sobre </w:t>
      </w:r>
      <w:r>
        <w:rPr>
          <w:rFonts w:ascii="Arial" w:hAnsi="Arial" w:cs="Arial"/>
          <w:szCs w:val="22"/>
        </w:rPr>
        <w:t>F</w:t>
      </w:r>
      <w:r w:rsidRPr="00E8090A">
        <w:rPr>
          <w:rFonts w:ascii="Arial" w:hAnsi="Arial" w:cs="Arial"/>
          <w:szCs w:val="22"/>
        </w:rPr>
        <w:t xml:space="preserve">inanciamiento de </w:t>
      </w:r>
      <w:r>
        <w:rPr>
          <w:rFonts w:ascii="Arial" w:hAnsi="Arial" w:cs="Arial"/>
          <w:szCs w:val="22"/>
        </w:rPr>
        <w:t>P</w:t>
      </w:r>
      <w:r w:rsidRPr="00E8090A">
        <w:rPr>
          <w:rFonts w:ascii="Arial" w:hAnsi="Arial" w:cs="Arial"/>
          <w:szCs w:val="22"/>
        </w:rPr>
        <w:t xml:space="preserve">royectos de </w:t>
      </w:r>
      <w:r>
        <w:rPr>
          <w:rFonts w:ascii="Arial" w:hAnsi="Arial" w:cs="Arial"/>
          <w:szCs w:val="22"/>
        </w:rPr>
        <w:t>I</w:t>
      </w:r>
      <w:r w:rsidRPr="00E8090A">
        <w:rPr>
          <w:rFonts w:ascii="Arial" w:hAnsi="Arial" w:cs="Arial"/>
          <w:szCs w:val="22"/>
        </w:rPr>
        <w:t xml:space="preserve">nfraestructura o, el artículo 45 del Reglamento sobre </w:t>
      </w:r>
      <w:r>
        <w:rPr>
          <w:rFonts w:ascii="Arial" w:hAnsi="Arial" w:cs="Arial"/>
          <w:szCs w:val="22"/>
        </w:rPr>
        <w:t>P</w:t>
      </w:r>
      <w:r w:rsidRPr="00E8090A">
        <w:rPr>
          <w:rFonts w:ascii="Arial" w:hAnsi="Arial" w:cs="Arial"/>
          <w:szCs w:val="22"/>
        </w:rPr>
        <w:t xml:space="preserve">rocesos de </w:t>
      </w:r>
      <w:r>
        <w:rPr>
          <w:rFonts w:ascii="Arial" w:hAnsi="Arial" w:cs="Arial"/>
          <w:szCs w:val="22"/>
        </w:rPr>
        <w:t>T</w:t>
      </w:r>
      <w:r w:rsidRPr="00E8090A">
        <w:rPr>
          <w:rFonts w:ascii="Arial" w:hAnsi="Arial" w:cs="Arial"/>
          <w:szCs w:val="22"/>
        </w:rPr>
        <w:t>itularización, según corresponda. Para ello, la entidad emisora selecciona en la Ventanilla Virtual la opción para crear un trámite de “Inscripción de emisión” y procede a ingresar la documentación:</w:t>
      </w:r>
    </w:p>
    <w:p w14:paraId="7F37B86C" w14:textId="77777777" w:rsidR="00A57C7B" w:rsidRDefault="00A57C7B" w:rsidP="00A57C7B">
      <w:pPr>
        <w:spacing w:before="240" w:after="240"/>
        <w:jc w:val="both"/>
        <w:rPr>
          <w:rFonts w:ascii="Arial" w:hAnsi="Arial" w:cs="Arial"/>
          <w:szCs w:val="22"/>
        </w:rPr>
      </w:pPr>
      <w:bookmarkStart w:id="0" w:name="_Hlk58854099"/>
      <w:r>
        <w:rPr>
          <w:rFonts w:ascii="Arial" w:hAnsi="Arial" w:cs="Arial"/>
          <w:szCs w:val="22"/>
        </w:rPr>
        <w:t>(…)</w:t>
      </w:r>
    </w:p>
    <w:bookmarkEnd w:id="0"/>
    <w:p w14:paraId="17AB1274" w14:textId="77777777" w:rsidR="00A57C7B" w:rsidRDefault="00A57C7B" w:rsidP="00A57C7B">
      <w:pPr>
        <w:widowControl w:val="0"/>
        <w:numPr>
          <w:ilvl w:val="0"/>
          <w:numId w:val="2"/>
        </w:numPr>
        <w:spacing w:before="240" w:after="240"/>
        <w:jc w:val="both"/>
        <w:rPr>
          <w:rFonts w:ascii="Arial" w:hAnsi="Arial" w:cs="Arial"/>
          <w:szCs w:val="22"/>
        </w:rPr>
      </w:pPr>
      <w:r w:rsidRPr="00E8090A">
        <w:rPr>
          <w:rFonts w:ascii="Arial" w:hAnsi="Arial" w:cs="Arial"/>
          <w:szCs w:val="22"/>
        </w:rPr>
        <w:t xml:space="preserve">Imagen digital escaneada </w:t>
      </w:r>
      <w:r w:rsidR="00B52511" w:rsidRPr="00B52511">
        <w:rPr>
          <w:rFonts w:ascii="Arial" w:hAnsi="Arial" w:cs="Arial"/>
          <w:szCs w:val="22"/>
        </w:rPr>
        <w:t xml:space="preserve">o documento en formato digital </w:t>
      </w:r>
      <w:r w:rsidRPr="00B52511">
        <w:rPr>
          <w:rFonts w:ascii="Arial" w:hAnsi="Arial" w:cs="Arial"/>
          <w:szCs w:val="22"/>
        </w:rPr>
        <w:t>de</w:t>
      </w:r>
      <w:r>
        <w:rPr>
          <w:rFonts w:ascii="Arial" w:hAnsi="Arial" w:cs="Arial"/>
          <w:szCs w:val="22"/>
        </w:rPr>
        <w:t xml:space="preserve"> la revisión externa en caso de emisiones que califiquen como verdes, sociales o sostenibles.</w:t>
      </w:r>
    </w:p>
    <w:p w14:paraId="18EFB280" w14:textId="77777777" w:rsidR="00A57C7B" w:rsidRPr="002229A6" w:rsidRDefault="00A57C7B" w:rsidP="00A57C7B">
      <w:pPr>
        <w:spacing w:before="240" w:after="240"/>
        <w:ind w:left="142"/>
        <w:jc w:val="both"/>
        <w:rPr>
          <w:rFonts w:ascii="Arial" w:hAnsi="Arial" w:cs="Arial"/>
          <w:szCs w:val="22"/>
        </w:rPr>
      </w:pPr>
      <w:r w:rsidRPr="002229A6">
        <w:rPr>
          <w:rFonts w:ascii="Arial" w:hAnsi="Arial" w:cs="Arial"/>
          <w:szCs w:val="22"/>
        </w:rPr>
        <w:t>(…)</w:t>
      </w:r>
      <w:r>
        <w:rPr>
          <w:rFonts w:ascii="Arial" w:hAnsi="Arial" w:cs="Arial"/>
          <w:szCs w:val="22"/>
        </w:rPr>
        <w:t xml:space="preserve"> “</w:t>
      </w:r>
    </w:p>
    <w:p w14:paraId="3E9FA17B" w14:textId="77777777" w:rsidR="00A57C7B" w:rsidRPr="00126E34" w:rsidRDefault="00A57C7B" w:rsidP="00A57C7B">
      <w:pPr>
        <w:spacing w:before="240" w:after="240"/>
        <w:rPr>
          <w:rFonts w:ascii="Arial" w:hAnsi="Arial" w:cs="Arial"/>
          <w:b/>
          <w:szCs w:val="22"/>
          <w:lang w:eastAsia="en-US"/>
        </w:rPr>
      </w:pPr>
      <w:r>
        <w:rPr>
          <w:rFonts w:ascii="Arial" w:hAnsi="Arial" w:cs="Arial"/>
          <w:b/>
          <w:szCs w:val="22"/>
          <w:lang w:eastAsia="en-US"/>
        </w:rPr>
        <w:t>“</w:t>
      </w:r>
      <w:r w:rsidRPr="00126E34">
        <w:rPr>
          <w:rFonts w:ascii="Arial" w:hAnsi="Arial" w:cs="Arial"/>
          <w:b/>
          <w:szCs w:val="22"/>
          <w:lang w:eastAsia="en-US"/>
        </w:rPr>
        <w:t>Artículo 5. Procedimiento para la modificación de emisiones sin colocar</w:t>
      </w:r>
    </w:p>
    <w:p w14:paraId="0D02C261" w14:textId="77777777" w:rsidR="00A57C7B" w:rsidRPr="00126E34" w:rsidRDefault="00A57C7B" w:rsidP="00A57C7B">
      <w:pPr>
        <w:spacing w:before="240" w:after="240"/>
        <w:jc w:val="both"/>
        <w:rPr>
          <w:rFonts w:ascii="Arial" w:hAnsi="Arial" w:cs="Arial"/>
          <w:szCs w:val="22"/>
        </w:rPr>
      </w:pPr>
      <w:r w:rsidRPr="00126E34">
        <w:rPr>
          <w:rFonts w:ascii="Arial" w:hAnsi="Arial" w:cs="Arial"/>
          <w:szCs w:val="22"/>
        </w:rPr>
        <w:t xml:space="preserve">De conformidad con lo establecido en el artículo 35 del Reglamento sobre </w:t>
      </w:r>
      <w:r>
        <w:rPr>
          <w:rFonts w:ascii="Arial" w:hAnsi="Arial" w:cs="Arial"/>
          <w:szCs w:val="22"/>
        </w:rPr>
        <w:t>O</w:t>
      </w:r>
      <w:r w:rsidRPr="00126E34">
        <w:rPr>
          <w:rFonts w:ascii="Arial" w:hAnsi="Arial" w:cs="Arial"/>
          <w:szCs w:val="22"/>
        </w:rPr>
        <w:t xml:space="preserve">ferta </w:t>
      </w:r>
      <w:r>
        <w:rPr>
          <w:rFonts w:ascii="Arial" w:hAnsi="Arial" w:cs="Arial"/>
          <w:szCs w:val="22"/>
        </w:rPr>
        <w:t>P</w:t>
      </w:r>
      <w:r w:rsidRPr="00126E34">
        <w:rPr>
          <w:rFonts w:ascii="Arial" w:hAnsi="Arial" w:cs="Arial"/>
          <w:szCs w:val="22"/>
        </w:rPr>
        <w:t xml:space="preserve">ública de </w:t>
      </w:r>
      <w:r>
        <w:rPr>
          <w:rFonts w:ascii="Arial" w:hAnsi="Arial" w:cs="Arial"/>
          <w:szCs w:val="22"/>
        </w:rPr>
        <w:t>V</w:t>
      </w:r>
      <w:r w:rsidRPr="00126E34">
        <w:rPr>
          <w:rFonts w:ascii="Arial" w:hAnsi="Arial" w:cs="Arial"/>
          <w:szCs w:val="22"/>
        </w:rPr>
        <w:t xml:space="preserve">alores, la entidad emisora selecciona en la Ventanilla Virtual la opción para crear un trámite de </w:t>
      </w:r>
      <w:r w:rsidRPr="00126E34">
        <w:rPr>
          <w:rFonts w:ascii="Arial" w:hAnsi="Arial" w:cs="Arial"/>
          <w:szCs w:val="22"/>
          <w:lang w:val="es-ES_tradnl"/>
        </w:rPr>
        <w:t xml:space="preserve">“Modificación de emisión” </w:t>
      </w:r>
      <w:r w:rsidRPr="00126E34">
        <w:rPr>
          <w:rFonts w:ascii="Arial" w:hAnsi="Arial" w:cs="Arial"/>
          <w:szCs w:val="22"/>
        </w:rPr>
        <w:t>y procede a ingresar la siguiente documentación:</w:t>
      </w:r>
    </w:p>
    <w:p w14:paraId="3DE7BCC9" w14:textId="77777777" w:rsidR="00A57C7B" w:rsidRPr="00A42407" w:rsidRDefault="00A57C7B" w:rsidP="00A57C7B">
      <w:pPr>
        <w:spacing w:before="240" w:after="240"/>
        <w:jc w:val="both"/>
        <w:rPr>
          <w:rFonts w:ascii="Arial" w:hAnsi="Arial" w:cs="Arial"/>
          <w:szCs w:val="22"/>
        </w:rPr>
      </w:pPr>
      <w:r w:rsidRPr="00A42407">
        <w:rPr>
          <w:rFonts w:ascii="Arial" w:hAnsi="Arial" w:cs="Arial"/>
          <w:szCs w:val="22"/>
        </w:rPr>
        <w:t>(…)</w:t>
      </w:r>
    </w:p>
    <w:p w14:paraId="7E4231AC" w14:textId="77777777" w:rsidR="00A57C7B" w:rsidRDefault="00A57C7B" w:rsidP="00A57C7B">
      <w:pPr>
        <w:widowControl w:val="0"/>
        <w:spacing w:before="240" w:after="240"/>
        <w:jc w:val="both"/>
        <w:rPr>
          <w:rFonts w:ascii="Arial" w:hAnsi="Arial" w:cs="Arial"/>
          <w:szCs w:val="22"/>
        </w:rPr>
      </w:pPr>
      <w:r>
        <w:rPr>
          <w:rFonts w:ascii="Arial" w:hAnsi="Arial" w:cs="Arial"/>
          <w:szCs w:val="22"/>
        </w:rPr>
        <w:t xml:space="preserve">h) </w:t>
      </w:r>
      <w:r w:rsidRPr="00E8090A">
        <w:rPr>
          <w:rFonts w:ascii="Arial" w:hAnsi="Arial" w:cs="Arial"/>
          <w:szCs w:val="22"/>
        </w:rPr>
        <w:t xml:space="preserve">Imagen digital escaneada </w:t>
      </w:r>
      <w:r w:rsidR="00B52511" w:rsidRPr="00B52511">
        <w:rPr>
          <w:rFonts w:ascii="Arial" w:hAnsi="Arial" w:cs="Arial"/>
          <w:szCs w:val="22"/>
        </w:rPr>
        <w:t xml:space="preserve">o documento en formato digital </w:t>
      </w:r>
      <w:r w:rsidRPr="00E8090A">
        <w:rPr>
          <w:rFonts w:ascii="Arial" w:hAnsi="Arial" w:cs="Arial"/>
          <w:szCs w:val="22"/>
        </w:rPr>
        <w:t>de</w:t>
      </w:r>
      <w:r>
        <w:rPr>
          <w:rFonts w:ascii="Arial" w:hAnsi="Arial" w:cs="Arial"/>
          <w:szCs w:val="22"/>
        </w:rPr>
        <w:t xml:space="preserve"> la revisión externa en caso de emisiones que califiquen como verdes, sociales o sostenibles, si aplica.</w:t>
      </w:r>
    </w:p>
    <w:p w14:paraId="4C789EB3" w14:textId="77777777" w:rsidR="00A57C7B" w:rsidRDefault="00A57C7B" w:rsidP="00A57C7B">
      <w:pPr>
        <w:widowControl w:val="0"/>
        <w:spacing w:before="240" w:after="240"/>
        <w:jc w:val="both"/>
        <w:rPr>
          <w:rFonts w:ascii="Arial" w:hAnsi="Arial" w:cs="Arial"/>
          <w:szCs w:val="22"/>
        </w:rPr>
      </w:pPr>
      <w:r>
        <w:rPr>
          <w:rFonts w:ascii="Arial" w:hAnsi="Arial" w:cs="Arial"/>
          <w:szCs w:val="22"/>
        </w:rPr>
        <w:lastRenderedPageBreak/>
        <w:t xml:space="preserve">(…)” </w:t>
      </w:r>
    </w:p>
    <w:p w14:paraId="4A6D25BF" w14:textId="77777777" w:rsidR="00A57C7B" w:rsidRPr="005F2993" w:rsidRDefault="00A57C7B" w:rsidP="00A57C7B">
      <w:pPr>
        <w:spacing w:before="240" w:after="240"/>
        <w:rPr>
          <w:rFonts w:ascii="Century Gothic" w:hAnsi="Century Gothic" w:cs="Arial"/>
          <w:b/>
          <w:szCs w:val="22"/>
          <w:lang w:eastAsia="en-US"/>
        </w:rPr>
      </w:pPr>
      <w:r>
        <w:rPr>
          <w:rFonts w:ascii="Arial" w:hAnsi="Arial" w:cs="Arial"/>
          <w:szCs w:val="22"/>
        </w:rPr>
        <w:t>“</w:t>
      </w:r>
      <w:r w:rsidRPr="005F2993">
        <w:rPr>
          <w:rFonts w:ascii="Century Gothic" w:hAnsi="Century Gothic" w:cs="Arial"/>
          <w:b/>
          <w:szCs w:val="22"/>
          <w:lang w:eastAsia="en-US"/>
        </w:rPr>
        <w:t xml:space="preserve">Artículo </w:t>
      </w:r>
      <w:bookmarkStart w:id="1" w:name="A6"/>
      <w:r w:rsidRPr="005F2993">
        <w:rPr>
          <w:rFonts w:ascii="Century Gothic" w:hAnsi="Century Gothic" w:cs="Arial"/>
          <w:b/>
          <w:szCs w:val="22"/>
          <w:lang w:val="es-ES_tradnl"/>
        </w:rPr>
        <w:t>6</w:t>
      </w:r>
      <w:bookmarkEnd w:id="1"/>
      <w:r w:rsidRPr="005F2993">
        <w:rPr>
          <w:rFonts w:ascii="Century Gothic" w:hAnsi="Century Gothic" w:cs="Arial"/>
          <w:b/>
          <w:szCs w:val="22"/>
          <w:lang w:val="es-ES_tradnl"/>
        </w:rPr>
        <w:t>. Procedimiento para la modificación de emisiones en circulación</w:t>
      </w:r>
    </w:p>
    <w:p w14:paraId="584DFFBB" w14:textId="77777777" w:rsidR="00A57C7B" w:rsidRPr="00E8090A" w:rsidRDefault="00A57C7B" w:rsidP="00A57C7B">
      <w:pPr>
        <w:spacing w:before="240" w:after="240"/>
        <w:jc w:val="both"/>
        <w:rPr>
          <w:rFonts w:ascii="Arial" w:hAnsi="Arial" w:cs="Arial"/>
          <w:szCs w:val="22"/>
        </w:rPr>
      </w:pPr>
      <w:r w:rsidRPr="00E8090A">
        <w:rPr>
          <w:rFonts w:ascii="Arial" w:hAnsi="Arial" w:cs="Arial"/>
          <w:szCs w:val="22"/>
        </w:rPr>
        <w:t xml:space="preserve">De conformidad con lo establecido en el artículo 36 del Reglamento sobre </w:t>
      </w:r>
      <w:r>
        <w:rPr>
          <w:rFonts w:ascii="Arial" w:hAnsi="Arial" w:cs="Arial"/>
          <w:szCs w:val="22"/>
        </w:rPr>
        <w:t>O</w:t>
      </w:r>
      <w:r w:rsidRPr="00E8090A">
        <w:rPr>
          <w:rFonts w:ascii="Arial" w:hAnsi="Arial" w:cs="Arial"/>
          <w:szCs w:val="22"/>
        </w:rPr>
        <w:t xml:space="preserve">ferta </w:t>
      </w:r>
      <w:r>
        <w:rPr>
          <w:rFonts w:ascii="Arial" w:hAnsi="Arial" w:cs="Arial"/>
          <w:szCs w:val="22"/>
        </w:rPr>
        <w:t>P</w:t>
      </w:r>
      <w:r w:rsidRPr="00E8090A">
        <w:rPr>
          <w:rFonts w:ascii="Arial" w:hAnsi="Arial" w:cs="Arial"/>
          <w:szCs w:val="22"/>
        </w:rPr>
        <w:t xml:space="preserve">ública de </w:t>
      </w:r>
      <w:r>
        <w:rPr>
          <w:rFonts w:ascii="Arial" w:hAnsi="Arial" w:cs="Arial"/>
          <w:szCs w:val="22"/>
        </w:rPr>
        <w:t>V</w:t>
      </w:r>
      <w:r w:rsidRPr="00E8090A">
        <w:rPr>
          <w:rFonts w:ascii="Arial" w:hAnsi="Arial" w:cs="Arial"/>
          <w:szCs w:val="22"/>
        </w:rPr>
        <w:t xml:space="preserve">alores, la entidad emisora selecciona en la Ventanilla Virtual la opción para crear un trámite de </w:t>
      </w:r>
      <w:r w:rsidRPr="00E8090A">
        <w:rPr>
          <w:rFonts w:ascii="Arial" w:hAnsi="Arial" w:cs="Arial"/>
          <w:szCs w:val="22"/>
          <w:lang w:val="es-ES_tradnl"/>
        </w:rPr>
        <w:t xml:space="preserve">“Modificación de emisión” </w:t>
      </w:r>
      <w:r w:rsidRPr="00E8090A">
        <w:rPr>
          <w:rFonts w:ascii="Arial" w:hAnsi="Arial" w:cs="Arial"/>
          <w:szCs w:val="22"/>
        </w:rPr>
        <w:t>y procede a ingresar la siguiente documentación:</w:t>
      </w:r>
    </w:p>
    <w:p w14:paraId="43587FA0" w14:textId="77777777" w:rsidR="00A57C7B" w:rsidRPr="00A42407" w:rsidRDefault="00A57C7B" w:rsidP="00A57C7B">
      <w:pPr>
        <w:spacing w:before="240" w:after="240"/>
        <w:jc w:val="both"/>
        <w:rPr>
          <w:rFonts w:ascii="Arial" w:hAnsi="Arial" w:cs="Arial"/>
          <w:szCs w:val="22"/>
        </w:rPr>
      </w:pPr>
      <w:r w:rsidRPr="00A42407">
        <w:rPr>
          <w:rFonts w:ascii="Arial" w:hAnsi="Arial" w:cs="Arial"/>
          <w:szCs w:val="22"/>
        </w:rPr>
        <w:t>(…)</w:t>
      </w:r>
    </w:p>
    <w:p w14:paraId="3524FD09" w14:textId="77777777" w:rsidR="00A57C7B" w:rsidRPr="00943EF5" w:rsidRDefault="00A57C7B" w:rsidP="00A57C7B">
      <w:pPr>
        <w:widowControl w:val="0"/>
        <w:numPr>
          <w:ilvl w:val="0"/>
          <w:numId w:val="3"/>
        </w:numPr>
        <w:spacing w:before="240" w:after="240"/>
        <w:jc w:val="both"/>
        <w:rPr>
          <w:rFonts w:ascii="Arial" w:hAnsi="Arial" w:cs="Arial"/>
          <w:szCs w:val="22"/>
        </w:rPr>
      </w:pPr>
      <w:r w:rsidRPr="00943EF5">
        <w:rPr>
          <w:rFonts w:ascii="Arial" w:hAnsi="Arial" w:cs="Arial"/>
          <w:szCs w:val="22"/>
        </w:rPr>
        <w:t xml:space="preserve">Imagen digital escaneada </w:t>
      </w:r>
      <w:r w:rsidR="00B52511" w:rsidRPr="00B52511">
        <w:rPr>
          <w:rFonts w:ascii="Arial" w:hAnsi="Arial" w:cs="Arial"/>
          <w:szCs w:val="22"/>
        </w:rPr>
        <w:t>o documento en formato digital</w:t>
      </w:r>
      <w:r w:rsidR="00B52511" w:rsidRPr="00943EF5">
        <w:rPr>
          <w:rFonts w:ascii="Arial" w:hAnsi="Arial" w:cs="Arial"/>
          <w:szCs w:val="22"/>
        </w:rPr>
        <w:t xml:space="preserve"> </w:t>
      </w:r>
      <w:r w:rsidRPr="00943EF5">
        <w:rPr>
          <w:rFonts w:ascii="Arial" w:hAnsi="Arial" w:cs="Arial"/>
          <w:szCs w:val="22"/>
        </w:rPr>
        <w:t>de la revisión externa en caso de emisiones que califiquen como verdes, sociales o sostenibles</w:t>
      </w:r>
      <w:r>
        <w:rPr>
          <w:rFonts w:ascii="Arial" w:hAnsi="Arial" w:cs="Arial"/>
          <w:szCs w:val="22"/>
        </w:rPr>
        <w:t>, si aplica.</w:t>
      </w:r>
      <w:r w:rsidRPr="00943EF5">
        <w:rPr>
          <w:rFonts w:ascii="Arial" w:hAnsi="Arial" w:cs="Arial"/>
          <w:szCs w:val="22"/>
        </w:rPr>
        <w:t xml:space="preserve"> (…) “</w:t>
      </w:r>
    </w:p>
    <w:p w14:paraId="670C08ED" w14:textId="77777777" w:rsidR="00A57C7B" w:rsidRPr="00EB0E3A" w:rsidRDefault="00A57C7B" w:rsidP="00A57C7B">
      <w:pPr>
        <w:spacing w:before="240" w:after="240"/>
        <w:jc w:val="both"/>
        <w:rPr>
          <w:rFonts w:ascii="Arial" w:hAnsi="Arial" w:cs="Arial"/>
          <w:b/>
          <w:szCs w:val="22"/>
          <w:lang w:eastAsia="en-US"/>
        </w:rPr>
      </w:pPr>
      <w:r>
        <w:rPr>
          <w:rFonts w:ascii="Arial" w:hAnsi="Arial" w:cs="Arial"/>
          <w:b/>
          <w:szCs w:val="22"/>
          <w:lang w:eastAsia="en-US"/>
        </w:rPr>
        <w:t>“</w:t>
      </w:r>
      <w:r w:rsidRPr="00EB0E3A">
        <w:rPr>
          <w:rFonts w:ascii="Arial" w:hAnsi="Arial" w:cs="Arial"/>
          <w:b/>
          <w:szCs w:val="22"/>
          <w:lang w:eastAsia="en-US"/>
        </w:rPr>
        <w:t xml:space="preserve">Artículo 12 Bis. </w:t>
      </w:r>
      <w:r>
        <w:rPr>
          <w:rFonts w:ascii="Arial" w:hAnsi="Arial" w:cs="Arial"/>
          <w:b/>
          <w:szCs w:val="22"/>
          <w:lang w:eastAsia="en-US"/>
        </w:rPr>
        <w:t>Autorización para emisiones verdes, sociales y sostenibles que formen parte de programas de emisiones genéricos</w:t>
      </w:r>
    </w:p>
    <w:p w14:paraId="53BF50F3" w14:textId="77777777" w:rsidR="00A57C7B" w:rsidRPr="00D951D4" w:rsidRDefault="00A57C7B" w:rsidP="00A57C7B">
      <w:pPr>
        <w:spacing w:before="240" w:after="240"/>
        <w:jc w:val="both"/>
        <w:rPr>
          <w:rFonts w:ascii="Arial" w:hAnsi="Arial" w:cs="Arial"/>
          <w:bCs/>
          <w:i/>
          <w:iCs/>
          <w:szCs w:val="22"/>
          <w:lang w:eastAsia="en-US"/>
        </w:rPr>
      </w:pPr>
      <w:r>
        <w:rPr>
          <w:rFonts w:ascii="Arial" w:hAnsi="Arial" w:cs="Arial"/>
          <w:lang w:eastAsia="es-CR"/>
        </w:rPr>
        <w:t>En el caso de que el emisor inscriba</w:t>
      </w:r>
      <w:r w:rsidRPr="00CE60F2">
        <w:rPr>
          <w:rFonts w:ascii="Arial" w:hAnsi="Arial" w:cs="Arial"/>
          <w:lang w:eastAsia="es-CR"/>
        </w:rPr>
        <w:t xml:space="preserve"> un programa de emisiones </w:t>
      </w:r>
      <w:r>
        <w:rPr>
          <w:rFonts w:ascii="Arial" w:hAnsi="Arial" w:cs="Arial"/>
          <w:lang w:eastAsia="es-CR"/>
        </w:rPr>
        <w:t xml:space="preserve">genérico y  desee realizar </w:t>
      </w:r>
      <w:r w:rsidRPr="00CE60F2">
        <w:rPr>
          <w:rFonts w:ascii="Arial" w:hAnsi="Arial" w:cs="Arial"/>
          <w:lang w:eastAsia="es-CR"/>
        </w:rPr>
        <w:t>una</w:t>
      </w:r>
      <w:r>
        <w:rPr>
          <w:rFonts w:ascii="Arial" w:hAnsi="Arial" w:cs="Arial"/>
          <w:lang w:eastAsia="es-CR"/>
        </w:rPr>
        <w:t xml:space="preserve"> o varias</w:t>
      </w:r>
      <w:r w:rsidRPr="00CE60F2">
        <w:rPr>
          <w:rFonts w:ascii="Arial" w:hAnsi="Arial" w:cs="Arial"/>
          <w:lang w:eastAsia="es-CR"/>
        </w:rPr>
        <w:t xml:space="preserve"> emisiones </w:t>
      </w:r>
      <w:r>
        <w:rPr>
          <w:rFonts w:ascii="Arial" w:hAnsi="Arial" w:cs="Arial"/>
          <w:lang w:eastAsia="es-CR"/>
        </w:rPr>
        <w:t>p</w:t>
      </w:r>
      <w:r w:rsidRPr="00CE60F2">
        <w:rPr>
          <w:rFonts w:ascii="Arial" w:hAnsi="Arial" w:cs="Arial"/>
          <w:lang w:eastAsia="es-CR"/>
        </w:rPr>
        <w:t>a</w:t>
      </w:r>
      <w:r>
        <w:rPr>
          <w:rFonts w:ascii="Arial" w:hAnsi="Arial" w:cs="Arial"/>
          <w:lang w:eastAsia="es-CR"/>
        </w:rPr>
        <w:t>ra</w:t>
      </w:r>
      <w:r w:rsidRPr="00CE60F2">
        <w:rPr>
          <w:rFonts w:ascii="Arial" w:hAnsi="Arial" w:cs="Arial"/>
          <w:lang w:eastAsia="es-CR"/>
        </w:rPr>
        <w:t xml:space="preserve"> financiar proyectos verdes, sociales o sostenibles</w:t>
      </w:r>
      <w:r>
        <w:rPr>
          <w:rFonts w:ascii="Arial" w:hAnsi="Arial" w:cs="Arial"/>
          <w:lang w:eastAsia="es-CR"/>
        </w:rPr>
        <w:t>,</w:t>
      </w:r>
      <w:r w:rsidRPr="00CE60F2">
        <w:rPr>
          <w:rFonts w:ascii="Arial" w:hAnsi="Arial" w:cs="Arial"/>
        </w:rPr>
        <w:t xml:space="preserve"> </w:t>
      </w:r>
      <w:r w:rsidRPr="008D57BF">
        <w:rPr>
          <w:rFonts w:ascii="Arial" w:hAnsi="Arial" w:cs="Arial"/>
          <w:szCs w:val="22"/>
        </w:rPr>
        <w:t xml:space="preserve">deberá </w:t>
      </w:r>
      <w:r>
        <w:rPr>
          <w:rFonts w:ascii="Arial" w:hAnsi="Arial" w:cs="Arial"/>
          <w:szCs w:val="22"/>
        </w:rPr>
        <w:t xml:space="preserve">ingresar a la ventanilla virtual </w:t>
      </w:r>
      <w:r w:rsidRPr="008D57BF">
        <w:rPr>
          <w:rFonts w:ascii="Arial" w:hAnsi="Arial" w:cs="Arial"/>
          <w:szCs w:val="22"/>
          <w:lang w:eastAsia="es-CR"/>
        </w:rPr>
        <w:t xml:space="preserve">la revisión externa y el borrador del prospecto que incluya la información de la nueva serie y la información requerida en el </w:t>
      </w:r>
      <w:r w:rsidRPr="005777FD">
        <w:rPr>
          <w:rFonts w:ascii="Arial" w:hAnsi="Arial" w:cs="Arial"/>
          <w:szCs w:val="22"/>
          <w:lang w:eastAsia="es-CR"/>
        </w:rPr>
        <w:t>Acuerdo SGV-A-</w:t>
      </w:r>
      <w:r w:rsidR="002A35D8" w:rsidRPr="00B72BF7">
        <w:rPr>
          <w:rFonts w:ascii="Arial" w:hAnsi="Arial" w:cs="Arial"/>
          <w:szCs w:val="22"/>
          <w:lang w:eastAsia="es-CR"/>
        </w:rPr>
        <w:t>252</w:t>
      </w:r>
      <w:r w:rsidRPr="008D57BF">
        <w:rPr>
          <w:rFonts w:ascii="Arial" w:hAnsi="Arial" w:cs="Arial"/>
          <w:szCs w:val="22"/>
          <w:lang w:eastAsia="es-CR"/>
        </w:rPr>
        <w:t xml:space="preserve"> Lineamientos para emisiones verdes, sociales y sostenibles de oferta pública como mínimo 5 días hábiles antes de la remisión del Comunicado de Hecho Relevante donde se definen las características de la emisión. La Superintendencia realizará una revisión </w:t>
      </w:r>
      <w:r>
        <w:rPr>
          <w:rFonts w:ascii="Arial" w:hAnsi="Arial" w:cs="Arial"/>
          <w:szCs w:val="22"/>
          <w:lang w:eastAsia="es-CR"/>
        </w:rPr>
        <w:t xml:space="preserve">previa </w:t>
      </w:r>
      <w:r w:rsidRPr="008D57BF">
        <w:rPr>
          <w:rFonts w:ascii="Arial" w:hAnsi="Arial" w:cs="Arial"/>
          <w:szCs w:val="22"/>
          <w:lang w:eastAsia="es-CR"/>
        </w:rPr>
        <w:t>de esta información y emitirá un</w:t>
      </w:r>
      <w:r>
        <w:rPr>
          <w:rFonts w:ascii="Arial" w:hAnsi="Arial" w:cs="Arial"/>
          <w:szCs w:val="22"/>
          <w:lang w:eastAsia="es-CR"/>
        </w:rPr>
        <w:t>a</w:t>
      </w:r>
      <w:r w:rsidRPr="008D57BF">
        <w:rPr>
          <w:rFonts w:ascii="Arial" w:hAnsi="Arial" w:cs="Arial"/>
          <w:szCs w:val="22"/>
          <w:lang w:eastAsia="es-CR"/>
        </w:rPr>
        <w:t xml:space="preserve"> </w:t>
      </w:r>
      <w:r>
        <w:rPr>
          <w:rFonts w:ascii="Arial" w:hAnsi="Arial" w:cs="Arial"/>
          <w:szCs w:val="22"/>
          <w:lang w:eastAsia="es-CR"/>
        </w:rPr>
        <w:t>autorización</w:t>
      </w:r>
      <w:r w:rsidRPr="008D57BF">
        <w:rPr>
          <w:rFonts w:ascii="Arial" w:hAnsi="Arial" w:cs="Arial"/>
          <w:szCs w:val="22"/>
          <w:lang w:eastAsia="es-CR"/>
        </w:rPr>
        <w:t xml:space="preserve"> para que la entidad continúe con el proceso de registro de la emisión</w:t>
      </w:r>
      <w:r>
        <w:rPr>
          <w:rFonts w:ascii="Arial" w:hAnsi="Arial" w:cs="Arial"/>
          <w:szCs w:val="22"/>
          <w:lang w:eastAsia="es-CR"/>
        </w:rPr>
        <w:t xml:space="preserve"> indicado en el </w:t>
      </w:r>
      <w:r w:rsidRPr="00DE677C">
        <w:rPr>
          <w:rFonts w:ascii="Arial" w:hAnsi="Arial" w:cs="Arial"/>
          <w:bCs/>
          <w:szCs w:val="22"/>
          <w:lang w:eastAsia="en-US"/>
        </w:rPr>
        <w:t>Artículo 12 de este Acuerdo</w:t>
      </w:r>
      <w:r>
        <w:rPr>
          <w:rFonts w:ascii="Arial" w:hAnsi="Arial" w:cs="Arial"/>
          <w:bCs/>
          <w:i/>
          <w:iCs/>
          <w:szCs w:val="22"/>
          <w:lang w:eastAsia="en-US"/>
        </w:rPr>
        <w:t>.”</w:t>
      </w:r>
    </w:p>
    <w:p w14:paraId="6D9166D9" w14:textId="77777777" w:rsidR="00A57C7B" w:rsidRPr="008D57BF" w:rsidRDefault="00A57C7B" w:rsidP="00A57C7B">
      <w:pPr>
        <w:spacing w:before="240" w:after="240"/>
        <w:jc w:val="both"/>
        <w:rPr>
          <w:rFonts w:ascii="Arial" w:hAnsi="Arial" w:cs="Arial"/>
          <w:b/>
          <w:color w:val="000000" w:themeColor="text1"/>
          <w:szCs w:val="22"/>
        </w:rPr>
      </w:pPr>
      <w:r w:rsidRPr="008D57BF">
        <w:rPr>
          <w:rFonts w:ascii="Arial" w:hAnsi="Arial" w:cs="Arial"/>
          <w:b/>
          <w:color w:val="000000" w:themeColor="text1"/>
          <w:szCs w:val="22"/>
        </w:rPr>
        <w:t>Artículo 2. Vigencia</w:t>
      </w:r>
    </w:p>
    <w:p w14:paraId="7E23743C" w14:textId="77777777" w:rsidR="00A57C7B" w:rsidRPr="008D57BF" w:rsidRDefault="00A57C7B" w:rsidP="00A57C7B">
      <w:pPr>
        <w:tabs>
          <w:tab w:val="left" w:pos="8910"/>
        </w:tabs>
        <w:spacing w:before="240" w:after="240"/>
        <w:jc w:val="both"/>
        <w:rPr>
          <w:rFonts w:ascii="Arial" w:hAnsi="Arial" w:cs="Arial"/>
          <w:i/>
          <w:iCs/>
          <w:szCs w:val="22"/>
        </w:rPr>
      </w:pPr>
      <w:r w:rsidRPr="008D57BF">
        <w:rPr>
          <w:rFonts w:ascii="Arial" w:hAnsi="Arial" w:cs="Arial"/>
          <w:szCs w:val="22"/>
        </w:rPr>
        <w:t xml:space="preserve">Rige a partir del </w:t>
      </w:r>
      <w:r w:rsidR="003449FD">
        <w:rPr>
          <w:rFonts w:ascii="Arial" w:hAnsi="Arial" w:cs="Arial"/>
          <w:szCs w:val="22"/>
        </w:rPr>
        <w:t>22</w:t>
      </w:r>
      <w:r w:rsidRPr="008D57BF">
        <w:rPr>
          <w:rFonts w:ascii="Arial" w:hAnsi="Arial" w:cs="Arial"/>
          <w:szCs w:val="22"/>
        </w:rPr>
        <w:t xml:space="preserve"> de </w:t>
      </w:r>
      <w:r w:rsidR="003449FD">
        <w:rPr>
          <w:rFonts w:ascii="Arial" w:hAnsi="Arial" w:cs="Arial"/>
          <w:szCs w:val="22"/>
        </w:rPr>
        <w:t xml:space="preserve">diciembre </w:t>
      </w:r>
      <w:r w:rsidRPr="008D57BF">
        <w:rPr>
          <w:rFonts w:ascii="Arial" w:hAnsi="Arial" w:cs="Arial"/>
          <w:szCs w:val="22"/>
        </w:rPr>
        <w:t>del 202</w:t>
      </w:r>
      <w:r>
        <w:rPr>
          <w:rFonts w:ascii="Arial" w:hAnsi="Arial" w:cs="Arial"/>
          <w:szCs w:val="22"/>
        </w:rPr>
        <w:t>1</w:t>
      </w:r>
      <w:r w:rsidRPr="008D57BF">
        <w:rPr>
          <w:rFonts w:ascii="Arial" w:hAnsi="Arial" w:cs="Arial"/>
          <w:szCs w:val="22"/>
        </w:rPr>
        <w:t>.</w:t>
      </w:r>
    </w:p>
    <w:p w14:paraId="312F2718" w14:textId="77777777" w:rsidR="0014513B" w:rsidRDefault="00A16882">
      <w:r w:rsidRPr="00EC4526">
        <w:rPr>
          <w:rFonts w:ascii="Arial" w:eastAsia="Calibri" w:hAnsi="Arial" w:cs="Arial"/>
          <w:noProof/>
          <w:lang w:eastAsia="es-CR"/>
        </w:rPr>
        <w:drawing>
          <wp:inline distT="0" distB="0" distL="0" distR="0" wp14:anchorId="78FBA2F3" wp14:editId="68A73F4F">
            <wp:extent cx="2733675" cy="333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3675" cy="333375"/>
                    </a:xfrm>
                    <a:prstGeom prst="rect">
                      <a:avLst/>
                    </a:prstGeom>
                    <a:noFill/>
                    <a:ln>
                      <a:noFill/>
                    </a:ln>
                  </pic:spPr>
                </pic:pic>
              </a:graphicData>
            </a:graphic>
          </wp:inline>
        </w:drawing>
      </w:r>
    </w:p>
    <w:sectPr w:rsidR="0014513B" w:rsidSect="00B72BF7">
      <w:headerReference w:type="default" r:id="rId8"/>
      <w:footerReference w:type="default" r:id="rId9"/>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5928DA" w14:textId="77777777" w:rsidR="00926EBE" w:rsidRDefault="00926EBE" w:rsidP="00A57C7B">
      <w:r>
        <w:separator/>
      </w:r>
    </w:p>
  </w:endnote>
  <w:endnote w:type="continuationSeparator" w:id="0">
    <w:p w14:paraId="467F33B8" w14:textId="77777777" w:rsidR="00926EBE" w:rsidRDefault="00926EBE" w:rsidP="00A57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6613983"/>
      <w:docPartObj>
        <w:docPartGallery w:val="Page Numbers (Bottom of Page)"/>
        <w:docPartUnique/>
      </w:docPartObj>
    </w:sdtPr>
    <w:sdtEndPr>
      <w:rPr>
        <w:rFonts w:ascii="Arial" w:hAnsi="Arial" w:cs="Arial"/>
        <w:color w:val="1B75BB"/>
        <w:spacing w:val="60"/>
      </w:rPr>
    </w:sdtEndPr>
    <w:sdtContent>
      <w:p w14:paraId="49E0B784" w14:textId="77777777" w:rsidR="00B9394D" w:rsidRDefault="00A57C7B" w:rsidP="00B9394D">
        <w:pPr>
          <w:pStyle w:val="Piedepgina"/>
          <w:pBdr>
            <w:top w:val="single" w:sz="4" w:space="1" w:color="D9D9D9" w:themeColor="background1" w:themeShade="D9"/>
          </w:pBdr>
          <w:rPr>
            <w:rFonts w:ascii="Arial" w:hAnsi="Arial" w:cs="Arial"/>
            <w:color w:val="1B75BB"/>
            <w:spacing w:val="60"/>
          </w:rPr>
        </w:pPr>
        <w:r w:rsidRPr="00644A72">
          <w:rPr>
            <w:rFonts w:ascii="Arial" w:hAnsi="Arial" w:cs="Arial"/>
            <w:color w:val="1B75BB"/>
          </w:rPr>
          <w:fldChar w:fldCharType="begin"/>
        </w:r>
        <w:r w:rsidRPr="00644A72">
          <w:rPr>
            <w:rFonts w:ascii="Arial" w:hAnsi="Arial" w:cs="Arial"/>
            <w:color w:val="1B75BB"/>
          </w:rPr>
          <w:instrText xml:space="preserve"> PAGE   \* MERGEFORMAT </w:instrText>
        </w:r>
        <w:r w:rsidRPr="00644A72">
          <w:rPr>
            <w:rFonts w:ascii="Arial" w:hAnsi="Arial" w:cs="Arial"/>
            <w:color w:val="1B75BB"/>
          </w:rPr>
          <w:fldChar w:fldCharType="separate"/>
        </w:r>
        <w:r>
          <w:rPr>
            <w:rFonts w:ascii="Arial" w:hAnsi="Arial" w:cs="Arial"/>
            <w:color w:val="1B75BB"/>
          </w:rPr>
          <w:t>4</w:t>
        </w:r>
        <w:r w:rsidRPr="00644A72">
          <w:rPr>
            <w:rFonts w:ascii="Arial" w:hAnsi="Arial" w:cs="Arial"/>
            <w:b/>
            <w:bCs/>
            <w:noProof/>
            <w:color w:val="1B75BB"/>
          </w:rPr>
          <w:fldChar w:fldCharType="end"/>
        </w:r>
        <w:r w:rsidRPr="00644A72">
          <w:rPr>
            <w:rFonts w:ascii="Arial" w:hAnsi="Arial" w:cs="Arial"/>
            <w:b/>
            <w:bCs/>
            <w:color w:val="1B75BB"/>
          </w:rPr>
          <w:t xml:space="preserve"> | </w:t>
        </w:r>
      </w:p>
    </w:sdtContent>
  </w:sdt>
  <w:p w14:paraId="4CED252F" w14:textId="77777777" w:rsidR="00B9394D" w:rsidRPr="00B9394D" w:rsidRDefault="00797DAE" w:rsidP="00B9394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349D6D" w14:textId="77777777" w:rsidR="00926EBE" w:rsidRDefault="00926EBE" w:rsidP="00A57C7B">
      <w:r>
        <w:separator/>
      </w:r>
    </w:p>
  </w:footnote>
  <w:footnote w:type="continuationSeparator" w:id="0">
    <w:p w14:paraId="3D4DDFF1" w14:textId="77777777" w:rsidR="00926EBE" w:rsidRDefault="00926EBE" w:rsidP="00A57C7B">
      <w:r>
        <w:continuationSeparator/>
      </w:r>
    </w:p>
  </w:footnote>
  <w:footnote w:id="1">
    <w:p w14:paraId="73CCC897" w14:textId="77777777" w:rsidR="00C2662A" w:rsidRPr="00EC0AC7" w:rsidRDefault="00C2662A" w:rsidP="00C2662A">
      <w:pPr>
        <w:autoSpaceDE w:val="0"/>
        <w:autoSpaceDN w:val="0"/>
        <w:jc w:val="both"/>
        <w:rPr>
          <w:rFonts w:ascii="Arial" w:hAnsi="Arial" w:cs="Arial"/>
          <w:bCs/>
          <w:lang w:val="es-ES"/>
        </w:rPr>
      </w:pPr>
      <w:r w:rsidRPr="0096434A">
        <w:rPr>
          <w:rStyle w:val="Refdenotaalpie"/>
          <w:rFonts w:ascii="Arial" w:hAnsi="Arial" w:cs="Arial"/>
        </w:rPr>
        <w:footnoteRef/>
      </w:r>
      <w:r w:rsidRPr="0096434A">
        <w:rPr>
          <w:rFonts w:ascii="Arial" w:hAnsi="Arial" w:cs="Arial"/>
        </w:rPr>
        <w:t xml:space="preserve"> </w:t>
      </w:r>
      <w:r w:rsidRPr="00832CA7">
        <w:rPr>
          <w:rFonts w:ascii="Arial" w:hAnsi="Arial" w:cs="Arial"/>
          <w:bCs/>
          <w:lang w:val="es-ES"/>
        </w:rPr>
        <w:t xml:space="preserve">Superintendencia General de Valores. Despacho de la Superintendente. A las </w:t>
      </w:r>
      <w:r w:rsidR="002A35D8" w:rsidRPr="00832CA7">
        <w:rPr>
          <w:rFonts w:ascii="Arial" w:hAnsi="Arial" w:cs="Arial"/>
          <w:bCs/>
          <w:lang w:val="es-ES"/>
        </w:rPr>
        <w:t>quince h</w:t>
      </w:r>
      <w:r w:rsidRPr="00832CA7">
        <w:rPr>
          <w:rFonts w:ascii="Arial" w:hAnsi="Arial" w:cs="Arial"/>
          <w:bCs/>
          <w:lang w:val="es-ES"/>
        </w:rPr>
        <w:t xml:space="preserve">oras </w:t>
      </w:r>
      <w:r w:rsidR="002A35D8" w:rsidRPr="00832CA7">
        <w:rPr>
          <w:rFonts w:ascii="Arial" w:hAnsi="Arial" w:cs="Arial"/>
          <w:bCs/>
          <w:lang w:val="es-ES"/>
        </w:rPr>
        <w:t xml:space="preserve">diez minutos </w:t>
      </w:r>
      <w:r w:rsidRPr="00832CA7">
        <w:rPr>
          <w:rFonts w:ascii="Arial" w:hAnsi="Arial" w:cs="Arial"/>
          <w:bCs/>
          <w:lang w:val="es-ES"/>
        </w:rPr>
        <w:t xml:space="preserve">del </w:t>
      </w:r>
      <w:r w:rsidR="002A35D8" w:rsidRPr="00832CA7">
        <w:rPr>
          <w:rFonts w:ascii="Arial" w:hAnsi="Arial" w:cs="Arial"/>
          <w:bCs/>
          <w:lang w:val="es-ES"/>
        </w:rPr>
        <w:t>veintidós</w:t>
      </w:r>
      <w:r w:rsidRPr="00832CA7">
        <w:rPr>
          <w:rFonts w:ascii="Arial" w:hAnsi="Arial" w:cs="Arial"/>
          <w:bCs/>
          <w:lang w:val="es-ES"/>
        </w:rPr>
        <w:t xml:space="preserve"> de </w:t>
      </w:r>
      <w:r w:rsidR="002A35D8" w:rsidRPr="00832CA7">
        <w:rPr>
          <w:rFonts w:ascii="Arial" w:hAnsi="Arial" w:cs="Arial"/>
          <w:bCs/>
          <w:lang w:val="es-ES"/>
        </w:rPr>
        <w:t xml:space="preserve">diciembre </w:t>
      </w:r>
      <w:r w:rsidRPr="00832CA7">
        <w:rPr>
          <w:rFonts w:ascii="Arial" w:hAnsi="Arial" w:cs="Arial"/>
          <w:bCs/>
          <w:lang w:val="es-ES"/>
        </w:rPr>
        <w:t xml:space="preserve">del dos </w:t>
      </w:r>
      <w:proofErr w:type="gramStart"/>
      <w:r w:rsidRPr="00832CA7">
        <w:rPr>
          <w:rFonts w:ascii="Arial" w:hAnsi="Arial" w:cs="Arial"/>
          <w:bCs/>
          <w:lang w:val="es-ES"/>
        </w:rPr>
        <w:t>mil veintiuno</w:t>
      </w:r>
      <w:proofErr w:type="gramEnd"/>
      <w:r w:rsidRPr="00832CA7">
        <w:rPr>
          <w:rFonts w:ascii="Arial" w:hAnsi="Arial" w:cs="Arial"/>
          <w:bCs/>
          <w:lang w:val="es-ES"/>
        </w:rPr>
        <w:t>.</w:t>
      </w:r>
      <w:r>
        <w:rPr>
          <w:rFonts w:ascii="Arial" w:hAnsi="Arial" w:cs="Arial"/>
          <w:bCs/>
          <w:lang w:val="es-ES"/>
        </w:rPr>
        <w:t xml:space="preserve"> </w:t>
      </w:r>
    </w:p>
    <w:p w14:paraId="12384756" w14:textId="77777777" w:rsidR="00C2662A" w:rsidRPr="00EC0AC7" w:rsidRDefault="00C2662A" w:rsidP="00C2662A">
      <w:pPr>
        <w:ind w:right="-193"/>
        <w:jc w:val="both"/>
        <w:rPr>
          <w:rFonts w:ascii="Arial" w:hAnsi="Arial" w:cs="Arial"/>
          <w:bCs/>
        </w:rPr>
      </w:pPr>
    </w:p>
    <w:p w14:paraId="14157919" w14:textId="77777777" w:rsidR="00C2662A" w:rsidRPr="0096434A" w:rsidRDefault="00C2662A" w:rsidP="00C2662A">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9BFBF" w14:textId="77777777" w:rsidR="003159D1" w:rsidRDefault="003449FD">
    <w:pPr>
      <w:pStyle w:val="Encabezado"/>
    </w:pPr>
    <w:r>
      <w:rPr>
        <w:noProof/>
        <w:lang w:eastAsia="es-CR"/>
      </w:rPr>
      <w:drawing>
        <wp:anchor distT="0" distB="0" distL="114300" distR="114300" simplePos="0" relativeHeight="251659264" behindDoc="0" locked="0" layoutInCell="1" allowOverlap="1" wp14:anchorId="14A1D686" wp14:editId="5030DCFA">
          <wp:simplePos x="0" y="0"/>
          <wp:positionH relativeFrom="margin">
            <wp:align>right</wp:align>
          </wp:positionH>
          <wp:positionV relativeFrom="page">
            <wp:posOffset>442595</wp:posOffset>
          </wp:positionV>
          <wp:extent cx="1463040" cy="415221"/>
          <wp:effectExtent l="0" t="0" r="3810" b="4445"/>
          <wp:wrapNone/>
          <wp:docPr id="8" name="Picture 15"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63040" cy="415221"/>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t xml:space="preserve">                 </w:t>
    </w:r>
    <w:r>
      <w:tab/>
    </w:r>
  </w:p>
  <w:p w14:paraId="7ACE0B47" w14:textId="77777777" w:rsidR="003449FD" w:rsidRDefault="003449FD">
    <w:pPr>
      <w:pStyle w:val="Encabezado"/>
    </w:pPr>
  </w:p>
  <w:p w14:paraId="4D939D9A" w14:textId="77777777" w:rsidR="003449FD" w:rsidRDefault="003449FD">
    <w:pPr>
      <w:pStyle w:val="Encabezado"/>
    </w:pPr>
    <w:r>
      <w:rPr>
        <w:noProof/>
        <w:lang w:eastAsia="es-CR"/>
      </w:rPr>
      <mc:AlternateContent>
        <mc:Choice Requires="wps">
          <w:drawing>
            <wp:anchor distT="4294967292" distB="4294967292" distL="114300" distR="114300" simplePos="0" relativeHeight="251661312" behindDoc="0" locked="0" layoutInCell="1" allowOverlap="1" wp14:anchorId="2D66CAEF" wp14:editId="02A1A207">
              <wp:simplePos x="0" y="0"/>
              <wp:positionH relativeFrom="margin">
                <wp:align>right</wp:align>
              </wp:positionH>
              <wp:positionV relativeFrom="paragraph">
                <wp:posOffset>5715</wp:posOffset>
              </wp:positionV>
              <wp:extent cx="5461000" cy="6350"/>
              <wp:effectExtent l="0" t="0" r="25400" b="317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1000" cy="635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449F0" id="Conector recto 4" o:spid="_x0000_s1026" style="position:absolute;z-index:251661312;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78.8pt,.45pt" to="808.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" strokecolor="#1b75bb" strokeweight="1.5pt">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EC4D38"/>
    <w:multiLevelType w:val="multilevel"/>
    <w:tmpl w:val="C8F61430"/>
    <w:lvl w:ilvl="0">
      <w:start w:val="9"/>
      <w:numFmt w:val="lowerLetter"/>
      <w:lvlText w:val="%1)"/>
      <w:lvlJc w:val="left"/>
      <w:pPr>
        <w:ind w:left="360" w:hanging="360"/>
      </w:pPr>
      <w:rPr>
        <w:rFonts w:hint="default"/>
      </w:rPr>
    </w:lvl>
    <w:lvl w:ilvl="1">
      <w:start w:val="1"/>
      <w:numFmt w:val="lowerRoman"/>
      <w:lvlText w:val="%2."/>
      <w:lvlJc w:val="left"/>
      <w:pPr>
        <w:ind w:left="1080" w:hanging="360"/>
      </w:pPr>
      <w:rPr>
        <w:rFonts w:hint="default"/>
      </w:rPr>
    </w:lvl>
    <w:lvl w:ilvl="2">
      <w:start w:val="1"/>
      <w:numFmt w:val="bullet"/>
      <w:lvlText w:val=""/>
      <w:lvlJc w:val="left"/>
      <w:pPr>
        <w:ind w:left="1800" w:hanging="18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Wingdings 2" w:hAnsi="Wingdings 2" w:hint="default"/>
        <w:color w:val="auto"/>
      </w:rPr>
    </w:lvl>
    <w:lvl w:ilvl="8">
      <w:start w:val="1"/>
      <w:numFmt w:val="bullet"/>
      <w:lvlText w:val=""/>
      <w:lvlJc w:val="left"/>
      <w:pPr>
        <w:ind w:left="6120" w:hanging="180"/>
      </w:pPr>
      <w:rPr>
        <w:rFonts w:ascii="Wingdings 2" w:hAnsi="Wingdings 2" w:hint="default"/>
        <w:color w:val="auto"/>
      </w:rPr>
    </w:lvl>
  </w:abstractNum>
  <w:abstractNum w:abstractNumId="1" w15:restartNumberingAfterBreak="0">
    <w:nsid w:val="26AC5608"/>
    <w:multiLevelType w:val="hybridMultilevel"/>
    <w:tmpl w:val="D7B0357E"/>
    <w:lvl w:ilvl="0" w:tplc="9910950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4EE559A"/>
    <w:multiLevelType w:val="hybridMultilevel"/>
    <w:tmpl w:val="6DC80494"/>
    <w:lvl w:ilvl="0" w:tplc="140A0017">
      <w:start w:val="8"/>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42806BEA"/>
    <w:multiLevelType w:val="hybridMultilevel"/>
    <w:tmpl w:val="9D32FF96"/>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5C236F1B"/>
    <w:multiLevelType w:val="hybridMultilevel"/>
    <w:tmpl w:val="77AC88FA"/>
    <w:lvl w:ilvl="0" w:tplc="21865C1A">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73F97A34"/>
    <w:multiLevelType w:val="multilevel"/>
    <w:tmpl w:val="8544EAA6"/>
    <w:lvl w:ilvl="0">
      <w:start w:val="11"/>
      <w:numFmt w:val="lowerLetter"/>
      <w:lvlText w:val="%1)"/>
      <w:lvlJc w:val="left"/>
      <w:pPr>
        <w:ind w:left="502"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Symbol" w:hAnsi="Symbol" w:hint="default"/>
        <w:color w:val="auto"/>
      </w:rPr>
    </w:lvl>
    <w:lvl w:ilvl="5">
      <w:start w:val="1"/>
      <w:numFmt w:val="bullet"/>
      <w:lvlText w:val=""/>
      <w:lvlJc w:val="left"/>
      <w:pPr>
        <w:ind w:left="4320" w:hanging="180"/>
      </w:pPr>
      <w:rPr>
        <w:rFonts w:ascii="Symbol" w:hAnsi="Symbol" w:hint="default"/>
        <w:color w:val="auto"/>
      </w:rPr>
    </w:lvl>
    <w:lvl w:ilvl="6">
      <w:start w:val="1"/>
      <w:numFmt w:val="bullet"/>
      <w:lvlText w:val=""/>
      <w:lvlJc w:val="left"/>
      <w:pPr>
        <w:ind w:left="5040" w:hanging="360"/>
      </w:pPr>
      <w:rPr>
        <w:rFonts w:ascii="Symbol" w:hAnsi="Symbol" w:hint="default"/>
        <w:color w:val="auto"/>
      </w:rPr>
    </w:lvl>
    <w:lvl w:ilvl="7">
      <w:start w:val="1"/>
      <w:numFmt w:val="bullet"/>
      <w:lvlText w:val=""/>
      <w:lvlJc w:val="left"/>
      <w:pPr>
        <w:ind w:left="5760" w:hanging="360"/>
      </w:pPr>
      <w:rPr>
        <w:rFonts w:ascii="Wingdings 2" w:hAnsi="Wingdings 2" w:hint="default"/>
        <w:color w:val="auto"/>
      </w:rPr>
    </w:lvl>
    <w:lvl w:ilvl="8">
      <w:start w:val="1"/>
      <w:numFmt w:val="bullet"/>
      <w:lvlText w:val=""/>
      <w:lvlJc w:val="left"/>
      <w:pPr>
        <w:ind w:left="6480" w:hanging="180"/>
      </w:pPr>
      <w:rPr>
        <w:rFonts w:ascii="Wingdings 2" w:hAnsi="Wingdings 2" w:hint="default"/>
        <w:color w:val="auto"/>
      </w:rPr>
    </w:lvl>
  </w:abstractNum>
  <w:num w:numId="1">
    <w:abstractNumId w:val="1"/>
  </w:num>
  <w:num w:numId="2">
    <w:abstractNumId w:val="5"/>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7B"/>
    <w:rsid w:val="00055A5A"/>
    <w:rsid w:val="000E7207"/>
    <w:rsid w:val="0014513B"/>
    <w:rsid w:val="002A35D8"/>
    <w:rsid w:val="003449FD"/>
    <w:rsid w:val="004611EC"/>
    <w:rsid w:val="004A6FB2"/>
    <w:rsid w:val="005777FD"/>
    <w:rsid w:val="005E0696"/>
    <w:rsid w:val="00797DAE"/>
    <w:rsid w:val="00832CA7"/>
    <w:rsid w:val="008A5BF1"/>
    <w:rsid w:val="00926EBE"/>
    <w:rsid w:val="00A16882"/>
    <w:rsid w:val="00A42407"/>
    <w:rsid w:val="00A57C7B"/>
    <w:rsid w:val="00A7245D"/>
    <w:rsid w:val="00A73740"/>
    <w:rsid w:val="00B3038A"/>
    <w:rsid w:val="00B52511"/>
    <w:rsid w:val="00B72BF7"/>
    <w:rsid w:val="00C2662A"/>
    <w:rsid w:val="00C9323B"/>
    <w:rsid w:val="00C9607C"/>
    <w:rsid w:val="00D575D1"/>
    <w:rsid w:val="00EB1941"/>
    <w:rsid w:val="00FE502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99A3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C7B"/>
    <w:pPr>
      <w:spacing w:after="0" w:line="240" w:lineRule="auto"/>
    </w:pPr>
    <w:rPr>
      <w:rFonts w:ascii="Arial Narrow" w:eastAsia="Times New Roman" w:hAnsi="Arial Narrow" w:cs="Times New Roman"/>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Informe,Con viñetas,Normal con viñetas,3,Use Case List Paragraph,Bullet 1,List Paragraph 1,Numbered List Paragraph,Main numbered paragraph,Bullets,List Paragraph (numbered (a)),Akapit z listą BS,List_Paragraph,Multilevel para_II"/>
    <w:basedOn w:val="Normal"/>
    <w:link w:val="PrrafodelistaCar"/>
    <w:uiPriority w:val="34"/>
    <w:qFormat/>
    <w:rsid w:val="00A57C7B"/>
    <w:pPr>
      <w:ind w:left="720"/>
    </w:pPr>
  </w:style>
  <w:style w:type="paragraph" w:styleId="Ttulo">
    <w:name w:val="Title"/>
    <w:basedOn w:val="Normal"/>
    <w:link w:val="TtuloCar"/>
    <w:qFormat/>
    <w:rsid w:val="00A57C7B"/>
    <w:pPr>
      <w:widowControl w:val="0"/>
      <w:jc w:val="center"/>
      <w:outlineLvl w:val="0"/>
    </w:pPr>
    <w:rPr>
      <w:rFonts w:ascii="Arial" w:hAnsi="Arial"/>
      <w:b/>
      <w:i/>
      <w:sz w:val="24"/>
      <w:lang w:eastAsia="en-US"/>
    </w:rPr>
  </w:style>
  <w:style w:type="character" w:customStyle="1" w:styleId="TtuloCar">
    <w:name w:val="Título Car"/>
    <w:basedOn w:val="Fuentedeprrafopredeter"/>
    <w:link w:val="Ttulo"/>
    <w:rsid w:val="00A57C7B"/>
    <w:rPr>
      <w:rFonts w:ascii="Arial" w:eastAsia="Times New Roman" w:hAnsi="Arial" w:cs="Times New Roman"/>
      <w:b/>
      <w:i/>
      <w:sz w:val="24"/>
      <w:szCs w:val="24"/>
    </w:r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n,single space"/>
    <w:basedOn w:val="Normal"/>
    <w:link w:val="TextonotapieCar"/>
    <w:uiPriority w:val="99"/>
    <w:unhideWhenUsed/>
    <w:rsid w:val="00A57C7B"/>
    <w:rPr>
      <w:sz w:val="20"/>
      <w:szCs w:val="20"/>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basedOn w:val="Fuentedeprrafopredeter"/>
    <w:link w:val="Textonotapie"/>
    <w:uiPriority w:val="99"/>
    <w:rsid w:val="00A57C7B"/>
    <w:rPr>
      <w:rFonts w:ascii="Arial Narrow" w:eastAsia="Times New Roman" w:hAnsi="Arial Narrow" w:cs="Times New Roman"/>
      <w:sz w:val="20"/>
      <w:szCs w:val="20"/>
      <w:lang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uiPriority w:val="99"/>
    <w:unhideWhenUsed/>
    <w:qFormat/>
    <w:rsid w:val="00A57C7B"/>
    <w:rPr>
      <w:vertAlign w:val="superscript"/>
    </w:rPr>
  </w:style>
  <w:style w:type="character" w:customStyle="1" w:styleId="PrrafodelistaCar">
    <w:name w:val="Párrafo de lista Car"/>
    <w:aliases w:val="Informe Car,Con viñetas Car,Normal con viñetas Car,3 Car,Use Case List Paragraph Car,Bullet 1 Car,List Paragraph 1 Car,Numbered List Paragraph Car,Main numbered paragraph Car,Bullets Car,List Paragraph (numbered (a)) Car"/>
    <w:link w:val="Prrafodelista"/>
    <w:uiPriority w:val="34"/>
    <w:qFormat/>
    <w:locked/>
    <w:rsid w:val="00A57C7B"/>
    <w:rPr>
      <w:rFonts w:ascii="Arial Narrow" w:eastAsia="Times New Roman" w:hAnsi="Arial Narrow" w:cs="Times New Roman"/>
      <w:szCs w:val="24"/>
      <w:lang w:eastAsia="es-ES"/>
    </w:rPr>
  </w:style>
  <w:style w:type="paragraph" w:styleId="Encabezado">
    <w:name w:val="header"/>
    <w:basedOn w:val="Normal"/>
    <w:link w:val="EncabezadoCar"/>
    <w:uiPriority w:val="99"/>
    <w:unhideWhenUsed/>
    <w:rsid w:val="00A57C7B"/>
    <w:pPr>
      <w:tabs>
        <w:tab w:val="center" w:pos="4419"/>
        <w:tab w:val="right" w:pos="8838"/>
      </w:tabs>
    </w:pPr>
  </w:style>
  <w:style w:type="character" w:customStyle="1" w:styleId="EncabezadoCar">
    <w:name w:val="Encabezado Car"/>
    <w:basedOn w:val="Fuentedeprrafopredeter"/>
    <w:link w:val="Encabezado"/>
    <w:uiPriority w:val="99"/>
    <w:rsid w:val="00A57C7B"/>
    <w:rPr>
      <w:rFonts w:ascii="Arial Narrow" w:eastAsia="Times New Roman" w:hAnsi="Arial Narrow" w:cs="Times New Roman"/>
      <w:szCs w:val="24"/>
      <w:lang w:eastAsia="es-ES"/>
    </w:rPr>
  </w:style>
  <w:style w:type="paragraph" w:styleId="Piedepgina">
    <w:name w:val="footer"/>
    <w:basedOn w:val="Normal"/>
    <w:link w:val="PiedepginaCar"/>
    <w:uiPriority w:val="99"/>
    <w:unhideWhenUsed/>
    <w:rsid w:val="00A57C7B"/>
    <w:pPr>
      <w:tabs>
        <w:tab w:val="center" w:pos="4419"/>
        <w:tab w:val="right" w:pos="8838"/>
      </w:tabs>
    </w:pPr>
  </w:style>
  <w:style w:type="character" w:customStyle="1" w:styleId="PiedepginaCar">
    <w:name w:val="Pie de página Car"/>
    <w:basedOn w:val="Fuentedeprrafopredeter"/>
    <w:link w:val="Piedepgina"/>
    <w:uiPriority w:val="99"/>
    <w:rsid w:val="00A57C7B"/>
    <w:rPr>
      <w:rFonts w:ascii="Arial Narrow" w:eastAsia="Times New Roman" w:hAnsi="Arial Narrow" w:cs="Times New Roman"/>
      <w:szCs w:val="24"/>
      <w:lang w:eastAsia="es-ES"/>
    </w:rPr>
  </w:style>
  <w:style w:type="character" w:styleId="Refdecomentario">
    <w:name w:val="annotation reference"/>
    <w:basedOn w:val="Fuentedeprrafopredeter"/>
    <w:uiPriority w:val="99"/>
    <w:semiHidden/>
    <w:unhideWhenUsed/>
    <w:rsid w:val="004611EC"/>
    <w:rPr>
      <w:sz w:val="16"/>
      <w:szCs w:val="16"/>
    </w:rPr>
  </w:style>
  <w:style w:type="paragraph" w:styleId="Textocomentario">
    <w:name w:val="annotation text"/>
    <w:basedOn w:val="Normal"/>
    <w:link w:val="TextocomentarioCar"/>
    <w:uiPriority w:val="99"/>
    <w:semiHidden/>
    <w:unhideWhenUsed/>
    <w:rsid w:val="004611EC"/>
    <w:rPr>
      <w:sz w:val="20"/>
      <w:szCs w:val="20"/>
    </w:rPr>
  </w:style>
  <w:style w:type="character" w:customStyle="1" w:styleId="TextocomentarioCar">
    <w:name w:val="Texto comentario Car"/>
    <w:basedOn w:val="Fuentedeprrafopredeter"/>
    <w:link w:val="Textocomentario"/>
    <w:uiPriority w:val="99"/>
    <w:semiHidden/>
    <w:rsid w:val="004611EC"/>
    <w:rPr>
      <w:rFonts w:ascii="Arial Narrow" w:eastAsia="Times New Roman" w:hAnsi="Arial Narrow"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4611EC"/>
    <w:rPr>
      <w:b/>
      <w:bCs/>
    </w:rPr>
  </w:style>
  <w:style w:type="character" w:customStyle="1" w:styleId="AsuntodelcomentarioCar">
    <w:name w:val="Asunto del comentario Car"/>
    <w:basedOn w:val="TextocomentarioCar"/>
    <w:link w:val="Asuntodelcomentario"/>
    <w:uiPriority w:val="99"/>
    <w:semiHidden/>
    <w:rsid w:val="004611EC"/>
    <w:rPr>
      <w:rFonts w:ascii="Arial Narrow" w:eastAsia="Times New Roman" w:hAnsi="Arial Narrow" w:cs="Times New Roman"/>
      <w:b/>
      <w:bCs/>
      <w:sz w:val="20"/>
      <w:szCs w:val="20"/>
      <w:lang w:eastAsia="es-ES"/>
    </w:rPr>
  </w:style>
  <w:style w:type="paragraph" w:styleId="Textodeglobo">
    <w:name w:val="Balloon Text"/>
    <w:basedOn w:val="Normal"/>
    <w:link w:val="TextodegloboCar"/>
    <w:uiPriority w:val="99"/>
    <w:semiHidden/>
    <w:unhideWhenUsed/>
    <w:rsid w:val="004611E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611EC"/>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CEDB1E-A1FB-4F86-91EF-2FD38DF9614B}"/>
</file>

<file path=customXml/itemProps2.xml><?xml version="1.0" encoding="utf-8"?>
<ds:datastoreItem xmlns:ds="http://schemas.openxmlformats.org/officeDocument/2006/customXml" ds:itemID="{31EEDBCA-EFA4-4377-946E-ACD7C4688461}"/>
</file>

<file path=customXml/itemProps3.xml><?xml version="1.0" encoding="utf-8"?>
<ds:datastoreItem xmlns:ds="http://schemas.openxmlformats.org/officeDocument/2006/customXml" ds:itemID="{A4FC483C-E0CA-4BCA-B91D-25A0D84F7DFF}"/>
</file>

<file path=docProps/app.xml><?xml version="1.0" encoding="utf-8"?>
<Properties xmlns="http://schemas.openxmlformats.org/officeDocument/2006/extended-properties" xmlns:vt="http://schemas.openxmlformats.org/officeDocument/2006/docPropsVTypes">
  <Template>Normal</Template>
  <TotalTime>0</TotalTime>
  <Pages>4</Pages>
  <Words>1445</Words>
  <Characters>7953</Characters>
  <Application>Microsoft Office Word</Application>
  <DocSecurity>0</DocSecurity>
  <Lines>66</Lines>
  <Paragraphs>18</Paragraphs>
  <ScaleCrop>false</ScaleCrop>
  <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2021-12-23T20:26:00Z</dcterms:created>
  <dcterms:modified xsi:type="dcterms:W3CDTF">2021-12-23T20:27:00Z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1131100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