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3D194" w14:textId="77777777" w:rsidR="000B3F99" w:rsidRPr="00D673AA" w:rsidRDefault="000B3F99" w:rsidP="000B3F99">
      <w:pPr>
        <w:spacing w:after="0" w:line="240" w:lineRule="auto"/>
        <w:ind w:right="-193"/>
        <w:jc w:val="both"/>
        <w:rPr>
          <w:rFonts w:eastAsia="Times New Roman" w:cs="Arial"/>
          <w:b/>
          <w:lang w:eastAsia="es-ES"/>
        </w:rPr>
      </w:pPr>
      <w:r w:rsidRPr="00D673AA">
        <w:rPr>
          <w:rFonts w:eastAsia="Times New Roman" w:cs="Arial"/>
          <w:b/>
          <w:bCs/>
          <w:iCs/>
          <w:noProof/>
          <w:lang w:val="es-ES_tradnl" w:eastAsia="es-ES"/>
        </w:rPr>
        <w:t>SGV-</w:t>
      </w:r>
      <w:r w:rsidRPr="001F7EF6">
        <w:rPr>
          <w:rFonts w:eastAsia="Times New Roman" w:cs="Arial"/>
          <w:b/>
          <w:bCs/>
          <w:iCs/>
          <w:noProof/>
          <w:lang w:val="es-ES_tradnl" w:eastAsia="es-ES"/>
        </w:rPr>
        <w:t xml:space="preserve">A-256. </w:t>
      </w:r>
      <w:r w:rsidRPr="001F7EF6">
        <w:rPr>
          <w:rFonts w:eastAsia="Times New Roman" w:cs="Arial"/>
          <w:b/>
          <w:lang w:eastAsia="es-ES"/>
        </w:rPr>
        <w:t xml:space="preserve">MODIFICACIÓN AL ACUERDO SGV-A-75 “SUMINISTRO DE INFORMACIÓN PERIÓDICA” </w:t>
      </w:r>
      <w:r w:rsidRPr="001F7EF6">
        <w:rPr>
          <w:rStyle w:val="Refdenotaalpie"/>
          <w:rFonts w:cs="Arial"/>
          <w:b/>
        </w:rPr>
        <w:footnoteReference w:id="1"/>
      </w:r>
    </w:p>
    <w:p w14:paraId="01FC23D0" w14:textId="77777777" w:rsidR="000B3F99" w:rsidRPr="00D673AA" w:rsidRDefault="000B3F99" w:rsidP="000B3F99">
      <w:pPr>
        <w:spacing w:after="0" w:line="240" w:lineRule="auto"/>
        <w:ind w:right="-193"/>
        <w:jc w:val="both"/>
        <w:rPr>
          <w:rFonts w:eastAsia="Times New Roman" w:cs="Arial"/>
          <w:bCs/>
        </w:rPr>
      </w:pPr>
    </w:p>
    <w:p w14:paraId="40F69E95" w14:textId="77777777" w:rsidR="000B3F99" w:rsidRPr="00D673AA" w:rsidRDefault="000B3F99" w:rsidP="000B3F99">
      <w:pPr>
        <w:spacing w:after="0" w:line="276" w:lineRule="auto"/>
        <w:ind w:right="-193"/>
        <w:jc w:val="both"/>
        <w:rPr>
          <w:rFonts w:eastAsia="Times New Roman" w:cs="Arial"/>
          <w:b/>
          <w:bCs/>
          <w:lang w:val="es-CR" w:eastAsia="es-ES"/>
        </w:rPr>
      </w:pPr>
      <w:r w:rsidRPr="00D673AA">
        <w:rPr>
          <w:rFonts w:eastAsia="Times New Roman" w:cs="Arial"/>
          <w:b/>
          <w:bCs/>
          <w:lang w:val="es-CR" w:eastAsia="es-ES"/>
        </w:rPr>
        <w:t>Considerando que:</w:t>
      </w:r>
    </w:p>
    <w:p w14:paraId="502E8090"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2306FB44"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5DE22935"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Este Reglamento confiere al Superintendente la potestad para definir el contenido, la periodicidad y los medios de suministro de la información periódica que debe remitirse a la Superintendencia General de Valores, por lo que se emitió el SGV-A-75, Acuerdo sobre el Suministro de Información Periódica con fecha 24 de abril del 2003, y se ha retomado durante los últimos años para actualizar los deberes de información de las entidades.</w:t>
      </w:r>
    </w:p>
    <w:p w14:paraId="4853B75C"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Para promover en el mercado de valores la utilización de instrumentos financieros para contribuir con el desarrollo sostenible, la Asociación Internacional de Mercados de Capitales (ICMA) elaboró estándares internacionales a través de los Principios de Bonos Verdes, Sociales y Sostenibles, que a su vez son directrices que recomiendan transparencia, publicidad y reporte de informes. Para incentivar esa transparencia en el uso de los recursos ya sea de proyectos verdes, sociales o sostenibles, se recomienda la presentación de una revisión externa anualmente en la que se revise y confirme la alineación de una emisión o programa con los componentes básicos establecidos dichos Principios relacionados con el uso de los recursos, el proceso de evaluación y selección, la gestión de fondos y los informes.</w:t>
      </w:r>
    </w:p>
    <w:p w14:paraId="4EAE2DD8"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 xml:space="preserve">El principio de transparencia facilita y promueve la participación en la toma de decisiones, en general, por el propio emisor, los inversionistas y los terceros que la utilicen. La decisión de los inversionistas de invertir en emisiones verdes, sociales y sostenibles dependerá, entre otros, de la información que dispongan sobre los proyectos que serán financiados. Esta decisión requerirá de información adicional que debe ser proporcionada claramente, por lo que se hace necesario establecer un marco común de reglas para este segmento del mercado. </w:t>
      </w:r>
    </w:p>
    <w:p w14:paraId="0B21A71E"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lastRenderedPageBreak/>
        <w:t xml:space="preserve">El principio “Publicación de Informes” de los Green Bond Principles, de los Social Bond Principles y los Sustainability Bond Principles emitidos por el Asociación Internacional del Mercado de Capitales ICMA (por sus siglas en inglés) establecen que los emisores deben tener y mantener información actualizada fácilmente disponible sobre el uso de los fondos, que se renovará anualmente hasta su asignación total, y cada cierto tiempo según sea necesario en caso de que haya un hecho relevante. El informe anual deberá incluir una lista de los proyectos a los que se han asignado los fondos de la emisión verde, social o sostenible o fondo de inversión, así como una breve descripción de los proyectos y las cantidades asignadas, y su impacto esperado. </w:t>
      </w:r>
    </w:p>
    <w:p w14:paraId="2514CFBD"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Mediante el artículo 11 del acta de sesión 1620-2020 celebrada el 16 de noviembre del 2020, el Consejo Nacional de Supervisión del Sistema Financiero aprobó en firme la modificación a los reglamentos Reglamento sobre oferta pública de valores para la adición del literal d) al artículo 17, literal g) al artículo 18, literal g) a la referencia que incluye el literal a) del artículo 29, literal e) al artículo 31; al Reglamento sobre financiamiento de proyectos de infraestructura para la adición del artículo 27 Bis, párrafo segundo al artículo 28; al Reglamento sobre procesos de titularización para la adición del artículo 40 Bis, literal f) al artículo 42, literal m) al artículo 43 y al Reglamento sobre sociedades administradoras y fondos de inversión para la adición del literal g) al artículo 15. La modificación planteada a estos cuatro reglamentos incorpora como parte de los requerimientos para la inscripción de las emisiones o fondos de inversión que califiquen como verdes, sociales o sostenibles, la presentación de una revisión externa sobre el cumplimiento de los principios respectivos. De acuerdo con la reforma mencionada, esta revisión externa podrá ser realizada por las entidades registradas en el Climate Bonds Iniciative (CBI) o las permitidas en las bolsas de valores autorizadas por la Sugeval.</w:t>
      </w:r>
      <w:r w:rsidRPr="00D673AA">
        <w:rPr>
          <w:rFonts w:cs="Arial"/>
        </w:rPr>
        <w:t xml:space="preserve"> El alcance y los resultados de la revisión externa se deberá incluir como anexo al prospecto. La revisión externa deberá actualizarse como mínimo anualmente durante el plazo de la emisión.</w:t>
      </w:r>
    </w:p>
    <w:p w14:paraId="2A725516"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bookmarkStart w:id="0" w:name="_Hlk57364280"/>
      <w:r w:rsidRPr="00D673AA">
        <w:rPr>
          <w:rFonts w:eastAsia="Times New Roman" w:cs="Arial"/>
          <w:lang w:eastAsia="es-CR"/>
        </w:rPr>
        <w:t xml:space="preserve">Se considera necesario reformar el SGV-A-75 Acuerdo sobre el Suministro de Información Periódica para incorporar la obligación de remitir anualmente la revisión externa y el informe del uso de los recursos. </w:t>
      </w:r>
    </w:p>
    <w:p w14:paraId="7F36F525" w14:textId="77777777" w:rsidR="000B3F99" w:rsidRPr="00D673AA"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D673AA">
        <w:rPr>
          <w:rFonts w:eastAsia="Times New Roman" w:cs="Arial"/>
          <w:lang w:eastAsia="es-CR"/>
        </w:rPr>
        <w:t>Esta Superintendencia ha emitido Lineamientos para emisiones verdes, sociales y sostenibles de oferta pública que orientarán a los emisores y a las sociedades administradoras de fondos de inversión sobre el contenido mínimo de información relacionado exclusivamente con emisiones verdes, sociales y sostenibles, el cual se deberá incluir dentro del prospecto del emisor cuando emitan este tipo de productos. Estos instrumentos deberán cumplir con las obligaciones de la regulación vigente conforme a la Ley Reguladora del Mercado de Valores y su reglamentación. Estos lineamientos se basan en los estándares internacionales del International Capital Market Association (ICMA) y estándares nacionales de la Bolsa Nacional de Valores.</w:t>
      </w:r>
    </w:p>
    <w:bookmarkEnd w:id="0"/>
    <w:p w14:paraId="7A678992" w14:textId="77777777" w:rsidR="000B3F99" w:rsidRDefault="000B3F99" w:rsidP="000B3F99">
      <w:pPr>
        <w:numPr>
          <w:ilvl w:val="0"/>
          <w:numId w:val="1"/>
        </w:numPr>
        <w:tabs>
          <w:tab w:val="left" w:pos="709"/>
        </w:tabs>
        <w:spacing w:before="240" w:after="240" w:line="240" w:lineRule="auto"/>
        <w:ind w:left="641" w:right="-193" w:hanging="357"/>
        <w:jc w:val="both"/>
        <w:rPr>
          <w:rFonts w:eastAsia="Times New Roman" w:cs="Arial"/>
          <w:lang w:eastAsia="es-CR"/>
        </w:rPr>
      </w:pPr>
      <w:r w:rsidRPr="00527CF1">
        <w:rPr>
          <w:rFonts w:eastAsia="Times New Roman" w:cs="Arial"/>
          <w:lang w:eastAsia="es-CR"/>
        </w:rPr>
        <w:t>El presente Acuerdo fue sometido al trámite de consulta, de conformidad con el artículo 361 de la Ley General de Administración Pública. Del análisis realizado a las observaciones planteadas, se procedió a la incorporación de las modificaciones que resultaron pertinentes.</w:t>
      </w:r>
    </w:p>
    <w:p w14:paraId="71158D10" w14:textId="77777777" w:rsidR="000B3F99" w:rsidRPr="00D673AA" w:rsidRDefault="000B3F99" w:rsidP="000B3F99">
      <w:pPr>
        <w:jc w:val="both"/>
        <w:rPr>
          <w:rFonts w:eastAsia="Calibri" w:cs="Arial"/>
        </w:rPr>
      </w:pPr>
      <w:r w:rsidRPr="00D673AA">
        <w:rPr>
          <w:rFonts w:eastAsia="Calibri" w:cs="Arial"/>
        </w:rPr>
        <w:t>Por tanto, dispone el presente acuerdo:</w:t>
      </w:r>
    </w:p>
    <w:p w14:paraId="62D195B9" w14:textId="77777777" w:rsidR="000B3F99" w:rsidRPr="00D673AA" w:rsidRDefault="000B3F99" w:rsidP="000B3F99">
      <w:pPr>
        <w:spacing w:after="0" w:line="240" w:lineRule="auto"/>
        <w:ind w:right="-193"/>
        <w:jc w:val="center"/>
        <w:rPr>
          <w:rFonts w:eastAsia="Times New Roman" w:cs="Arial"/>
          <w:b/>
          <w:lang w:eastAsia="es-ES"/>
        </w:rPr>
      </w:pPr>
      <w:r w:rsidRPr="001F7EF6">
        <w:rPr>
          <w:rFonts w:eastAsia="Times New Roman" w:cs="Arial"/>
          <w:b/>
          <w:lang w:eastAsia="es-ES"/>
        </w:rPr>
        <w:lastRenderedPageBreak/>
        <w:t>SGV-A-256.  MODIFICACIÓN</w:t>
      </w:r>
      <w:r w:rsidRPr="00D673AA">
        <w:rPr>
          <w:rFonts w:eastAsia="Times New Roman" w:cs="Arial"/>
          <w:b/>
          <w:lang w:eastAsia="es-ES"/>
        </w:rPr>
        <w:t xml:space="preserve"> AL ACUERDO SGV-A-75 “SUMINISTRO DE INFORMACIÓN PERIÓDICA”</w:t>
      </w:r>
    </w:p>
    <w:p w14:paraId="1D69BE3D" w14:textId="77777777" w:rsidR="000B3F99" w:rsidRPr="00D673AA" w:rsidRDefault="000B3F99" w:rsidP="000B3F99">
      <w:pPr>
        <w:rPr>
          <w:rFonts w:eastAsia="Calibri" w:cs="Arial"/>
          <w:lang w:eastAsia="es-CR"/>
        </w:rPr>
      </w:pPr>
    </w:p>
    <w:p w14:paraId="7CB3F071" w14:textId="77777777" w:rsidR="000B3F99" w:rsidRPr="00D673AA" w:rsidRDefault="000B3F99" w:rsidP="000B3F99">
      <w:pPr>
        <w:jc w:val="both"/>
        <w:rPr>
          <w:rFonts w:eastAsia="Calibri" w:cs="Arial"/>
        </w:rPr>
      </w:pPr>
      <w:r w:rsidRPr="00D673AA">
        <w:rPr>
          <w:rFonts w:eastAsia="Calibri" w:cs="Arial"/>
          <w:b/>
          <w:lang w:eastAsia="es-CR"/>
        </w:rPr>
        <w:t xml:space="preserve">Artículo 1. </w:t>
      </w:r>
      <w:r w:rsidRPr="00D673AA">
        <w:rPr>
          <w:rFonts w:eastAsia="Calibri" w:cs="Arial"/>
          <w:b/>
        </w:rPr>
        <w:t>– Adiciones</w:t>
      </w:r>
    </w:p>
    <w:p w14:paraId="1E1C076E" w14:textId="77777777" w:rsidR="000B3F99" w:rsidRPr="004F512A" w:rsidRDefault="000B3F99" w:rsidP="000B3F99">
      <w:pPr>
        <w:jc w:val="both"/>
        <w:rPr>
          <w:rFonts w:eastAsia="Calibri" w:cs="Arial"/>
          <w:sz w:val="20"/>
          <w:szCs w:val="20"/>
        </w:rPr>
      </w:pPr>
      <w:r w:rsidRPr="00D673AA">
        <w:rPr>
          <w:rFonts w:eastAsia="Calibri" w:cs="Arial"/>
        </w:rPr>
        <w:t xml:space="preserve">Se adiciona al Cuadro de Información Periódica definido en el </w:t>
      </w:r>
      <w:r w:rsidRPr="00D673AA">
        <w:rPr>
          <w:rFonts w:eastAsia="Calibri" w:cs="Arial"/>
          <w:i/>
          <w:iCs/>
        </w:rPr>
        <w:t>Artículo 2. Periodicidad, contenido y medios para el suministro de la información</w:t>
      </w:r>
      <w:r w:rsidRPr="00D673AA">
        <w:rPr>
          <w:rFonts w:eastAsia="Calibri" w:cs="Arial"/>
        </w:rPr>
        <w:t>, del acuerdo SGV-A-75</w:t>
      </w:r>
      <w:r w:rsidRPr="00D673AA">
        <w:rPr>
          <w:rFonts w:eastAsia="Calibri" w:cs="Arial"/>
          <w:i/>
          <w:iCs/>
        </w:rPr>
        <w:t>,</w:t>
      </w:r>
      <w:r w:rsidRPr="00D673AA">
        <w:rPr>
          <w:rFonts w:eastAsia="Calibri" w:cs="Arial"/>
        </w:rPr>
        <w:t xml:space="preserve"> el envío de la revisión externa y de informes del uso de los fondos, que se requieren a emisores, fondos de inversión y universalidades que posean emisiones que califiquen como verdes, sociales o sostenibles:</w:t>
      </w:r>
    </w:p>
    <w:tbl>
      <w:tblPr>
        <w:tblpPr w:leftFromText="144" w:rightFromText="144" w:vertAnchor="text" w:horzAnchor="page" w:tblpXSpec="center" w:tblpY="30"/>
        <w:tblW w:w="10587"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16"/>
        <w:gridCol w:w="1375"/>
        <w:gridCol w:w="1656"/>
        <w:gridCol w:w="1552"/>
        <w:gridCol w:w="1140"/>
        <w:gridCol w:w="2648"/>
      </w:tblGrid>
      <w:tr w:rsidR="000B3F99" w:rsidRPr="00683EEF" w14:paraId="47029F37" w14:textId="77777777" w:rsidTr="00AA5CE9">
        <w:trPr>
          <w:trHeight w:val="539"/>
          <w:tblHeader/>
          <w:tblCellSpacing w:w="7" w:type="dxa"/>
        </w:trPr>
        <w:tc>
          <w:tcPr>
            <w:tcW w:w="2195" w:type="dxa"/>
            <w:shd w:val="clear" w:color="auto" w:fill="auto"/>
            <w:vAlign w:val="center"/>
            <w:hideMark/>
          </w:tcPr>
          <w:p w14:paraId="3455BB7D"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lastRenderedPageBreak/>
              <w:t>Informe o / Reporte</w:t>
            </w:r>
          </w:p>
        </w:tc>
        <w:tc>
          <w:tcPr>
            <w:tcW w:w="1361" w:type="dxa"/>
            <w:shd w:val="clear" w:color="auto" w:fill="auto"/>
            <w:vAlign w:val="center"/>
            <w:hideMark/>
          </w:tcPr>
          <w:p w14:paraId="58066A8C"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t>Periodicidad</w:t>
            </w:r>
          </w:p>
        </w:tc>
        <w:tc>
          <w:tcPr>
            <w:tcW w:w="1642" w:type="dxa"/>
            <w:shd w:val="clear" w:color="auto" w:fill="auto"/>
            <w:vAlign w:val="center"/>
            <w:hideMark/>
          </w:tcPr>
          <w:p w14:paraId="09326949"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t>Plazo máximo de entrega</w:t>
            </w:r>
          </w:p>
        </w:tc>
        <w:tc>
          <w:tcPr>
            <w:tcW w:w="1538" w:type="dxa"/>
            <w:shd w:val="clear" w:color="auto" w:fill="auto"/>
            <w:vAlign w:val="center"/>
            <w:hideMark/>
          </w:tcPr>
          <w:p w14:paraId="6DFDC2A0"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t>Formato o normas sobre el Contenido</w:t>
            </w:r>
          </w:p>
        </w:tc>
        <w:tc>
          <w:tcPr>
            <w:tcW w:w="1126" w:type="dxa"/>
            <w:shd w:val="clear" w:color="auto" w:fill="auto"/>
            <w:vAlign w:val="center"/>
            <w:hideMark/>
          </w:tcPr>
          <w:p w14:paraId="3B205B4D"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t>Medio de envío</w:t>
            </w:r>
          </w:p>
        </w:tc>
        <w:tc>
          <w:tcPr>
            <w:tcW w:w="2627" w:type="dxa"/>
            <w:shd w:val="clear" w:color="auto" w:fill="auto"/>
            <w:vAlign w:val="center"/>
            <w:hideMark/>
          </w:tcPr>
          <w:p w14:paraId="635B7775" w14:textId="77777777" w:rsidR="000B3F99" w:rsidRPr="00683EEF" w:rsidRDefault="000B3F99" w:rsidP="006B716E">
            <w:pPr>
              <w:spacing w:after="0" w:line="240" w:lineRule="auto"/>
              <w:jc w:val="center"/>
              <w:rPr>
                <w:rFonts w:eastAsia="Times New Roman" w:cs="Arial"/>
                <w:b/>
                <w:bCs/>
                <w:sz w:val="20"/>
                <w:szCs w:val="20"/>
                <w:lang w:val="es-CR" w:eastAsia="es-CR"/>
              </w:rPr>
            </w:pPr>
            <w:r w:rsidRPr="00683EEF">
              <w:rPr>
                <w:rFonts w:eastAsia="Times New Roman" w:cs="Arial"/>
                <w:b/>
                <w:bCs/>
                <w:sz w:val="20"/>
                <w:szCs w:val="20"/>
                <w:lang w:val="es-CR" w:eastAsia="es-CR"/>
              </w:rPr>
              <w:t>Notas Aclaratorias</w:t>
            </w:r>
          </w:p>
        </w:tc>
      </w:tr>
      <w:tr w:rsidR="00AA5CE9" w:rsidRPr="00683EEF" w14:paraId="43CF1CC0" w14:textId="77777777" w:rsidTr="00AA5CE9">
        <w:trPr>
          <w:trHeight w:val="1111"/>
          <w:tblHeader/>
          <w:tblCellSpacing w:w="7" w:type="dxa"/>
        </w:trPr>
        <w:tc>
          <w:tcPr>
            <w:tcW w:w="2195" w:type="dxa"/>
            <w:shd w:val="clear" w:color="auto" w:fill="auto"/>
            <w:hideMark/>
          </w:tcPr>
          <w:p w14:paraId="4AA2E768" w14:textId="77777777" w:rsidR="000B3F99" w:rsidRPr="00683EEF" w:rsidRDefault="000B3F99" w:rsidP="006B716E">
            <w:pPr>
              <w:spacing w:after="0" w:line="240" w:lineRule="auto"/>
              <w:jc w:val="both"/>
              <w:rPr>
                <w:rFonts w:eastAsia="Times New Roman" w:cs="Arial"/>
                <w:sz w:val="18"/>
                <w:szCs w:val="18"/>
                <w:lang w:val="es-CR" w:eastAsia="es-CR"/>
              </w:rPr>
            </w:pPr>
            <w:r w:rsidRPr="00683EEF">
              <w:rPr>
                <w:rFonts w:eastAsia="Times New Roman" w:cs="Arial"/>
                <w:sz w:val="18"/>
                <w:szCs w:val="18"/>
                <w:lang w:val="es-CR" w:eastAsia="es-CR"/>
              </w:rPr>
              <w:t>Opinión de revisor externo sobre el cumplimiento de estándares nacionales o internacionales de emisiones que califiquen como verdes, sociales o sostenibles</w:t>
            </w:r>
          </w:p>
          <w:p w14:paraId="6694663B" w14:textId="77777777" w:rsidR="000B3F99" w:rsidRPr="00683EEF" w:rsidRDefault="000B3F99" w:rsidP="006B716E">
            <w:pPr>
              <w:spacing w:after="0" w:line="240" w:lineRule="auto"/>
              <w:jc w:val="both"/>
              <w:rPr>
                <w:rFonts w:eastAsia="Times New Roman" w:cs="Arial"/>
                <w:sz w:val="18"/>
                <w:szCs w:val="18"/>
                <w:lang w:val="es-CR" w:eastAsia="es-CR"/>
              </w:rPr>
            </w:pPr>
          </w:p>
        </w:tc>
        <w:tc>
          <w:tcPr>
            <w:tcW w:w="1361" w:type="dxa"/>
            <w:shd w:val="clear" w:color="000000" w:fill="FFFFFF"/>
            <w:hideMark/>
          </w:tcPr>
          <w:p w14:paraId="6622E363" w14:textId="77777777" w:rsidR="000B3F99" w:rsidRPr="00683EEF" w:rsidRDefault="000B3F99" w:rsidP="006B716E">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Anual</w:t>
            </w:r>
          </w:p>
        </w:tc>
        <w:tc>
          <w:tcPr>
            <w:tcW w:w="1642" w:type="dxa"/>
            <w:shd w:val="clear" w:color="000000" w:fill="FFFFFF"/>
            <w:hideMark/>
          </w:tcPr>
          <w:p w14:paraId="637A33C4" w14:textId="77777777" w:rsidR="000B3F99" w:rsidRPr="00683EEF" w:rsidRDefault="000B3F99" w:rsidP="00AA5CE9">
            <w:pPr>
              <w:spacing w:after="0" w:line="240" w:lineRule="auto"/>
              <w:jc w:val="both"/>
              <w:rPr>
                <w:rFonts w:eastAsia="Times New Roman" w:cs="Arial"/>
                <w:sz w:val="18"/>
                <w:szCs w:val="18"/>
                <w:lang w:val="es-CR" w:eastAsia="es-CR"/>
              </w:rPr>
            </w:pPr>
            <w:r w:rsidRPr="00977CF8">
              <w:rPr>
                <w:rFonts w:eastAsia="Times New Roman" w:cs="Arial"/>
                <w:sz w:val="18"/>
                <w:szCs w:val="18"/>
                <w:lang w:val="es-CR" w:eastAsia="es-CR"/>
              </w:rPr>
              <w:t xml:space="preserve">Deberá actualizarse una vez al año, </w:t>
            </w:r>
            <w:r w:rsidRPr="00A71F69">
              <w:rPr>
                <w:rFonts w:eastAsia="Times New Roman" w:cs="Arial"/>
                <w:sz w:val="18"/>
                <w:szCs w:val="18"/>
                <w:lang w:val="es-CR" w:eastAsia="es-CR"/>
              </w:rPr>
              <w:t>con</w:t>
            </w:r>
            <w:r>
              <w:rPr>
                <w:rFonts w:eastAsia="Times New Roman" w:cs="Arial"/>
                <w:sz w:val="18"/>
                <w:szCs w:val="18"/>
                <w:lang w:val="es-CR" w:eastAsia="es-CR"/>
              </w:rPr>
              <w:t>tado con</w:t>
            </w:r>
            <w:r w:rsidRPr="00977CF8">
              <w:rPr>
                <w:rFonts w:eastAsia="Times New Roman" w:cs="Arial"/>
                <w:sz w:val="18"/>
                <w:szCs w:val="18"/>
                <w:lang w:val="es-CR" w:eastAsia="es-CR"/>
              </w:rPr>
              <w:t xml:space="preserve"> respecto a la fecha de la primera revisión externa, hasta por el plazo de la emisión. </w:t>
            </w:r>
          </w:p>
          <w:p w14:paraId="6220C822" w14:textId="77777777" w:rsidR="000B3F99" w:rsidRPr="00683EEF" w:rsidRDefault="000B3F99" w:rsidP="006B716E">
            <w:pPr>
              <w:spacing w:after="0" w:line="240" w:lineRule="auto"/>
              <w:jc w:val="center"/>
              <w:rPr>
                <w:rFonts w:eastAsia="Times New Roman" w:cs="Arial"/>
                <w:sz w:val="18"/>
                <w:szCs w:val="18"/>
                <w:lang w:val="es-CR" w:eastAsia="es-CR"/>
              </w:rPr>
            </w:pPr>
          </w:p>
          <w:p w14:paraId="1EAAA9B4" w14:textId="77777777" w:rsidR="000B3F99" w:rsidRPr="00683EEF" w:rsidRDefault="000B3F99" w:rsidP="006B716E">
            <w:pPr>
              <w:spacing w:after="0" w:line="240" w:lineRule="auto"/>
              <w:jc w:val="center"/>
              <w:rPr>
                <w:rFonts w:eastAsia="Times New Roman" w:cs="Arial"/>
                <w:sz w:val="18"/>
                <w:szCs w:val="18"/>
                <w:lang w:val="es-CR" w:eastAsia="es-CR"/>
              </w:rPr>
            </w:pPr>
          </w:p>
          <w:p w14:paraId="143D20B5" w14:textId="77777777" w:rsidR="000B3F99" w:rsidRPr="00683EEF" w:rsidRDefault="000B3F99" w:rsidP="006B716E">
            <w:pPr>
              <w:spacing w:after="0" w:line="240" w:lineRule="auto"/>
              <w:jc w:val="center"/>
              <w:rPr>
                <w:rFonts w:eastAsia="Times New Roman" w:cs="Arial"/>
                <w:sz w:val="18"/>
                <w:szCs w:val="18"/>
                <w:lang w:val="es-CR" w:eastAsia="es-CR"/>
              </w:rPr>
            </w:pPr>
          </w:p>
          <w:p w14:paraId="081C69B8" w14:textId="77777777" w:rsidR="000B3F99" w:rsidRPr="00683EEF" w:rsidRDefault="000B3F99" w:rsidP="006B716E">
            <w:pPr>
              <w:spacing w:after="0" w:line="240" w:lineRule="auto"/>
              <w:jc w:val="both"/>
              <w:rPr>
                <w:rFonts w:eastAsia="Times New Roman" w:cs="Arial"/>
                <w:sz w:val="18"/>
                <w:szCs w:val="18"/>
                <w:lang w:val="es-CR" w:eastAsia="es-CR"/>
              </w:rPr>
            </w:pPr>
          </w:p>
        </w:tc>
        <w:tc>
          <w:tcPr>
            <w:tcW w:w="1538" w:type="dxa"/>
            <w:shd w:val="clear" w:color="000000" w:fill="FFFFFF"/>
            <w:hideMark/>
          </w:tcPr>
          <w:p w14:paraId="45106088" w14:textId="46134B3D" w:rsidR="000B3F99" w:rsidRPr="00683EEF" w:rsidRDefault="000B3F99" w:rsidP="00AA5CE9">
            <w:pPr>
              <w:jc w:val="both"/>
              <w:rPr>
                <w:rFonts w:eastAsia="Times New Roman" w:cs="Arial"/>
                <w:sz w:val="18"/>
                <w:szCs w:val="18"/>
                <w:lang w:val="es-CR" w:eastAsia="es-CR"/>
              </w:rPr>
            </w:pPr>
            <w:r w:rsidRPr="001F7EF6">
              <w:rPr>
                <w:rFonts w:eastAsia="Times New Roman" w:cs="Arial"/>
                <w:sz w:val="18"/>
                <w:szCs w:val="18"/>
                <w:lang w:val="es-CR" w:eastAsia="es-CR"/>
              </w:rPr>
              <w:t>Acuerdo SGV-A-252  Lineamientos para emisiones verdes,</w:t>
            </w:r>
            <w:r w:rsidR="00AA5CE9">
              <w:rPr>
                <w:rFonts w:eastAsia="Times New Roman" w:cs="Arial"/>
                <w:sz w:val="18"/>
                <w:szCs w:val="18"/>
                <w:lang w:val="es-CR" w:eastAsia="es-CR"/>
              </w:rPr>
              <w:t xml:space="preserve"> s</w:t>
            </w:r>
            <w:r w:rsidRPr="001F7EF6">
              <w:rPr>
                <w:rFonts w:eastAsia="Times New Roman" w:cs="Arial"/>
                <w:sz w:val="18"/>
                <w:szCs w:val="18"/>
                <w:lang w:val="es-CR" w:eastAsia="es-CR"/>
              </w:rPr>
              <w:t>ociales y</w:t>
            </w:r>
            <w:r w:rsidRPr="00683EEF">
              <w:rPr>
                <w:rFonts w:eastAsia="Times New Roman" w:cs="Arial"/>
                <w:sz w:val="18"/>
                <w:szCs w:val="18"/>
                <w:lang w:val="es-CR" w:eastAsia="es-CR"/>
              </w:rPr>
              <w:t xml:space="preserve"> sostenibles de oferta pública</w:t>
            </w:r>
          </w:p>
          <w:p w14:paraId="20540D16" w14:textId="77777777" w:rsidR="000B3F99" w:rsidRPr="00683EEF" w:rsidRDefault="000B3F99" w:rsidP="006B716E">
            <w:pPr>
              <w:spacing w:after="0" w:line="240" w:lineRule="auto"/>
              <w:jc w:val="center"/>
              <w:rPr>
                <w:rFonts w:eastAsia="Times New Roman" w:cs="Arial"/>
                <w:sz w:val="18"/>
                <w:szCs w:val="18"/>
                <w:lang w:val="es-CR" w:eastAsia="es-CR"/>
              </w:rPr>
            </w:pPr>
          </w:p>
        </w:tc>
        <w:tc>
          <w:tcPr>
            <w:tcW w:w="1126" w:type="dxa"/>
            <w:shd w:val="clear" w:color="000000" w:fill="FFFFFF"/>
            <w:hideMark/>
          </w:tcPr>
          <w:p w14:paraId="5386CA00" w14:textId="6D3A41CB" w:rsidR="000B3F99" w:rsidRPr="00683EEF" w:rsidRDefault="000B3F99" w:rsidP="00AA5CE9">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Sistema Ingresador</w:t>
            </w:r>
          </w:p>
          <w:p w14:paraId="75004700" w14:textId="77777777" w:rsidR="000B3F99" w:rsidRPr="00683EEF" w:rsidRDefault="000B3F99" w:rsidP="00AA5CE9">
            <w:pPr>
              <w:spacing w:after="0" w:line="240" w:lineRule="auto"/>
              <w:jc w:val="center"/>
              <w:rPr>
                <w:rFonts w:eastAsia="Times New Roman" w:cs="Arial"/>
                <w:sz w:val="18"/>
                <w:szCs w:val="18"/>
                <w:lang w:val="es-CR" w:eastAsia="es-CR"/>
              </w:rPr>
            </w:pPr>
          </w:p>
          <w:p w14:paraId="26B0C582" w14:textId="77777777" w:rsidR="000B3F99" w:rsidRPr="00683EEF" w:rsidRDefault="000B3F99" w:rsidP="00AA5CE9">
            <w:pPr>
              <w:spacing w:after="0" w:line="240" w:lineRule="auto"/>
              <w:jc w:val="center"/>
              <w:rPr>
                <w:rFonts w:eastAsia="Times New Roman" w:cs="Arial"/>
                <w:sz w:val="18"/>
                <w:szCs w:val="18"/>
                <w:lang w:val="es-CR" w:eastAsia="es-CR"/>
              </w:rPr>
            </w:pPr>
          </w:p>
          <w:p w14:paraId="6695E577" w14:textId="77777777" w:rsidR="000B3F99" w:rsidRPr="00683EEF" w:rsidRDefault="000B3F99" w:rsidP="00AA5CE9">
            <w:pPr>
              <w:spacing w:after="0" w:line="240" w:lineRule="auto"/>
              <w:jc w:val="center"/>
              <w:rPr>
                <w:rFonts w:eastAsia="Times New Roman" w:cs="Arial"/>
                <w:sz w:val="18"/>
                <w:szCs w:val="18"/>
                <w:lang w:val="es-CR" w:eastAsia="es-CR"/>
              </w:rPr>
            </w:pPr>
          </w:p>
          <w:p w14:paraId="1F90ECE2" w14:textId="77777777" w:rsidR="000B3F99" w:rsidRPr="00683EEF" w:rsidRDefault="000B3F99" w:rsidP="00AA5CE9">
            <w:pPr>
              <w:spacing w:after="0" w:line="240" w:lineRule="auto"/>
              <w:jc w:val="center"/>
              <w:rPr>
                <w:rFonts w:eastAsia="Times New Roman" w:cs="Arial"/>
                <w:sz w:val="18"/>
                <w:szCs w:val="18"/>
                <w:lang w:val="es-CR" w:eastAsia="es-CR"/>
              </w:rPr>
            </w:pPr>
          </w:p>
          <w:p w14:paraId="15DC6E19" w14:textId="77777777" w:rsidR="000B3F99" w:rsidRPr="00683EEF" w:rsidRDefault="000B3F99" w:rsidP="00AA5CE9">
            <w:pPr>
              <w:spacing w:after="0" w:line="240" w:lineRule="auto"/>
              <w:jc w:val="center"/>
              <w:rPr>
                <w:rFonts w:eastAsia="Times New Roman" w:cs="Arial"/>
                <w:sz w:val="18"/>
                <w:szCs w:val="18"/>
                <w:lang w:val="es-CR" w:eastAsia="es-CR"/>
              </w:rPr>
            </w:pPr>
          </w:p>
          <w:p w14:paraId="4478804F" w14:textId="77777777" w:rsidR="000B3F99" w:rsidRPr="00683EEF" w:rsidRDefault="000B3F99" w:rsidP="00AA5CE9">
            <w:pPr>
              <w:spacing w:after="0" w:line="240" w:lineRule="auto"/>
              <w:jc w:val="center"/>
              <w:rPr>
                <w:rFonts w:eastAsia="Times New Roman" w:cs="Arial"/>
                <w:sz w:val="18"/>
                <w:szCs w:val="18"/>
                <w:lang w:val="es-CR" w:eastAsia="es-CR"/>
              </w:rPr>
            </w:pPr>
          </w:p>
          <w:p w14:paraId="5DDF3EA0" w14:textId="77777777" w:rsidR="000B3F99" w:rsidRPr="00683EEF" w:rsidRDefault="000B3F99" w:rsidP="00AA5CE9">
            <w:pPr>
              <w:spacing w:after="0" w:line="240" w:lineRule="auto"/>
              <w:jc w:val="center"/>
              <w:rPr>
                <w:rFonts w:eastAsia="Times New Roman" w:cs="Arial"/>
                <w:sz w:val="18"/>
                <w:szCs w:val="18"/>
                <w:lang w:val="es-CR" w:eastAsia="es-CR"/>
              </w:rPr>
            </w:pPr>
          </w:p>
          <w:p w14:paraId="5872577D" w14:textId="77777777" w:rsidR="000B3F99" w:rsidRPr="00683EEF" w:rsidRDefault="000B3F99" w:rsidP="00AA5CE9">
            <w:pPr>
              <w:spacing w:after="0" w:line="240" w:lineRule="auto"/>
              <w:jc w:val="center"/>
              <w:rPr>
                <w:rFonts w:eastAsia="Times New Roman" w:cs="Arial"/>
                <w:sz w:val="18"/>
                <w:szCs w:val="18"/>
                <w:lang w:val="es-CR" w:eastAsia="es-CR"/>
              </w:rPr>
            </w:pPr>
          </w:p>
          <w:p w14:paraId="35934EAC" w14:textId="77777777" w:rsidR="000B3F99" w:rsidRPr="00683EEF" w:rsidRDefault="000B3F99" w:rsidP="00AA5CE9">
            <w:pPr>
              <w:spacing w:after="0" w:line="240" w:lineRule="auto"/>
              <w:jc w:val="center"/>
              <w:rPr>
                <w:rFonts w:eastAsia="Times New Roman" w:cs="Arial"/>
                <w:sz w:val="18"/>
                <w:szCs w:val="18"/>
                <w:lang w:val="es-CR" w:eastAsia="es-CR"/>
              </w:rPr>
            </w:pPr>
          </w:p>
          <w:p w14:paraId="6F3DE46A" w14:textId="77777777" w:rsidR="000B3F99" w:rsidRDefault="000B3F99" w:rsidP="00AA5CE9">
            <w:pPr>
              <w:spacing w:after="0" w:line="240" w:lineRule="auto"/>
              <w:jc w:val="center"/>
              <w:rPr>
                <w:rFonts w:eastAsia="Times New Roman" w:cs="Arial"/>
                <w:sz w:val="18"/>
                <w:szCs w:val="18"/>
                <w:lang w:val="es-CR" w:eastAsia="es-CR"/>
              </w:rPr>
            </w:pPr>
          </w:p>
          <w:p w14:paraId="34709EBC" w14:textId="77777777" w:rsidR="000B3F99" w:rsidRPr="00683EEF" w:rsidRDefault="000B3F99" w:rsidP="00AA5CE9">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Mendocel SGV-A-188</w:t>
            </w:r>
          </w:p>
          <w:p w14:paraId="5F865F3F" w14:textId="77777777" w:rsidR="000B3F99" w:rsidRPr="00683EEF" w:rsidRDefault="000B3F99" w:rsidP="006B716E">
            <w:pPr>
              <w:spacing w:after="0" w:line="240" w:lineRule="auto"/>
              <w:rPr>
                <w:rFonts w:eastAsia="Times New Roman" w:cs="Arial"/>
                <w:sz w:val="18"/>
                <w:szCs w:val="18"/>
                <w:lang w:val="es-CR" w:eastAsia="es-CR"/>
              </w:rPr>
            </w:pPr>
          </w:p>
          <w:p w14:paraId="4100E2A2" w14:textId="77777777" w:rsidR="000B3F99" w:rsidRPr="00683EEF" w:rsidRDefault="000B3F99" w:rsidP="006B716E">
            <w:pPr>
              <w:spacing w:after="0" w:line="240" w:lineRule="auto"/>
              <w:rPr>
                <w:rFonts w:eastAsia="Times New Roman" w:cs="Arial"/>
                <w:sz w:val="18"/>
                <w:szCs w:val="18"/>
                <w:lang w:val="es-CR" w:eastAsia="es-CR"/>
              </w:rPr>
            </w:pPr>
          </w:p>
        </w:tc>
        <w:tc>
          <w:tcPr>
            <w:tcW w:w="2627" w:type="dxa"/>
            <w:shd w:val="clear" w:color="000000" w:fill="FFFFFF"/>
            <w:hideMark/>
          </w:tcPr>
          <w:p w14:paraId="5A032629" w14:textId="77777777" w:rsidR="000B3F99" w:rsidRPr="00683EEF" w:rsidRDefault="000B3F99" w:rsidP="006B716E">
            <w:pPr>
              <w:spacing w:after="0" w:line="240" w:lineRule="auto"/>
              <w:jc w:val="both"/>
              <w:rPr>
                <w:rFonts w:eastAsia="Times New Roman" w:cs="Arial"/>
                <w:sz w:val="18"/>
                <w:szCs w:val="18"/>
                <w:lang w:val="es-CR" w:eastAsia="es-CR"/>
              </w:rPr>
            </w:pPr>
            <w:r w:rsidRPr="00683EEF">
              <w:rPr>
                <w:rFonts w:eastAsia="Times New Roman" w:cs="Arial"/>
                <w:sz w:val="18"/>
                <w:szCs w:val="18"/>
                <w:lang w:val="es-CR" w:eastAsia="es-CR"/>
              </w:rPr>
              <w:t>Solo aplica a emisiones, fondos de inversión y universalidades que califiquen como verdes, sociales y sostenibles.</w:t>
            </w:r>
          </w:p>
          <w:p w14:paraId="45DBCD68" w14:textId="77777777" w:rsidR="000B3F99" w:rsidRPr="00683EEF" w:rsidRDefault="000B3F99" w:rsidP="006B716E">
            <w:pPr>
              <w:spacing w:after="0" w:line="240" w:lineRule="auto"/>
              <w:jc w:val="both"/>
              <w:rPr>
                <w:rFonts w:eastAsia="Times New Roman" w:cs="Arial"/>
                <w:sz w:val="18"/>
                <w:szCs w:val="18"/>
                <w:lang w:val="es-CR" w:eastAsia="es-CR"/>
              </w:rPr>
            </w:pPr>
          </w:p>
          <w:p w14:paraId="1C63F8CF" w14:textId="77777777" w:rsidR="000B3F99" w:rsidRPr="00683EEF" w:rsidRDefault="000B3F99" w:rsidP="006B716E">
            <w:pPr>
              <w:spacing w:after="0" w:line="240" w:lineRule="auto"/>
              <w:jc w:val="both"/>
              <w:rPr>
                <w:rFonts w:eastAsia="Times New Roman" w:cs="Arial"/>
                <w:sz w:val="18"/>
                <w:szCs w:val="18"/>
                <w:lang w:val="es-CR" w:eastAsia="es-CR"/>
              </w:rPr>
            </w:pPr>
          </w:p>
          <w:p w14:paraId="424CD180" w14:textId="77777777" w:rsidR="000B3F99" w:rsidRPr="00683EEF" w:rsidRDefault="000B3F99" w:rsidP="006B716E">
            <w:pPr>
              <w:spacing w:after="0" w:line="240" w:lineRule="auto"/>
              <w:jc w:val="both"/>
              <w:rPr>
                <w:rFonts w:eastAsia="Times New Roman" w:cs="Arial"/>
                <w:sz w:val="18"/>
                <w:szCs w:val="18"/>
                <w:lang w:val="es-CR" w:eastAsia="es-CR"/>
              </w:rPr>
            </w:pPr>
          </w:p>
          <w:p w14:paraId="180DED1A" w14:textId="77777777" w:rsidR="000B3F99" w:rsidRPr="00683EEF" w:rsidRDefault="000B3F99" w:rsidP="006B716E">
            <w:pPr>
              <w:spacing w:after="0" w:line="240" w:lineRule="auto"/>
              <w:jc w:val="both"/>
              <w:rPr>
                <w:rFonts w:eastAsia="Times New Roman" w:cs="Arial"/>
                <w:sz w:val="18"/>
                <w:szCs w:val="18"/>
                <w:lang w:val="es-CR" w:eastAsia="es-CR"/>
              </w:rPr>
            </w:pPr>
          </w:p>
          <w:p w14:paraId="694DAA80" w14:textId="77777777" w:rsidR="000B3F99" w:rsidRPr="00683EEF" w:rsidRDefault="000B3F99" w:rsidP="006B716E">
            <w:pPr>
              <w:spacing w:after="0" w:line="240" w:lineRule="auto"/>
              <w:jc w:val="both"/>
              <w:rPr>
                <w:rFonts w:eastAsia="Times New Roman" w:cs="Arial"/>
                <w:sz w:val="18"/>
                <w:szCs w:val="18"/>
                <w:lang w:val="es-CR" w:eastAsia="es-CR"/>
              </w:rPr>
            </w:pPr>
          </w:p>
          <w:p w14:paraId="6392E935" w14:textId="77777777" w:rsidR="000B3F99" w:rsidRPr="00683EEF" w:rsidRDefault="000B3F99" w:rsidP="006B716E">
            <w:pPr>
              <w:spacing w:after="0" w:line="240" w:lineRule="auto"/>
              <w:jc w:val="both"/>
              <w:rPr>
                <w:rFonts w:eastAsia="Times New Roman" w:cs="Arial"/>
                <w:sz w:val="18"/>
                <w:szCs w:val="18"/>
                <w:lang w:val="es-CR" w:eastAsia="es-CR"/>
              </w:rPr>
            </w:pPr>
          </w:p>
          <w:p w14:paraId="160987FF" w14:textId="77777777" w:rsidR="000B3F99" w:rsidRPr="00683EEF" w:rsidRDefault="000B3F99" w:rsidP="006B716E">
            <w:pPr>
              <w:spacing w:after="0" w:line="240" w:lineRule="auto"/>
              <w:jc w:val="both"/>
              <w:rPr>
                <w:rFonts w:eastAsia="Times New Roman" w:cs="Arial"/>
                <w:sz w:val="18"/>
                <w:szCs w:val="18"/>
                <w:lang w:val="es-CR" w:eastAsia="es-CR"/>
              </w:rPr>
            </w:pPr>
          </w:p>
          <w:p w14:paraId="06B31124" w14:textId="77777777" w:rsidR="000B3F99" w:rsidRPr="00683EEF" w:rsidRDefault="000B3F99" w:rsidP="006B716E">
            <w:pPr>
              <w:spacing w:after="0" w:line="240" w:lineRule="auto"/>
              <w:jc w:val="both"/>
              <w:rPr>
                <w:rFonts w:eastAsia="Times New Roman" w:cs="Arial"/>
                <w:sz w:val="18"/>
                <w:szCs w:val="18"/>
                <w:lang w:val="es-CR" w:eastAsia="es-CR"/>
              </w:rPr>
            </w:pPr>
            <w:r w:rsidRPr="00683EEF">
              <w:rPr>
                <w:rFonts w:eastAsia="Times New Roman" w:cs="Arial"/>
                <w:sz w:val="18"/>
                <w:szCs w:val="18"/>
                <w:lang w:val="es-CR" w:eastAsia="es-CR"/>
              </w:rPr>
              <w:t xml:space="preserve">El envío por medio de </w:t>
            </w:r>
            <w:r w:rsidRPr="00683EEF">
              <w:rPr>
                <w:rFonts w:eastAsia="Times New Roman" w:cs="Arial"/>
                <w:b/>
                <w:bCs/>
                <w:sz w:val="18"/>
                <w:szCs w:val="18"/>
                <w:lang w:val="es-CR" w:eastAsia="es-CR"/>
              </w:rPr>
              <w:t>Mendocel</w:t>
            </w:r>
            <w:r w:rsidRPr="00683EEF">
              <w:rPr>
                <w:rFonts w:eastAsia="Times New Roman" w:cs="Arial"/>
                <w:sz w:val="18"/>
                <w:szCs w:val="18"/>
                <w:lang w:val="es-CR" w:eastAsia="es-CR"/>
              </w:rPr>
              <w:t xml:space="preserve"> solo aplica para valores emitidos por el Gobierno Central y Banco Central costarricenses y extranjeros y organismos</w:t>
            </w:r>
            <w:r w:rsidRPr="00683EEF">
              <w:rPr>
                <w:rFonts w:eastAsia="+mj-ea" w:cs="Arial"/>
                <w:kern w:val="24"/>
                <w:sz w:val="18"/>
                <w:szCs w:val="18"/>
              </w:rPr>
              <w:t xml:space="preserve"> internacionales con participación del Estado costarricense.</w:t>
            </w:r>
          </w:p>
          <w:p w14:paraId="1EA53AD7" w14:textId="77777777" w:rsidR="000B3F99" w:rsidRPr="00683EEF" w:rsidRDefault="000B3F99" w:rsidP="006B716E">
            <w:pPr>
              <w:pStyle w:val="Textocomentario"/>
              <w:jc w:val="both"/>
              <w:rPr>
                <w:rFonts w:eastAsia="Times New Roman" w:cs="Arial"/>
                <w:sz w:val="18"/>
                <w:szCs w:val="18"/>
                <w:lang w:val="es-CR" w:eastAsia="es-CR"/>
              </w:rPr>
            </w:pPr>
          </w:p>
        </w:tc>
      </w:tr>
      <w:tr w:rsidR="00AA5CE9" w:rsidRPr="00683EEF" w14:paraId="42F9408D" w14:textId="77777777" w:rsidTr="00AA5CE9">
        <w:trPr>
          <w:trHeight w:val="4641"/>
          <w:tblHeader/>
          <w:tblCellSpacing w:w="7" w:type="dxa"/>
        </w:trPr>
        <w:tc>
          <w:tcPr>
            <w:tcW w:w="2195" w:type="dxa"/>
            <w:shd w:val="clear" w:color="auto" w:fill="auto"/>
          </w:tcPr>
          <w:p w14:paraId="7B8ED8FF" w14:textId="510107E0" w:rsidR="000B3F99" w:rsidRPr="00683EEF" w:rsidRDefault="000B3F99" w:rsidP="006B716E">
            <w:pPr>
              <w:widowControl w:val="0"/>
              <w:spacing w:after="0" w:line="240" w:lineRule="auto"/>
              <w:jc w:val="both"/>
              <w:rPr>
                <w:rFonts w:eastAsia="Calibri" w:cs="Arial"/>
                <w:bCs/>
                <w:sz w:val="18"/>
                <w:szCs w:val="18"/>
              </w:rPr>
            </w:pPr>
            <w:r w:rsidRPr="00683EEF">
              <w:rPr>
                <w:rFonts w:eastAsia="Calibri" w:cs="Arial"/>
                <w:bCs/>
                <w:sz w:val="18"/>
                <w:szCs w:val="18"/>
              </w:rPr>
              <w:t xml:space="preserve">Informe del uso de los fondos </w:t>
            </w:r>
            <w:r w:rsidRPr="00683EEF">
              <w:rPr>
                <w:rFonts w:eastAsia="Times New Roman" w:cs="Arial"/>
                <w:sz w:val="18"/>
                <w:szCs w:val="18"/>
                <w:lang w:val="es-CR" w:eastAsia="es-CR"/>
              </w:rPr>
              <w:t>de emisiones que califiquen como verdes, sociales o sostenibles</w:t>
            </w:r>
          </w:p>
          <w:p w14:paraId="3227BA61" w14:textId="77777777" w:rsidR="000B3F99" w:rsidRPr="00683EEF" w:rsidRDefault="000B3F99" w:rsidP="006B716E">
            <w:pPr>
              <w:spacing w:after="0" w:line="240" w:lineRule="auto"/>
              <w:jc w:val="both"/>
              <w:rPr>
                <w:rFonts w:eastAsia="Times New Roman" w:cs="Arial"/>
                <w:bCs/>
                <w:sz w:val="18"/>
                <w:szCs w:val="18"/>
                <w:lang w:eastAsia="es-CR"/>
              </w:rPr>
            </w:pPr>
          </w:p>
        </w:tc>
        <w:tc>
          <w:tcPr>
            <w:tcW w:w="1361" w:type="dxa"/>
            <w:shd w:val="clear" w:color="000000" w:fill="FFFFFF"/>
          </w:tcPr>
          <w:p w14:paraId="3925EBF0" w14:textId="77777777" w:rsidR="000B3F99" w:rsidRPr="00683EEF" w:rsidRDefault="000B3F99" w:rsidP="006B716E">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Anual</w:t>
            </w:r>
          </w:p>
        </w:tc>
        <w:tc>
          <w:tcPr>
            <w:tcW w:w="1642" w:type="dxa"/>
            <w:shd w:val="clear" w:color="000000" w:fill="FFFFFF"/>
          </w:tcPr>
          <w:p w14:paraId="7ED921B6" w14:textId="77777777" w:rsidR="000B3F99" w:rsidRPr="00977CF8" w:rsidRDefault="000B3F99" w:rsidP="006B716E">
            <w:pPr>
              <w:spacing w:after="0" w:line="240" w:lineRule="auto"/>
              <w:jc w:val="both"/>
              <w:rPr>
                <w:rFonts w:eastAsia="Times New Roman" w:cs="Arial"/>
                <w:sz w:val="18"/>
                <w:szCs w:val="18"/>
                <w:lang w:val="es-CR" w:eastAsia="es-CR"/>
              </w:rPr>
            </w:pPr>
            <w:r w:rsidRPr="00977CF8">
              <w:rPr>
                <w:rFonts w:eastAsia="Times New Roman" w:cs="Arial"/>
                <w:sz w:val="18"/>
                <w:szCs w:val="18"/>
                <w:lang w:val="es-CR" w:eastAsia="es-CR"/>
              </w:rPr>
              <w:t>Anualmente a partir del año siguiente de la fecha de la primera revisión externa y hasta por el plazo de la emisión</w:t>
            </w:r>
          </w:p>
          <w:p w14:paraId="6AEF46EA" w14:textId="77777777" w:rsidR="000B3F99" w:rsidRPr="00683EEF" w:rsidRDefault="000B3F99" w:rsidP="006B716E">
            <w:pPr>
              <w:spacing w:after="0" w:line="240" w:lineRule="auto"/>
              <w:jc w:val="both"/>
              <w:rPr>
                <w:rFonts w:eastAsia="Times New Roman" w:cs="Arial"/>
                <w:sz w:val="18"/>
                <w:szCs w:val="18"/>
                <w:lang w:val="es-CR" w:eastAsia="es-CR"/>
              </w:rPr>
            </w:pPr>
            <w:r w:rsidRPr="00977CF8">
              <w:rPr>
                <w:rFonts w:eastAsia="Times New Roman" w:cs="Arial"/>
                <w:sz w:val="18"/>
                <w:szCs w:val="18"/>
                <w:lang w:val="es-CR" w:eastAsia="es-CR"/>
              </w:rPr>
              <w:t>Si la revisión externa cumple con el contenido mínimo solicitado en el Anexo 3 de los Lineamientos para la autorización y registro de emisiones verdes sociales y sostenibles de oferta pública, se podrá presentar únicamente la revisión externa en sustitución del informe del uso de fondos.</w:t>
            </w:r>
          </w:p>
          <w:p w14:paraId="78806C53" w14:textId="77777777" w:rsidR="000B3F99" w:rsidRPr="00683EEF" w:rsidRDefault="000B3F99" w:rsidP="006B716E">
            <w:pPr>
              <w:spacing w:after="0" w:line="240" w:lineRule="auto"/>
              <w:jc w:val="both"/>
              <w:rPr>
                <w:rFonts w:eastAsia="Times New Roman" w:cs="Arial"/>
                <w:sz w:val="18"/>
                <w:szCs w:val="18"/>
                <w:lang w:val="es-CR" w:eastAsia="es-CR"/>
              </w:rPr>
            </w:pPr>
          </w:p>
          <w:p w14:paraId="71C8ACF4" w14:textId="77777777" w:rsidR="000B3F99" w:rsidRPr="00683EEF" w:rsidRDefault="000B3F99" w:rsidP="006B716E">
            <w:pPr>
              <w:spacing w:after="0" w:line="240" w:lineRule="auto"/>
              <w:jc w:val="both"/>
              <w:rPr>
                <w:rFonts w:eastAsia="Times New Roman" w:cs="Arial"/>
                <w:sz w:val="18"/>
                <w:szCs w:val="18"/>
                <w:lang w:val="es-CR" w:eastAsia="es-CR"/>
              </w:rPr>
            </w:pPr>
          </w:p>
        </w:tc>
        <w:tc>
          <w:tcPr>
            <w:tcW w:w="1538" w:type="dxa"/>
            <w:shd w:val="clear" w:color="000000" w:fill="FFFFFF"/>
          </w:tcPr>
          <w:p w14:paraId="3A9FEFC5" w14:textId="2F97F0BF" w:rsidR="000B3F99" w:rsidRPr="00683EEF" w:rsidRDefault="000B3F99" w:rsidP="006B716E">
            <w:pPr>
              <w:rPr>
                <w:rFonts w:eastAsia="Times New Roman" w:cs="Arial"/>
                <w:sz w:val="18"/>
                <w:szCs w:val="18"/>
                <w:lang w:val="es-CR" w:eastAsia="es-CR"/>
              </w:rPr>
            </w:pPr>
            <w:r w:rsidRPr="001F7EF6">
              <w:rPr>
                <w:rFonts w:eastAsia="Times New Roman" w:cs="Arial"/>
                <w:sz w:val="18"/>
                <w:szCs w:val="18"/>
                <w:lang w:val="es-CR" w:eastAsia="es-CR"/>
              </w:rPr>
              <w:t>Acuerdo SGV-A-252 Lineamientos para emisiones verdes, sociales y</w:t>
            </w:r>
            <w:r w:rsidRPr="00683EEF">
              <w:rPr>
                <w:rFonts w:eastAsia="Times New Roman" w:cs="Arial"/>
                <w:sz w:val="18"/>
                <w:szCs w:val="18"/>
                <w:lang w:val="es-CR" w:eastAsia="es-CR"/>
              </w:rPr>
              <w:t xml:space="preserve"> sostenibles de oferta pública</w:t>
            </w:r>
          </w:p>
          <w:p w14:paraId="24BE3E65" w14:textId="77777777" w:rsidR="000B3F99" w:rsidRPr="00683EEF" w:rsidRDefault="000B3F99" w:rsidP="006B716E">
            <w:pPr>
              <w:spacing w:after="0" w:line="240" w:lineRule="auto"/>
              <w:jc w:val="center"/>
              <w:rPr>
                <w:rFonts w:eastAsia="Times New Roman" w:cs="Arial"/>
                <w:sz w:val="18"/>
                <w:szCs w:val="18"/>
                <w:lang w:val="es-CR" w:eastAsia="es-CR"/>
              </w:rPr>
            </w:pPr>
          </w:p>
        </w:tc>
        <w:tc>
          <w:tcPr>
            <w:tcW w:w="1126" w:type="dxa"/>
            <w:shd w:val="clear" w:color="000000" w:fill="FFFFFF"/>
          </w:tcPr>
          <w:p w14:paraId="316C7CC3" w14:textId="77777777" w:rsidR="000B3F99" w:rsidRPr="00683EEF" w:rsidRDefault="000B3F99" w:rsidP="006B716E">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Sistema Ingresador</w:t>
            </w:r>
          </w:p>
          <w:p w14:paraId="29FB170A" w14:textId="77777777" w:rsidR="000B3F99" w:rsidRPr="00683EEF" w:rsidRDefault="000B3F99" w:rsidP="006B716E">
            <w:pPr>
              <w:spacing w:after="0" w:line="240" w:lineRule="auto"/>
              <w:jc w:val="center"/>
              <w:rPr>
                <w:rFonts w:eastAsia="Times New Roman" w:cs="Arial"/>
                <w:sz w:val="18"/>
                <w:szCs w:val="18"/>
                <w:lang w:val="es-CR" w:eastAsia="es-CR"/>
              </w:rPr>
            </w:pPr>
          </w:p>
          <w:p w14:paraId="20AF9814" w14:textId="77777777" w:rsidR="000B3F99" w:rsidRDefault="000B3F99" w:rsidP="006B716E">
            <w:pPr>
              <w:spacing w:after="0" w:line="240" w:lineRule="auto"/>
              <w:jc w:val="center"/>
              <w:rPr>
                <w:rFonts w:eastAsia="Times New Roman" w:cs="Arial"/>
                <w:sz w:val="18"/>
                <w:szCs w:val="18"/>
                <w:lang w:val="es-CR" w:eastAsia="es-CR"/>
              </w:rPr>
            </w:pPr>
          </w:p>
          <w:p w14:paraId="0B69E8A6" w14:textId="77777777" w:rsidR="000B3F99" w:rsidRDefault="000B3F99" w:rsidP="006B716E">
            <w:pPr>
              <w:spacing w:after="0" w:line="240" w:lineRule="auto"/>
              <w:jc w:val="center"/>
              <w:rPr>
                <w:rFonts w:eastAsia="Times New Roman" w:cs="Arial"/>
                <w:sz w:val="18"/>
                <w:szCs w:val="18"/>
                <w:lang w:val="es-CR" w:eastAsia="es-CR"/>
              </w:rPr>
            </w:pPr>
          </w:p>
          <w:p w14:paraId="790ED050" w14:textId="77777777" w:rsidR="000B3F99" w:rsidRDefault="000B3F99" w:rsidP="006B716E">
            <w:pPr>
              <w:spacing w:after="0" w:line="240" w:lineRule="auto"/>
              <w:jc w:val="center"/>
              <w:rPr>
                <w:rFonts w:eastAsia="Times New Roman" w:cs="Arial"/>
                <w:sz w:val="18"/>
                <w:szCs w:val="18"/>
                <w:lang w:val="es-CR" w:eastAsia="es-CR"/>
              </w:rPr>
            </w:pPr>
          </w:p>
          <w:p w14:paraId="485A8D1D" w14:textId="77777777" w:rsidR="000B3F99" w:rsidRDefault="000B3F99" w:rsidP="006B716E">
            <w:pPr>
              <w:spacing w:after="0" w:line="240" w:lineRule="auto"/>
              <w:jc w:val="center"/>
              <w:rPr>
                <w:rFonts w:eastAsia="Times New Roman" w:cs="Arial"/>
                <w:sz w:val="18"/>
                <w:szCs w:val="18"/>
                <w:lang w:val="es-CR" w:eastAsia="es-CR"/>
              </w:rPr>
            </w:pPr>
          </w:p>
          <w:p w14:paraId="54E47BB5" w14:textId="77777777" w:rsidR="000B3F99" w:rsidRPr="00683EEF" w:rsidRDefault="000B3F99" w:rsidP="006B716E">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Mendocel</w:t>
            </w:r>
          </w:p>
          <w:p w14:paraId="5C6AB75A" w14:textId="77777777" w:rsidR="000B3F99" w:rsidRPr="00683EEF" w:rsidRDefault="000B3F99" w:rsidP="006B716E">
            <w:pPr>
              <w:spacing w:after="0" w:line="240" w:lineRule="auto"/>
              <w:jc w:val="center"/>
              <w:rPr>
                <w:rFonts w:eastAsia="Times New Roman" w:cs="Arial"/>
                <w:sz w:val="18"/>
                <w:szCs w:val="18"/>
                <w:lang w:val="es-CR" w:eastAsia="es-CR"/>
              </w:rPr>
            </w:pPr>
            <w:r w:rsidRPr="00683EEF">
              <w:rPr>
                <w:rFonts w:eastAsia="Times New Roman" w:cs="Arial"/>
                <w:sz w:val="18"/>
                <w:szCs w:val="18"/>
                <w:lang w:val="es-CR" w:eastAsia="es-CR"/>
              </w:rPr>
              <w:t>SGV-A-188</w:t>
            </w:r>
          </w:p>
          <w:p w14:paraId="0508E76B" w14:textId="77777777" w:rsidR="000B3F99" w:rsidRPr="00683EEF" w:rsidRDefault="000B3F99" w:rsidP="006B716E">
            <w:pPr>
              <w:spacing w:after="0" w:line="240" w:lineRule="auto"/>
              <w:jc w:val="center"/>
              <w:rPr>
                <w:rFonts w:eastAsia="Times New Roman" w:cs="Arial"/>
                <w:sz w:val="18"/>
                <w:szCs w:val="18"/>
                <w:lang w:val="es-CR" w:eastAsia="es-CR"/>
              </w:rPr>
            </w:pPr>
          </w:p>
          <w:p w14:paraId="41A2A0AE" w14:textId="77777777" w:rsidR="000B3F99" w:rsidRPr="00683EEF" w:rsidRDefault="000B3F99" w:rsidP="006B716E">
            <w:pPr>
              <w:spacing w:after="0" w:line="240" w:lineRule="auto"/>
              <w:rPr>
                <w:rFonts w:eastAsia="Times New Roman" w:cs="Arial"/>
                <w:sz w:val="18"/>
                <w:szCs w:val="18"/>
                <w:lang w:val="es-CR" w:eastAsia="es-CR"/>
              </w:rPr>
            </w:pPr>
          </w:p>
        </w:tc>
        <w:tc>
          <w:tcPr>
            <w:tcW w:w="2627" w:type="dxa"/>
            <w:shd w:val="clear" w:color="000000" w:fill="FFFFFF"/>
          </w:tcPr>
          <w:p w14:paraId="16FAFE84" w14:textId="77777777" w:rsidR="000B3F99" w:rsidRPr="00683EEF" w:rsidRDefault="000B3F99" w:rsidP="006B716E">
            <w:pPr>
              <w:spacing w:after="0" w:line="240" w:lineRule="auto"/>
              <w:jc w:val="both"/>
              <w:rPr>
                <w:rFonts w:eastAsia="Times New Roman" w:cs="Arial"/>
                <w:sz w:val="18"/>
                <w:szCs w:val="18"/>
                <w:lang w:val="es-CR" w:eastAsia="es-CR"/>
              </w:rPr>
            </w:pPr>
            <w:r w:rsidRPr="00683EEF">
              <w:rPr>
                <w:rFonts w:eastAsia="Times New Roman" w:cs="Arial"/>
                <w:sz w:val="18"/>
                <w:szCs w:val="18"/>
                <w:lang w:val="es-CR" w:eastAsia="es-CR"/>
              </w:rPr>
              <w:t>Solo aplica a emisiones, fondos de inversión y universalidades que califiquen como verdes, sociales y sostenibles.</w:t>
            </w:r>
          </w:p>
          <w:p w14:paraId="3602D67C" w14:textId="77777777" w:rsidR="000B3F99" w:rsidRPr="00683EEF" w:rsidRDefault="000B3F99" w:rsidP="006B716E">
            <w:pPr>
              <w:spacing w:after="0" w:line="240" w:lineRule="auto"/>
              <w:jc w:val="both"/>
              <w:rPr>
                <w:rFonts w:eastAsia="Times New Roman" w:cs="Arial"/>
                <w:sz w:val="18"/>
                <w:szCs w:val="18"/>
                <w:lang w:val="es-CR" w:eastAsia="es-CR"/>
              </w:rPr>
            </w:pPr>
          </w:p>
          <w:p w14:paraId="25EB264B" w14:textId="77777777" w:rsidR="000B3F99" w:rsidRPr="00683EEF" w:rsidRDefault="000B3F99" w:rsidP="006B716E">
            <w:pPr>
              <w:spacing w:after="0" w:line="240" w:lineRule="auto"/>
              <w:jc w:val="both"/>
              <w:rPr>
                <w:rFonts w:eastAsia="Times New Roman" w:cs="Arial"/>
                <w:sz w:val="18"/>
                <w:szCs w:val="18"/>
                <w:lang w:val="es-CR" w:eastAsia="es-CR"/>
              </w:rPr>
            </w:pPr>
          </w:p>
          <w:p w14:paraId="4928DD84" w14:textId="77777777" w:rsidR="000B3F99" w:rsidRPr="00683EEF" w:rsidRDefault="000B3F99" w:rsidP="006B716E">
            <w:pPr>
              <w:spacing w:after="0" w:line="240" w:lineRule="auto"/>
              <w:jc w:val="both"/>
              <w:rPr>
                <w:rFonts w:eastAsia="Times New Roman" w:cs="Arial"/>
                <w:sz w:val="18"/>
                <w:szCs w:val="18"/>
                <w:lang w:val="es-CR" w:eastAsia="es-CR"/>
              </w:rPr>
            </w:pPr>
            <w:r w:rsidRPr="00683EEF">
              <w:rPr>
                <w:rFonts w:eastAsia="Times New Roman" w:cs="Arial"/>
                <w:sz w:val="18"/>
                <w:szCs w:val="18"/>
                <w:lang w:val="es-CR" w:eastAsia="es-CR"/>
              </w:rPr>
              <w:t xml:space="preserve">El envío por medio de </w:t>
            </w:r>
            <w:r w:rsidRPr="00683EEF">
              <w:rPr>
                <w:rFonts w:eastAsia="Times New Roman" w:cs="Arial"/>
                <w:b/>
                <w:bCs/>
                <w:sz w:val="18"/>
                <w:szCs w:val="18"/>
                <w:lang w:val="es-CR" w:eastAsia="es-CR"/>
              </w:rPr>
              <w:t>Mendocel</w:t>
            </w:r>
            <w:r w:rsidRPr="00683EEF">
              <w:rPr>
                <w:rFonts w:eastAsia="Times New Roman" w:cs="Arial"/>
                <w:sz w:val="18"/>
                <w:szCs w:val="18"/>
                <w:lang w:val="es-CR" w:eastAsia="es-CR"/>
              </w:rPr>
              <w:t xml:space="preserve"> solo aplica para valores emitidos por el Gobierno Central y Banco Central costarricenses y extranjeros y </w:t>
            </w:r>
            <w:r w:rsidRPr="00683EEF">
              <w:rPr>
                <w:rFonts w:eastAsia="+mj-ea" w:cs="Arial"/>
                <w:kern w:val="24"/>
                <w:sz w:val="18"/>
                <w:szCs w:val="18"/>
              </w:rPr>
              <w:t>organismos internacionales con participación del Estado costarricense.</w:t>
            </w:r>
          </w:p>
          <w:p w14:paraId="3FC6FBBA" w14:textId="77777777" w:rsidR="000B3F99" w:rsidRPr="00683EEF" w:rsidRDefault="000B3F99" w:rsidP="006B716E">
            <w:pPr>
              <w:spacing w:after="0" w:line="240" w:lineRule="auto"/>
              <w:jc w:val="both"/>
              <w:rPr>
                <w:rFonts w:eastAsia="Times New Roman" w:cs="Arial"/>
                <w:sz w:val="18"/>
                <w:szCs w:val="18"/>
                <w:lang w:val="es-CR" w:eastAsia="es-CR"/>
              </w:rPr>
            </w:pPr>
          </w:p>
          <w:p w14:paraId="4FB3E231" w14:textId="77777777" w:rsidR="000B3F99" w:rsidRPr="00683EEF" w:rsidRDefault="000B3F99" w:rsidP="006B716E">
            <w:pPr>
              <w:pStyle w:val="Textocomentario"/>
              <w:jc w:val="both"/>
              <w:rPr>
                <w:rFonts w:eastAsia="Times New Roman" w:cs="Arial"/>
                <w:sz w:val="18"/>
                <w:szCs w:val="18"/>
                <w:lang w:val="es-CR" w:eastAsia="es-CR"/>
              </w:rPr>
            </w:pPr>
          </w:p>
        </w:tc>
      </w:tr>
    </w:tbl>
    <w:p w14:paraId="6F2E3763" w14:textId="77777777" w:rsidR="000B3F99" w:rsidRPr="004F512A" w:rsidRDefault="000B3F99" w:rsidP="000B3F99">
      <w:pPr>
        <w:jc w:val="both"/>
        <w:rPr>
          <w:rFonts w:eastAsia="Calibri" w:cs="Arial"/>
          <w:b/>
          <w:sz w:val="20"/>
          <w:szCs w:val="20"/>
        </w:rPr>
      </w:pPr>
    </w:p>
    <w:p w14:paraId="5B0FCCD2" w14:textId="4A22C738" w:rsidR="000B3F99" w:rsidRPr="004F512A" w:rsidRDefault="002B6BA3" w:rsidP="000B3F99">
      <w:pPr>
        <w:jc w:val="both"/>
        <w:rPr>
          <w:rStyle w:val="Hipervnculo"/>
          <w:rFonts w:eastAsia="Calibri" w:cs="Arial"/>
          <w:sz w:val="18"/>
          <w:szCs w:val="18"/>
        </w:rPr>
      </w:pPr>
      <w:r>
        <w:rPr>
          <w:rStyle w:val="Hipervnculo"/>
          <w:rFonts w:eastAsia="Calibri" w:cs="Arial"/>
          <w:sz w:val="18"/>
          <w:szCs w:val="18"/>
        </w:rPr>
        <w:object w:dxaOrig="1508" w:dyaOrig="983" w14:anchorId="33417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1" o:title=""/>
          </v:shape>
          <o:OLEObject Type="Embed" ProgID="Excel.Sheet.12" ShapeID="_x0000_i1025" DrawAspect="Icon" ObjectID="_1704891540" r:id="rId12"/>
        </w:object>
      </w:r>
    </w:p>
    <w:p w14:paraId="083177DF" w14:textId="77777777" w:rsidR="000B3F99" w:rsidRPr="004F512A" w:rsidRDefault="000B3F99" w:rsidP="000B3F99">
      <w:pPr>
        <w:jc w:val="both"/>
        <w:rPr>
          <w:rFonts w:eastAsia="Calibri" w:cs="Arial"/>
          <w:sz w:val="20"/>
          <w:szCs w:val="20"/>
        </w:rPr>
      </w:pPr>
    </w:p>
    <w:p w14:paraId="6CD068D8" w14:textId="77777777" w:rsidR="000B3F99" w:rsidRPr="00D673AA" w:rsidRDefault="000B3F99" w:rsidP="000B3F99">
      <w:pPr>
        <w:tabs>
          <w:tab w:val="center" w:pos="4419"/>
        </w:tabs>
        <w:rPr>
          <w:rFonts w:eastAsia="Calibri" w:cs="Arial"/>
        </w:rPr>
      </w:pPr>
      <w:r w:rsidRPr="00D673AA">
        <w:rPr>
          <w:rFonts w:eastAsia="Calibri" w:cs="Arial"/>
          <w:b/>
        </w:rPr>
        <w:t>Artículo 2.-</w:t>
      </w:r>
      <w:r w:rsidRPr="00D673AA">
        <w:rPr>
          <w:rFonts w:eastAsia="Calibri" w:cs="Arial"/>
        </w:rPr>
        <w:t xml:space="preserve"> Vigencia</w:t>
      </w:r>
      <w:r w:rsidRPr="00D673AA">
        <w:rPr>
          <w:rFonts w:eastAsia="Calibri" w:cs="Arial"/>
        </w:rPr>
        <w:tab/>
      </w:r>
    </w:p>
    <w:p w14:paraId="12532793" w14:textId="77777777" w:rsidR="000B3F99" w:rsidRDefault="000B3F99" w:rsidP="000B3F99">
      <w:pPr>
        <w:rPr>
          <w:rFonts w:eastAsia="Calibri" w:cs="Arial"/>
        </w:rPr>
      </w:pPr>
      <w:r w:rsidRPr="00D673AA">
        <w:rPr>
          <w:rFonts w:eastAsia="Calibri" w:cs="Arial"/>
        </w:rPr>
        <w:t xml:space="preserve">Rige a partir del </w:t>
      </w:r>
      <w:r>
        <w:rPr>
          <w:rFonts w:eastAsia="Calibri" w:cs="Arial"/>
        </w:rPr>
        <w:t>22 de diciembre del 2021.</w:t>
      </w:r>
    </w:p>
    <w:p w14:paraId="1B21E4AF" w14:textId="77777777" w:rsidR="000B3F99" w:rsidRPr="00D673AA" w:rsidRDefault="000B3F99" w:rsidP="000B3F99">
      <w:pPr>
        <w:rPr>
          <w:rFonts w:eastAsia="Calibri" w:cs="Arial"/>
        </w:rPr>
      </w:pPr>
      <w:r w:rsidRPr="00EC4526">
        <w:rPr>
          <w:rFonts w:eastAsia="Calibri" w:cs="Arial"/>
          <w:noProof/>
          <w:lang w:eastAsia="es-CR"/>
        </w:rPr>
        <w:drawing>
          <wp:inline distT="0" distB="0" distL="0" distR="0" wp14:anchorId="7E4EBC7A" wp14:editId="2DA18949">
            <wp:extent cx="2733675"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3886295E" w14:textId="77777777" w:rsidR="00501E50" w:rsidRDefault="003F7046"/>
    <w:sectPr w:rsidR="00501E50" w:rsidSect="000B3F99">
      <w:headerReference w:type="even" r:id="rId14"/>
      <w:headerReference w:type="default" r:id="rId15"/>
      <w:footerReference w:type="even" r:id="rId16"/>
      <w:footerReference w:type="default" r:id="rId17"/>
      <w:headerReference w:type="first" r:id="rId18"/>
      <w:footerReference w:type="first" r:id="rId19"/>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BA307" w14:textId="77777777" w:rsidR="000B3F99" w:rsidRDefault="000B3F99" w:rsidP="000B3F99">
      <w:pPr>
        <w:spacing w:after="0" w:line="240" w:lineRule="auto"/>
      </w:pPr>
      <w:r>
        <w:separator/>
      </w:r>
    </w:p>
  </w:endnote>
  <w:endnote w:type="continuationSeparator" w:id="0">
    <w:p w14:paraId="3478949E" w14:textId="77777777" w:rsidR="000B3F99" w:rsidRDefault="000B3F99" w:rsidP="000B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85534" w14:textId="77777777" w:rsidR="0042524C" w:rsidRDefault="004252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ACB68" w14:textId="5AF1B65A" w:rsidR="00D673AA" w:rsidRPr="00D673AA" w:rsidRDefault="003F7046">
    <w:pPr>
      <w:pStyle w:val="Piedepgina"/>
      <w:jc w:val="right"/>
      <w:rPr>
        <w:sz w:val="20"/>
        <w:szCs w:val="20"/>
      </w:rPr>
    </w:pPr>
  </w:p>
  <w:p w14:paraId="4FEB6D19" w14:textId="77777777" w:rsidR="00AA5CE9" w:rsidRPr="00AA5CE9" w:rsidRDefault="00AA5CE9" w:rsidP="00AA5CE9">
    <w:pPr>
      <w:tabs>
        <w:tab w:val="center" w:pos="4419"/>
        <w:tab w:val="right" w:pos="8838"/>
      </w:tabs>
      <w:spacing w:after="0" w:line="240" w:lineRule="auto"/>
      <w:rPr>
        <w:rFonts w:eastAsia="Times New Roman" w:cs="Arial"/>
        <w:color w:val="1B75BB"/>
        <w:szCs w:val="24"/>
        <w:lang w:val="es-CR" w:eastAsia="es-ES"/>
      </w:rPr>
    </w:pPr>
    <w:r w:rsidRPr="00AA5CE9">
      <w:rPr>
        <w:rFonts w:eastAsia="Times New Roman" w:cs="Arial"/>
        <w:color w:val="1B75BB"/>
        <w:szCs w:val="24"/>
        <w:lang w:val="es-CR" w:eastAsia="es-ES"/>
      </w:rPr>
      <w:t xml:space="preserve">| </w:t>
    </w:r>
    <w:r w:rsidRPr="00AA5CE9">
      <w:rPr>
        <w:rFonts w:eastAsia="Times New Roman" w:cs="Arial"/>
        <w:color w:val="1B75BB"/>
        <w:szCs w:val="24"/>
        <w:lang w:val="es-CR" w:eastAsia="es-ES"/>
      </w:rPr>
      <w:fldChar w:fldCharType="begin"/>
    </w:r>
    <w:r w:rsidRPr="00AA5CE9">
      <w:rPr>
        <w:rFonts w:eastAsia="Times New Roman" w:cs="Arial"/>
        <w:color w:val="1B75BB"/>
        <w:szCs w:val="24"/>
        <w:lang w:val="es-CR" w:eastAsia="es-ES"/>
      </w:rPr>
      <w:instrText xml:space="preserve"> PAGE   \* MERGEFORMAT </w:instrText>
    </w:r>
    <w:r w:rsidRPr="00AA5CE9">
      <w:rPr>
        <w:rFonts w:eastAsia="Times New Roman" w:cs="Arial"/>
        <w:color w:val="1B75BB"/>
        <w:szCs w:val="24"/>
        <w:lang w:val="es-CR" w:eastAsia="es-ES"/>
      </w:rPr>
      <w:fldChar w:fldCharType="separate"/>
    </w:r>
    <w:r w:rsidRPr="00AA5CE9">
      <w:rPr>
        <w:rFonts w:eastAsia="Times New Roman" w:cs="Arial"/>
        <w:color w:val="1B75BB"/>
        <w:szCs w:val="24"/>
        <w:lang w:val="es-CR" w:eastAsia="es-ES"/>
      </w:rPr>
      <w:t>2</w:t>
    </w:r>
    <w:r w:rsidRPr="00AA5CE9">
      <w:rPr>
        <w:rFonts w:eastAsia="Times New Roman" w:cs="Arial"/>
        <w:noProof/>
        <w:color w:val="1B75BB"/>
        <w:szCs w:val="24"/>
        <w:lang w:val="es-CR" w:eastAsia="es-ES"/>
      </w:rPr>
      <w:fldChar w:fldCharType="end"/>
    </w:r>
  </w:p>
  <w:p w14:paraId="4E1A3391" w14:textId="77777777" w:rsidR="00C2203D" w:rsidRDefault="003F7046" w:rsidP="00AA5CE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6EB59" w14:textId="77777777" w:rsidR="0042524C" w:rsidRDefault="004252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92053" w14:textId="77777777" w:rsidR="000B3F99" w:rsidRDefault="000B3F99" w:rsidP="000B3F99">
      <w:pPr>
        <w:spacing w:after="0" w:line="240" w:lineRule="auto"/>
      </w:pPr>
      <w:r>
        <w:separator/>
      </w:r>
    </w:p>
  </w:footnote>
  <w:footnote w:type="continuationSeparator" w:id="0">
    <w:p w14:paraId="0FBD51B6" w14:textId="77777777" w:rsidR="000B3F99" w:rsidRDefault="000B3F99" w:rsidP="000B3F99">
      <w:pPr>
        <w:spacing w:after="0" w:line="240" w:lineRule="auto"/>
      </w:pPr>
      <w:r>
        <w:continuationSeparator/>
      </w:r>
    </w:p>
  </w:footnote>
  <w:footnote w:id="1">
    <w:p w14:paraId="291C7DD4" w14:textId="7DF2A342" w:rsidR="000B3F99" w:rsidRPr="00EC0AC7" w:rsidRDefault="000B3F99" w:rsidP="000B3F99">
      <w:pPr>
        <w:autoSpaceDE w:val="0"/>
        <w:autoSpaceDN w:val="0"/>
        <w:jc w:val="both"/>
        <w:rPr>
          <w:rFonts w:eastAsia="Times New Roman" w:cs="Arial"/>
          <w:bCs/>
        </w:rPr>
      </w:pPr>
      <w:r w:rsidRPr="001F7EF6">
        <w:rPr>
          <w:rStyle w:val="Refdenotaalpie"/>
          <w:rFonts w:cs="Arial"/>
        </w:rPr>
        <w:footnoteRef/>
      </w:r>
      <w:r w:rsidRPr="001F7EF6">
        <w:rPr>
          <w:rFonts w:cs="Arial"/>
        </w:rPr>
        <w:t xml:space="preserve"> </w:t>
      </w:r>
      <w:r w:rsidRPr="001F7EF6">
        <w:rPr>
          <w:rFonts w:eastAsia="Times New Roman" w:cs="Arial"/>
          <w:bCs/>
        </w:rPr>
        <w:t>Superintendencia General de Valores. Despacho de la Superintendente. A las quince horas veinte minutos del veintidós de diciembre del dos mil veintiuno.</w:t>
      </w:r>
      <w:r>
        <w:rPr>
          <w:rFonts w:eastAsia="Times New Roman" w:cs="Arial"/>
          <w:bCs/>
        </w:rPr>
        <w:t xml:space="preserve"> </w:t>
      </w:r>
      <w:r w:rsidR="003F7046" w:rsidRPr="003F7046">
        <w:rPr>
          <w:rFonts w:eastAsia="Times New Roman" w:cs="Arial"/>
          <w:bCs/>
        </w:rPr>
        <w:t>Diario Oficial La Gaceta No. 13 del 21 de enero del 2022</w:t>
      </w:r>
      <w:r w:rsidR="003F7046">
        <w:rPr>
          <w:rFonts w:eastAsia="Times New Roman" w:cs="Arial"/>
          <w:bCs/>
        </w:rPr>
        <w:t>.</w:t>
      </w:r>
    </w:p>
    <w:p w14:paraId="4513EC5B" w14:textId="77777777" w:rsidR="000B3F99" w:rsidRPr="00EC0AC7" w:rsidRDefault="000B3F99" w:rsidP="000B3F99">
      <w:pPr>
        <w:spacing w:after="0" w:line="240" w:lineRule="auto"/>
        <w:ind w:right="-193"/>
        <w:jc w:val="both"/>
        <w:rPr>
          <w:rFonts w:eastAsia="Times New Roman" w:cs="Arial"/>
          <w:bCs/>
        </w:rPr>
      </w:pPr>
    </w:p>
    <w:p w14:paraId="285F3DB2" w14:textId="77777777" w:rsidR="000B3F99" w:rsidRPr="0096434A" w:rsidRDefault="000B3F99" w:rsidP="000B3F99">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F343B" w14:textId="77777777" w:rsidR="0042524C" w:rsidRDefault="004252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31513" w14:textId="2D510F16" w:rsidR="007718BC" w:rsidRDefault="000B3F99">
    <w:pPr>
      <w:pStyle w:val="Encabezado"/>
    </w:pPr>
    <w:r>
      <w:rPr>
        <w:noProof/>
        <w:lang w:eastAsia="es-CR"/>
      </w:rPr>
      <w:drawing>
        <wp:anchor distT="0" distB="0" distL="114300" distR="114300" simplePos="0" relativeHeight="251659264" behindDoc="0" locked="0" layoutInCell="1" allowOverlap="1" wp14:anchorId="62127D13" wp14:editId="335094BF">
          <wp:simplePos x="0" y="0"/>
          <wp:positionH relativeFrom="margin">
            <wp:posOffset>4177754</wp:posOffset>
          </wp:positionH>
          <wp:positionV relativeFrom="page">
            <wp:posOffset>296545</wp:posOffset>
          </wp:positionV>
          <wp:extent cx="1463040" cy="415221"/>
          <wp:effectExtent l="0" t="0" r="3810" b="4445"/>
          <wp:wrapNone/>
          <wp:docPr id="2" name="Picture 1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3040" cy="4152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EC2417" w14:textId="4006D12D" w:rsidR="007718BC" w:rsidRDefault="003F7046">
    <w:pPr>
      <w:pStyle w:val="Encabezado"/>
    </w:pPr>
  </w:p>
  <w:p w14:paraId="573143F2" w14:textId="60937719" w:rsidR="00C02460" w:rsidRDefault="000B3F99">
    <w:pPr>
      <w:pStyle w:val="Encabezado"/>
    </w:pPr>
    <w:r>
      <w:rPr>
        <w:noProof/>
        <w:lang w:eastAsia="es-CR"/>
      </w:rPr>
      <mc:AlternateContent>
        <mc:Choice Requires="wps">
          <w:drawing>
            <wp:anchor distT="4294967292" distB="4294967292" distL="114300" distR="114300" simplePos="0" relativeHeight="251660288" behindDoc="0" locked="0" layoutInCell="1" allowOverlap="1" wp14:anchorId="3A374FF8" wp14:editId="4B43C4DD">
              <wp:simplePos x="0" y="0"/>
              <wp:positionH relativeFrom="margin">
                <wp:posOffset>20956</wp:posOffset>
              </wp:positionH>
              <wp:positionV relativeFrom="paragraph">
                <wp:posOffset>9526</wp:posOffset>
              </wp:positionV>
              <wp:extent cx="550545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2DBAF" id="Conector recto 4" o:spid="_x0000_s1026" style="position:absolute;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65pt,.75pt" to="435.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10024" w14:textId="77777777" w:rsidR="0042524C" w:rsidRDefault="004252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6D4130"/>
    <w:multiLevelType w:val="hybridMultilevel"/>
    <w:tmpl w:val="3698D8EC"/>
    <w:lvl w:ilvl="0" w:tplc="140A000F">
      <w:start w:val="1"/>
      <w:numFmt w:val="decimal"/>
      <w:lvlText w:val="%1."/>
      <w:lvlJc w:val="left"/>
      <w:pPr>
        <w:ind w:left="643" w:hanging="360"/>
      </w:pPr>
      <w:rPr>
        <w:rFonts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99"/>
    <w:rsid w:val="000B3F99"/>
    <w:rsid w:val="002B6BA3"/>
    <w:rsid w:val="003F7046"/>
    <w:rsid w:val="0042524C"/>
    <w:rsid w:val="00AA5CE9"/>
    <w:rsid w:val="00DB4C31"/>
    <w:rsid w:val="00FF0A2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894E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F99"/>
    <w:rPr>
      <w:rFonts w:ascii="Arial" w:hAnsi="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B3F99"/>
    <w:rPr>
      <w:color w:val="0563C1" w:themeColor="hyperlink"/>
      <w:u w:val="single"/>
    </w:rPr>
  </w:style>
  <w:style w:type="paragraph" w:styleId="Textocomentario">
    <w:name w:val="annotation text"/>
    <w:basedOn w:val="Normal"/>
    <w:link w:val="TextocomentarioCar"/>
    <w:uiPriority w:val="99"/>
    <w:unhideWhenUsed/>
    <w:rsid w:val="000B3F99"/>
    <w:pPr>
      <w:spacing w:line="240" w:lineRule="auto"/>
    </w:pPr>
    <w:rPr>
      <w:sz w:val="20"/>
      <w:szCs w:val="20"/>
    </w:rPr>
  </w:style>
  <w:style w:type="character" w:customStyle="1" w:styleId="TextocomentarioCar">
    <w:name w:val="Texto comentario Car"/>
    <w:basedOn w:val="Fuentedeprrafopredeter"/>
    <w:link w:val="Textocomentario"/>
    <w:uiPriority w:val="99"/>
    <w:rsid w:val="000B3F99"/>
    <w:rPr>
      <w:rFonts w:ascii="Arial" w:hAnsi="Arial"/>
      <w:sz w:val="20"/>
      <w:szCs w:val="20"/>
      <w:lang w:val="es-ES"/>
    </w:rPr>
  </w:style>
  <w:style w:type="paragraph" w:styleId="Encabezado">
    <w:name w:val="header"/>
    <w:basedOn w:val="Normal"/>
    <w:link w:val="EncabezadoCar"/>
    <w:uiPriority w:val="99"/>
    <w:unhideWhenUsed/>
    <w:rsid w:val="000B3F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3F99"/>
    <w:rPr>
      <w:rFonts w:ascii="Arial" w:hAnsi="Arial"/>
      <w:lang w:val="es-ES"/>
    </w:rPr>
  </w:style>
  <w:style w:type="paragraph" w:styleId="Piedepgina">
    <w:name w:val="footer"/>
    <w:basedOn w:val="Normal"/>
    <w:link w:val="PiedepginaCar"/>
    <w:uiPriority w:val="99"/>
    <w:unhideWhenUsed/>
    <w:rsid w:val="000B3F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3F99"/>
    <w:rPr>
      <w:rFonts w:ascii="Arial" w:hAnsi="Arial"/>
      <w:lang w:val="es-ES"/>
    </w:rPr>
  </w:style>
  <w:style w:type="paragraph" w:styleId="Textonotapie">
    <w:name w:val="footnote text"/>
    <w:basedOn w:val="Normal"/>
    <w:link w:val="TextonotapieCar"/>
    <w:uiPriority w:val="99"/>
    <w:semiHidden/>
    <w:unhideWhenUsed/>
    <w:rsid w:val="000B3F99"/>
    <w:pPr>
      <w:spacing w:after="0" w:line="240" w:lineRule="auto"/>
    </w:pPr>
    <w:rPr>
      <w:rFonts w:asciiTheme="minorHAnsi" w:hAnsiTheme="minorHAnsi"/>
      <w:sz w:val="20"/>
      <w:szCs w:val="20"/>
      <w:lang w:val="es-CR"/>
    </w:rPr>
  </w:style>
  <w:style w:type="character" w:customStyle="1" w:styleId="TextonotapieCar">
    <w:name w:val="Texto nota pie Car"/>
    <w:basedOn w:val="Fuentedeprrafopredeter"/>
    <w:link w:val="Textonotapie"/>
    <w:uiPriority w:val="99"/>
    <w:semiHidden/>
    <w:rsid w:val="000B3F99"/>
    <w:rPr>
      <w:sz w:val="20"/>
      <w:szCs w:val="20"/>
    </w:rPr>
  </w:style>
  <w:style w:type="character" w:styleId="Refdenotaalpie">
    <w:name w:val="footnote reference"/>
    <w:basedOn w:val="Fuentedeprrafopredeter"/>
    <w:uiPriority w:val="99"/>
    <w:semiHidden/>
    <w:unhideWhenUsed/>
    <w:rsid w:val="000B3F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9AA0A-1608-4EDB-AF7D-54811B750547}">
  <ds:schemaRefs>
    <ds:schemaRef ds:uri="http://schemas.microsoft.com/sharepoint/v3/contenttype/forms"/>
  </ds:schemaRefs>
</ds:datastoreItem>
</file>

<file path=customXml/itemProps2.xml><?xml version="1.0" encoding="utf-8"?>
<ds:datastoreItem xmlns:ds="http://schemas.openxmlformats.org/officeDocument/2006/customXml" ds:itemID="{8CC3CAA0-CDFF-479B-B405-DF90E74EBFC6}">
  <ds:schemaRefs>
    <ds:schemaRef ds:uri="http://schemas.openxmlformats.org/officeDocument/2006/bibliography"/>
  </ds:schemaRefs>
</ds:datastoreItem>
</file>

<file path=customXml/itemProps3.xml><?xml version="1.0" encoding="utf-8"?>
<ds:datastoreItem xmlns:ds="http://schemas.openxmlformats.org/officeDocument/2006/customXml" ds:itemID="{ED5FCD02-F8D4-42AE-B8C7-09266106CEEE}"/>
</file>

<file path=customXml/itemProps4.xml><?xml version="1.0" encoding="utf-8"?>
<ds:datastoreItem xmlns:ds="http://schemas.openxmlformats.org/officeDocument/2006/customXml" ds:itemID="{535EDDAD-FDF8-446E-AB69-D555134ABF4B}">
  <ds:schemaRefs>
    <ds:schemaRef ds:uri="http://purl.org/dc/terms/"/>
    <ds:schemaRef ds:uri="http://purl.org/dc/dcmitype/"/>
    <ds:schemaRef ds:uri="http://purl.org/dc/elements/1.1/"/>
    <ds:schemaRef ds:uri="http://schemas.openxmlformats.org/package/2006/metadata/core-properties"/>
    <ds:schemaRef ds:uri="http://schemas.microsoft.com/office/2006/metadata/properties"/>
    <ds:schemaRef ds:uri="fc66ef79-2d66-4fa3-90bd-e4f186d8d369"/>
    <ds:schemaRef ds:uri="315842a7-4cff-4ca6-8fb0-a6562d7ae952"/>
    <ds:schemaRef ds:uri="http://schemas.microsoft.com/office/2006/documentManagement/typ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7305</Characters>
  <Application>Microsoft Office Word</Application>
  <DocSecurity>0</DocSecurity>
  <Lines>60</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2021-12-23T18:11:00Z</dcterms:created>
  <dcterms:modified xsi:type="dcterms:W3CDTF">2022-01-28T22:13:00Z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