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F7021" w14:textId="24DE35CE" w:rsidR="004649DF" w:rsidRPr="003D74CC" w:rsidRDefault="00F95B3A" w:rsidP="00115803">
      <w:pPr>
        <w:pStyle w:val="Numeracin"/>
        <w:tabs>
          <w:tab w:val="clear" w:pos="360"/>
        </w:tabs>
        <w:spacing w:before="0"/>
        <w:ind w:left="0" w:right="-193" w:firstLine="0"/>
        <w:rPr>
          <w:rFonts w:ascii="Arial" w:hAnsi="Arial" w:cs="Arial"/>
          <w:b/>
          <w:sz w:val="28"/>
          <w:szCs w:val="28"/>
        </w:rPr>
      </w:pPr>
      <w:r w:rsidRPr="00F95B3A">
        <w:rPr>
          <w:rFonts w:ascii="Arial" w:eastAsiaTheme="minorHAnsi" w:hAnsi="Arial" w:cs="Arial"/>
          <w:b/>
          <w:sz w:val="24"/>
          <w:lang w:eastAsia="en-US"/>
        </w:rPr>
        <w:t>SGV-A-275</w:t>
      </w:r>
      <w:r w:rsidRPr="00F95B3A">
        <w:rPr>
          <w:rFonts w:ascii="Arial" w:hAnsi="Arial" w:cs="Arial"/>
          <w:b/>
          <w:sz w:val="24"/>
        </w:rPr>
        <w:t xml:space="preserve"> ACUERDO SOBRE EL HORARIO DE ATENCIÓN OFICIAL DE LA SUPERINTENDENCIA GENERAL DE VALORES Y DE ATENCION DE TRAMITES</w:t>
      </w:r>
      <w:r w:rsidRPr="003D74CC">
        <w:rPr>
          <w:rFonts w:ascii="Arial" w:eastAsiaTheme="minorHAnsi" w:hAnsi="Arial" w:cs="Arial"/>
          <w:b/>
          <w:sz w:val="28"/>
          <w:szCs w:val="28"/>
          <w:lang w:eastAsia="en-US"/>
        </w:rPr>
        <w:t xml:space="preserve"> </w:t>
      </w:r>
      <w:r w:rsidR="004649DF" w:rsidRPr="003D74CC">
        <w:rPr>
          <w:rStyle w:val="Refdenotaalpie"/>
          <w:rFonts w:ascii="Arial" w:eastAsiaTheme="minorHAnsi" w:hAnsi="Arial" w:cs="Arial"/>
          <w:b/>
          <w:sz w:val="28"/>
          <w:szCs w:val="28"/>
          <w:lang w:eastAsia="en-US"/>
        </w:rPr>
        <w:footnoteReference w:id="1"/>
      </w:r>
    </w:p>
    <w:p w14:paraId="43A4479C" w14:textId="105C02BE" w:rsidR="00D91EF1" w:rsidRDefault="00D91EF1" w:rsidP="00115803">
      <w:pPr>
        <w:pStyle w:val="Numeracin"/>
        <w:tabs>
          <w:tab w:val="clear" w:pos="360"/>
        </w:tabs>
        <w:spacing w:before="0"/>
        <w:ind w:left="0" w:right="-193" w:firstLine="0"/>
        <w:rPr>
          <w:rFonts w:ascii="Arial" w:hAnsi="Arial" w:cs="Arial"/>
          <w:b/>
          <w:sz w:val="24"/>
        </w:rPr>
      </w:pPr>
    </w:p>
    <w:p w14:paraId="34E1E90C" w14:textId="77777777" w:rsidR="00D91EF1" w:rsidRPr="00D91EF1" w:rsidRDefault="00D91EF1" w:rsidP="00115803">
      <w:pPr>
        <w:pStyle w:val="Numeracin"/>
        <w:tabs>
          <w:tab w:val="clear" w:pos="360"/>
        </w:tabs>
        <w:spacing w:before="0"/>
        <w:ind w:left="0" w:right="-193" w:firstLine="0"/>
        <w:rPr>
          <w:rFonts w:ascii="Arial" w:eastAsiaTheme="minorHAnsi" w:hAnsi="Arial" w:cs="Arial"/>
          <w:b/>
          <w:sz w:val="24"/>
          <w:lang w:eastAsia="en-US"/>
        </w:rPr>
      </w:pPr>
    </w:p>
    <w:p w14:paraId="29F6AFB0" w14:textId="77777777" w:rsidR="00D91EF1" w:rsidRPr="00D91EF1" w:rsidRDefault="00D91EF1" w:rsidP="00D91EF1">
      <w:pPr>
        <w:spacing w:line="276" w:lineRule="auto"/>
        <w:ind w:right="-193"/>
        <w:jc w:val="both"/>
        <w:rPr>
          <w:rFonts w:ascii="Arial" w:hAnsi="Arial" w:cs="Arial"/>
          <w:b/>
          <w:bCs/>
          <w:sz w:val="24"/>
          <w:lang w:val="es-CR"/>
        </w:rPr>
      </w:pPr>
      <w:r w:rsidRPr="00D91EF1">
        <w:rPr>
          <w:rFonts w:ascii="Arial" w:hAnsi="Arial" w:cs="Arial"/>
          <w:b/>
          <w:bCs/>
          <w:sz w:val="24"/>
          <w:lang w:val="es-CR"/>
        </w:rPr>
        <w:t>Considerando que:</w:t>
      </w:r>
    </w:p>
    <w:p w14:paraId="77BEB3AC" w14:textId="77777777" w:rsidR="00D91EF1" w:rsidRPr="00D91EF1" w:rsidRDefault="00D91EF1" w:rsidP="00D91EF1">
      <w:pPr>
        <w:spacing w:line="276" w:lineRule="auto"/>
        <w:ind w:right="-193"/>
        <w:jc w:val="both"/>
        <w:rPr>
          <w:rFonts w:ascii="Arial" w:hAnsi="Arial" w:cs="Arial"/>
          <w:b/>
          <w:bCs/>
          <w:sz w:val="24"/>
          <w:lang w:val="es-CR"/>
        </w:rPr>
      </w:pPr>
    </w:p>
    <w:p w14:paraId="69FFCB49" w14:textId="77777777" w:rsidR="00D91EF1" w:rsidRPr="00D91EF1" w:rsidRDefault="00D91EF1" w:rsidP="00D91EF1">
      <w:pPr>
        <w:tabs>
          <w:tab w:val="left" w:pos="567"/>
        </w:tabs>
        <w:ind w:left="567" w:right="-193"/>
        <w:jc w:val="both"/>
        <w:rPr>
          <w:rFonts w:ascii="Arial" w:hAnsi="Arial" w:cs="Arial"/>
          <w:sz w:val="24"/>
        </w:rPr>
      </w:pPr>
    </w:p>
    <w:p w14:paraId="1526AED3" w14:textId="77777777" w:rsidR="00D91EF1" w:rsidRPr="00D91EF1" w:rsidRDefault="00D91EF1" w:rsidP="00D91EF1">
      <w:pPr>
        <w:numPr>
          <w:ilvl w:val="0"/>
          <w:numId w:val="7"/>
        </w:numPr>
        <w:tabs>
          <w:tab w:val="left" w:pos="567"/>
        </w:tabs>
        <w:ind w:left="567" w:right="-193" w:hanging="567"/>
        <w:jc w:val="both"/>
        <w:rPr>
          <w:rFonts w:ascii="Arial" w:hAnsi="Arial" w:cs="Arial"/>
          <w:sz w:val="24"/>
        </w:rPr>
      </w:pPr>
      <w:r w:rsidRPr="00D91EF1">
        <w:rPr>
          <w:rFonts w:ascii="Arial" w:hAnsi="Arial" w:cs="Arial"/>
          <w:sz w:val="24"/>
        </w:rPr>
        <w:t>El artículo 266 de Ley General de la Administración Pública establece que los horarios de trabajo al público en las oficinas de la Administración se determinarán por decreto y deberán ser coordinados entre los distintos centros de una misma localidad y ser uniformes en cada uno de ellos.</w:t>
      </w:r>
    </w:p>
    <w:p w14:paraId="080D9F6F" w14:textId="77777777" w:rsidR="00D91EF1" w:rsidRPr="00D91EF1" w:rsidRDefault="00D91EF1" w:rsidP="00D91EF1">
      <w:pPr>
        <w:tabs>
          <w:tab w:val="left" w:pos="567"/>
        </w:tabs>
        <w:ind w:left="567" w:right="-193"/>
        <w:jc w:val="both"/>
        <w:rPr>
          <w:rFonts w:ascii="Arial" w:hAnsi="Arial" w:cs="Arial"/>
          <w:sz w:val="24"/>
        </w:rPr>
      </w:pPr>
    </w:p>
    <w:p w14:paraId="0DAA2371" w14:textId="77777777" w:rsidR="00D91EF1" w:rsidRPr="00D91EF1" w:rsidRDefault="00D91EF1" w:rsidP="00D91EF1">
      <w:pPr>
        <w:numPr>
          <w:ilvl w:val="0"/>
          <w:numId w:val="7"/>
        </w:numPr>
        <w:tabs>
          <w:tab w:val="left" w:pos="567"/>
        </w:tabs>
        <w:ind w:left="567" w:right="-193" w:hanging="567"/>
        <w:jc w:val="both"/>
        <w:rPr>
          <w:rFonts w:ascii="Arial" w:hAnsi="Arial" w:cs="Arial"/>
          <w:sz w:val="24"/>
        </w:rPr>
      </w:pPr>
      <w:r w:rsidRPr="00D91EF1">
        <w:rPr>
          <w:rFonts w:ascii="Arial" w:hAnsi="Arial" w:cs="Arial"/>
          <w:sz w:val="24"/>
        </w:rPr>
        <w:t xml:space="preserve">El artículo 8 inciso f) de la Ley Reguladora del Mercado de Valores, Ley 7732 dispone que es competencia del Superintendente el ejercer las potestades de jerarca administrativo de la Superintendencia. </w:t>
      </w:r>
    </w:p>
    <w:p w14:paraId="531E6FC8" w14:textId="77777777" w:rsidR="00D91EF1" w:rsidRPr="00D91EF1" w:rsidRDefault="00D91EF1" w:rsidP="00D91EF1">
      <w:pPr>
        <w:tabs>
          <w:tab w:val="left" w:pos="567"/>
        </w:tabs>
        <w:ind w:right="-193"/>
        <w:jc w:val="both"/>
        <w:rPr>
          <w:rFonts w:ascii="Arial" w:hAnsi="Arial" w:cs="Arial"/>
          <w:sz w:val="24"/>
        </w:rPr>
      </w:pPr>
    </w:p>
    <w:p w14:paraId="51B31B4E" w14:textId="77777777" w:rsidR="00D91EF1" w:rsidRPr="00D91EF1" w:rsidRDefault="00D91EF1" w:rsidP="00D91EF1">
      <w:pPr>
        <w:numPr>
          <w:ilvl w:val="0"/>
          <w:numId w:val="7"/>
        </w:numPr>
        <w:tabs>
          <w:tab w:val="left" w:pos="567"/>
        </w:tabs>
        <w:ind w:left="567" w:right="-193" w:hanging="567"/>
        <w:jc w:val="both"/>
        <w:rPr>
          <w:rFonts w:ascii="Arial" w:hAnsi="Arial" w:cs="Arial"/>
          <w:sz w:val="24"/>
        </w:rPr>
      </w:pPr>
      <w:r w:rsidRPr="00D91EF1">
        <w:rPr>
          <w:rFonts w:ascii="Arial" w:hAnsi="Arial" w:cs="Arial"/>
          <w:sz w:val="24"/>
        </w:rPr>
        <w:t xml:space="preserve">El Artículo 8 inciso l) de la Ley Reguladora del Mercado de Valores, Ley 7732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14:paraId="5F2B5C65" w14:textId="77777777" w:rsidR="00D91EF1" w:rsidRPr="00D91EF1" w:rsidRDefault="00D91EF1" w:rsidP="00D91EF1">
      <w:pPr>
        <w:tabs>
          <w:tab w:val="left" w:pos="567"/>
        </w:tabs>
        <w:ind w:left="567" w:right="-193"/>
        <w:jc w:val="both"/>
        <w:rPr>
          <w:rFonts w:ascii="Arial" w:hAnsi="Arial" w:cs="Arial"/>
          <w:sz w:val="24"/>
        </w:rPr>
      </w:pPr>
    </w:p>
    <w:p w14:paraId="1D847F76" w14:textId="77777777" w:rsidR="00D91EF1" w:rsidRPr="00D91EF1" w:rsidRDefault="00D91EF1" w:rsidP="00D91EF1">
      <w:pPr>
        <w:numPr>
          <w:ilvl w:val="0"/>
          <w:numId w:val="7"/>
        </w:numPr>
        <w:tabs>
          <w:tab w:val="left" w:pos="567"/>
        </w:tabs>
        <w:ind w:left="567" w:right="-193" w:hanging="567"/>
        <w:jc w:val="both"/>
        <w:rPr>
          <w:rFonts w:ascii="Arial" w:hAnsi="Arial" w:cs="Arial"/>
          <w:sz w:val="24"/>
        </w:rPr>
      </w:pPr>
      <w:r w:rsidRPr="00D91EF1">
        <w:rPr>
          <w:rFonts w:ascii="Arial" w:hAnsi="Arial" w:cs="Arial"/>
          <w:sz w:val="24"/>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7F1A9380" w14:textId="77777777" w:rsidR="00D91EF1" w:rsidRPr="00D91EF1" w:rsidRDefault="00D91EF1" w:rsidP="00D91EF1">
      <w:pPr>
        <w:tabs>
          <w:tab w:val="left" w:pos="567"/>
        </w:tabs>
        <w:ind w:left="567" w:right="-193"/>
        <w:jc w:val="both"/>
        <w:rPr>
          <w:rFonts w:ascii="Arial" w:hAnsi="Arial" w:cs="Arial"/>
          <w:sz w:val="24"/>
        </w:rPr>
      </w:pPr>
    </w:p>
    <w:p w14:paraId="39999A33" w14:textId="77777777" w:rsidR="00D91EF1" w:rsidRPr="00D91EF1" w:rsidRDefault="00D91EF1" w:rsidP="00D91EF1">
      <w:pPr>
        <w:pStyle w:val="Numeracin"/>
        <w:numPr>
          <w:ilvl w:val="0"/>
          <w:numId w:val="7"/>
        </w:numPr>
        <w:tabs>
          <w:tab w:val="left" w:pos="567"/>
        </w:tabs>
        <w:spacing w:before="0"/>
        <w:ind w:left="567" w:hanging="567"/>
        <w:rPr>
          <w:rFonts w:ascii="Arial" w:hAnsi="Arial" w:cs="Arial"/>
          <w:color w:val="000000" w:themeColor="text1"/>
          <w:sz w:val="24"/>
        </w:rPr>
      </w:pPr>
      <w:r w:rsidRPr="00D91EF1">
        <w:rPr>
          <w:rFonts w:ascii="Arial" w:hAnsi="Arial" w:cs="Arial"/>
          <w:sz w:val="24"/>
        </w:rPr>
        <w:t xml:space="preserve">Para la emisión de la presente Directriz y la elaboración del Sistema de Mensajería de Documentos Electrónicos (MENDOCEL) la Superintendencia General de Valores se ha ajustado a la normativa denominada “Política de Formatos Oficiales de los Documentos Electrónicos Firmados Digitalmente” emitida por el Ministerio de Ciencia, Tecnología y Telecomunicaciones, publicada en el Alcance Digital número </w:t>
      </w:r>
      <w:r w:rsidRPr="00D91EF1">
        <w:rPr>
          <w:rFonts w:ascii="Arial" w:hAnsi="Arial" w:cs="Arial"/>
          <w:color w:val="000000" w:themeColor="text1"/>
          <w:sz w:val="24"/>
        </w:rPr>
        <w:t>92 de la edición número 95 del Diario Oficial La Gaceta del 20 de mayo del 2013.</w:t>
      </w:r>
    </w:p>
    <w:p w14:paraId="54BD6460" w14:textId="77777777" w:rsidR="00D91EF1" w:rsidRPr="00D91EF1" w:rsidRDefault="00D91EF1" w:rsidP="00D91EF1">
      <w:pPr>
        <w:tabs>
          <w:tab w:val="left" w:pos="567"/>
        </w:tabs>
        <w:ind w:left="567" w:right="-193"/>
        <w:jc w:val="both"/>
        <w:rPr>
          <w:rFonts w:ascii="Arial" w:eastAsia="Calibri" w:hAnsi="Arial" w:cs="Arial"/>
          <w:color w:val="000000" w:themeColor="text1"/>
          <w:sz w:val="24"/>
        </w:rPr>
      </w:pPr>
    </w:p>
    <w:p w14:paraId="00C0AC84" w14:textId="77777777" w:rsidR="00D91EF1" w:rsidRPr="00D91EF1" w:rsidRDefault="00D91EF1" w:rsidP="00D91EF1">
      <w:pPr>
        <w:numPr>
          <w:ilvl w:val="0"/>
          <w:numId w:val="7"/>
        </w:numPr>
        <w:tabs>
          <w:tab w:val="left" w:pos="567"/>
        </w:tabs>
        <w:ind w:left="567" w:right="-193" w:hanging="567"/>
        <w:jc w:val="both"/>
        <w:rPr>
          <w:rFonts w:ascii="Arial" w:eastAsia="Calibri" w:hAnsi="Arial" w:cs="Arial"/>
          <w:color w:val="000000" w:themeColor="text1"/>
          <w:sz w:val="24"/>
        </w:rPr>
      </w:pPr>
      <w:r w:rsidRPr="00D91EF1">
        <w:rPr>
          <w:rFonts w:ascii="Arial" w:hAnsi="Arial" w:cs="Arial"/>
          <w:color w:val="000000" w:themeColor="text1"/>
          <w:sz w:val="24"/>
        </w:rPr>
        <w:t xml:space="preserve">El artículo 269 inciso 1 de la Ley General de la Administración Pública señala que </w:t>
      </w:r>
      <w:r w:rsidRPr="00D91EF1">
        <w:rPr>
          <w:rFonts w:ascii="Arial" w:hAnsi="Arial" w:cs="Arial"/>
          <w:i/>
          <w:iCs/>
          <w:color w:val="000000" w:themeColor="text1"/>
          <w:sz w:val="24"/>
        </w:rPr>
        <w:t xml:space="preserve">“La actuación administrativa se realizará con arreglo a normas de economía, simplicidad, celeridad y eficiencia”, </w:t>
      </w:r>
      <w:r w:rsidRPr="00D91EF1">
        <w:rPr>
          <w:rFonts w:ascii="Arial" w:hAnsi="Arial" w:cs="Arial"/>
          <w:color w:val="000000" w:themeColor="text1"/>
          <w:sz w:val="24"/>
        </w:rPr>
        <w:t xml:space="preserve">siendo responsabilidad de sus jerarcas el cabal cumplimiento de este precepto, es por ello que, como </w:t>
      </w:r>
      <w:r w:rsidRPr="00D91EF1">
        <w:rPr>
          <w:rFonts w:ascii="Arial" w:hAnsi="Arial" w:cs="Arial"/>
          <w:color w:val="000000" w:themeColor="text1"/>
          <w:sz w:val="24"/>
        </w:rPr>
        <w:lastRenderedPageBreak/>
        <w:t xml:space="preserve">resultado del proceso de coordinación con las demás superintendencias, se han identificado oportunidades de mejora que tienen un impacto positivo en la comunicación y en la organización del trabajo, todo tendiente a mejorar la atención del servicio a los diferentes regulados y público en general. </w:t>
      </w:r>
      <w:proofErr w:type="gramStart"/>
      <w:r w:rsidRPr="00D91EF1">
        <w:rPr>
          <w:rFonts w:ascii="Arial" w:hAnsi="Arial" w:cs="Arial"/>
          <w:color w:val="000000" w:themeColor="text1"/>
          <w:sz w:val="24"/>
        </w:rPr>
        <w:t>En razón de</w:t>
      </w:r>
      <w:proofErr w:type="gramEnd"/>
      <w:r w:rsidRPr="00D91EF1">
        <w:rPr>
          <w:rFonts w:ascii="Arial" w:hAnsi="Arial" w:cs="Arial"/>
          <w:color w:val="000000" w:themeColor="text1"/>
          <w:sz w:val="24"/>
        </w:rPr>
        <w:t xml:space="preserve"> lo anterior, se procederá a uniformar el horario de atención de Sugeval para que coincida con la atención brindada a terceros por las demás Superintendencias</w:t>
      </w:r>
      <w:r w:rsidRPr="00D91EF1">
        <w:rPr>
          <w:rFonts w:ascii="Arial" w:eastAsia="Calibri" w:hAnsi="Arial" w:cs="Arial"/>
          <w:color w:val="000000" w:themeColor="text1"/>
          <w:sz w:val="24"/>
        </w:rPr>
        <w:t xml:space="preserve">. </w:t>
      </w:r>
    </w:p>
    <w:p w14:paraId="7AA6FE2B" w14:textId="77777777" w:rsidR="00D91EF1" w:rsidRPr="00D91EF1" w:rsidRDefault="00D91EF1" w:rsidP="00D91EF1">
      <w:pPr>
        <w:pStyle w:val="Prrafodelista"/>
        <w:rPr>
          <w:rFonts w:ascii="Arial" w:eastAsia="Calibri" w:hAnsi="Arial" w:cs="Arial"/>
          <w:color w:val="000000" w:themeColor="text1"/>
          <w:sz w:val="24"/>
        </w:rPr>
      </w:pPr>
    </w:p>
    <w:p w14:paraId="7371BCFE" w14:textId="77777777" w:rsidR="00D91EF1" w:rsidRPr="00D91EF1" w:rsidRDefault="00D91EF1" w:rsidP="00D91EF1">
      <w:pPr>
        <w:numPr>
          <w:ilvl w:val="0"/>
          <w:numId w:val="7"/>
        </w:numPr>
        <w:tabs>
          <w:tab w:val="left" w:pos="567"/>
        </w:tabs>
        <w:ind w:left="567" w:right="-193" w:hanging="567"/>
        <w:jc w:val="both"/>
        <w:rPr>
          <w:rFonts w:ascii="Arial" w:eastAsia="Calibri" w:hAnsi="Arial" w:cs="Arial"/>
          <w:color w:val="000000" w:themeColor="text1"/>
          <w:sz w:val="24"/>
        </w:rPr>
      </w:pPr>
      <w:r w:rsidRPr="00D91EF1">
        <w:rPr>
          <w:rFonts w:ascii="Arial" w:eastAsia="Calibri" w:hAnsi="Arial" w:cs="Arial"/>
          <w:color w:val="000000" w:themeColor="text1"/>
          <w:sz w:val="24"/>
        </w:rPr>
        <w:t xml:space="preserve">En aplicación de los principios antes esbozados, se ha determinado que, al compartir las Superintendencias un mismo espacio físico y, en el que las entidades reguladas y demás usuarios pueden tener acceso a dichas instituciones es que se ha reconocido que la atención en un horario uniforme genera una mejor comunicación y atención y, en este mismo sentido, el cambio no </w:t>
      </w:r>
      <w:r w:rsidRPr="00D91EF1">
        <w:rPr>
          <w:rStyle w:val="ui-provider"/>
          <w:rFonts w:ascii="Arial" w:eastAsiaTheme="majorEastAsia" w:hAnsi="Arial" w:cs="Arial"/>
          <w:color w:val="000000" w:themeColor="text1"/>
          <w:sz w:val="24"/>
        </w:rPr>
        <w:t xml:space="preserve">establece nuevos trámites, requisitos o procedimientos que el administrado deba cumplir, ya que la atención de trámites se uniforman con el resto de las superintendencias, siendo éstos lo </w:t>
      </w:r>
      <w:r w:rsidRPr="00D91EF1">
        <w:rPr>
          <w:rFonts w:ascii="Arial" w:eastAsia="Calibri" w:hAnsi="Arial" w:cs="Arial"/>
          <w:color w:val="000000" w:themeColor="text1"/>
          <w:sz w:val="24"/>
        </w:rPr>
        <w:t>suficientemente amplios para que no perjudiquen a los administrados</w:t>
      </w:r>
    </w:p>
    <w:p w14:paraId="6D6C4DF0" w14:textId="77777777" w:rsidR="00D91EF1" w:rsidRPr="00D91EF1" w:rsidRDefault="00D91EF1" w:rsidP="00D91EF1">
      <w:pPr>
        <w:tabs>
          <w:tab w:val="left" w:pos="567"/>
        </w:tabs>
        <w:ind w:left="567" w:right="-193"/>
        <w:jc w:val="both"/>
        <w:rPr>
          <w:rFonts w:ascii="Arial" w:eastAsia="Calibri" w:hAnsi="Arial" w:cs="Arial"/>
          <w:color w:val="000000" w:themeColor="text1"/>
          <w:sz w:val="24"/>
        </w:rPr>
      </w:pPr>
    </w:p>
    <w:p w14:paraId="6EF6DF27" w14:textId="77777777" w:rsidR="00D91EF1" w:rsidRPr="00D91EF1" w:rsidRDefault="00D91EF1" w:rsidP="00D91EF1">
      <w:pPr>
        <w:numPr>
          <w:ilvl w:val="0"/>
          <w:numId w:val="7"/>
        </w:numPr>
        <w:tabs>
          <w:tab w:val="left" w:pos="567"/>
        </w:tabs>
        <w:ind w:left="567" w:right="-193" w:hanging="567"/>
        <w:jc w:val="both"/>
        <w:rPr>
          <w:rFonts w:ascii="Arial" w:eastAsia="Calibri" w:hAnsi="Arial" w:cs="Arial"/>
          <w:color w:val="000000" w:themeColor="text1"/>
          <w:sz w:val="24"/>
        </w:rPr>
      </w:pPr>
      <w:r w:rsidRPr="00D91EF1">
        <w:rPr>
          <w:rFonts w:ascii="Arial" w:eastAsia="Calibri" w:hAnsi="Arial" w:cs="Arial"/>
          <w:color w:val="000000" w:themeColor="text1"/>
          <w:sz w:val="24"/>
        </w:rPr>
        <w:t>Valoradas los anteriores considerandos, se prescinde de la consulta pública por tratarse de un acto que uniforma y ordena la atención de trámites y gestiones institucionales, sin que implique la generación de nuevas obligaciones, sino que busca el cumplimiento del interés público de la institución, ello según lo dispuesto en el artículo 361 inciso 2 de la Ley General de la Administración Pública.</w:t>
      </w:r>
    </w:p>
    <w:p w14:paraId="0FDBDBD3" w14:textId="77777777" w:rsidR="00D91EF1" w:rsidRPr="00D91EF1" w:rsidRDefault="00D91EF1" w:rsidP="00D91EF1">
      <w:pPr>
        <w:pStyle w:val="Prrafodelista"/>
        <w:rPr>
          <w:rFonts w:ascii="Arial" w:eastAsia="Calibri" w:hAnsi="Arial" w:cs="Arial"/>
          <w:color w:val="FF0000"/>
          <w:sz w:val="24"/>
          <w:highlight w:val="yellow"/>
        </w:rPr>
      </w:pPr>
    </w:p>
    <w:p w14:paraId="008CDC7D" w14:textId="77777777" w:rsidR="00D91EF1" w:rsidRPr="00D91EF1" w:rsidRDefault="00D91EF1" w:rsidP="00D91EF1">
      <w:pPr>
        <w:jc w:val="both"/>
        <w:rPr>
          <w:rFonts w:ascii="Arial" w:eastAsia="Calibri" w:hAnsi="Arial" w:cs="Arial"/>
          <w:sz w:val="24"/>
        </w:rPr>
      </w:pPr>
      <w:r w:rsidRPr="00D91EF1">
        <w:rPr>
          <w:rFonts w:ascii="Arial" w:eastAsia="Calibri" w:hAnsi="Arial" w:cs="Arial"/>
          <w:sz w:val="24"/>
        </w:rPr>
        <w:t>Por tanto, dispone el presente acuerdo:</w:t>
      </w:r>
    </w:p>
    <w:p w14:paraId="36F348AE" w14:textId="77777777" w:rsidR="00D91EF1" w:rsidRPr="00D91EF1" w:rsidRDefault="00D91EF1" w:rsidP="00D91EF1">
      <w:pPr>
        <w:jc w:val="both"/>
        <w:rPr>
          <w:rFonts w:ascii="Arial" w:eastAsia="Calibri" w:hAnsi="Arial" w:cs="Arial"/>
          <w:sz w:val="24"/>
        </w:rPr>
      </w:pPr>
    </w:p>
    <w:p w14:paraId="2E380791" w14:textId="77777777" w:rsidR="00D91EF1" w:rsidRPr="00D91EF1" w:rsidRDefault="00D91EF1" w:rsidP="00D91EF1">
      <w:pPr>
        <w:pStyle w:val="Textodereglamento"/>
        <w:rPr>
          <w:rFonts w:ascii="Arial" w:eastAsia="Calibri" w:hAnsi="Arial" w:cs="Arial"/>
          <w:sz w:val="24"/>
        </w:rPr>
      </w:pPr>
    </w:p>
    <w:p w14:paraId="36870823" w14:textId="59A485DE" w:rsidR="00D91EF1" w:rsidRDefault="00D91EF1" w:rsidP="00D91EF1">
      <w:pPr>
        <w:jc w:val="center"/>
        <w:rPr>
          <w:rFonts w:ascii="Arial" w:hAnsi="Arial" w:cs="Arial"/>
          <w:b/>
          <w:sz w:val="24"/>
        </w:rPr>
      </w:pPr>
      <w:r w:rsidRPr="00D91EF1">
        <w:rPr>
          <w:rFonts w:ascii="Arial" w:hAnsi="Arial" w:cs="Arial"/>
          <w:b/>
          <w:sz w:val="24"/>
        </w:rPr>
        <w:t>SGV-A-275.  HORARIO DE ATENCION DE LA SUPERINTENDENCIA GENERAL DE VALORES</w:t>
      </w:r>
    </w:p>
    <w:p w14:paraId="17B0769C" w14:textId="77777777" w:rsidR="00D91EF1" w:rsidRPr="00D91EF1" w:rsidRDefault="00D91EF1" w:rsidP="00D91EF1">
      <w:pPr>
        <w:jc w:val="center"/>
        <w:rPr>
          <w:rFonts w:ascii="Arial" w:hAnsi="Arial" w:cs="Arial"/>
          <w:b/>
          <w:sz w:val="24"/>
        </w:rPr>
      </w:pPr>
    </w:p>
    <w:p w14:paraId="755004F9" w14:textId="7BC2EF09" w:rsidR="00D91EF1" w:rsidRPr="00D91EF1" w:rsidRDefault="00D91EF1" w:rsidP="00D91EF1">
      <w:pPr>
        <w:jc w:val="both"/>
        <w:rPr>
          <w:rFonts w:ascii="Arial" w:eastAsia="Calibri" w:hAnsi="Arial" w:cs="Arial"/>
          <w:b/>
          <w:color w:val="000000"/>
          <w:sz w:val="24"/>
          <w:lang w:eastAsia="es-CR"/>
        </w:rPr>
      </w:pPr>
      <w:r w:rsidRPr="00D91EF1">
        <w:rPr>
          <w:rFonts w:ascii="Arial" w:eastAsia="Calibri" w:hAnsi="Arial" w:cs="Arial"/>
          <w:b/>
          <w:color w:val="000000"/>
          <w:sz w:val="24"/>
          <w:lang w:eastAsia="es-CR"/>
        </w:rPr>
        <w:t xml:space="preserve">Artículo 1. Horario </w:t>
      </w:r>
    </w:p>
    <w:p w14:paraId="19DBB1A1" w14:textId="77777777" w:rsidR="00D91EF1" w:rsidRPr="00D91EF1" w:rsidRDefault="00D91EF1" w:rsidP="00D91EF1">
      <w:pPr>
        <w:pStyle w:val="Textodereglamento"/>
        <w:spacing w:before="0" w:line="276" w:lineRule="auto"/>
        <w:rPr>
          <w:rFonts w:ascii="Arial" w:eastAsia="Calibri" w:hAnsi="Arial" w:cs="Arial"/>
          <w:bCs/>
          <w:sz w:val="24"/>
          <w:lang w:eastAsia="en-US"/>
        </w:rPr>
      </w:pPr>
      <w:r w:rsidRPr="00D91EF1">
        <w:rPr>
          <w:rFonts w:ascii="Arial" w:eastAsia="Calibri" w:hAnsi="Arial" w:cs="Arial"/>
          <w:bCs/>
          <w:sz w:val="24"/>
          <w:lang w:eastAsia="en-US"/>
        </w:rPr>
        <w:t xml:space="preserve">Se dispone como Horario Oficial de la Superintendencia de Lunes a </w:t>
      </w:r>
      <w:proofErr w:type="gramStart"/>
      <w:r w:rsidRPr="00D91EF1">
        <w:rPr>
          <w:rFonts w:ascii="Arial" w:eastAsia="Calibri" w:hAnsi="Arial" w:cs="Arial"/>
          <w:bCs/>
          <w:sz w:val="24"/>
          <w:lang w:eastAsia="en-US"/>
        </w:rPr>
        <w:t>Viernes</w:t>
      </w:r>
      <w:proofErr w:type="gramEnd"/>
      <w:r w:rsidRPr="00D91EF1">
        <w:rPr>
          <w:rFonts w:ascii="Arial" w:eastAsia="Calibri" w:hAnsi="Arial" w:cs="Arial"/>
          <w:bCs/>
          <w:sz w:val="24"/>
          <w:lang w:eastAsia="en-US"/>
        </w:rPr>
        <w:t xml:space="preserve">, de las 08:30 horas a las 16:30 horas. </w:t>
      </w:r>
    </w:p>
    <w:p w14:paraId="1C3A39FE" w14:textId="77777777" w:rsidR="00D91EF1" w:rsidRPr="00D91EF1" w:rsidRDefault="00D91EF1" w:rsidP="00D91EF1">
      <w:pPr>
        <w:pStyle w:val="Textodereglamento"/>
        <w:spacing w:before="0" w:line="276" w:lineRule="auto"/>
        <w:rPr>
          <w:rFonts w:ascii="Arial" w:hAnsi="Arial" w:cs="Arial"/>
          <w:sz w:val="24"/>
        </w:rPr>
      </w:pPr>
    </w:p>
    <w:p w14:paraId="00CF8A36" w14:textId="00591CE4" w:rsidR="00D91EF1" w:rsidRPr="00D91EF1" w:rsidRDefault="00D91EF1" w:rsidP="00D91EF1">
      <w:pPr>
        <w:tabs>
          <w:tab w:val="center" w:pos="4419"/>
        </w:tabs>
        <w:jc w:val="both"/>
        <w:rPr>
          <w:rFonts w:ascii="Arial" w:eastAsia="Calibri" w:hAnsi="Arial" w:cs="Arial"/>
          <w:b/>
          <w:sz w:val="24"/>
        </w:rPr>
      </w:pPr>
      <w:r w:rsidRPr="00D91EF1">
        <w:rPr>
          <w:rFonts w:ascii="Arial" w:eastAsia="Calibri" w:hAnsi="Arial" w:cs="Arial"/>
          <w:b/>
          <w:sz w:val="24"/>
        </w:rPr>
        <w:t>Artículo 2. Atención de trámites y plazos</w:t>
      </w:r>
    </w:p>
    <w:p w14:paraId="34F5F14A" w14:textId="77777777" w:rsidR="00D91EF1" w:rsidRPr="00D91EF1" w:rsidRDefault="00D91EF1" w:rsidP="00D91EF1">
      <w:pPr>
        <w:pStyle w:val="Textodereglamento"/>
        <w:spacing w:before="0" w:line="276" w:lineRule="auto"/>
        <w:rPr>
          <w:rFonts w:ascii="Arial" w:hAnsi="Arial" w:cs="Arial"/>
          <w:sz w:val="24"/>
        </w:rPr>
      </w:pPr>
      <w:r w:rsidRPr="00D91EF1">
        <w:rPr>
          <w:rFonts w:ascii="Arial" w:hAnsi="Arial" w:cs="Arial"/>
          <w:sz w:val="24"/>
        </w:rPr>
        <w:t>En dicho horario oficial dispuesto en la Superintendencia se llevará a cabo:</w:t>
      </w:r>
    </w:p>
    <w:p w14:paraId="5A367C26" w14:textId="77777777" w:rsidR="00D91EF1" w:rsidRPr="00D91EF1" w:rsidRDefault="00D91EF1" w:rsidP="00D91EF1">
      <w:pPr>
        <w:pStyle w:val="Textodereglamento"/>
        <w:numPr>
          <w:ilvl w:val="0"/>
          <w:numId w:val="12"/>
        </w:numPr>
        <w:spacing w:before="0" w:line="276" w:lineRule="auto"/>
        <w:rPr>
          <w:rFonts w:ascii="Arial" w:hAnsi="Arial" w:cs="Arial"/>
          <w:sz w:val="24"/>
        </w:rPr>
      </w:pPr>
      <w:r w:rsidRPr="00D91EF1">
        <w:rPr>
          <w:rFonts w:ascii="Arial" w:eastAsia="Calibri" w:hAnsi="Arial" w:cs="Arial"/>
          <w:bCs/>
          <w:sz w:val="24"/>
          <w:lang w:eastAsia="en-US"/>
        </w:rPr>
        <w:t xml:space="preserve">La atención del público. </w:t>
      </w:r>
    </w:p>
    <w:p w14:paraId="7745A218" w14:textId="77777777" w:rsidR="00D91EF1" w:rsidRPr="00D91EF1" w:rsidRDefault="00D91EF1" w:rsidP="00D91EF1">
      <w:pPr>
        <w:pStyle w:val="Textodereglamento"/>
        <w:numPr>
          <w:ilvl w:val="0"/>
          <w:numId w:val="12"/>
        </w:numPr>
        <w:spacing w:before="0" w:line="276" w:lineRule="auto"/>
        <w:rPr>
          <w:rFonts w:ascii="Arial" w:hAnsi="Arial" w:cs="Arial"/>
          <w:sz w:val="24"/>
        </w:rPr>
      </w:pPr>
      <w:r w:rsidRPr="00D91EF1">
        <w:rPr>
          <w:rFonts w:ascii="Arial" w:eastAsia="Calibri" w:hAnsi="Arial" w:cs="Arial"/>
          <w:bCs/>
          <w:sz w:val="24"/>
          <w:lang w:eastAsia="en-US"/>
        </w:rPr>
        <w:t>El cumplimiento de los plazos de entrega de los deberes de información, dispuesto tanto a las entidades reguladas como a terceros, en la normativa del Mercado Financiero.</w:t>
      </w:r>
    </w:p>
    <w:p w14:paraId="4568649C" w14:textId="77777777" w:rsidR="00D91EF1" w:rsidRPr="00D91EF1" w:rsidRDefault="00D91EF1" w:rsidP="00D91EF1">
      <w:pPr>
        <w:pStyle w:val="Textodereglamento"/>
        <w:numPr>
          <w:ilvl w:val="0"/>
          <w:numId w:val="12"/>
        </w:numPr>
        <w:spacing w:before="0" w:line="276" w:lineRule="auto"/>
        <w:rPr>
          <w:rFonts w:ascii="Arial" w:hAnsi="Arial" w:cs="Arial"/>
          <w:sz w:val="24"/>
        </w:rPr>
      </w:pPr>
      <w:r w:rsidRPr="00D91EF1">
        <w:rPr>
          <w:rFonts w:ascii="Arial" w:eastAsia="Calibri" w:hAnsi="Arial" w:cs="Arial"/>
          <w:bCs/>
          <w:sz w:val="24"/>
          <w:lang w:eastAsia="en-US"/>
        </w:rPr>
        <w:t>Los plazos para la presentación de recursos sobre actos administrativos emitidos por la Superintendencia.</w:t>
      </w:r>
    </w:p>
    <w:p w14:paraId="50E8921B" w14:textId="77777777" w:rsidR="00D91EF1" w:rsidRPr="00D91EF1" w:rsidRDefault="00D91EF1" w:rsidP="00D91EF1">
      <w:pPr>
        <w:pStyle w:val="Textodereglamento"/>
        <w:numPr>
          <w:ilvl w:val="0"/>
          <w:numId w:val="12"/>
        </w:numPr>
        <w:spacing w:before="0" w:line="276" w:lineRule="auto"/>
        <w:rPr>
          <w:rFonts w:ascii="Arial" w:hAnsi="Arial" w:cs="Arial"/>
          <w:sz w:val="24"/>
        </w:rPr>
      </w:pPr>
      <w:r w:rsidRPr="00D91EF1">
        <w:rPr>
          <w:rFonts w:ascii="Arial" w:eastAsia="Calibri" w:hAnsi="Arial" w:cs="Arial"/>
          <w:bCs/>
          <w:sz w:val="24"/>
          <w:lang w:eastAsia="en-US"/>
        </w:rPr>
        <w:lastRenderedPageBreak/>
        <w:t>La atención de los procedimientos administrativos, sus prevenciones, recursos y demás aspectos procedimentales.</w:t>
      </w:r>
    </w:p>
    <w:p w14:paraId="053A030F" w14:textId="77777777" w:rsidR="00D91EF1" w:rsidRPr="00D91EF1" w:rsidRDefault="00D91EF1" w:rsidP="00D91EF1">
      <w:pPr>
        <w:pStyle w:val="Textodereglamento"/>
        <w:numPr>
          <w:ilvl w:val="0"/>
          <w:numId w:val="12"/>
        </w:numPr>
        <w:spacing w:before="0" w:line="276" w:lineRule="auto"/>
        <w:rPr>
          <w:rFonts w:ascii="Arial" w:hAnsi="Arial" w:cs="Arial"/>
          <w:sz w:val="24"/>
        </w:rPr>
      </w:pPr>
      <w:r w:rsidRPr="00D91EF1">
        <w:rPr>
          <w:rFonts w:ascii="Arial" w:hAnsi="Arial" w:cs="Arial"/>
          <w:sz w:val="24"/>
        </w:rPr>
        <w:t>Cualquier otra gestión que requiera para su atención el cumplimiento de un plazo.</w:t>
      </w:r>
    </w:p>
    <w:p w14:paraId="1D94037C" w14:textId="77777777" w:rsidR="00D91EF1" w:rsidRPr="00D91EF1" w:rsidRDefault="00D91EF1" w:rsidP="00D91EF1">
      <w:pPr>
        <w:pStyle w:val="Textodereglamento"/>
        <w:spacing w:before="0" w:line="276" w:lineRule="auto"/>
        <w:rPr>
          <w:rFonts w:ascii="Arial" w:hAnsi="Arial" w:cs="Arial"/>
          <w:sz w:val="24"/>
        </w:rPr>
      </w:pPr>
      <w:r w:rsidRPr="00D91EF1">
        <w:rPr>
          <w:rFonts w:ascii="Arial" w:hAnsi="Arial" w:cs="Arial"/>
          <w:sz w:val="24"/>
        </w:rPr>
        <w:t>Lo anterior aplica tanto en su presentación en formato físico como digital a través de cualquiera de los medios electrónicos dispuestos por la Superintendencia.</w:t>
      </w:r>
    </w:p>
    <w:p w14:paraId="525665E4" w14:textId="77777777" w:rsidR="00D91EF1" w:rsidRPr="00D91EF1" w:rsidRDefault="00D91EF1" w:rsidP="00D91EF1">
      <w:pPr>
        <w:pStyle w:val="Textodereglamento"/>
        <w:rPr>
          <w:rFonts w:ascii="Arial" w:eastAsia="Calibri" w:hAnsi="Arial" w:cs="Arial"/>
          <w:sz w:val="24"/>
        </w:rPr>
      </w:pPr>
    </w:p>
    <w:p w14:paraId="578FBE5C" w14:textId="16A9F011" w:rsidR="00D91EF1" w:rsidRPr="00D91EF1" w:rsidRDefault="00D91EF1" w:rsidP="00D91EF1">
      <w:pPr>
        <w:tabs>
          <w:tab w:val="center" w:pos="4419"/>
        </w:tabs>
        <w:jc w:val="both"/>
        <w:rPr>
          <w:rFonts w:ascii="Arial" w:eastAsia="Calibri" w:hAnsi="Arial" w:cs="Arial"/>
          <w:b/>
          <w:sz w:val="24"/>
        </w:rPr>
      </w:pPr>
      <w:bookmarkStart w:id="0" w:name="_Hlk67579283"/>
      <w:r w:rsidRPr="00D91EF1">
        <w:rPr>
          <w:rFonts w:ascii="Arial" w:eastAsia="Calibri" w:hAnsi="Arial" w:cs="Arial"/>
          <w:b/>
          <w:sz w:val="24"/>
        </w:rPr>
        <w:t>Artículo 3.</w:t>
      </w:r>
      <w:r w:rsidR="00F95B3A">
        <w:rPr>
          <w:rFonts w:ascii="Arial" w:eastAsia="Calibri" w:hAnsi="Arial" w:cs="Arial"/>
          <w:b/>
          <w:sz w:val="24"/>
        </w:rPr>
        <w:t xml:space="preserve"> </w:t>
      </w:r>
      <w:r w:rsidRPr="00D91EF1">
        <w:rPr>
          <w:rFonts w:ascii="Arial" w:eastAsia="Calibri" w:hAnsi="Arial" w:cs="Arial"/>
          <w:b/>
          <w:sz w:val="24"/>
        </w:rPr>
        <w:t>Modificaciones</w:t>
      </w:r>
    </w:p>
    <w:p w14:paraId="4086A3CB" w14:textId="77777777" w:rsidR="00D91EF1" w:rsidRPr="00D91EF1" w:rsidRDefault="00D91EF1" w:rsidP="00D91EF1">
      <w:pPr>
        <w:tabs>
          <w:tab w:val="center" w:pos="4419"/>
        </w:tabs>
        <w:jc w:val="both"/>
        <w:rPr>
          <w:rFonts w:ascii="Arial" w:eastAsia="Calibri" w:hAnsi="Arial" w:cs="Arial"/>
          <w:bCs/>
          <w:sz w:val="24"/>
        </w:rPr>
      </w:pPr>
      <w:proofErr w:type="gramStart"/>
      <w:r w:rsidRPr="00D91EF1">
        <w:rPr>
          <w:rFonts w:ascii="Arial" w:eastAsia="Calibri" w:hAnsi="Arial" w:cs="Arial"/>
          <w:bCs/>
          <w:sz w:val="24"/>
        </w:rPr>
        <w:t>En razón del</w:t>
      </w:r>
      <w:proofErr w:type="gramEnd"/>
      <w:r w:rsidRPr="00D91EF1">
        <w:rPr>
          <w:rFonts w:ascii="Arial" w:eastAsia="Calibri" w:hAnsi="Arial" w:cs="Arial"/>
          <w:bCs/>
          <w:sz w:val="24"/>
        </w:rPr>
        <w:t xml:space="preserve"> cambio en la atención de la Superintendencia General de Valores, lo dispuesto en el presente acuerdo modifica lo dispuesto en:</w:t>
      </w:r>
    </w:p>
    <w:p w14:paraId="08466A75" w14:textId="77777777" w:rsidR="00D91EF1" w:rsidRPr="00D91EF1" w:rsidRDefault="00D91EF1" w:rsidP="00D91EF1">
      <w:pPr>
        <w:pStyle w:val="Prrafodelista"/>
        <w:numPr>
          <w:ilvl w:val="0"/>
          <w:numId w:val="11"/>
        </w:numPr>
        <w:tabs>
          <w:tab w:val="center" w:pos="4419"/>
        </w:tabs>
        <w:spacing w:after="160" w:line="259" w:lineRule="auto"/>
        <w:jc w:val="both"/>
        <w:rPr>
          <w:rFonts w:ascii="Arial" w:eastAsia="Calibri" w:hAnsi="Arial" w:cs="Arial"/>
          <w:bCs/>
          <w:color w:val="000000"/>
          <w:sz w:val="24"/>
          <w:lang w:eastAsia="es-CR"/>
        </w:rPr>
      </w:pPr>
      <w:r w:rsidRPr="00D91EF1">
        <w:rPr>
          <w:rFonts w:ascii="Arial" w:eastAsia="Calibri" w:hAnsi="Arial" w:cs="Arial"/>
          <w:bCs/>
          <w:sz w:val="24"/>
        </w:rPr>
        <w:t xml:space="preserve">Artículo 2 párrafo final y artículo 9 párrafo </w:t>
      </w:r>
      <w:r w:rsidRPr="00D91EF1">
        <w:rPr>
          <w:rFonts w:ascii="Arial" w:eastAsia="Calibri" w:hAnsi="Arial" w:cs="Arial"/>
          <w:bCs/>
          <w:color w:val="000000"/>
          <w:sz w:val="24"/>
          <w:lang w:eastAsia="es-CR"/>
        </w:rPr>
        <w:t>segundo párrafo del Acuerdo SGV-A-75 “Acuerdo sobre el Suministro de Información Periódica”</w:t>
      </w:r>
    </w:p>
    <w:p w14:paraId="106EB777" w14:textId="77777777" w:rsidR="00D91EF1" w:rsidRPr="00D91EF1" w:rsidRDefault="00D91EF1" w:rsidP="00D91EF1">
      <w:pPr>
        <w:pStyle w:val="Prrafodelista"/>
        <w:numPr>
          <w:ilvl w:val="0"/>
          <w:numId w:val="11"/>
        </w:numPr>
        <w:tabs>
          <w:tab w:val="center" w:pos="4419"/>
        </w:tabs>
        <w:spacing w:after="160" w:line="259" w:lineRule="auto"/>
        <w:jc w:val="both"/>
        <w:rPr>
          <w:rFonts w:ascii="Arial" w:hAnsi="Arial" w:cs="Arial"/>
          <w:bCs/>
          <w:i/>
          <w:iCs/>
          <w:color w:val="000000"/>
          <w:sz w:val="24"/>
          <w:lang w:val="es-ES_tradnl"/>
        </w:rPr>
      </w:pPr>
      <w:r w:rsidRPr="00D91EF1">
        <w:rPr>
          <w:rFonts w:ascii="Arial" w:eastAsia="Calibri" w:hAnsi="Arial" w:cs="Arial"/>
          <w:bCs/>
          <w:color w:val="000000"/>
          <w:sz w:val="24"/>
          <w:lang w:eastAsia="es-CR"/>
        </w:rPr>
        <w:t>Artículo 9 del Acuerdo</w:t>
      </w:r>
      <w:r w:rsidRPr="00D91EF1">
        <w:rPr>
          <w:rFonts w:ascii="Arial" w:hAnsi="Arial" w:cs="Arial"/>
          <w:bCs/>
          <w:sz w:val="24"/>
        </w:rPr>
        <w:t xml:space="preserve"> SGV-A-188 Directriz para la Implementación del Sistema de Mensajería de Documentos ELECTRÓNICOS (MENDOCEL),</w:t>
      </w:r>
    </w:p>
    <w:p w14:paraId="0281031C" w14:textId="77777777" w:rsidR="00D91EF1" w:rsidRPr="00D91EF1" w:rsidRDefault="00D91EF1" w:rsidP="00D91EF1">
      <w:pPr>
        <w:tabs>
          <w:tab w:val="center" w:pos="4419"/>
        </w:tabs>
        <w:jc w:val="both"/>
        <w:rPr>
          <w:rFonts w:ascii="Arial" w:eastAsia="Calibri" w:hAnsi="Arial" w:cs="Arial"/>
          <w:b/>
          <w:i/>
          <w:iCs/>
          <w:color w:val="000000"/>
          <w:sz w:val="24"/>
          <w:lang w:eastAsia="es-CR"/>
        </w:rPr>
      </w:pPr>
      <w:r w:rsidRPr="00D91EF1">
        <w:rPr>
          <w:rFonts w:ascii="Arial" w:eastAsia="Calibri" w:hAnsi="Arial" w:cs="Arial"/>
          <w:bCs/>
          <w:color w:val="000000"/>
          <w:sz w:val="24"/>
          <w:lang w:eastAsia="es-CR"/>
        </w:rPr>
        <w:t>Para que de ahora en adelante se disponga lo siguiente:</w:t>
      </w:r>
      <w:r w:rsidRPr="00D91EF1">
        <w:rPr>
          <w:rFonts w:ascii="Arial" w:eastAsia="Calibri" w:hAnsi="Arial" w:cs="Arial"/>
          <w:bCs/>
          <w:i/>
          <w:iCs/>
          <w:color w:val="000000"/>
          <w:sz w:val="24"/>
          <w:lang w:eastAsia="es-CR"/>
        </w:rPr>
        <w:t xml:space="preserve"> “…los regulados deberán observar el horario establecido en forma oficial en la Superintendencia”</w:t>
      </w:r>
      <w:r w:rsidRPr="00D91EF1">
        <w:rPr>
          <w:rFonts w:ascii="Arial" w:eastAsia="Calibri" w:hAnsi="Arial" w:cs="Arial"/>
          <w:b/>
          <w:i/>
          <w:iCs/>
          <w:color w:val="000000"/>
          <w:sz w:val="24"/>
          <w:lang w:eastAsia="es-CR"/>
        </w:rPr>
        <w:t xml:space="preserve">  </w:t>
      </w:r>
    </w:p>
    <w:p w14:paraId="2A610976" w14:textId="77777777" w:rsidR="00D91EF1" w:rsidRPr="00D91EF1" w:rsidRDefault="00D91EF1" w:rsidP="00D91EF1">
      <w:pPr>
        <w:tabs>
          <w:tab w:val="left" w:pos="567"/>
        </w:tabs>
        <w:jc w:val="both"/>
        <w:rPr>
          <w:rFonts w:ascii="Arial" w:hAnsi="Arial" w:cs="Arial"/>
          <w:sz w:val="24"/>
          <w:lang w:val="es-ES_tradnl"/>
        </w:rPr>
      </w:pPr>
    </w:p>
    <w:p w14:paraId="67B4C7DD" w14:textId="106B871B" w:rsidR="00D91EF1" w:rsidRPr="00D91EF1" w:rsidRDefault="00D91EF1" w:rsidP="00D91EF1">
      <w:pPr>
        <w:tabs>
          <w:tab w:val="center" w:pos="4419"/>
        </w:tabs>
        <w:rPr>
          <w:rFonts w:ascii="Arial" w:eastAsia="Calibri" w:hAnsi="Arial" w:cs="Arial"/>
          <w:sz w:val="24"/>
        </w:rPr>
      </w:pPr>
      <w:r w:rsidRPr="00D91EF1">
        <w:rPr>
          <w:rFonts w:ascii="Arial" w:eastAsia="Calibri" w:hAnsi="Arial" w:cs="Arial"/>
          <w:b/>
          <w:sz w:val="24"/>
        </w:rPr>
        <w:t>Artículo 4.</w:t>
      </w:r>
      <w:r w:rsidRPr="00D91EF1">
        <w:rPr>
          <w:rFonts w:ascii="Arial" w:eastAsia="Calibri" w:hAnsi="Arial" w:cs="Arial"/>
          <w:b/>
          <w:bCs/>
          <w:sz w:val="24"/>
        </w:rPr>
        <w:t xml:space="preserve"> Derogatorias</w:t>
      </w:r>
      <w:r w:rsidRPr="00D91EF1">
        <w:rPr>
          <w:rFonts w:ascii="Arial" w:eastAsia="Calibri" w:hAnsi="Arial" w:cs="Arial"/>
          <w:sz w:val="24"/>
        </w:rPr>
        <w:tab/>
      </w:r>
    </w:p>
    <w:p w14:paraId="1D644B85" w14:textId="77777777" w:rsidR="00D91EF1" w:rsidRPr="00D91EF1" w:rsidRDefault="00D91EF1" w:rsidP="00D91EF1">
      <w:pPr>
        <w:pStyle w:val="NormalWeb"/>
        <w:spacing w:before="0" w:beforeAutospacing="0" w:after="0" w:afterAutospacing="0"/>
        <w:jc w:val="both"/>
        <w:rPr>
          <w:rFonts w:ascii="Arial" w:hAnsi="Arial" w:cs="Arial"/>
          <w:lang w:val="es-ES_tradnl"/>
        </w:rPr>
      </w:pPr>
      <w:r w:rsidRPr="00D91EF1">
        <w:rPr>
          <w:rFonts w:ascii="Arial" w:eastAsiaTheme="minorHAnsi" w:hAnsi="Arial" w:cs="Arial"/>
          <w:lang w:val="es-ES_tradnl" w:eastAsia="en-US"/>
        </w:rPr>
        <w:t>Lo señalado en este acuerdo deroga lo establecido en la Circular M01/0/285 del 29 de enero del 2013.</w:t>
      </w:r>
    </w:p>
    <w:p w14:paraId="2BB1E5D0" w14:textId="77777777" w:rsidR="00D91EF1" w:rsidRPr="00D91EF1" w:rsidRDefault="00D91EF1" w:rsidP="00D91EF1">
      <w:pPr>
        <w:tabs>
          <w:tab w:val="center" w:pos="4419"/>
        </w:tabs>
        <w:rPr>
          <w:rFonts w:ascii="Arial" w:eastAsia="Calibri" w:hAnsi="Arial" w:cs="Arial"/>
          <w:b/>
          <w:sz w:val="24"/>
        </w:rPr>
      </w:pPr>
    </w:p>
    <w:p w14:paraId="62CA34C0" w14:textId="082AE2DD" w:rsidR="00D91EF1" w:rsidRPr="00D91EF1" w:rsidRDefault="00D91EF1" w:rsidP="00D91EF1">
      <w:pPr>
        <w:tabs>
          <w:tab w:val="center" w:pos="4419"/>
        </w:tabs>
        <w:rPr>
          <w:rFonts w:ascii="Arial" w:eastAsia="Calibri" w:hAnsi="Arial" w:cs="Arial"/>
          <w:sz w:val="24"/>
        </w:rPr>
      </w:pPr>
      <w:r w:rsidRPr="00D91EF1">
        <w:rPr>
          <w:rFonts w:ascii="Arial" w:eastAsia="Calibri" w:hAnsi="Arial" w:cs="Arial"/>
          <w:b/>
          <w:sz w:val="24"/>
        </w:rPr>
        <w:t>Artículo 5.</w:t>
      </w:r>
      <w:r w:rsidRPr="00D91EF1">
        <w:rPr>
          <w:rFonts w:ascii="Arial" w:eastAsia="Calibri" w:hAnsi="Arial" w:cs="Arial"/>
          <w:sz w:val="24"/>
        </w:rPr>
        <w:t xml:space="preserve"> </w:t>
      </w:r>
      <w:r w:rsidRPr="00D91EF1">
        <w:rPr>
          <w:rFonts w:ascii="Arial" w:eastAsia="Calibri" w:hAnsi="Arial" w:cs="Arial"/>
          <w:b/>
          <w:bCs/>
          <w:sz w:val="24"/>
        </w:rPr>
        <w:t>Vigencia</w:t>
      </w:r>
      <w:bookmarkEnd w:id="0"/>
      <w:r w:rsidRPr="00D91EF1">
        <w:rPr>
          <w:rFonts w:ascii="Arial" w:eastAsia="Calibri" w:hAnsi="Arial" w:cs="Arial"/>
          <w:sz w:val="24"/>
        </w:rPr>
        <w:tab/>
      </w:r>
    </w:p>
    <w:p w14:paraId="0256A1F0" w14:textId="77777777" w:rsidR="00D91EF1" w:rsidRPr="00D91EF1" w:rsidRDefault="00D91EF1" w:rsidP="00D91EF1">
      <w:pPr>
        <w:jc w:val="both"/>
        <w:rPr>
          <w:rFonts w:ascii="Arial" w:eastAsia="Calibri" w:hAnsi="Arial" w:cs="Arial"/>
          <w:sz w:val="24"/>
        </w:rPr>
      </w:pPr>
      <w:r w:rsidRPr="00D91EF1">
        <w:rPr>
          <w:rFonts w:ascii="Arial" w:eastAsia="Calibri" w:hAnsi="Arial" w:cs="Arial"/>
          <w:sz w:val="24"/>
        </w:rPr>
        <w:t>Lo dispuesto rige a partir del 1 de marzo de 2023.</w:t>
      </w:r>
    </w:p>
    <w:p w14:paraId="0A8D5D56" w14:textId="77777777" w:rsidR="004649DF" w:rsidRPr="00D91EF1" w:rsidRDefault="004649DF" w:rsidP="004649DF">
      <w:pPr>
        <w:pStyle w:val="Numeracin"/>
        <w:tabs>
          <w:tab w:val="clear" w:pos="360"/>
        </w:tabs>
        <w:spacing w:before="0"/>
        <w:ind w:left="0" w:right="-193" w:firstLine="0"/>
        <w:rPr>
          <w:rFonts w:ascii="Arial" w:eastAsiaTheme="minorHAnsi" w:hAnsi="Arial" w:cs="Arial"/>
          <w:b/>
          <w:sz w:val="24"/>
          <w:lang w:eastAsia="en-US"/>
        </w:rPr>
      </w:pPr>
    </w:p>
    <w:sectPr w:rsidR="004649DF" w:rsidRPr="00D91EF1"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EF58C" w14:textId="77777777" w:rsidR="00A2240B" w:rsidRDefault="00A2240B" w:rsidP="005A768E">
      <w:r>
        <w:separator/>
      </w:r>
    </w:p>
  </w:endnote>
  <w:endnote w:type="continuationSeparator" w:id="0">
    <w:p w14:paraId="0A461FAE" w14:textId="77777777" w:rsidR="00A2240B" w:rsidRDefault="00A2240B"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8D969" w14:textId="77777777" w:rsidR="00284FFA" w:rsidRDefault="00284F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569F" w14:textId="3D0FAAA2" w:rsidR="003959B0" w:rsidRPr="003959B0" w:rsidRDefault="00D91EF1" w:rsidP="003959B0">
    <w:pPr>
      <w:pStyle w:val="Piedepgina"/>
      <w:pBdr>
        <w:top w:val="single" w:sz="4" w:space="1" w:color="D9D9D9"/>
      </w:pBdr>
      <w:rPr>
        <w:rFonts w:ascii="Arial" w:hAnsi="Arial" w:cs="Arial"/>
        <w:b/>
        <w:bCs/>
        <w:color w:val="1B75BB"/>
      </w:rPr>
    </w:pPr>
    <w:r>
      <w:rPr>
        <w:rFonts w:ascii="Arial" w:hAnsi="Arial" w:cs="Arial"/>
        <w:b/>
        <w:bCs/>
        <w:noProof/>
        <w:color w:val="1B75BB"/>
      </w:rPr>
      <mc:AlternateContent>
        <mc:Choice Requires="wps">
          <w:drawing>
            <wp:anchor distT="0" distB="0" distL="114300" distR="114300" simplePos="0" relativeHeight="251659264" behindDoc="0" locked="0" layoutInCell="0" allowOverlap="1" wp14:anchorId="1D11D44F" wp14:editId="4CC36434">
              <wp:simplePos x="0" y="0"/>
              <wp:positionH relativeFrom="page">
                <wp:posOffset>0</wp:posOffset>
              </wp:positionH>
              <wp:positionV relativeFrom="page">
                <wp:posOffset>9594215</wp:posOffset>
              </wp:positionV>
              <wp:extent cx="7772400" cy="273050"/>
              <wp:effectExtent l="0" t="0" r="0" b="12700"/>
              <wp:wrapNone/>
              <wp:docPr id="2" name="MSIPCM620b4eb2aada7a7042cd18d9"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22115A" w14:textId="389E941B" w:rsidR="00D91EF1" w:rsidRPr="00D91EF1" w:rsidRDefault="00D91EF1" w:rsidP="00D91EF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11D44F" id="_x0000_t202" coordsize="21600,21600" o:spt="202" path="m,l,21600r21600,l21600,xe">
              <v:stroke joinstyle="miter"/>
              <v:path gradientshapeok="t" o:connecttype="rect"/>
            </v:shapetype>
            <v:shape id="MSIPCM620b4eb2aada7a7042cd18d9"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5C22115A" w14:textId="389E941B" w:rsidR="00D91EF1" w:rsidRPr="00D91EF1" w:rsidRDefault="00D91EF1" w:rsidP="00D91EF1">
                    <w:pPr>
                      <w:jc w:val="center"/>
                      <w:rPr>
                        <w:rFonts w:ascii="Calibri" w:hAnsi="Calibri" w:cs="Calibri"/>
                        <w:color w:val="000000"/>
                        <w:sz w:val="20"/>
                      </w:rPr>
                    </w:pPr>
                  </w:p>
                </w:txbxContent>
              </v:textbox>
              <w10:wrap anchorx="page" anchory="page"/>
            </v:shape>
          </w:pict>
        </mc:Fallback>
      </mc:AlternateContent>
    </w:r>
    <w:r w:rsidR="003959B0" w:rsidRPr="003959B0">
      <w:rPr>
        <w:rFonts w:ascii="Arial" w:hAnsi="Arial" w:cs="Arial"/>
        <w:b/>
        <w:bCs/>
        <w:color w:val="1B75BB"/>
      </w:rPr>
      <w:fldChar w:fldCharType="begin"/>
    </w:r>
    <w:r w:rsidR="003959B0" w:rsidRPr="003959B0">
      <w:rPr>
        <w:rFonts w:ascii="Arial" w:hAnsi="Arial" w:cs="Arial"/>
        <w:b/>
        <w:bCs/>
        <w:color w:val="1B75BB"/>
      </w:rPr>
      <w:instrText xml:space="preserve"> PAGE   \* MERGEFORMAT </w:instrText>
    </w:r>
    <w:r w:rsidR="003959B0" w:rsidRPr="003959B0">
      <w:rPr>
        <w:rFonts w:ascii="Arial" w:hAnsi="Arial" w:cs="Arial"/>
        <w:b/>
        <w:bCs/>
        <w:color w:val="1B75BB"/>
      </w:rPr>
      <w:fldChar w:fldCharType="separate"/>
    </w:r>
    <w:r w:rsidR="003959B0" w:rsidRPr="003959B0">
      <w:rPr>
        <w:rFonts w:ascii="Arial" w:hAnsi="Arial" w:cs="Arial"/>
        <w:b/>
        <w:bCs/>
        <w:color w:val="1B75BB"/>
      </w:rPr>
      <w:t>2</w:t>
    </w:r>
    <w:r w:rsidR="003959B0" w:rsidRPr="003959B0">
      <w:rPr>
        <w:rFonts w:ascii="Arial" w:hAnsi="Arial" w:cs="Arial"/>
        <w:b/>
        <w:bCs/>
        <w:noProof/>
        <w:color w:val="1B75BB"/>
      </w:rPr>
      <w:fldChar w:fldCharType="end"/>
    </w:r>
    <w:r w:rsidR="003959B0"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594C" w14:textId="24A28B15" w:rsidR="003959B0" w:rsidRDefault="00D91EF1">
    <w:pPr>
      <w:pStyle w:val="Piedepgina"/>
    </w:pPr>
    <w:r>
      <w:rPr>
        <w:noProof/>
      </w:rPr>
      <mc:AlternateContent>
        <mc:Choice Requires="wps">
          <w:drawing>
            <wp:anchor distT="0" distB="0" distL="114300" distR="114300" simplePos="0" relativeHeight="251660288" behindDoc="0" locked="0" layoutInCell="0" allowOverlap="1" wp14:anchorId="0ABE60F3" wp14:editId="43B1570C">
              <wp:simplePos x="0" y="0"/>
              <wp:positionH relativeFrom="page">
                <wp:posOffset>0</wp:posOffset>
              </wp:positionH>
              <wp:positionV relativeFrom="page">
                <wp:posOffset>9594215</wp:posOffset>
              </wp:positionV>
              <wp:extent cx="7772400" cy="273050"/>
              <wp:effectExtent l="0" t="0" r="0" b="12700"/>
              <wp:wrapNone/>
              <wp:docPr id="3" name="MSIPCMe6d741e589538f48d8b50bb4"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28040E" w14:textId="3B5E66EE" w:rsidR="00D91EF1" w:rsidRPr="00D91EF1" w:rsidRDefault="00D91EF1" w:rsidP="00D91EF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BE60F3" id="_x0000_t202" coordsize="21600,21600" o:spt="202" path="m,l,21600r21600,l21600,xe">
              <v:stroke joinstyle="miter"/>
              <v:path gradientshapeok="t" o:connecttype="rect"/>
            </v:shapetype>
            <v:shape id="MSIPCMe6d741e589538f48d8b50bb4"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2828040E" w14:textId="3B5E66EE" w:rsidR="00D91EF1" w:rsidRPr="00D91EF1" w:rsidRDefault="00D91EF1" w:rsidP="00D91EF1">
                    <w:pPr>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B1811" w14:textId="77777777" w:rsidR="00A2240B" w:rsidRDefault="00A2240B" w:rsidP="005A768E">
      <w:r>
        <w:separator/>
      </w:r>
    </w:p>
  </w:footnote>
  <w:footnote w:type="continuationSeparator" w:id="0">
    <w:p w14:paraId="489D25AC" w14:textId="77777777" w:rsidR="00A2240B" w:rsidRDefault="00A2240B" w:rsidP="005A768E">
      <w:r>
        <w:continuationSeparator/>
      </w:r>
    </w:p>
  </w:footnote>
  <w:footnote w:id="1">
    <w:p w14:paraId="6C88317D" w14:textId="264C6AB8" w:rsidR="004649DF" w:rsidRPr="004649DF" w:rsidRDefault="004649DF" w:rsidP="00626FAF">
      <w:pPr>
        <w:pStyle w:val="Textoindependiente"/>
        <w:jc w:val="both"/>
      </w:pPr>
      <w:r w:rsidRPr="00D91EF1">
        <w:rPr>
          <w:rStyle w:val="Refdenotaalpie"/>
          <w:rFonts w:ascii="Arial" w:hAnsi="Arial" w:cs="Arial"/>
        </w:rPr>
        <w:footnoteRef/>
      </w:r>
      <w:r>
        <w:t xml:space="preserve"> </w:t>
      </w:r>
      <w:r w:rsidRPr="00D91EF1">
        <w:rPr>
          <w:rFonts w:ascii="Arial" w:hAnsi="Arial" w:cs="Arial"/>
          <w:szCs w:val="22"/>
        </w:rPr>
        <w:t>Superintendencia General de Valores. Despacho de</w:t>
      </w:r>
      <w:r w:rsidR="00626FAF">
        <w:rPr>
          <w:rFonts w:ascii="Arial" w:hAnsi="Arial" w:cs="Arial"/>
          <w:szCs w:val="22"/>
        </w:rPr>
        <w:t xml:space="preserve">l </w:t>
      </w:r>
      <w:r w:rsidRPr="00D91EF1">
        <w:rPr>
          <w:rFonts w:ascii="Arial" w:hAnsi="Arial" w:cs="Arial"/>
          <w:szCs w:val="22"/>
        </w:rPr>
        <w:t xml:space="preserve">Superintendente. </w:t>
      </w:r>
      <w:r w:rsidR="00115803" w:rsidRPr="00D91EF1">
        <w:rPr>
          <w:rFonts w:ascii="Arial" w:hAnsi="Arial" w:cs="Arial"/>
          <w:szCs w:val="22"/>
        </w:rPr>
        <w:t xml:space="preserve">A las </w:t>
      </w:r>
      <w:r w:rsidR="00D91EF1">
        <w:rPr>
          <w:rFonts w:ascii="Arial" w:hAnsi="Arial" w:cs="Arial"/>
          <w:szCs w:val="22"/>
        </w:rPr>
        <w:t>trece</w:t>
      </w:r>
      <w:r w:rsidR="00115803" w:rsidRPr="00D91EF1">
        <w:rPr>
          <w:rFonts w:ascii="Arial" w:hAnsi="Arial" w:cs="Arial"/>
          <w:szCs w:val="22"/>
        </w:rPr>
        <w:t xml:space="preserve"> horas del </w:t>
      </w:r>
      <w:r w:rsidR="00D91EF1">
        <w:rPr>
          <w:rFonts w:ascii="Arial" w:hAnsi="Arial" w:cs="Arial"/>
          <w:szCs w:val="22"/>
        </w:rPr>
        <w:t>1 de febrero del 2023.</w:t>
      </w:r>
      <w:r w:rsidR="00A12263">
        <w:rPr>
          <w:rFonts w:ascii="Arial" w:hAnsi="Arial" w:cs="Arial"/>
          <w:szCs w:val="22"/>
        </w:rPr>
        <w:t xml:space="preserve"> Publicado en el Diario Oficial La Gaceta No. 23 del 8 de febrero del 2023.</w:t>
      </w:r>
      <w:r w:rsidR="00331F1C" w:rsidRPr="00331F1C">
        <w:rPr>
          <w:rFonts w:ascii="Arial" w:hAnsi="Arial" w:cs="Arial"/>
          <w:szCs w:val="22"/>
        </w:rPr>
        <w:t xml:space="preserve"> </w:t>
      </w:r>
      <w:r w:rsidR="00331F1C">
        <w:rPr>
          <w:rFonts w:ascii="Arial" w:hAnsi="Arial" w:cs="Arial"/>
          <w:szCs w:val="22"/>
        </w:rPr>
        <w:t>Rige a partir del 1 de marzo del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A74E" w14:textId="77777777" w:rsidR="00284FFA" w:rsidRDefault="00284F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6ADA2"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24AA" w14:textId="77777777" w:rsidR="00284FFA" w:rsidRDefault="00284F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DA8A708"/>
    <w:lvl w:ilvl="0">
      <w:start w:val="1"/>
      <w:numFmt w:val="decimal"/>
      <w:pStyle w:val="Listaconnmeros"/>
      <w:lvlText w:val="%1."/>
      <w:lvlJc w:val="left"/>
      <w:pPr>
        <w:tabs>
          <w:tab w:val="num" w:pos="360"/>
        </w:tabs>
        <w:ind w:left="360" w:hanging="360"/>
      </w:pPr>
    </w:lvl>
  </w:abstractNum>
  <w:abstractNum w:abstractNumId="1" w15:restartNumberingAfterBreak="0">
    <w:nsid w:val="04E32A0C"/>
    <w:multiLevelType w:val="hybridMultilevel"/>
    <w:tmpl w:val="028C2EEA"/>
    <w:lvl w:ilvl="0" w:tplc="0CCC61C8">
      <w:start w:val="1"/>
      <w:numFmt w:val="decimal"/>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6B6198F"/>
    <w:multiLevelType w:val="hybridMultilevel"/>
    <w:tmpl w:val="14962DFC"/>
    <w:lvl w:ilvl="0" w:tplc="9CCE1030">
      <w:start w:val="1"/>
      <w:numFmt w:val="upperRoman"/>
      <w:lvlText w:val="%1."/>
      <w:lvlJc w:val="right"/>
      <w:pPr>
        <w:ind w:left="720" w:hanging="360"/>
      </w:pPr>
      <w:rPr>
        <w:b w:val="0"/>
        <w:strike w:val="0"/>
        <w:dstrike w:val="0"/>
        <w:color w:val="auto"/>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88054FA"/>
    <w:multiLevelType w:val="multilevel"/>
    <w:tmpl w:val="617A0D4E"/>
    <w:lvl w:ilvl="0">
      <w:start w:val="1"/>
      <w:numFmt w:val="decimal"/>
      <w:pStyle w:val="Ttulo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F5247E"/>
    <w:multiLevelType w:val="hybridMultilevel"/>
    <w:tmpl w:val="A0D6A23C"/>
    <w:lvl w:ilvl="0" w:tplc="A58C6C6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8B46130"/>
    <w:multiLevelType w:val="hybridMultilevel"/>
    <w:tmpl w:val="E638B832"/>
    <w:lvl w:ilvl="0" w:tplc="F0D26780">
      <w:start w:val="1"/>
      <w:numFmt w:val="decimal"/>
      <w:lvlText w:val="%1."/>
      <w:lvlJc w:val="left"/>
      <w:pPr>
        <w:ind w:left="720" w:hanging="360"/>
      </w:pPr>
      <w:rPr>
        <w:b w:val="0"/>
        <w:i w:val="0"/>
        <w:strike w:val="0"/>
        <w:dstrike w:val="0"/>
        <w:color w:val="000000" w:themeColor="text1"/>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1AD755F0"/>
    <w:multiLevelType w:val="hybridMultilevel"/>
    <w:tmpl w:val="94A025A8"/>
    <w:lvl w:ilvl="0" w:tplc="140A000F">
      <w:start w:val="1"/>
      <w:numFmt w:val="decimal"/>
      <w:lvlText w:val="%1."/>
      <w:lvlJc w:val="left"/>
      <w:pPr>
        <w:ind w:left="720" w:hanging="360"/>
      </w:pPr>
      <w:rPr>
        <w:b w:val="0"/>
      </w:rPr>
    </w:lvl>
    <w:lvl w:ilvl="1" w:tplc="24705A70">
      <w:start w:val="1"/>
      <w:numFmt w:val="lowerLetter"/>
      <w:lvlText w:val="%2)"/>
      <w:lvlJc w:val="left"/>
      <w:pPr>
        <w:ind w:left="1980" w:hanging="90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CAF0AF1"/>
    <w:multiLevelType w:val="hybridMultilevel"/>
    <w:tmpl w:val="E53CAC24"/>
    <w:lvl w:ilvl="0" w:tplc="140A0017">
      <w:start w:val="1"/>
      <w:numFmt w:val="lowerLetter"/>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26320113"/>
    <w:multiLevelType w:val="hybridMultilevel"/>
    <w:tmpl w:val="B2806FD8"/>
    <w:lvl w:ilvl="0" w:tplc="25C68C8E">
      <w:start w:val="1"/>
      <w:numFmt w:val="lowerLetter"/>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590C3D"/>
    <w:multiLevelType w:val="hybridMultilevel"/>
    <w:tmpl w:val="4156CA24"/>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4" w15:restartNumberingAfterBreak="0">
    <w:nsid w:val="33E76D4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8D63738"/>
    <w:multiLevelType w:val="hybridMultilevel"/>
    <w:tmpl w:val="19066E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9424DED"/>
    <w:multiLevelType w:val="hybridMultilevel"/>
    <w:tmpl w:val="9B50B1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A3307E1"/>
    <w:multiLevelType w:val="hybridMultilevel"/>
    <w:tmpl w:val="DBDE65DA"/>
    <w:lvl w:ilvl="0" w:tplc="140A001B">
      <w:start w:val="1"/>
      <w:numFmt w:val="lowerRoman"/>
      <w:lvlText w:val="%1."/>
      <w:lvlJc w:val="right"/>
      <w:pPr>
        <w:ind w:left="1776" w:hanging="360"/>
      </w:pPr>
      <w:rPr>
        <w:b w:val="0"/>
        <w:bCs/>
      </w:rPr>
    </w:lvl>
    <w:lvl w:ilvl="1" w:tplc="140A0019">
      <w:start w:val="1"/>
      <w:numFmt w:val="lowerLetter"/>
      <w:lvlText w:val="%2."/>
      <w:lvlJc w:val="left"/>
      <w:pPr>
        <w:ind w:left="2005" w:hanging="360"/>
      </w:pPr>
    </w:lvl>
    <w:lvl w:ilvl="2" w:tplc="140A001B">
      <w:start w:val="1"/>
      <w:numFmt w:val="lowerRoman"/>
      <w:lvlText w:val="%3."/>
      <w:lvlJc w:val="right"/>
      <w:pPr>
        <w:ind w:left="2725" w:hanging="180"/>
      </w:pPr>
    </w:lvl>
    <w:lvl w:ilvl="3" w:tplc="140A000F">
      <w:start w:val="1"/>
      <w:numFmt w:val="decimal"/>
      <w:lvlText w:val="%4."/>
      <w:lvlJc w:val="left"/>
      <w:pPr>
        <w:ind w:left="3445" w:hanging="360"/>
      </w:pPr>
    </w:lvl>
    <w:lvl w:ilvl="4" w:tplc="140A0019">
      <w:start w:val="1"/>
      <w:numFmt w:val="lowerLetter"/>
      <w:lvlText w:val="%5."/>
      <w:lvlJc w:val="left"/>
      <w:pPr>
        <w:ind w:left="4165" w:hanging="360"/>
      </w:pPr>
    </w:lvl>
    <w:lvl w:ilvl="5" w:tplc="140A001B">
      <w:start w:val="1"/>
      <w:numFmt w:val="lowerRoman"/>
      <w:lvlText w:val="%6."/>
      <w:lvlJc w:val="right"/>
      <w:pPr>
        <w:ind w:left="4885" w:hanging="180"/>
      </w:pPr>
    </w:lvl>
    <w:lvl w:ilvl="6" w:tplc="140A000F">
      <w:start w:val="1"/>
      <w:numFmt w:val="decimal"/>
      <w:lvlText w:val="%7."/>
      <w:lvlJc w:val="left"/>
      <w:pPr>
        <w:ind w:left="5605" w:hanging="360"/>
      </w:pPr>
    </w:lvl>
    <w:lvl w:ilvl="7" w:tplc="140A0019">
      <w:start w:val="1"/>
      <w:numFmt w:val="lowerLetter"/>
      <w:lvlText w:val="%8."/>
      <w:lvlJc w:val="left"/>
      <w:pPr>
        <w:ind w:left="6325" w:hanging="360"/>
      </w:pPr>
    </w:lvl>
    <w:lvl w:ilvl="8" w:tplc="140A001B">
      <w:start w:val="1"/>
      <w:numFmt w:val="lowerRoman"/>
      <w:lvlText w:val="%9."/>
      <w:lvlJc w:val="right"/>
      <w:pPr>
        <w:ind w:left="7045" w:hanging="180"/>
      </w:pPr>
    </w:lvl>
  </w:abstractNum>
  <w:abstractNum w:abstractNumId="20"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1" w15:restartNumberingAfterBreak="0">
    <w:nsid w:val="3F346C2E"/>
    <w:multiLevelType w:val="hybridMultilevel"/>
    <w:tmpl w:val="34448716"/>
    <w:lvl w:ilvl="0" w:tplc="31A0341A">
      <w:start w:val="1"/>
      <w:numFmt w:val="lowerLetter"/>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C4C50F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5" w15:restartNumberingAfterBreak="0">
    <w:nsid w:val="4ED50A52"/>
    <w:multiLevelType w:val="hybridMultilevel"/>
    <w:tmpl w:val="B85E8EB4"/>
    <w:lvl w:ilvl="0" w:tplc="D4CC4FE6">
      <w:start w:val="1"/>
      <w:numFmt w:val="upperLetter"/>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52199"/>
    <w:multiLevelType w:val="hybridMultilevel"/>
    <w:tmpl w:val="19066E9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3931F95"/>
    <w:multiLevelType w:val="hybridMultilevel"/>
    <w:tmpl w:val="1C4C0AF0"/>
    <w:lvl w:ilvl="0" w:tplc="DBC4846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8" w15:restartNumberingAfterBreak="0">
    <w:nsid w:val="74507033"/>
    <w:multiLevelType w:val="hybridMultilevel"/>
    <w:tmpl w:val="4CD27E06"/>
    <w:lvl w:ilvl="0" w:tplc="2EBE8E88">
      <w:start w:val="1"/>
      <w:numFmt w:val="lowerLetter"/>
      <w:lvlText w:val="%1)"/>
      <w:lvlJc w:val="left"/>
      <w:pPr>
        <w:ind w:left="720" w:hanging="360"/>
      </w:pPr>
      <w:rPr>
        <w:rFonts w:hint="default"/>
        <w:i w:val="0"/>
        <w:i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4FA5EEE"/>
    <w:multiLevelType w:val="hybridMultilevel"/>
    <w:tmpl w:val="0922A46E"/>
    <w:lvl w:ilvl="0" w:tplc="AAFE7410">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0" w15:restartNumberingAfterBreak="0">
    <w:nsid w:val="78BE6843"/>
    <w:multiLevelType w:val="hybridMultilevel"/>
    <w:tmpl w:val="1D2C7C3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7265479">
    <w:abstractNumId w:val="0"/>
    <w:lvlOverride w:ilvl="0">
      <w:startOverride w:val="1"/>
    </w:lvlOverride>
  </w:num>
  <w:num w:numId="2" w16cid:durableId="982007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017996">
    <w:abstractNumId w:val="29"/>
  </w:num>
  <w:num w:numId="4" w16cid:durableId="52583243">
    <w:abstractNumId w:val="3"/>
  </w:num>
  <w:num w:numId="5" w16cid:durableId="9979254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64650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2408128">
    <w:abstractNumId w:val="1"/>
  </w:num>
  <w:num w:numId="8" w16cid:durableId="2040742956">
    <w:abstractNumId w:val="22"/>
  </w:num>
  <w:num w:numId="9" w16cid:durableId="1226800560">
    <w:abstractNumId w:val="17"/>
  </w:num>
  <w:num w:numId="10" w16cid:durableId="451242913">
    <w:abstractNumId w:val="26"/>
  </w:num>
  <w:num w:numId="11" w16cid:durableId="2040474189">
    <w:abstractNumId w:val="28"/>
  </w:num>
  <w:num w:numId="12" w16cid:durableId="10758548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231B9"/>
    <w:rsid w:val="00031E3C"/>
    <w:rsid w:val="000702E4"/>
    <w:rsid w:val="000C43F5"/>
    <w:rsid w:val="000C62EE"/>
    <w:rsid w:val="000F4C2E"/>
    <w:rsid w:val="00115803"/>
    <w:rsid w:val="00134708"/>
    <w:rsid w:val="001577AC"/>
    <w:rsid w:val="001B1484"/>
    <w:rsid w:val="00211A42"/>
    <w:rsid w:val="00212A1A"/>
    <w:rsid w:val="00227AA2"/>
    <w:rsid w:val="00237AB7"/>
    <w:rsid w:val="002445BF"/>
    <w:rsid w:val="002462B7"/>
    <w:rsid w:val="00270327"/>
    <w:rsid w:val="00272406"/>
    <w:rsid w:val="00284FFA"/>
    <w:rsid w:val="00331F1C"/>
    <w:rsid w:val="00341FBE"/>
    <w:rsid w:val="003452B3"/>
    <w:rsid w:val="003959B0"/>
    <w:rsid w:val="003B50ED"/>
    <w:rsid w:val="003D424E"/>
    <w:rsid w:val="003D74CC"/>
    <w:rsid w:val="003F06A1"/>
    <w:rsid w:val="004649DF"/>
    <w:rsid w:val="004A41F7"/>
    <w:rsid w:val="00581D39"/>
    <w:rsid w:val="00593DA8"/>
    <w:rsid w:val="005A768E"/>
    <w:rsid w:val="00616D90"/>
    <w:rsid w:val="00626FAF"/>
    <w:rsid w:val="0063177A"/>
    <w:rsid w:val="006354AB"/>
    <w:rsid w:val="00657F02"/>
    <w:rsid w:val="006B1248"/>
    <w:rsid w:val="006C1493"/>
    <w:rsid w:val="006E3349"/>
    <w:rsid w:val="006E491B"/>
    <w:rsid w:val="007068C2"/>
    <w:rsid w:val="0076523E"/>
    <w:rsid w:val="00772D1A"/>
    <w:rsid w:val="00783B2C"/>
    <w:rsid w:val="007967E9"/>
    <w:rsid w:val="007B4C1A"/>
    <w:rsid w:val="0082122F"/>
    <w:rsid w:val="0084108F"/>
    <w:rsid w:val="00873D09"/>
    <w:rsid w:val="00880E31"/>
    <w:rsid w:val="008E6D41"/>
    <w:rsid w:val="0093370A"/>
    <w:rsid w:val="0093499C"/>
    <w:rsid w:val="009759B1"/>
    <w:rsid w:val="00982F89"/>
    <w:rsid w:val="00983BB7"/>
    <w:rsid w:val="00987928"/>
    <w:rsid w:val="009B31B2"/>
    <w:rsid w:val="00A12263"/>
    <w:rsid w:val="00A2240B"/>
    <w:rsid w:val="00A748BA"/>
    <w:rsid w:val="00A752FD"/>
    <w:rsid w:val="00AA3B39"/>
    <w:rsid w:val="00AA48A8"/>
    <w:rsid w:val="00AC2B5F"/>
    <w:rsid w:val="00AC6622"/>
    <w:rsid w:val="00AF6325"/>
    <w:rsid w:val="00B11C66"/>
    <w:rsid w:val="00B2356E"/>
    <w:rsid w:val="00B44D0F"/>
    <w:rsid w:val="00B45F9C"/>
    <w:rsid w:val="00BD2C5C"/>
    <w:rsid w:val="00C26D9C"/>
    <w:rsid w:val="00C34BC2"/>
    <w:rsid w:val="00CD5F5E"/>
    <w:rsid w:val="00CE39B3"/>
    <w:rsid w:val="00CF1CDA"/>
    <w:rsid w:val="00D613F1"/>
    <w:rsid w:val="00D91EF1"/>
    <w:rsid w:val="00D92327"/>
    <w:rsid w:val="00DE26A5"/>
    <w:rsid w:val="00DF6B05"/>
    <w:rsid w:val="00E13153"/>
    <w:rsid w:val="00E642AA"/>
    <w:rsid w:val="00E94853"/>
    <w:rsid w:val="00ED49D9"/>
    <w:rsid w:val="00F244A7"/>
    <w:rsid w:val="00F37284"/>
    <w:rsid w:val="00F4079E"/>
    <w:rsid w:val="00F47843"/>
    <w:rsid w:val="00F77EA4"/>
    <w:rsid w:val="00F87CD2"/>
    <w:rsid w:val="00F95B3A"/>
    <w:rsid w:val="00FA5D7C"/>
    <w:rsid w:val="00FC2D5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CAPÍTULO,Car10"/>
    <w:basedOn w:val="Normal"/>
    <w:next w:val="Normal"/>
    <w:link w:val="Ttulo2Car"/>
    <w:uiPriority w:val="1"/>
    <w:semiHidden/>
    <w:unhideWhenUsed/>
    <w:qFormat/>
    <w:rsid w:val="00F87CD2"/>
    <w:pPr>
      <w:keepNext/>
      <w:jc w:val="both"/>
      <w:outlineLvl w:val="1"/>
    </w:pPr>
    <w:rPr>
      <w:sz w:val="28"/>
      <w:szCs w:val="20"/>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tabs>
        <w:tab w:val="num" w:pos="360"/>
      </w:tabs>
      <w:ind w:left="360" w:hanging="360"/>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uiPriority w:val="99"/>
    <w:rsid w:val="005A768E"/>
    <w:pPr>
      <w:spacing w:after="120"/>
    </w:pPr>
  </w:style>
  <w:style w:type="character" w:customStyle="1" w:styleId="TextoindependienteCar">
    <w:name w:val="Texto independiente Car"/>
    <w:basedOn w:val="Fuentedeprrafopredeter"/>
    <w:link w:val="Textoindependiente"/>
    <w:uiPriority w:val="99"/>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tabs>
        <w:tab w:val="num" w:pos="720"/>
      </w:tabs>
      <w:spacing w:before="60"/>
      <w:ind w:left="720" w:hanging="72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semiHidden/>
    <w:unhideWhenUsed/>
    <w:rsid w:val="000702E4"/>
    <w:pPr>
      <w:spacing w:after="120" w:line="480" w:lineRule="auto"/>
    </w:pPr>
  </w:style>
  <w:style w:type="character" w:customStyle="1" w:styleId="Textoindependiente2Car">
    <w:name w:val="Texto independiente 2 Car"/>
    <w:basedOn w:val="Fuentedeprrafopredeter"/>
    <w:link w:val="Textoindependiente2"/>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 w:type="character" w:customStyle="1" w:styleId="Ttulo2Car">
    <w:name w:val="Título 2 Car"/>
    <w:aliases w:val="CAPÍTULO Car,Car10 Car"/>
    <w:basedOn w:val="Fuentedeprrafopredeter"/>
    <w:link w:val="Ttulo2"/>
    <w:uiPriority w:val="1"/>
    <w:semiHidden/>
    <w:rsid w:val="00F87CD2"/>
    <w:rPr>
      <w:rFonts w:ascii="Times New Roman" w:eastAsia="Times New Roman" w:hAnsi="Times New Roman" w:cs="Times New Roman"/>
      <w:sz w:val="28"/>
      <w:szCs w:val="20"/>
      <w:lang w:val="es-ES" w:eastAsia="es-ES"/>
    </w:rPr>
  </w:style>
  <w:style w:type="character" w:styleId="Hipervnculo">
    <w:name w:val="Hyperlink"/>
    <w:basedOn w:val="Fuentedeprrafopredeter"/>
    <w:uiPriority w:val="99"/>
    <w:semiHidden/>
    <w:unhideWhenUsed/>
    <w:rsid w:val="00F87CD2"/>
    <w:rPr>
      <w:color w:val="0563C1" w:themeColor="hyperlink"/>
      <w:u w:val="single"/>
    </w:rPr>
  </w:style>
  <w:style w:type="character" w:styleId="Hipervnculovisitado">
    <w:name w:val="FollowedHyperlink"/>
    <w:basedOn w:val="Fuentedeprrafopredeter"/>
    <w:uiPriority w:val="99"/>
    <w:semiHidden/>
    <w:unhideWhenUsed/>
    <w:rsid w:val="00F87CD2"/>
    <w:rPr>
      <w:color w:val="954F72" w:themeColor="followedHyperlink"/>
      <w:u w:val="single"/>
    </w:rPr>
  </w:style>
  <w:style w:type="character" w:customStyle="1" w:styleId="Ttulo2Car1">
    <w:name w:val="Título 2 Car1"/>
    <w:aliases w:val="CAPÍTULO Car1,Car10 Car1"/>
    <w:basedOn w:val="Fuentedeprrafopredeter"/>
    <w:uiPriority w:val="1"/>
    <w:semiHidden/>
    <w:rsid w:val="00F87CD2"/>
    <w:rPr>
      <w:rFonts w:asciiTheme="majorHAnsi" w:eastAsiaTheme="majorEastAsia" w:hAnsiTheme="majorHAnsi" w:cstheme="majorBidi"/>
      <w:color w:val="2F5496" w:themeColor="accent1" w:themeShade="BF"/>
      <w:sz w:val="26"/>
      <w:szCs w:val="26"/>
      <w:lang w:val="es-ES"/>
    </w:rPr>
  </w:style>
  <w:style w:type="paragraph" w:customStyle="1" w:styleId="msonormal0">
    <w:name w:val="msonormal"/>
    <w:basedOn w:val="Normal"/>
    <w:rsid w:val="00F87CD2"/>
    <w:pPr>
      <w:spacing w:before="100" w:beforeAutospacing="1" w:after="100" w:afterAutospacing="1"/>
    </w:pPr>
    <w:rPr>
      <w:sz w:val="24"/>
    </w:rPr>
  </w:style>
  <w:style w:type="character" w:customStyle="1" w:styleId="TextonotapieCar1">
    <w:name w:val="Texto nota pie Car1"/>
    <w:aliases w:val="Car1 Car1,Footnote Text Char2 Car1,Footnote Text Char1 Char1 Car1,Footnote Text Char Char Char Car1,Footnote Text Char1 Char Char Char Car1,Footnote Text Char Char Char Char Char Car1,Footnote Text Char1 Char Char Char Char Char Car1"/>
    <w:basedOn w:val="Fuentedeprrafopredeter"/>
    <w:semiHidden/>
    <w:rsid w:val="00F87CD2"/>
    <w:rPr>
      <w:rFonts w:ascii="Arial" w:hAnsi="Arial"/>
      <w:sz w:val="20"/>
      <w:szCs w:val="20"/>
      <w:lang w:val="es-ES"/>
    </w:rPr>
  </w:style>
  <w:style w:type="paragraph" w:styleId="Textocomentario">
    <w:name w:val="annotation text"/>
    <w:basedOn w:val="Normal"/>
    <w:link w:val="TextocomentarioCar"/>
    <w:uiPriority w:val="99"/>
    <w:semiHidden/>
    <w:unhideWhenUsed/>
    <w:rsid w:val="00F87CD2"/>
    <w:pPr>
      <w:spacing w:after="160"/>
    </w:pPr>
    <w:rPr>
      <w:rFonts w:ascii="Arial" w:eastAsiaTheme="minorHAnsi" w:hAnsi="Arial" w:cstheme="minorBidi"/>
      <w:sz w:val="20"/>
      <w:szCs w:val="20"/>
      <w:lang w:eastAsia="en-US"/>
    </w:rPr>
  </w:style>
  <w:style w:type="character" w:customStyle="1" w:styleId="TextocomentarioCar">
    <w:name w:val="Texto comentario Car"/>
    <w:basedOn w:val="Fuentedeprrafopredeter"/>
    <w:link w:val="Textocomentario"/>
    <w:uiPriority w:val="99"/>
    <w:semiHidden/>
    <w:rsid w:val="00F87CD2"/>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F87CD2"/>
    <w:rPr>
      <w:b/>
      <w:bCs/>
    </w:rPr>
  </w:style>
  <w:style w:type="character" w:customStyle="1" w:styleId="AsuntodelcomentarioCar">
    <w:name w:val="Asunto del comentario Car"/>
    <w:basedOn w:val="TextocomentarioCar"/>
    <w:link w:val="Asuntodelcomentario"/>
    <w:uiPriority w:val="99"/>
    <w:semiHidden/>
    <w:rsid w:val="00F87CD2"/>
    <w:rPr>
      <w:rFonts w:ascii="Arial" w:hAnsi="Arial"/>
      <w:b/>
      <w:bCs/>
      <w:sz w:val="20"/>
      <w:szCs w:val="20"/>
      <w:lang w:val="es-ES"/>
    </w:rPr>
  </w:style>
  <w:style w:type="paragraph" w:styleId="Textodeglobo">
    <w:name w:val="Balloon Text"/>
    <w:basedOn w:val="Normal"/>
    <w:link w:val="TextodegloboCar"/>
    <w:uiPriority w:val="99"/>
    <w:semiHidden/>
    <w:unhideWhenUsed/>
    <w:rsid w:val="00F87CD2"/>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F87CD2"/>
    <w:rPr>
      <w:rFonts w:ascii="Segoe UI" w:hAnsi="Segoe UI" w:cs="Segoe UI"/>
      <w:sz w:val="18"/>
      <w:szCs w:val="18"/>
      <w:lang w:val="es-ES"/>
    </w:rPr>
  </w:style>
  <w:style w:type="paragraph" w:styleId="Sinespaciado">
    <w:name w:val="No Spacing"/>
    <w:uiPriority w:val="1"/>
    <w:qFormat/>
    <w:rsid w:val="00F87CD2"/>
    <w:pPr>
      <w:spacing w:after="0" w:line="240" w:lineRule="auto"/>
    </w:pPr>
    <w:rPr>
      <w:rFonts w:ascii="Arial" w:hAnsi="Arial"/>
      <w:lang w:val="es-ES"/>
    </w:rPr>
  </w:style>
  <w:style w:type="character" w:styleId="Refdecomentario">
    <w:name w:val="annotation reference"/>
    <w:basedOn w:val="Fuentedeprrafopredeter"/>
    <w:uiPriority w:val="99"/>
    <w:semiHidden/>
    <w:unhideWhenUsed/>
    <w:rsid w:val="00F87CD2"/>
    <w:rPr>
      <w:sz w:val="16"/>
      <w:szCs w:val="16"/>
    </w:rPr>
  </w:style>
  <w:style w:type="table" w:customStyle="1" w:styleId="Tablaconcuadrcula1">
    <w:name w:val="Tabla con cuadrícula1"/>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F87C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nmeros">
    <w:name w:val="List Number"/>
    <w:basedOn w:val="Normal"/>
    <w:semiHidden/>
    <w:unhideWhenUsed/>
    <w:rsid w:val="00983BB7"/>
    <w:pPr>
      <w:numPr>
        <w:numId w:val="1"/>
      </w:numPr>
    </w:pPr>
    <w:rPr>
      <w:sz w:val="24"/>
      <w:lang w:val="en-US" w:eastAsia="en-US"/>
    </w:rPr>
  </w:style>
  <w:style w:type="character" w:customStyle="1" w:styleId="ui-provider">
    <w:name w:val="ui-provider"/>
    <w:basedOn w:val="Fuentedeprrafopredeter"/>
    <w:rsid w:val="00D91EF1"/>
  </w:style>
  <w:style w:type="paragraph" w:styleId="NormalWeb">
    <w:name w:val="Normal (Web)"/>
    <w:basedOn w:val="Normal"/>
    <w:uiPriority w:val="99"/>
    <w:unhideWhenUsed/>
    <w:rsid w:val="00D91EF1"/>
    <w:pPr>
      <w:spacing w:before="100" w:beforeAutospacing="1" w:after="100" w:afterAutospacing="1"/>
    </w:pPr>
    <w:rPr>
      <w:sz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79773">
      <w:bodyDiv w:val="1"/>
      <w:marLeft w:val="0"/>
      <w:marRight w:val="0"/>
      <w:marTop w:val="0"/>
      <w:marBottom w:val="0"/>
      <w:divBdr>
        <w:top w:val="none" w:sz="0" w:space="0" w:color="auto"/>
        <w:left w:val="none" w:sz="0" w:space="0" w:color="auto"/>
        <w:bottom w:val="none" w:sz="0" w:space="0" w:color="auto"/>
        <w:right w:val="none" w:sz="0" w:space="0" w:color="auto"/>
      </w:divBdr>
    </w:div>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1834485347">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94B77-AB2C-4C0F-993E-5E50F15C60A8}"/>
</file>

<file path=customXml/itemProps2.xml><?xml version="1.0" encoding="utf-8"?>
<ds:datastoreItem xmlns:ds="http://schemas.openxmlformats.org/officeDocument/2006/customXml" ds:itemID="{001EE272-4D8B-4B70-AE5B-E86EE90A5CA6}">
  <ds:schemaRefs>
    <ds:schemaRef ds:uri="http://schemas.microsoft.com/sharepoint/v3/contenttype/forms"/>
  </ds:schemaRefs>
</ds:datastoreItem>
</file>

<file path=customXml/itemProps3.xml><?xml version="1.0" encoding="utf-8"?>
<ds:datastoreItem xmlns:ds="http://schemas.openxmlformats.org/officeDocument/2006/customXml" ds:itemID="{E87696E8-3BF0-44BD-9EE7-83C18A579C75}">
  <ds:schemaRefs>
    <ds:schemaRef ds:uri="http://schemas.microsoft.com/office/2006/metadata/properties"/>
    <ds:schemaRef ds:uri="http://schemas.microsoft.com/office/infopath/2007/PartnerControls"/>
    <ds:schemaRef ds:uri="315842a7-4cff-4ca6-8fb0-a6562d7ae952"/>
  </ds:schemaRefs>
</ds:datastoreItem>
</file>

<file path=customXml/itemProps4.xml><?xml version="1.0" encoding="utf-8"?>
<ds:datastoreItem xmlns:ds="http://schemas.openxmlformats.org/officeDocument/2006/customXml" ds:itemID="{82EC2C92-9637-41E5-80EF-302B435E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4645</Characters>
  <Application>Microsoft Office Word</Application>
  <DocSecurity>0</DocSecurity>
  <Lines>193</Lines>
  <Paragraphs>57</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2023-03-31T22:38:00Z</dcterms:created>
  <dcterms:modified xsi:type="dcterms:W3CDTF">2023-03-31T22:38:00Z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2023-02-01T21:33:31Z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e7b92bce-60d2-49b5-ac91-000022140c06</vt:lpwstr>
  </property>
  <property fmtid="{D5CDD505-2E9C-101B-9397-08002B2CF9AE}" pid="8" name="MSIP_Label_b8b4be34-365a-4a68-b9fb-75c1b6874315_ContentBits">
    <vt:lpwstr>2</vt:lpwstr>
  </property>
  <property fmtid="{D5CDD505-2E9C-101B-9397-08002B2CF9AE}" pid="9" name="ContentTypeId">
    <vt:lpwstr>0x010100A1F83956CD40E44FA7C3C72C7933C58C</vt:lpwstr>
  </property>
  <property fmtid="{D5CDD505-2E9C-101B-9397-08002B2CF9AE}" pid="10" name="Order">
    <vt:r8>1133300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