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9E25D" w14:textId="64085BD9" w:rsidR="004F2251" w:rsidRDefault="00867AEA" w:rsidP="00EB0DE8">
      <w:pPr>
        <w:ind w:right="-193"/>
        <w:jc w:val="both"/>
        <w:rPr>
          <w:rFonts w:ascii="Roboto" w:hAnsi="Roboto" w:cs="Arial"/>
          <w:b/>
          <w:szCs w:val="22"/>
        </w:rPr>
      </w:pPr>
      <w:r>
        <w:rPr>
          <w:rFonts w:ascii="Roboto" w:hAnsi="Roboto" w:cs="Arial"/>
          <w:b/>
          <w:bCs/>
          <w:iCs/>
          <w:noProof/>
          <w:szCs w:val="22"/>
          <w:lang w:val="es-ES_tradnl"/>
        </w:rPr>
        <w:t xml:space="preserve">SGV-A-3-2025 </w:t>
      </w:r>
      <w:r w:rsidRPr="002F548D">
        <w:rPr>
          <w:rFonts w:ascii="Roboto" w:hAnsi="Roboto" w:cs="Arial"/>
          <w:b/>
          <w:szCs w:val="22"/>
        </w:rPr>
        <w:t>MODIFICACIÓN AL ACUERDO SGV-A-75 “SUMINISTRO DE INFORMACIÓN PERIÓDICA</w:t>
      </w:r>
      <w:r>
        <w:rPr>
          <w:rStyle w:val="Refdenotaalpie"/>
          <w:rFonts w:ascii="Roboto" w:hAnsi="Roboto" w:cs="Arial"/>
          <w:b/>
          <w:szCs w:val="22"/>
        </w:rPr>
        <w:footnoteReference w:id="1"/>
      </w:r>
    </w:p>
    <w:p w14:paraId="0A71C550" w14:textId="77777777" w:rsidR="00867AEA" w:rsidRPr="00131B92" w:rsidRDefault="00867AEA" w:rsidP="00EB0DE8">
      <w:pPr>
        <w:ind w:right="-193"/>
        <w:jc w:val="both"/>
        <w:rPr>
          <w:rFonts w:ascii="Roboto" w:hAnsi="Roboto" w:cs="Arial"/>
          <w:b/>
          <w:bCs/>
          <w:iCs/>
          <w:noProof/>
          <w:szCs w:val="22"/>
          <w:lang w:val="es-ES_tradnl"/>
        </w:rPr>
      </w:pPr>
    </w:p>
    <w:p w14:paraId="555DB458" w14:textId="77777777" w:rsidR="004F2251" w:rsidRPr="00131B92" w:rsidRDefault="004F2251" w:rsidP="00EB0DE8">
      <w:pPr>
        <w:spacing w:line="276" w:lineRule="auto"/>
        <w:ind w:right="-193"/>
        <w:jc w:val="both"/>
        <w:rPr>
          <w:rFonts w:ascii="Roboto" w:hAnsi="Roboto" w:cs="Arial"/>
          <w:b/>
          <w:bCs/>
          <w:szCs w:val="22"/>
          <w:lang w:val="es-CR"/>
        </w:rPr>
      </w:pPr>
      <w:r w:rsidRPr="00131B92">
        <w:rPr>
          <w:rFonts w:ascii="Roboto" w:hAnsi="Roboto" w:cs="Arial"/>
          <w:b/>
          <w:bCs/>
          <w:szCs w:val="22"/>
          <w:lang w:val="es-CR"/>
        </w:rPr>
        <w:t>Considerando que:</w:t>
      </w:r>
    </w:p>
    <w:p w14:paraId="06DC7468" w14:textId="77777777" w:rsidR="004F2251" w:rsidRPr="00F87CD2" w:rsidRDefault="004F2251" w:rsidP="00EB0DE8">
      <w:pPr>
        <w:spacing w:line="276" w:lineRule="auto"/>
        <w:ind w:right="-193"/>
        <w:jc w:val="both"/>
        <w:rPr>
          <w:rFonts w:ascii="Arial" w:hAnsi="Arial" w:cs="Arial"/>
          <w:b/>
          <w:bCs/>
          <w:szCs w:val="22"/>
          <w:lang w:val="es-CR"/>
        </w:rPr>
      </w:pPr>
    </w:p>
    <w:p w14:paraId="0B51A12E" w14:textId="77777777" w:rsidR="00A03584" w:rsidRPr="00A03584" w:rsidRDefault="00A03584" w:rsidP="00A03584">
      <w:pPr>
        <w:numPr>
          <w:ilvl w:val="0"/>
          <w:numId w:val="12"/>
        </w:numPr>
        <w:tabs>
          <w:tab w:val="left" w:pos="567"/>
        </w:tabs>
        <w:ind w:left="567" w:right="-193" w:hanging="567"/>
        <w:jc w:val="both"/>
        <w:rPr>
          <w:rFonts w:ascii="Roboto" w:hAnsi="Roboto" w:cs="Arial"/>
          <w:sz w:val="22"/>
          <w:szCs w:val="22"/>
        </w:rPr>
      </w:pPr>
      <w:r w:rsidRPr="00A03584">
        <w:rPr>
          <w:rFonts w:ascii="Roboto" w:hAnsi="Roboto" w:cs="Arial"/>
          <w:sz w:val="22"/>
          <w:szCs w:val="22"/>
        </w:rPr>
        <w:t xml:space="preserve">El Artículo 8 inciso l) de la </w:t>
      </w:r>
      <w:r w:rsidRPr="00A03584">
        <w:rPr>
          <w:rFonts w:ascii="Roboto" w:hAnsi="Roboto" w:cs="Arial"/>
          <w:i/>
          <w:iCs/>
          <w:sz w:val="22"/>
          <w:szCs w:val="22"/>
        </w:rPr>
        <w:t>Ley Reguladora del Mercado de Valores</w:t>
      </w:r>
      <w:r w:rsidRPr="00A03584">
        <w:rPr>
          <w:rFonts w:ascii="Roboto" w:hAnsi="Roboto" w:cs="Arial"/>
          <w:sz w:val="22"/>
          <w:szCs w:val="22"/>
        </w:rPr>
        <w:t>, Ley 7732, faculta al Superintendente a exigir a los sujetos supervisados toda la información razonablemente necesaria, en las condiciones y con la periodicidad que la Superintendencia determine, para cumplir adecuadamente con sus funciones supervisoras del mercado de valores, según la legislación y la regulación vigentes.</w:t>
      </w:r>
    </w:p>
    <w:p w14:paraId="55A10DEB" w14:textId="77777777" w:rsidR="00A03584" w:rsidRPr="00A03584" w:rsidRDefault="00A03584" w:rsidP="00A03584">
      <w:pPr>
        <w:tabs>
          <w:tab w:val="left" w:pos="567"/>
        </w:tabs>
        <w:ind w:left="567" w:right="-193"/>
        <w:jc w:val="both"/>
        <w:rPr>
          <w:rFonts w:ascii="Roboto" w:hAnsi="Roboto" w:cs="Arial"/>
          <w:sz w:val="22"/>
          <w:szCs w:val="22"/>
        </w:rPr>
      </w:pPr>
    </w:p>
    <w:p w14:paraId="1E9FD0A8" w14:textId="77777777" w:rsidR="00A03584" w:rsidRPr="00A03584" w:rsidRDefault="00A03584" w:rsidP="00A03584">
      <w:pPr>
        <w:numPr>
          <w:ilvl w:val="0"/>
          <w:numId w:val="12"/>
        </w:numPr>
        <w:tabs>
          <w:tab w:val="left" w:pos="567"/>
        </w:tabs>
        <w:ind w:left="567" w:right="-193" w:hanging="567"/>
        <w:jc w:val="both"/>
        <w:rPr>
          <w:rFonts w:ascii="Roboto" w:hAnsi="Roboto" w:cs="Arial"/>
          <w:sz w:val="22"/>
          <w:szCs w:val="22"/>
        </w:rPr>
      </w:pPr>
      <w:r w:rsidRPr="00A03584">
        <w:rPr>
          <w:rFonts w:ascii="Roboto" w:hAnsi="Roboto" w:cs="Arial"/>
          <w:sz w:val="22"/>
          <w:szCs w:val="22"/>
        </w:rPr>
        <w:t xml:space="preserve">Mediante el Artículo 13 del Acta de la Sesión 81-99, celebrada el 18 de marzo de 1999, el Consejo Nacional de Supervisión del Sistema Financiero (Conassif) aprobó el </w:t>
      </w:r>
      <w:r w:rsidRPr="00A03584">
        <w:rPr>
          <w:rFonts w:ascii="Roboto" w:hAnsi="Roboto" w:cs="Arial"/>
          <w:i/>
          <w:iCs/>
          <w:sz w:val="22"/>
          <w:szCs w:val="22"/>
        </w:rPr>
        <w:t>Reglamento sobre el suministro de información periódica, hechos relevantes y otras obligaciones de información</w:t>
      </w:r>
      <w:r w:rsidRPr="00A03584">
        <w:rPr>
          <w:rFonts w:ascii="Roboto" w:hAnsi="Roboto" w:cs="Arial"/>
          <w:sz w:val="22"/>
          <w:szCs w:val="22"/>
        </w:rPr>
        <w:t>, el cual establece los deberes que, sobre esta materia, tienen los emisores de valores objeto de oferta pública y los sujetos fiscalizados por la Superintendencia General de Valores (Sugeval). Este Reglamento confiere al Superintendente la potestad para definir el contenido, la periodicidad y los medios que deben emplearse para el suministro de información periódica a la Sugeval.</w:t>
      </w:r>
    </w:p>
    <w:p w14:paraId="7414802A" w14:textId="77777777" w:rsidR="00A03584" w:rsidRPr="00A03584" w:rsidRDefault="00A03584" w:rsidP="00A03584">
      <w:pPr>
        <w:tabs>
          <w:tab w:val="left" w:pos="567"/>
        </w:tabs>
        <w:ind w:right="-193"/>
        <w:jc w:val="both"/>
        <w:rPr>
          <w:rFonts w:ascii="Roboto" w:hAnsi="Roboto" w:cs="Arial"/>
          <w:sz w:val="22"/>
          <w:szCs w:val="22"/>
        </w:rPr>
      </w:pPr>
    </w:p>
    <w:p w14:paraId="5185C1DE" w14:textId="77777777" w:rsidR="00A03584" w:rsidRPr="00A03584" w:rsidRDefault="00A03584" w:rsidP="00A03584">
      <w:pPr>
        <w:numPr>
          <w:ilvl w:val="0"/>
          <w:numId w:val="12"/>
        </w:numPr>
        <w:tabs>
          <w:tab w:val="left" w:pos="567"/>
        </w:tabs>
        <w:ind w:left="567" w:right="-193" w:hanging="567"/>
        <w:jc w:val="both"/>
        <w:rPr>
          <w:rFonts w:ascii="Roboto" w:hAnsi="Roboto" w:cs="Arial"/>
          <w:sz w:val="22"/>
          <w:szCs w:val="22"/>
        </w:rPr>
      </w:pPr>
      <w:r w:rsidRPr="00A03584">
        <w:rPr>
          <w:rFonts w:ascii="Roboto" w:hAnsi="Roboto" w:cs="Arial"/>
          <w:sz w:val="22"/>
          <w:szCs w:val="22"/>
        </w:rPr>
        <w:t xml:space="preserve">En virtud de la potestad señalada en el considerando anterior, el Superintendente General de Valores emitió el Acuerdo SGV-A-75 </w:t>
      </w:r>
      <w:r w:rsidRPr="00A03584">
        <w:rPr>
          <w:rFonts w:ascii="Roboto" w:hAnsi="Roboto" w:cs="Arial"/>
          <w:i/>
          <w:iCs/>
          <w:sz w:val="22"/>
          <w:szCs w:val="22"/>
        </w:rPr>
        <w:t>Acuerdo sobre el Suministro de Información Periódica</w:t>
      </w:r>
      <w:r w:rsidRPr="00A03584">
        <w:rPr>
          <w:rFonts w:ascii="Roboto" w:hAnsi="Roboto" w:cs="Arial"/>
          <w:sz w:val="22"/>
          <w:szCs w:val="22"/>
        </w:rPr>
        <w:t xml:space="preserve"> del 24 de abril del 2003, el cual ha sido modificado a lo largo del tiempo según los cambios aprobados en el marco regulatorio y las necesidades de información de la Sugeval y del mercado de valores.</w:t>
      </w:r>
    </w:p>
    <w:p w14:paraId="136B502C" w14:textId="77777777" w:rsidR="00A03584" w:rsidRPr="00A03584" w:rsidRDefault="00A03584" w:rsidP="00A03584">
      <w:pPr>
        <w:tabs>
          <w:tab w:val="left" w:pos="567"/>
        </w:tabs>
        <w:ind w:left="567" w:right="-193"/>
        <w:jc w:val="both"/>
        <w:rPr>
          <w:rFonts w:ascii="Roboto" w:hAnsi="Roboto" w:cs="Arial"/>
          <w:sz w:val="22"/>
          <w:szCs w:val="22"/>
        </w:rPr>
      </w:pPr>
    </w:p>
    <w:p w14:paraId="16EF5864" w14:textId="77777777" w:rsidR="00A03584" w:rsidRPr="00A03584" w:rsidRDefault="00A03584" w:rsidP="00A03584">
      <w:pPr>
        <w:numPr>
          <w:ilvl w:val="0"/>
          <w:numId w:val="12"/>
        </w:numPr>
        <w:tabs>
          <w:tab w:val="left" w:pos="567"/>
        </w:tabs>
        <w:ind w:left="567" w:right="-193" w:hanging="567"/>
        <w:jc w:val="both"/>
        <w:rPr>
          <w:rFonts w:ascii="Roboto" w:hAnsi="Roboto" w:cs="Arial"/>
          <w:sz w:val="22"/>
          <w:szCs w:val="22"/>
        </w:rPr>
      </w:pPr>
      <w:r w:rsidRPr="00A03584">
        <w:rPr>
          <w:rFonts w:ascii="Roboto" w:hAnsi="Roboto" w:cs="Arial"/>
          <w:sz w:val="22"/>
          <w:szCs w:val="22"/>
        </w:rPr>
        <w:t>El anexo 64 del Acuerdo SGV-A-75 establece el contenido y los formatos que deben utilizarse para la remisión de la información sobre suficiencia patrimonial de la controladora y de las empresas que conforman los Grupos Financieros supervisados por la Sugeval.</w:t>
      </w:r>
    </w:p>
    <w:p w14:paraId="771EB4D7" w14:textId="77777777" w:rsidR="00A03584" w:rsidRPr="00A03584" w:rsidRDefault="00A03584" w:rsidP="00A03584">
      <w:pPr>
        <w:tabs>
          <w:tab w:val="left" w:pos="567"/>
        </w:tabs>
        <w:ind w:right="-193"/>
        <w:jc w:val="both"/>
        <w:rPr>
          <w:rFonts w:ascii="Roboto" w:hAnsi="Roboto" w:cs="Arial"/>
          <w:sz w:val="22"/>
          <w:szCs w:val="22"/>
        </w:rPr>
      </w:pPr>
    </w:p>
    <w:p w14:paraId="700C8501" w14:textId="77777777" w:rsidR="00A03584" w:rsidRPr="00A03584" w:rsidRDefault="00A03584" w:rsidP="00A03584">
      <w:pPr>
        <w:numPr>
          <w:ilvl w:val="0"/>
          <w:numId w:val="12"/>
        </w:numPr>
        <w:tabs>
          <w:tab w:val="left" w:pos="567"/>
        </w:tabs>
        <w:ind w:left="567" w:right="-193" w:hanging="567"/>
        <w:jc w:val="both"/>
        <w:rPr>
          <w:rFonts w:ascii="Roboto" w:hAnsi="Roboto" w:cs="Arial"/>
          <w:sz w:val="22"/>
          <w:szCs w:val="22"/>
        </w:rPr>
      </w:pPr>
      <w:r w:rsidRPr="00A03584">
        <w:rPr>
          <w:rFonts w:ascii="Roboto" w:hAnsi="Roboto" w:cs="Arial"/>
          <w:sz w:val="22"/>
          <w:szCs w:val="22"/>
        </w:rPr>
        <w:t xml:space="preserve">El Conassif mediante artículos 5 y 6 de las actas de las sesiones 1759-2022 y 1760-2022 aprobó el Acuerdo CONASSIF 16-22 </w:t>
      </w:r>
      <w:r w:rsidRPr="00A03584">
        <w:rPr>
          <w:rFonts w:ascii="Roboto" w:hAnsi="Roboto" w:cs="Arial"/>
          <w:i/>
          <w:iCs/>
          <w:sz w:val="22"/>
          <w:szCs w:val="22"/>
        </w:rPr>
        <w:t>Reglamento sobre supervisión consolidada,</w:t>
      </w:r>
      <w:r w:rsidRPr="00A03584">
        <w:rPr>
          <w:rFonts w:ascii="Roboto" w:hAnsi="Roboto" w:cs="Arial"/>
          <w:sz w:val="22"/>
          <w:szCs w:val="22"/>
        </w:rPr>
        <w:t xml:space="preserve"> el cual derogó el Acuerdo </w:t>
      </w:r>
      <w:r w:rsidRPr="00A03584">
        <w:rPr>
          <w:rFonts w:ascii="Roboto" w:hAnsi="Roboto" w:cs="Arial"/>
          <w:i/>
          <w:iCs/>
          <w:sz w:val="22"/>
          <w:szCs w:val="22"/>
        </w:rPr>
        <w:t>Reglamento sobre Suficiencia Patrimonial de Grupos y Conglomerados Financieros</w:t>
      </w:r>
      <w:r w:rsidRPr="00A03584">
        <w:rPr>
          <w:rFonts w:ascii="Roboto" w:hAnsi="Roboto" w:cs="Arial"/>
          <w:sz w:val="22"/>
          <w:szCs w:val="22"/>
        </w:rPr>
        <w:t xml:space="preserve"> y estableció una nueva estructura de capital para las sociedades controladoras y las empresas que conforman los grupos y conglomerados financieros, por lo que es necesario ajustar el contenido del anexo 64 citado.</w:t>
      </w:r>
    </w:p>
    <w:p w14:paraId="2B575C98" w14:textId="77777777" w:rsidR="00A03584" w:rsidRPr="00A03584" w:rsidRDefault="00A03584" w:rsidP="00A03584">
      <w:pPr>
        <w:tabs>
          <w:tab w:val="left" w:pos="567"/>
        </w:tabs>
        <w:ind w:left="567" w:right="-193"/>
        <w:jc w:val="both"/>
        <w:rPr>
          <w:rFonts w:ascii="Roboto" w:hAnsi="Roboto" w:cs="Arial"/>
          <w:sz w:val="22"/>
          <w:szCs w:val="22"/>
        </w:rPr>
      </w:pPr>
    </w:p>
    <w:p w14:paraId="5187F5FB" w14:textId="4A8A6543" w:rsidR="00A03584" w:rsidRPr="00A03584" w:rsidRDefault="00A03584" w:rsidP="00A03584">
      <w:pPr>
        <w:numPr>
          <w:ilvl w:val="0"/>
          <w:numId w:val="12"/>
        </w:numPr>
        <w:tabs>
          <w:tab w:val="left" w:pos="567"/>
        </w:tabs>
        <w:ind w:left="567" w:right="-193" w:hanging="567"/>
        <w:jc w:val="both"/>
        <w:rPr>
          <w:rFonts w:ascii="Roboto" w:hAnsi="Roboto" w:cs="Arial"/>
          <w:sz w:val="22"/>
          <w:szCs w:val="22"/>
        </w:rPr>
      </w:pPr>
      <w:r w:rsidRPr="00A03584">
        <w:rPr>
          <w:rFonts w:ascii="Roboto" w:hAnsi="Roboto" w:cs="Arial"/>
          <w:sz w:val="22"/>
          <w:szCs w:val="22"/>
        </w:rPr>
        <w:lastRenderedPageBreak/>
        <w:t>El cálculo de la suficiencia patrimonial con la nueva estructura de capital para las sociedades controladoras y las empresas que conforman los grupos y conglomerados financieros, entró en vigor el 1° de enero de 2025, según se establece en las disposiciones finales del Acuerdo CONASSIF 16-22, por lo que para efectos de remisión de información a la Superintendencia debe aplicarse para el cálculo correspondiente al cierre del primer trimestre de 2025.</w:t>
      </w:r>
    </w:p>
    <w:p w14:paraId="67F471F4" w14:textId="77777777" w:rsidR="00A03584" w:rsidRPr="00A03584" w:rsidRDefault="00A03584" w:rsidP="00A03584">
      <w:pPr>
        <w:pStyle w:val="Prrafodelista"/>
        <w:rPr>
          <w:rFonts w:ascii="Roboto" w:hAnsi="Roboto" w:cs="Arial"/>
          <w:lang w:val="es-CR"/>
        </w:rPr>
      </w:pPr>
    </w:p>
    <w:p w14:paraId="27C47A54" w14:textId="77777777" w:rsidR="00A03584" w:rsidRPr="00A03584" w:rsidRDefault="00A03584" w:rsidP="00A03584">
      <w:pPr>
        <w:numPr>
          <w:ilvl w:val="0"/>
          <w:numId w:val="12"/>
        </w:numPr>
        <w:tabs>
          <w:tab w:val="left" w:pos="567"/>
        </w:tabs>
        <w:ind w:left="567" w:right="-1" w:hanging="567"/>
        <w:jc w:val="both"/>
        <w:rPr>
          <w:rFonts w:ascii="Roboto" w:hAnsi="Roboto" w:cs="Arial"/>
          <w:sz w:val="22"/>
          <w:szCs w:val="22"/>
        </w:rPr>
      </w:pPr>
      <w:r w:rsidRPr="00A03584">
        <w:rPr>
          <w:rFonts w:ascii="Roboto" w:hAnsi="Roboto" w:cs="Arial"/>
          <w:sz w:val="22"/>
          <w:szCs w:val="22"/>
        </w:rPr>
        <w:t>El Conassif mediante artículo 11 del acta de la sesión 1777-2022 celebrada el 22 de diciembre de 2022, dispuso excluir del cálculo de los Riesgos Operativos, para efectos de cuantificar la suficiencia patrimonial de las entidades supervisadas, los riesgos derivados de la actividad de custodia, por lo que debe ajustarse el detalle del requerimiento de información que se establece en el Anexo 31 del Acuerdo A-75.</w:t>
      </w:r>
    </w:p>
    <w:p w14:paraId="3795B671" w14:textId="77777777" w:rsidR="00A03584" w:rsidRPr="00A03584" w:rsidRDefault="00A03584" w:rsidP="00A03584">
      <w:pPr>
        <w:pStyle w:val="Prrafodelista"/>
        <w:rPr>
          <w:rFonts w:ascii="Roboto" w:hAnsi="Roboto" w:cs="Arial"/>
          <w:lang w:val="es-CR"/>
        </w:rPr>
      </w:pPr>
    </w:p>
    <w:p w14:paraId="0584E34C" w14:textId="77777777" w:rsidR="00A03584" w:rsidRPr="00A03584" w:rsidRDefault="00A03584" w:rsidP="00A03584">
      <w:pPr>
        <w:pStyle w:val="Numeracin"/>
        <w:numPr>
          <w:ilvl w:val="0"/>
          <w:numId w:val="12"/>
        </w:numPr>
        <w:spacing w:before="0"/>
        <w:ind w:left="567"/>
        <w:rPr>
          <w:rFonts w:ascii="Roboto" w:hAnsi="Roboto"/>
          <w:szCs w:val="22"/>
        </w:rPr>
      </w:pPr>
      <w:r w:rsidRPr="00A03584">
        <w:rPr>
          <w:rFonts w:ascii="Roboto" w:hAnsi="Roboto"/>
          <w:szCs w:val="22"/>
        </w:rPr>
        <w:t>Como parte de los compromisos institucionales sobre la simplificación de procesos y reducción de costos regulatorios para los administrados, se excluye del acuerdo la remisión de tres anexos (Anexo 44 “Informe de participaciones significativas de emisores”, Anexo 48 “Información sobre Ofertas y Transacciones” y Anexo 37 “Reporte trimestral de inversiones en títulos internacionales”) por considerarse innecesarios dado que ya existen otros mecanismos de captura de la información que se requiere para la supervisión.</w:t>
      </w:r>
    </w:p>
    <w:p w14:paraId="561090B5" w14:textId="77777777" w:rsidR="00A03584" w:rsidRPr="00A03584" w:rsidRDefault="00A03584" w:rsidP="00A03584">
      <w:pPr>
        <w:pStyle w:val="Prrafodelista"/>
        <w:rPr>
          <w:rFonts w:ascii="Roboto" w:hAnsi="Roboto" w:cs="Arial"/>
          <w:lang w:val="es-CR"/>
        </w:rPr>
      </w:pPr>
    </w:p>
    <w:p w14:paraId="403EFF0E" w14:textId="60CE457E" w:rsidR="004F2251" w:rsidRDefault="00A03584" w:rsidP="00A03584">
      <w:pPr>
        <w:pStyle w:val="Numeracin"/>
        <w:numPr>
          <w:ilvl w:val="0"/>
          <w:numId w:val="12"/>
        </w:numPr>
        <w:spacing w:before="0"/>
        <w:ind w:left="567"/>
        <w:rPr>
          <w:rFonts w:ascii="Roboto" w:hAnsi="Roboto" w:cs="Arial"/>
          <w:szCs w:val="22"/>
        </w:rPr>
      </w:pPr>
      <w:r w:rsidRPr="00A03584">
        <w:rPr>
          <w:rFonts w:ascii="Roboto" w:hAnsi="Roboto"/>
          <w:szCs w:val="22"/>
        </w:rPr>
        <w:t>El artículo 361 de la Ley General de Administración Pública dispone “Se concederá a las entidades representativas de intereses de carácter general o corporativo afectados por la disposición la oportunidad de exponer su parecer, dentro del plazo de diez días, salvo cuando se opongan a ello razones de interés público o de urgencia debidamente consignadas en el anteproyecto”. En este caso, los cambios en el Acuerdo SGV-A-75</w:t>
      </w:r>
      <w:r w:rsidRPr="00A03584">
        <w:rPr>
          <w:rFonts w:ascii="Roboto" w:hAnsi="Roboto" w:cs="Arial"/>
          <w:szCs w:val="22"/>
        </w:rPr>
        <w:t xml:space="preserve"> </w:t>
      </w:r>
      <w:r w:rsidRPr="00A03584">
        <w:rPr>
          <w:rFonts w:ascii="Roboto" w:hAnsi="Roboto" w:cs="Arial"/>
          <w:i/>
          <w:iCs/>
          <w:szCs w:val="22"/>
        </w:rPr>
        <w:t>Acuerdo sobre el Suministro de Información Periódica</w:t>
      </w:r>
      <w:r w:rsidRPr="00A03584">
        <w:rPr>
          <w:rFonts w:ascii="Roboto" w:hAnsi="Roboto" w:cs="Arial"/>
          <w:szCs w:val="22"/>
        </w:rPr>
        <w:t xml:space="preserve"> responden a cambios reglamentarios vigentes aprobados por el Conassif; en el caso del Anexo 64 para el cálculo de la suficiencia patrimonial de los grupos financieros a partir del  primer trimestre de 2025,  cuyo envío de información debe hacerse en abril de 2025 y, en el caso del artículo 31, para ajustar el cálculo del requerimiento de capital por riesgos operativos de manera que no se considere la actividad de custodia en la medida del riesgo de los puestos de bolsa, lo que opera en beneficio de estas entidades, razón por la cual, se prescinde del trámite de consulta.</w:t>
      </w:r>
    </w:p>
    <w:p w14:paraId="3FF5A6B0" w14:textId="77777777" w:rsidR="00A03584" w:rsidRPr="00A03584" w:rsidRDefault="00A03584" w:rsidP="00A03584">
      <w:pPr>
        <w:pStyle w:val="Numeracin"/>
        <w:numPr>
          <w:ilvl w:val="0"/>
          <w:numId w:val="0"/>
        </w:numPr>
        <w:spacing w:before="0"/>
        <w:rPr>
          <w:rFonts w:ascii="Roboto" w:hAnsi="Roboto" w:cs="Arial"/>
          <w:szCs w:val="22"/>
        </w:rPr>
      </w:pPr>
    </w:p>
    <w:p w14:paraId="66A62496" w14:textId="13713F63" w:rsidR="00A26F53" w:rsidRDefault="004F2251" w:rsidP="00EB0DE8">
      <w:pPr>
        <w:jc w:val="both"/>
        <w:rPr>
          <w:rFonts w:ascii="Roboto" w:eastAsia="Calibri" w:hAnsi="Roboto" w:cs="Arial"/>
          <w:sz w:val="22"/>
          <w:szCs w:val="22"/>
        </w:rPr>
      </w:pPr>
      <w:r w:rsidRPr="00A03584">
        <w:rPr>
          <w:rFonts w:ascii="Roboto" w:eastAsia="Calibri" w:hAnsi="Roboto" w:cs="Arial"/>
          <w:sz w:val="22"/>
          <w:szCs w:val="22"/>
        </w:rPr>
        <w:t>Por tanto, dispone el presente acuerdo:</w:t>
      </w:r>
    </w:p>
    <w:p w14:paraId="7A998277" w14:textId="77777777" w:rsidR="00A26F53" w:rsidRDefault="00A26F53">
      <w:pPr>
        <w:spacing w:after="160" w:line="259" w:lineRule="auto"/>
        <w:rPr>
          <w:rFonts w:ascii="Roboto" w:eastAsia="Calibri" w:hAnsi="Roboto" w:cs="Arial"/>
          <w:sz w:val="22"/>
          <w:szCs w:val="22"/>
        </w:rPr>
      </w:pPr>
      <w:r>
        <w:rPr>
          <w:rFonts w:ascii="Roboto" w:eastAsia="Calibri" w:hAnsi="Roboto" w:cs="Arial"/>
          <w:sz w:val="22"/>
          <w:szCs w:val="22"/>
        </w:rPr>
        <w:br w:type="page"/>
      </w:r>
    </w:p>
    <w:p w14:paraId="0EEF753C" w14:textId="77777777" w:rsidR="004F2251" w:rsidRDefault="004F2251" w:rsidP="00EB0DE8">
      <w:pPr>
        <w:jc w:val="both"/>
        <w:rPr>
          <w:rFonts w:ascii="Roboto" w:eastAsia="Calibri" w:hAnsi="Roboto" w:cs="Arial"/>
          <w:sz w:val="22"/>
          <w:szCs w:val="22"/>
        </w:rPr>
      </w:pPr>
    </w:p>
    <w:p w14:paraId="0ED66A48" w14:textId="77777777" w:rsidR="004F2251" w:rsidRPr="00F87CD2" w:rsidRDefault="004F2251" w:rsidP="00EB0DE8">
      <w:pPr>
        <w:jc w:val="both"/>
        <w:rPr>
          <w:rFonts w:ascii="Arial" w:eastAsia="Calibri" w:hAnsi="Arial" w:cs="Arial"/>
          <w:szCs w:val="22"/>
          <w:lang w:eastAsia="en-US"/>
        </w:rPr>
      </w:pPr>
    </w:p>
    <w:p w14:paraId="52B81330" w14:textId="1D905D9E" w:rsidR="004F2251" w:rsidRPr="00F87CD2" w:rsidRDefault="00000000" w:rsidP="00EB0DE8">
      <w:pPr>
        <w:jc w:val="center"/>
        <w:rPr>
          <w:rFonts w:ascii="Arial" w:hAnsi="Arial" w:cs="Arial"/>
          <w:b/>
          <w:szCs w:val="22"/>
        </w:rPr>
      </w:pPr>
      <w:sdt>
        <w:sdtPr>
          <w:rPr>
            <w:rFonts w:ascii="Arial" w:hAnsi="Arial" w:cs="Arial"/>
            <w:b/>
            <w:szCs w:val="22"/>
          </w:rPr>
          <w:alias w:val="ConsecutivoInterno"/>
          <w:tag w:val="ConsecutivoInterno"/>
          <w:id w:val="372817406"/>
          <w:lock w:val="contentLocked"/>
          <w:placeholder>
            <w:docPart w:val="F5B0923087E7423392B2BEBA96B881FA"/>
          </w:placeholder>
        </w:sdtPr>
        <w:sdtContent>
          <w:r w:rsidR="00A94820">
            <w:t>SGV-A-3-2025</w:t>
          </w:r>
        </w:sdtContent>
      </w:sdt>
      <w:r w:rsidR="004F2251" w:rsidRPr="00F87CD2">
        <w:rPr>
          <w:rFonts w:ascii="Arial" w:hAnsi="Arial" w:cs="Arial"/>
          <w:b/>
          <w:szCs w:val="22"/>
        </w:rPr>
        <w:t xml:space="preserve">.  </w:t>
      </w:r>
      <w:r w:rsidR="00A03584" w:rsidRPr="002F548D">
        <w:rPr>
          <w:rFonts w:ascii="Roboto" w:hAnsi="Roboto" w:cs="Arial"/>
          <w:b/>
          <w:szCs w:val="22"/>
        </w:rPr>
        <w:t>MODIFICACIÓN AL ACUERDO SGV-A-75 “SUMINISTRO DE INFORMACIÓN PERIÓDICA”</w:t>
      </w:r>
    </w:p>
    <w:p w14:paraId="3A89193E" w14:textId="77777777" w:rsidR="006453BA" w:rsidRDefault="006453BA" w:rsidP="00EB0DE8">
      <w:pPr>
        <w:jc w:val="center"/>
        <w:rPr>
          <w:rFonts w:ascii="Roboto" w:hAnsi="Roboto" w:cs="Arial"/>
          <w:b/>
          <w:sz w:val="22"/>
          <w:szCs w:val="22"/>
        </w:rPr>
      </w:pPr>
    </w:p>
    <w:p w14:paraId="7AC4F9C4" w14:textId="0B7C4C55" w:rsidR="004F2251" w:rsidRPr="006453BA" w:rsidRDefault="004F2251" w:rsidP="00EB0DE8">
      <w:pPr>
        <w:jc w:val="center"/>
        <w:rPr>
          <w:rFonts w:ascii="Roboto" w:hAnsi="Roboto" w:cs="Arial"/>
          <w:b/>
          <w:sz w:val="22"/>
          <w:szCs w:val="22"/>
        </w:rPr>
      </w:pPr>
      <w:r w:rsidRPr="006453BA">
        <w:rPr>
          <w:rFonts w:ascii="Roboto" w:hAnsi="Roboto" w:cs="Arial"/>
          <w:b/>
          <w:sz w:val="22"/>
          <w:szCs w:val="22"/>
        </w:rPr>
        <w:t xml:space="preserve">  </w:t>
      </w:r>
    </w:p>
    <w:p w14:paraId="7A009C5F" w14:textId="77777777" w:rsidR="006453BA" w:rsidRPr="006453BA" w:rsidRDefault="006453BA" w:rsidP="006453BA">
      <w:pPr>
        <w:pStyle w:val="Prrafodelista"/>
        <w:numPr>
          <w:ilvl w:val="0"/>
          <w:numId w:val="14"/>
        </w:numPr>
        <w:spacing w:after="0" w:line="240" w:lineRule="auto"/>
        <w:jc w:val="both"/>
        <w:rPr>
          <w:rFonts w:ascii="Roboto" w:eastAsia="Calibri" w:hAnsi="Roboto" w:cs="Arial"/>
          <w:b/>
          <w:bCs/>
          <w:lang w:val="es-CR"/>
        </w:rPr>
      </w:pPr>
      <w:r w:rsidRPr="006453BA">
        <w:rPr>
          <w:rFonts w:ascii="Roboto" w:eastAsia="Calibri" w:hAnsi="Roboto" w:cs="Arial"/>
          <w:b/>
          <w:bCs/>
          <w:lang w:val="es-CR"/>
        </w:rPr>
        <w:t xml:space="preserve">Modificar el </w:t>
      </w:r>
      <w:r w:rsidRPr="006453BA">
        <w:rPr>
          <w:rFonts w:ascii="Roboto" w:hAnsi="Roboto" w:cs="Arial"/>
          <w:b/>
          <w:bCs/>
          <w:lang w:val="es-CR"/>
        </w:rPr>
        <w:t>Acuerdo SGV-A-75 “Suministro de información periódica”, según se detalla a continuación</w:t>
      </w:r>
    </w:p>
    <w:p w14:paraId="047BDCBB" w14:textId="77777777" w:rsidR="006453BA" w:rsidRPr="006453BA" w:rsidRDefault="006453BA" w:rsidP="006453BA">
      <w:pPr>
        <w:jc w:val="both"/>
        <w:rPr>
          <w:rFonts w:ascii="Roboto" w:eastAsia="Calibri" w:hAnsi="Roboto" w:cs="Arial"/>
          <w:sz w:val="22"/>
          <w:szCs w:val="22"/>
          <w:lang w:eastAsia="en-US"/>
        </w:rPr>
      </w:pPr>
    </w:p>
    <w:p w14:paraId="1ECF9AEC" w14:textId="77777777" w:rsidR="006453BA" w:rsidRPr="006453BA" w:rsidRDefault="006453BA" w:rsidP="006453BA">
      <w:pPr>
        <w:ind w:left="426"/>
        <w:jc w:val="both"/>
        <w:rPr>
          <w:rFonts w:ascii="Roboto" w:hAnsi="Roboto" w:cs="Arial"/>
          <w:sz w:val="22"/>
          <w:szCs w:val="22"/>
        </w:rPr>
      </w:pPr>
      <w:r w:rsidRPr="006453BA">
        <w:rPr>
          <w:rFonts w:ascii="Roboto" w:hAnsi="Roboto" w:cs="Arial"/>
          <w:b/>
          <w:sz w:val="22"/>
          <w:szCs w:val="22"/>
        </w:rPr>
        <w:t>A.- Modificar el Anexo 64 “Reporte de Superávit o déficit patrimonial” para que en adelante se lea</w:t>
      </w:r>
      <w:r w:rsidRPr="006453BA">
        <w:rPr>
          <w:rFonts w:ascii="Roboto" w:hAnsi="Roboto" w:cs="Arial"/>
          <w:sz w:val="22"/>
          <w:szCs w:val="22"/>
        </w:rPr>
        <w:t xml:space="preserve"> </w:t>
      </w:r>
      <w:r w:rsidRPr="006453BA">
        <w:rPr>
          <w:rFonts w:ascii="Roboto" w:hAnsi="Roboto" w:cs="Arial"/>
          <w:b/>
          <w:bCs/>
          <w:sz w:val="22"/>
          <w:szCs w:val="22"/>
        </w:rPr>
        <w:t>de la forma que se indica en el archivo siguiente:</w:t>
      </w:r>
    </w:p>
    <w:p w14:paraId="1D7710ED" w14:textId="77777777" w:rsidR="006453BA" w:rsidRPr="006453BA" w:rsidRDefault="006453BA" w:rsidP="006453BA">
      <w:pPr>
        <w:ind w:left="426"/>
        <w:jc w:val="both"/>
        <w:rPr>
          <w:rFonts w:ascii="Roboto" w:hAnsi="Roboto" w:cs="Arial"/>
          <w:b/>
          <w:sz w:val="22"/>
          <w:szCs w:val="22"/>
        </w:rPr>
      </w:pPr>
    </w:p>
    <w:p w14:paraId="7BD1089E" w14:textId="1A301EBB" w:rsidR="006453BA" w:rsidRPr="006453BA" w:rsidRDefault="00000000" w:rsidP="006453BA">
      <w:pPr>
        <w:spacing w:after="160" w:line="256" w:lineRule="auto"/>
        <w:ind w:left="426"/>
        <w:contextualSpacing/>
        <w:jc w:val="both"/>
        <w:rPr>
          <w:rFonts w:ascii="Roboto" w:eastAsia="Calibri" w:hAnsi="Roboto" w:cs="Arial"/>
          <w:color w:val="000000"/>
          <w:sz w:val="22"/>
          <w:szCs w:val="22"/>
          <w:lang w:eastAsia="es-CR"/>
        </w:rPr>
      </w:pPr>
      <w:r>
        <w:rPr>
          <w:rFonts w:ascii="Roboto" w:hAnsi="Roboto"/>
          <w:noProof/>
          <w:sz w:val="22"/>
          <w:szCs w:val="22"/>
        </w:rPr>
        <w:object w:dxaOrig="1440" w:dyaOrig="1440" w14:anchorId="008A97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0;margin-top:0;width:60.05pt;height:39.65pt;z-index:251659264;mso-position-horizontal:left;mso-position-horizontal-relative:text;mso-position-vertical-relative:text">
            <v:imagedata r:id="rId13" o:title=""/>
            <w10:wrap type="square" side="right"/>
          </v:shape>
          <o:OLEObject Type="Embed" ProgID="Excel.Sheet.12" ShapeID="_x0000_s2052" DrawAspect="Icon" ObjectID="_1808113967" r:id="rId14"/>
        </w:object>
      </w:r>
      <w:r w:rsidR="00885D0D">
        <w:rPr>
          <w:rFonts w:ascii="Roboto" w:eastAsia="Calibri" w:hAnsi="Roboto" w:cs="Arial"/>
          <w:color w:val="000000"/>
          <w:sz w:val="22"/>
          <w:szCs w:val="22"/>
          <w:lang w:eastAsia="es-CR"/>
        </w:rPr>
        <w:br w:type="textWrapping" w:clear="all"/>
      </w:r>
    </w:p>
    <w:p w14:paraId="1D44A244" w14:textId="25E03A59" w:rsidR="006453BA" w:rsidRPr="006453BA" w:rsidRDefault="006453BA" w:rsidP="006453BA">
      <w:pPr>
        <w:spacing w:after="160" w:line="256" w:lineRule="auto"/>
        <w:ind w:left="426"/>
        <w:contextualSpacing/>
        <w:jc w:val="both"/>
        <w:rPr>
          <w:rFonts w:ascii="Roboto" w:eastAsia="Calibri" w:hAnsi="Roboto" w:cs="Arial"/>
          <w:color w:val="000000"/>
          <w:sz w:val="22"/>
          <w:szCs w:val="22"/>
          <w:lang w:eastAsia="es-CR"/>
        </w:rPr>
      </w:pPr>
    </w:p>
    <w:p w14:paraId="6D11D0C2" w14:textId="77777777" w:rsidR="006453BA" w:rsidRPr="006453BA" w:rsidRDefault="006453BA" w:rsidP="006453BA">
      <w:pPr>
        <w:ind w:left="426"/>
        <w:jc w:val="both"/>
        <w:rPr>
          <w:rFonts w:ascii="Roboto" w:hAnsi="Roboto" w:cs="Arial"/>
          <w:b/>
          <w:sz w:val="22"/>
          <w:szCs w:val="22"/>
        </w:rPr>
      </w:pPr>
      <w:r w:rsidRPr="006453BA">
        <w:rPr>
          <w:rFonts w:ascii="Roboto" w:hAnsi="Roboto" w:cs="Arial"/>
          <w:b/>
          <w:sz w:val="22"/>
          <w:szCs w:val="22"/>
        </w:rPr>
        <w:t>B.- Modificar el Anexo 31 “Reporte de Superávit o déficit patrimonial” para que en adelante se lea de la forma que se indica en el archivo siguiente:</w:t>
      </w:r>
    </w:p>
    <w:p w14:paraId="5F829C4F" w14:textId="77777777" w:rsidR="006453BA" w:rsidRPr="006453BA" w:rsidRDefault="006453BA" w:rsidP="006453BA">
      <w:pPr>
        <w:spacing w:after="160" w:line="256" w:lineRule="auto"/>
        <w:contextualSpacing/>
        <w:jc w:val="both"/>
        <w:rPr>
          <w:rFonts w:ascii="Roboto" w:eastAsia="Calibri" w:hAnsi="Roboto" w:cs="Arial"/>
          <w:color w:val="000000"/>
          <w:sz w:val="22"/>
          <w:szCs w:val="22"/>
          <w:highlight w:val="yellow"/>
          <w:lang w:eastAsia="es-CR"/>
        </w:rPr>
      </w:pPr>
    </w:p>
    <w:bookmarkStart w:id="0" w:name="_MON_1804921771"/>
    <w:bookmarkEnd w:id="0"/>
    <w:p w14:paraId="30B36A07" w14:textId="27D400D4" w:rsidR="006453BA" w:rsidRPr="006453BA" w:rsidRDefault="00885D0D" w:rsidP="006453BA">
      <w:pPr>
        <w:ind w:left="426"/>
        <w:jc w:val="both"/>
        <w:rPr>
          <w:rFonts w:ascii="Roboto" w:eastAsia="Calibri" w:hAnsi="Roboto" w:cs="Arial"/>
          <w:b/>
          <w:color w:val="000000"/>
          <w:sz w:val="22"/>
          <w:szCs w:val="22"/>
          <w:lang w:eastAsia="es-CR"/>
        </w:rPr>
      </w:pPr>
      <w:r w:rsidRPr="006453BA">
        <w:rPr>
          <w:rFonts w:ascii="Roboto" w:eastAsia="Calibri" w:hAnsi="Roboto" w:cs="Arial"/>
          <w:b/>
          <w:color w:val="000000"/>
          <w:sz w:val="22"/>
          <w:szCs w:val="22"/>
          <w:lang w:eastAsia="es-CR"/>
        </w:rPr>
        <w:object w:dxaOrig="1508" w:dyaOrig="984" w14:anchorId="32477281">
          <v:shape id="_x0000_i1026" type="#_x0000_t75" style="width:60.1pt;height:37.55pt" o:ole="">
            <v:imagedata r:id="rId15" o:title=""/>
          </v:shape>
          <o:OLEObject Type="Embed" ProgID="Excel.Sheet.12" ShapeID="_x0000_i1026" DrawAspect="Icon" ObjectID="_1808113966" r:id="rId16"/>
        </w:object>
      </w:r>
      <w:bookmarkStart w:id="1" w:name="_Hlk101544405"/>
      <w:bookmarkStart w:id="2" w:name="_Hlk67579283"/>
    </w:p>
    <w:p w14:paraId="44728B8B" w14:textId="77777777" w:rsidR="006453BA" w:rsidRPr="006453BA" w:rsidRDefault="006453BA" w:rsidP="006453BA">
      <w:pPr>
        <w:tabs>
          <w:tab w:val="center" w:pos="4419"/>
        </w:tabs>
        <w:ind w:left="1276"/>
        <w:jc w:val="both"/>
        <w:rPr>
          <w:rFonts w:ascii="Roboto" w:eastAsia="Calibri" w:hAnsi="Roboto" w:cs="Arial"/>
          <w:bCs/>
          <w:i/>
          <w:iCs/>
          <w:sz w:val="22"/>
          <w:szCs w:val="22"/>
        </w:rPr>
      </w:pPr>
    </w:p>
    <w:p w14:paraId="7C58AFA6" w14:textId="67370B51" w:rsidR="006453BA" w:rsidRDefault="006453BA" w:rsidP="006453BA">
      <w:pPr>
        <w:ind w:left="426"/>
        <w:jc w:val="both"/>
        <w:rPr>
          <w:rFonts w:ascii="Roboto" w:hAnsi="Roboto" w:cs="Arial"/>
          <w:b/>
          <w:sz w:val="22"/>
          <w:szCs w:val="22"/>
        </w:rPr>
      </w:pPr>
      <w:r w:rsidRPr="006453BA">
        <w:rPr>
          <w:rFonts w:ascii="Roboto" w:hAnsi="Roboto" w:cs="Arial"/>
          <w:b/>
          <w:sz w:val="22"/>
          <w:szCs w:val="22"/>
        </w:rPr>
        <w:t>C.- Derogar los incisos h, j y l del artículo 3 “Naturaleza de la información periódica, divulgación y registro” y se lean de la siguiente manera:</w:t>
      </w:r>
    </w:p>
    <w:p w14:paraId="1064F0F3" w14:textId="77777777" w:rsidR="006453BA" w:rsidRPr="006453BA" w:rsidRDefault="006453BA" w:rsidP="006453BA">
      <w:pPr>
        <w:ind w:left="426"/>
        <w:jc w:val="both"/>
        <w:rPr>
          <w:rFonts w:ascii="Roboto" w:hAnsi="Roboto" w:cs="Arial"/>
          <w:b/>
          <w:sz w:val="22"/>
          <w:szCs w:val="22"/>
        </w:rPr>
      </w:pPr>
    </w:p>
    <w:p w14:paraId="71576DCF" w14:textId="77777777" w:rsidR="006453BA" w:rsidRPr="006453BA" w:rsidRDefault="006453BA" w:rsidP="006453BA">
      <w:pPr>
        <w:tabs>
          <w:tab w:val="center" w:pos="4419"/>
        </w:tabs>
        <w:ind w:left="1276"/>
        <w:jc w:val="both"/>
        <w:rPr>
          <w:rFonts w:ascii="Roboto" w:eastAsia="Calibri" w:hAnsi="Roboto" w:cs="Arial"/>
          <w:bCs/>
          <w:i/>
          <w:iCs/>
          <w:sz w:val="22"/>
          <w:szCs w:val="22"/>
        </w:rPr>
      </w:pPr>
      <w:r w:rsidRPr="006453BA">
        <w:rPr>
          <w:rFonts w:ascii="Roboto" w:eastAsia="Calibri" w:hAnsi="Roboto" w:cs="Arial"/>
          <w:bCs/>
          <w:i/>
          <w:iCs/>
          <w:sz w:val="22"/>
          <w:szCs w:val="22"/>
        </w:rPr>
        <w:t xml:space="preserve">“h. </w:t>
      </w:r>
      <w:r w:rsidRPr="006453BA">
        <w:rPr>
          <w:rFonts w:ascii="Roboto" w:eastAsia="Calibri" w:hAnsi="Roboto" w:cs="Arial"/>
          <w:bCs/>
          <w:i/>
          <w:iCs/>
          <w:sz w:val="22"/>
          <w:szCs w:val="22"/>
        </w:rPr>
        <w:tab/>
        <w:t>Informe sobre participaciones significativas que reportan los emisores accionarios, Anexo 44.” [Derogado]</w:t>
      </w:r>
    </w:p>
    <w:p w14:paraId="421C9DCD" w14:textId="77777777" w:rsidR="006453BA" w:rsidRPr="006453BA" w:rsidRDefault="006453BA" w:rsidP="006453BA">
      <w:pPr>
        <w:tabs>
          <w:tab w:val="center" w:pos="4419"/>
        </w:tabs>
        <w:ind w:left="1276"/>
        <w:jc w:val="both"/>
        <w:rPr>
          <w:rFonts w:ascii="Roboto" w:eastAsia="Calibri" w:hAnsi="Roboto" w:cs="Arial"/>
          <w:bCs/>
          <w:i/>
          <w:iCs/>
          <w:sz w:val="22"/>
          <w:szCs w:val="22"/>
        </w:rPr>
      </w:pPr>
      <w:r w:rsidRPr="006453BA">
        <w:rPr>
          <w:rFonts w:ascii="Roboto" w:eastAsia="Calibri" w:hAnsi="Roboto" w:cs="Arial"/>
          <w:bCs/>
          <w:i/>
          <w:iCs/>
          <w:sz w:val="22"/>
          <w:szCs w:val="22"/>
        </w:rPr>
        <w:t>“j.</w:t>
      </w:r>
      <w:r w:rsidRPr="006453BA">
        <w:rPr>
          <w:rFonts w:ascii="Roboto" w:eastAsia="Calibri" w:hAnsi="Roboto" w:cs="Arial"/>
          <w:bCs/>
          <w:i/>
          <w:iCs/>
          <w:sz w:val="22"/>
          <w:szCs w:val="22"/>
        </w:rPr>
        <w:tab/>
        <w:t xml:space="preserve"> Reporte trimestral de inversiones en títulos internacionales, Anexo 37.” [Derogado]</w:t>
      </w:r>
    </w:p>
    <w:p w14:paraId="5EDEA833" w14:textId="77777777" w:rsidR="006453BA" w:rsidRPr="006453BA" w:rsidRDefault="006453BA" w:rsidP="006453BA">
      <w:pPr>
        <w:tabs>
          <w:tab w:val="center" w:pos="4419"/>
        </w:tabs>
        <w:ind w:left="1276"/>
        <w:jc w:val="both"/>
        <w:rPr>
          <w:rFonts w:ascii="Roboto" w:eastAsia="Calibri" w:hAnsi="Roboto" w:cs="Arial"/>
          <w:bCs/>
          <w:i/>
          <w:iCs/>
          <w:sz w:val="22"/>
          <w:szCs w:val="22"/>
        </w:rPr>
      </w:pPr>
      <w:r w:rsidRPr="006453BA">
        <w:rPr>
          <w:rFonts w:ascii="Roboto" w:eastAsia="Calibri" w:hAnsi="Roboto" w:cs="Arial"/>
          <w:bCs/>
          <w:i/>
          <w:iCs/>
          <w:sz w:val="22"/>
          <w:szCs w:val="22"/>
        </w:rPr>
        <w:t>“l. Información sobre ofertas y transacciones, Anexo 48.” [Derogado]</w:t>
      </w:r>
    </w:p>
    <w:p w14:paraId="3345B3E2" w14:textId="77777777" w:rsidR="006453BA" w:rsidRPr="006453BA" w:rsidRDefault="006453BA" w:rsidP="006453BA">
      <w:pPr>
        <w:tabs>
          <w:tab w:val="center" w:pos="4419"/>
        </w:tabs>
        <w:ind w:left="1276"/>
        <w:jc w:val="both"/>
        <w:rPr>
          <w:rFonts w:ascii="Roboto" w:eastAsia="Calibri" w:hAnsi="Roboto" w:cs="Arial"/>
          <w:bCs/>
          <w:i/>
          <w:iCs/>
          <w:sz w:val="22"/>
          <w:szCs w:val="22"/>
        </w:rPr>
      </w:pPr>
    </w:p>
    <w:bookmarkEnd w:id="1"/>
    <w:bookmarkEnd w:id="2"/>
    <w:p w14:paraId="2A9EFE7B" w14:textId="12FF4CEE" w:rsidR="006453BA" w:rsidRPr="006453BA" w:rsidRDefault="006453BA" w:rsidP="006453BA">
      <w:pPr>
        <w:ind w:left="426"/>
        <w:jc w:val="both"/>
        <w:rPr>
          <w:rFonts w:ascii="Roboto" w:hAnsi="Roboto" w:cs="Arial"/>
          <w:b/>
          <w:sz w:val="22"/>
          <w:szCs w:val="22"/>
        </w:rPr>
      </w:pPr>
      <w:r w:rsidRPr="006453BA">
        <w:rPr>
          <w:rFonts w:ascii="Roboto" w:hAnsi="Roboto" w:cs="Arial"/>
          <w:b/>
          <w:sz w:val="22"/>
          <w:szCs w:val="22"/>
        </w:rPr>
        <w:t>D.- Derogar la periodicidad, contenido y medios de remisión de los siguientes anexos:</w:t>
      </w:r>
    </w:p>
    <w:p w14:paraId="309571FA" w14:textId="2589C121" w:rsidR="006453BA" w:rsidRPr="006453BA" w:rsidRDefault="006453BA" w:rsidP="006453BA">
      <w:pPr>
        <w:pStyle w:val="Prrafodelista"/>
        <w:numPr>
          <w:ilvl w:val="0"/>
          <w:numId w:val="13"/>
        </w:numPr>
        <w:tabs>
          <w:tab w:val="center" w:pos="4419"/>
        </w:tabs>
        <w:spacing w:after="0" w:line="240" w:lineRule="auto"/>
        <w:ind w:left="1701"/>
        <w:jc w:val="both"/>
        <w:rPr>
          <w:rFonts w:ascii="Roboto" w:eastAsia="Calibri" w:hAnsi="Roboto" w:cs="Arial"/>
          <w:i/>
          <w:iCs/>
          <w:lang w:val="es-CR"/>
        </w:rPr>
      </w:pPr>
      <w:r w:rsidRPr="006453BA">
        <w:rPr>
          <w:rFonts w:ascii="Roboto" w:eastAsia="Calibri" w:hAnsi="Roboto" w:cs="Arial"/>
          <w:i/>
          <w:iCs/>
          <w:lang w:val="es-CR"/>
        </w:rPr>
        <w:t>Anexo 44. Informe de participaciones significativas [</w:t>
      </w:r>
      <w:r w:rsidRPr="006453BA">
        <w:rPr>
          <w:rFonts w:ascii="Roboto" w:eastAsia="Calibri" w:hAnsi="Roboto" w:cs="Arial"/>
          <w:bCs/>
          <w:i/>
          <w:iCs/>
          <w:lang w:val="es-CR"/>
        </w:rPr>
        <w:t>Derogado]</w:t>
      </w:r>
    </w:p>
    <w:p w14:paraId="70424D9F" w14:textId="77777777" w:rsidR="006453BA" w:rsidRPr="006453BA" w:rsidRDefault="006453BA" w:rsidP="006453BA">
      <w:pPr>
        <w:pStyle w:val="Prrafodelista"/>
        <w:numPr>
          <w:ilvl w:val="0"/>
          <w:numId w:val="13"/>
        </w:numPr>
        <w:tabs>
          <w:tab w:val="center" w:pos="4419"/>
        </w:tabs>
        <w:spacing w:after="0" w:line="240" w:lineRule="auto"/>
        <w:ind w:left="1701"/>
        <w:jc w:val="both"/>
        <w:rPr>
          <w:rFonts w:ascii="Roboto" w:eastAsia="Calibri" w:hAnsi="Roboto" w:cs="Arial"/>
          <w:i/>
          <w:iCs/>
        </w:rPr>
      </w:pPr>
      <w:r w:rsidRPr="006453BA">
        <w:rPr>
          <w:rFonts w:ascii="Roboto" w:eastAsia="Calibri" w:hAnsi="Roboto" w:cs="Arial"/>
          <w:i/>
          <w:iCs/>
          <w:lang w:val="es-CR"/>
        </w:rPr>
        <w:t xml:space="preserve">Anexo 48. Información sobre Ofertas y Transacciones. </w:t>
      </w:r>
      <w:r w:rsidRPr="006453BA">
        <w:rPr>
          <w:rFonts w:ascii="Roboto" w:eastAsia="Calibri" w:hAnsi="Roboto" w:cs="Arial"/>
          <w:bCs/>
          <w:i/>
          <w:iCs/>
        </w:rPr>
        <w:t>[Derogado]</w:t>
      </w:r>
    </w:p>
    <w:p w14:paraId="3AA8C9BE" w14:textId="77777777" w:rsidR="006453BA" w:rsidRPr="006453BA" w:rsidRDefault="006453BA" w:rsidP="006453BA">
      <w:pPr>
        <w:pStyle w:val="Prrafodelista"/>
        <w:numPr>
          <w:ilvl w:val="0"/>
          <w:numId w:val="13"/>
        </w:numPr>
        <w:tabs>
          <w:tab w:val="center" w:pos="4419"/>
        </w:tabs>
        <w:spacing w:after="0" w:line="240" w:lineRule="auto"/>
        <w:ind w:left="1701"/>
        <w:jc w:val="both"/>
        <w:rPr>
          <w:rFonts w:ascii="Roboto" w:eastAsia="Calibri" w:hAnsi="Roboto" w:cs="Arial"/>
          <w:i/>
          <w:iCs/>
          <w:lang w:val="es-CR"/>
        </w:rPr>
      </w:pPr>
      <w:r w:rsidRPr="006453BA">
        <w:rPr>
          <w:rFonts w:ascii="Roboto" w:eastAsia="Calibri" w:hAnsi="Roboto" w:cs="Arial"/>
          <w:i/>
          <w:iCs/>
          <w:lang w:val="es-CR"/>
        </w:rPr>
        <w:t xml:space="preserve">Anexo 37. Reporte trimestral de inversiones en títulos internacionales </w:t>
      </w:r>
      <w:r w:rsidRPr="006453BA">
        <w:rPr>
          <w:rFonts w:ascii="Roboto" w:eastAsia="Calibri" w:hAnsi="Roboto" w:cs="Arial"/>
          <w:bCs/>
          <w:i/>
          <w:iCs/>
          <w:lang w:val="es-CR"/>
        </w:rPr>
        <w:t>[Derogado]</w:t>
      </w:r>
    </w:p>
    <w:p w14:paraId="785056F6" w14:textId="77777777" w:rsidR="006453BA" w:rsidRPr="006453BA" w:rsidRDefault="006453BA" w:rsidP="006453BA">
      <w:pPr>
        <w:rPr>
          <w:rFonts w:ascii="Roboto" w:hAnsi="Roboto" w:cs="Arial"/>
          <w:sz w:val="22"/>
          <w:szCs w:val="22"/>
        </w:rPr>
      </w:pPr>
      <w:r w:rsidRPr="006453BA">
        <w:rPr>
          <w:rFonts w:ascii="Roboto" w:hAnsi="Roboto" w:cs="Arial"/>
          <w:sz w:val="22"/>
          <w:szCs w:val="22"/>
        </w:rPr>
        <w:tab/>
      </w:r>
    </w:p>
    <w:p w14:paraId="2823BF69" w14:textId="77777777" w:rsidR="00CE3F5C" w:rsidRDefault="006453BA" w:rsidP="00CE3F5C">
      <w:pPr>
        <w:rPr>
          <w:rFonts w:ascii="Roboto" w:hAnsi="Roboto" w:cs="Arial"/>
          <w:sz w:val="22"/>
          <w:szCs w:val="22"/>
        </w:rPr>
      </w:pPr>
      <w:r w:rsidRPr="006453BA">
        <w:rPr>
          <w:rFonts w:ascii="Roboto" w:hAnsi="Roboto" w:cs="Arial"/>
          <w:sz w:val="22"/>
          <w:szCs w:val="22"/>
        </w:rPr>
        <w:t>Rige a partir de su comunicación</w:t>
      </w:r>
    </w:p>
    <w:p w14:paraId="19DB2356" w14:textId="77777777" w:rsidR="00CE3F5C" w:rsidRDefault="00CE3F5C" w:rsidP="00CE3F5C">
      <w:pPr>
        <w:rPr>
          <w:rFonts w:ascii="Roboto" w:hAnsi="Roboto" w:cs="Arial"/>
          <w:sz w:val="22"/>
          <w:szCs w:val="22"/>
        </w:rPr>
      </w:pPr>
    </w:p>
    <w:p w14:paraId="4345A034" w14:textId="133EBC77" w:rsidR="006453BA" w:rsidRDefault="004F2251" w:rsidP="00CE3F5C">
      <w:pPr>
        <w:rPr>
          <w:rFonts w:ascii="Roboto" w:hAnsi="Roboto" w:cs="Arial"/>
          <w:sz w:val="22"/>
          <w:szCs w:val="22"/>
        </w:rPr>
      </w:pPr>
      <w:r w:rsidRPr="006453BA">
        <w:rPr>
          <w:rFonts w:ascii="Roboto" w:hAnsi="Roboto" w:cs="Arial"/>
          <w:sz w:val="22"/>
          <w:szCs w:val="22"/>
        </w:rPr>
        <w:tab/>
      </w:r>
    </w:p>
    <w:sectPr w:rsidR="006453BA" w:rsidSect="00CB2DE9">
      <w:headerReference w:type="default" r:id="rId17"/>
      <w:footerReference w:type="default" r:id="rId18"/>
      <w:headerReference w:type="first" r:id="rId19"/>
      <w:footerReference w:type="first" r:id="rId20"/>
      <w:pgSz w:w="12242" w:h="15842" w:code="1"/>
      <w:pgMar w:top="2361" w:right="1797" w:bottom="1440" w:left="1797" w:header="709" w:footer="40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37386" w14:textId="77777777" w:rsidR="00DF2F11" w:rsidRDefault="00DF2F11">
      <w:r>
        <w:separator/>
      </w:r>
    </w:p>
  </w:endnote>
  <w:endnote w:type="continuationSeparator" w:id="0">
    <w:p w14:paraId="0C138D68" w14:textId="77777777" w:rsidR="00DF2F11" w:rsidRDefault="00DF2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47073" w14:textId="58DE69A6" w:rsidR="00C20EC5" w:rsidRDefault="00C20EC5" w:rsidP="00C20EC5">
    <w:pPr>
      <w:pStyle w:val="Piedepgina"/>
      <w:tabs>
        <w:tab w:val="right" w:pos="9498"/>
      </w:tabs>
      <w:ind w:left="-993" w:right="-999"/>
      <w:jc w:val="right"/>
      <w:rPr>
        <w:rFonts w:ascii="Arial" w:hAnsi="Arial" w:cs="Arial"/>
        <w:color w:val="204775"/>
        <w:sz w:val="20"/>
      </w:rPr>
    </w:pPr>
    <w:r>
      <w:rPr>
        <w:rFonts w:ascii="Arial" w:hAnsi="Arial" w:cs="Arial"/>
        <w:color w:val="204775"/>
        <w:sz w:val="20"/>
      </w:rPr>
      <w:t>_______________________________________________________________________________________________</w:t>
    </w:r>
  </w:p>
  <w:p w14:paraId="38BADA13" w14:textId="77777777" w:rsidR="00C20EC5" w:rsidRPr="00097CFB" w:rsidRDefault="00C20EC5" w:rsidP="00C20EC5">
    <w:pPr>
      <w:pStyle w:val="Piedepgina"/>
      <w:tabs>
        <w:tab w:val="right" w:pos="9498"/>
      </w:tabs>
      <w:ind w:left="-993" w:right="-999"/>
      <w:jc w:val="right"/>
      <w:rPr>
        <w:rFonts w:ascii="Arial" w:hAnsi="Arial" w:cs="Arial"/>
        <w:color w:val="204775"/>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A67D4" w14:textId="1CD11FDF" w:rsidR="00CB2DE9" w:rsidRDefault="00DB65C8" w:rsidP="00CB2DE9">
    <w:pPr>
      <w:pStyle w:val="Piedepgina"/>
      <w:tabs>
        <w:tab w:val="right" w:pos="9498"/>
      </w:tabs>
      <w:ind w:left="-993" w:right="-999"/>
      <w:jc w:val="right"/>
      <w:rPr>
        <w:rFonts w:ascii="Arial" w:hAnsi="Arial" w:cs="Arial"/>
        <w:color w:val="204775"/>
        <w:sz w:val="20"/>
      </w:rPr>
    </w:pPr>
    <w:r>
      <w:rPr>
        <w:rFonts w:ascii="Arial" w:hAnsi="Arial" w:cs="Arial"/>
        <w:noProof/>
        <w:color w:val="204775"/>
        <w:sz w:val="20"/>
      </w:rPr>
      <mc:AlternateContent>
        <mc:Choice Requires="wps">
          <w:drawing>
            <wp:anchor distT="0" distB="0" distL="114300" distR="114300" simplePos="0" relativeHeight="251661312" behindDoc="0" locked="0" layoutInCell="0" allowOverlap="1" wp14:anchorId="1DC07951" wp14:editId="72BECE01">
              <wp:simplePos x="0" y="0"/>
              <wp:positionH relativeFrom="page">
                <wp:posOffset>0</wp:posOffset>
              </wp:positionH>
              <wp:positionV relativeFrom="page">
                <wp:posOffset>9596120</wp:posOffset>
              </wp:positionV>
              <wp:extent cx="7773670" cy="273050"/>
              <wp:effectExtent l="0" t="0" r="0" b="12700"/>
              <wp:wrapNone/>
              <wp:docPr id="2" name="MSIPCMe3524c19b5f0dca86639cb19"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367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EB6B9A" w14:textId="21D6CFE9" w:rsidR="00DB65C8" w:rsidRPr="009D6A39" w:rsidRDefault="007E24B6" w:rsidP="009D6A39">
                          <w:pPr>
                            <w:jc w:val="center"/>
                            <w:rPr>
                              <w:rFonts w:ascii="Calibri" w:hAnsi="Calibri" w:cs="Calibri"/>
                              <w:color w:val="000000"/>
                              <w:sz w:val="20"/>
                            </w:rPr>
                          </w:pPr>
                          <w:r>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DC07951" id="_x0000_t202" coordsize="21600,21600" o:spt="202" path="m,l,21600r21600,l21600,xe">
              <v:stroke joinstyle="miter"/>
              <v:path gradientshapeok="t" o:connecttype="rect"/>
            </v:shapetype>
            <v:shape id="MSIPCMe3524c19b5f0dca86639cb19" o:spid="_x0000_s1026" type="#_x0000_t202" alt="{&quot;HashCode&quot;:1186230005,&quot;Height&quot;:792.0,&quot;Width&quot;:612.0,&quot;Placement&quot;:&quot;Footer&quot;,&quot;Index&quot;:&quot;FirstPage&quot;,&quot;Section&quot;:1,&quot;Top&quot;:0.0,&quot;Left&quot;:0.0}" style="position:absolute;left:0;text-align:left;margin-left:0;margin-top:755.6pt;width:612.1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" o:allowincell="f" filled="f" stroked="f" strokeweight=".5pt">
              <v:textbox inset=",0,,0">
                <w:txbxContent>
                  <w:p w14:paraId="05EB6B9A" w14:textId="21D6CFE9" w:rsidR="00DB65C8" w:rsidRPr="009D6A39" w:rsidRDefault="007E24B6" w:rsidP="009D6A39">
                    <w:pPr>
                      <w:jc w:val="center"/>
                      <w:rPr>
                        <w:rFonts w:ascii="Calibri" w:hAnsi="Calibri" w:cs="Calibri"/>
                        <w:color w:val="000000"/>
                        <w:sz w:val="20"/>
                      </w:rPr>
                    </w:pPr>
                    <w:r>
                      <w:rPr>
                        <w:rFonts w:ascii="Calibri" w:hAnsi="Calibri" w:cs="Calibri"/>
                        <w:color w:val="000000"/>
                        <w:sz w:val="20"/>
                      </w:rPr>
                      <w:t>Uso Interno</w:t>
                    </w:r>
                  </w:p>
                </w:txbxContent>
              </v:textbox>
              <w10:wrap anchorx="page" anchory="page"/>
            </v:shape>
          </w:pict>
        </mc:Fallback>
      </mc:AlternateContent>
    </w:r>
    <w:r w:rsidR="00CB2DE9">
      <w:rPr>
        <w:rFonts w:ascii="Arial" w:hAnsi="Arial" w:cs="Arial"/>
        <w:color w:val="204775"/>
        <w:sz w:val="20"/>
      </w:rPr>
      <w:t>_______________________________________________________________________________________________</w:t>
    </w:r>
  </w:p>
  <w:p w14:paraId="035E2E93" w14:textId="77777777" w:rsidR="00CB2DE9" w:rsidRPr="00097CFB" w:rsidRDefault="00CB2DE9" w:rsidP="00CB2DE9">
    <w:pPr>
      <w:pStyle w:val="Piedepgina"/>
      <w:tabs>
        <w:tab w:val="right" w:pos="9498"/>
      </w:tabs>
      <w:ind w:left="-993" w:right="-999"/>
      <w:jc w:val="right"/>
      <w:rPr>
        <w:rFonts w:ascii="Arial" w:hAnsi="Arial" w:cs="Arial"/>
        <w:color w:val="204775"/>
        <w:sz w:val="20"/>
      </w:rPr>
    </w:pPr>
  </w:p>
  <w:p w14:paraId="4F2D68EF" w14:textId="77777777" w:rsidR="00CB2DE9" w:rsidRPr="00142EDC" w:rsidRDefault="00CB2DE9" w:rsidP="00CB2DE9">
    <w:pPr>
      <w:pStyle w:val="Piedepgina"/>
      <w:tabs>
        <w:tab w:val="right" w:pos="9498"/>
      </w:tabs>
      <w:ind w:left="-993" w:right="-999"/>
      <w:jc w:val="right"/>
      <w:rPr>
        <w:rFonts w:ascii="Roboto" w:hAnsi="Roboto" w:cs="Arial"/>
        <w:sz w:val="20"/>
      </w:rPr>
    </w:pPr>
    <w:r w:rsidRPr="00142EDC">
      <w:rPr>
        <w:rFonts w:ascii="Roboto" w:hAnsi="Roboto" w:cs="Arial"/>
        <w:sz w:val="20"/>
      </w:rPr>
      <w:t>Teléfono (506) 2243-4600    Fax (506) 2243-4646</w:t>
    </w:r>
  </w:p>
  <w:p w14:paraId="1C1F871F" w14:textId="77777777" w:rsidR="00CB2DE9" w:rsidRPr="00142EDC" w:rsidRDefault="00CB2DE9" w:rsidP="00CB2DE9">
    <w:pPr>
      <w:pStyle w:val="Piedepgina"/>
      <w:tabs>
        <w:tab w:val="right" w:pos="9498"/>
      </w:tabs>
      <w:ind w:left="-993" w:right="-999"/>
      <w:jc w:val="right"/>
      <w:rPr>
        <w:rFonts w:ascii="Roboto" w:hAnsi="Roboto" w:cs="Arial"/>
        <w:sz w:val="20"/>
      </w:rPr>
    </w:pPr>
    <w:r w:rsidRPr="00142EDC">
      <w:rPr>
        <w:rFonts w:ascii="Roboto" w:hAnsi="Roboto" w:cs="Arial"/>
        <w:sz w:val="20"/>
      </w:rPr>
      <w:t>Dirección: Edificio ODM del BCCR, Barrio Tournón, Piso 6</w:t>
    </w:r>
  </w:p>
  <w:p w14:paraId="21EE40AD" w14:textId="008F7221" w:rsidR="00CB2DE9" w:rsidRPr="00A80359" w:rsidRDefault="00CB2DE9" w:rsidP="00CB2DE9">
    <w:pPr>
      <w:pStyle w:val="Piedepgina"/>
      <w:ind w:right="-991"/>
      <w:jc w:val="right"/>
      <w:rPr>
        <w:rFonts w:ascii="Roboto" w:hAnsi="Roboto"/>
        <w:sz w:val="22"/>
        <w:szCs w:val="22"/>
      </w:rPr>
    </w:pPr>
    <w:hyperlink r:id="rId1" w:history="1">
      <w:r w:rsidRPr="00142EDC">
        <w:rPr>
          <w:rStyle w:val="Hipervnculo"/>
          <w:rFonts w:ascii="Roboto" w:hAnsi="Roboto" w:cs="Arial"/>
          <w:sz w:val="20"/>
        </w:rPr>
        <w:t>correo@sugeval.fi.cr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2E300" w14:textId="77777777" w:rsidR="00DF2F11" w:rsidRDefault="00DF2F11">
      <w:r>
        <w:separator/>
      </w:r>
    </w:p>
  </w:footnote>
  <w:footnote w:type="continuationSeparator" w:id="0">
    <w:p w14:paraId="40B9A6B6" w14:textId="77777777" w:rsidR="00DF2F11" w:rsidRDefault="00DF2F11">
      <w:r>
        <w:continuationSeparator/>
      </w:r>
    </w:p>
  </w:footnote>
  <w:footnote w:id="1">
    <w:p w14:paraId="2FB88D71" w14:textId="4FC6FAE2" w:rsidR="00867AEA" w:rsidRPr="00A94820" w:rsidRDefault="00867AEA" w:rsidP="006F6D5E">
      <w:pPr>
        <w:pStyle w:val="Textonotapie"/>
        <w:jc w:val="both"/>
        <w:rPr>
          <w:rFonts w:ascii="Roboto" w:hAnsi="Roboto" w:cs="Arial"/>
          <w:bCs/>
        </w:rPr>
      </w:pPr>
      <w:r>
        <w:rPr>
          <w:rStyle w:val="Refdenotaalpie"/>
        </w:rPr>
        <w:footnoteRef/>
      </w:r>
      <w:r>
        <w:t xml:space="preserve"> </w:t>
      </w:r>
      <w:r w:rsidRPr="00131B92">
        <w:rPr>
          <w:rFonts w:ascii="Roboto" w:hAnsi="Roboto" w:cs="Arial"/>
          <w:bCs/>
        </w:rPr>
        <w:t xml:space="preserve">Superintendencia General de Valores. Despacho del </w:t>
      </w:r>
      <w:r>
        <w:rPr>
          <w:rFonts w:ascii="Roboto" w:hAnsi="Roboto" w:cs="Arial"/>
          <w:bCs/>
        </w:rPr>
        <w:t>I</w:t>
      </w:r>
      <w:r w:rsidRPr="00131B92">
        <w:rPr>
          <w:rFonts w:ascii="Roboto" w:hAnsi="Roboto" w:cs="Arial"/>
          <w:bCs/>
        </w:rPr>
        <w:t xml:space="preserve">ntendente. A las </w:t>
      </w:r>
      <w:r>
        <w:rPr>
          <w:rFonts w:ascii="Roboto" w:hAnsi="Roboto" w:cs="Arial"/>
          <w:bCs/>
        </w:rPr>
        <w:t xml:space="preserve">trece </w:t>
      </w:r>
      <w:r w:rsidRPr="00131B92">
        <w:rPr>
          <w:rFonts w:ascii="Roboto" w:hAnsi="Roboto" w:cs="Arial"/>
          <w:bCs/>
        </w:rPr>
        <w:t xml:space="preserve">horas del </w:t>
      </w:r>
      <w:r>
        <w:rPr>
          <w:rFonts w:ascii="Roboto" w:hAnsi="Roboto" w:cs="Arial"/>
          <w:bCs/>
        </w:rPr>
        <w:t>veintiocho</w:t>
      </w:r>
      <w:r w:rsidRPr="00131B92">
        <w:rPr>
          <w:rFonts w:ascii="Roboto" w:hAnsi="Roboto" w:cs="Arial"/>
          <w:bCs/>
        </w:rPr>
        <w:t xml:space="preserve"> de</w:t>
      </w:r>
      <w:r>
        <w:rPr>
          <w:rFonts w:ascii="Roboto" w:hAnsi="Roboto" w:cs="Arial"/>
          <w:bCs/>
        </w:rPr>
        <w:t xml:space="preserve"> marzo</w:t>
      </w:r>
      <w:r w:rsidRPr="00131B92">
        <w:rPr>
          <w:rFonts w:ascii="Roboto" w:hAnsi="Roboto" w:cs="Arial"/>
          <w:bCs/>
        </w:rPr>
        <w:t xml:space="preserve"> del </w:t>
      </w:r>
      <w:r>
        <w:rPr>
          <w:rFonts w:ascii="Roboto" w:hAnsi="Roboto" w:cs="Arial"/>
          <w:bCs/>
        </w:rPr>
        <w:t xml:space="preserve">dos mil veinticinco. Rige a partir </w:t>
      </w:r>
      <w:r w:rsidR="00247B6D">
        <w:rPr>
          <w:rFonts w:ascii="Roboto" w:hAnsi="Roboto" w:cs="Arial"/>
          <w:bCs/>
        </w:rPr>
        <w:t>del 1 de abril del 2025.</w:t>
      </w:r>
      <w:r w:rsidR="00A94820">
        <w:rPr>
          <w:rFonts w:ascii="Roboto" w:hAnsi="Roboto" w:cs="Arial"/>
          <w:bCs/>
        </w:rPr>
        <w:t xml:space="preserve"> </w:t>
      </w:r>
      <w:r w:rsidR="00A94820" w:rsidRPr="00A94820">
        <w:rPr>
          <w:rFonts w:ascii="Roboto" w:hAnsi="Roboto" w:cs="Arial"/>
          <w:bCs/>
        </w:rPr>
        <w:t>Publicado en el Diario Oficial La Gaceta del 2 de mayo del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10CE0" w14:textId="1DCC4AA1" w:rsidR="00C20EC5" w:rsidRDefault="00AF2814" w:rsidP="00C20EC5">
    <w:pPr>
      <w:pStyle w:val="Encabezado"/>
      <w:jc w:val="center"/>
      <w:rPr>
        <w:rFonts w:ascii="Arial" w:hAnsi="Arial" w:cs="Arial"/>
        <w:i/>
        <w:sz w:val="22"/>
        <w:szCs w:val="22"/>
      </w:rPr>
    </w:pPr>
    <w:r>
      <w:rPr>
        <w:noProof/>
      </w:rPr>
      <w:drawing>
        <wp:anchor distT="0" distB="0" distL="114300" distR="114300" simplePos="0" relativeHeight="251667456" behindDoc="1" locked="0" layoutInCell="1" allowOverlap="1" wp14:anchorId="4157C759" wp14:editId="217DC0BF">
          <wp:simplePos x="0" y="0"/>
          <wp:positionH relativeFrom="column">
            <wp:posOffset>-1064279</wp:posOffset>
          </wp:positionH>
          <wp:positionV relativeFrom="paragraph">
            <wp:posOffset>-430126</wp:posOffset>
          </wp:positionV>
          <wp:extent cx="7703127" cy="70814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7703127" cy="708140"/>
                  </a:xfrm>
                  <a:prstGeom prst="rect">
                    <a:avLst/>
                  </a:prstGeom>
                </pic:spPr>
              </pic:pic>
            </a:graphicData>
          </a:graphic>
          <wp14:sizeRelH relativeFrom="margin">
            <wp14:pctWidth>0</wp14:pctWidth>
          </wp14:sizeRelH>
          <wp14:sizeRelV relativeFrom="margin">
            <wp14:pctHeight>0</wp14:pctHeight>
          </wp14:sizeRelV>
        </wp:anchor>
      </w:drawing>
    </w:r>
  </w:p>
  <w:p w14:paraId="2A475B8F" w14:textId="77777777" w:rsidR="007D003F" w:rsidRDefault="00CB2E9D" w:rsidP="00EB0DE8">
    <w:pPr>
      <w:autoSpaceDE w:val="0"/>
      <w:autoSpaceDN w:val="0"/>
      <w:adjustRightInd w:val="0"/>
      <w:contextualSpacing/>
      <w:jc w:val="both"/>
      <w:rPr>
        <w:rFonts w:ascii="Roboto" w:hAnsi="Roboto" w:cs="Arial"/>
        <w:sz w:val="18"/>
        <w:szCs w:val="18"/>
      </w:rPr>
    </w:pPr>
    <w:r w:rsidRPr="00A80359">
      <w:rPr>
        <w:rFonts w:ascii="Roboto" w:hAnsi="Roboto" w:cs="Arial"/>
        <w:sz w:val="18"/>
        <w:szCs w:val="18"/>
      </w:rPr>
      <w:t xml:space="preserve">               </w:t>
    </w:r>
  </w:p>
  <w:p w14:paraId="026537DB" w14:textId="77777777" w:rsidR="007D003F" w:rsidRDefault="007D003F" w:rsidP="00EB0DE8">
    <w:pPr>
      <w:autoSpaceDE w:val="0"/>
      <w:autoSpaceDN w:val="0"/>
      <w:adjustRightInd w:val="0"/>
      <w:contextualSpacing/>
      <w:jc w:val="both"/>
      <w:rPr>
        <w:rFonts w:ascii="Roboto" w:hAnsi="Roboto" w:cs="Arial"/>
        <w:sz w:val="18"/>
        <w:szCs w:val="18"/>
      </w:rPr>
    </w:pPr>
  </w:p>
  <w:p w14:paraId="227D183B" w14:textId="7714D206" w:rsidR="00CB2E9D" w:rsidRPr="00A80359" w:rsidRDefault="007D003F" w:rsidP="00AF2814">
    <w:pPr>
      <w:autoSpaceDE w:val="0"/>
      <w:autoSpaceDN w:val="0"/>
      <w:adjustRightInd w:val="0"/>
      <w:contextualSpacing/>
      <w:jc w:val="both"/>
      <w:rPr>
        <w:rFonts w:ascii="Roboto" w:hAnsi="Roboto" w:cs="Arial"/>
        <w:sz w:val="18"/>
        <w:szCs w:val="18"/>
      </w:rPr>
    </w:pPr>
    <w:r>
      <w:rPr>
        <w:rFonts w:ascii="Roboto" w:hAnsi="Roboto" w:cs="Arial"/>
        <w:sz w:val="18"/>
        <w:szCs w:val="18"/>
      </w:rPr>
      <w:t xml:space="preserve">            </w:t>
    </w:r>
    <w:r w:rsidR="00CB2E9D" w:rsidRPr="00A80359">
      <w:rPr>
        <w:rFonts w:ascii="Roboto" w:hAnsi="Roboto" w:cs="Arial"/>
        <w:sz w:val="18"/>
        <w:szCs w:val="18"/>
      </w:rPr>
      <w:t>SGV-</w:t>
    </w:r>
    <w:r w:rsidR="008A5692">
      <w:rPr>
        <w:rFonts w:ascii="Roboto" w:hAnsi="Roboto" w:cs="Arial"/>
        <w:sz w:val="18"/>
        <w:szCs w:val="18"/>
      </w:rPr>
      <w:t>A</w:t>
    </w:r>
    <w:r w:rsidR="001F3093">
      <w:rPr>
        <w:rFonts w:ascii="Roboto" w:hAnsi="Roboto" w:cs="Arial"/>
        <w:sz w:val="18"/>
        <w:szCs w:val="18"/>
      </w:rPr>
      <w:t>-3</w:t>
    </w:r>
    <w:r w:rsidR="008A5692">
      <w:rPr>
        <w:rFonts w:ascii="Roboto" w:hAnsi="Roboto" w:cs="Arial"/>
        <w:sz w:val="18"/>
        <w:szCs w:val="18"/>
      </w:rPr>
      <w:t>-2025</w:t>
    </w:r>
  </w:p>
  <w:p w14:paraId="4514F76C" w14:textId="52DFC996" w:rsidR="00C20EC5" w:rsidRPr="007D003F" w:rsidRDefault="00D33A7F" w:rsidP="00AF2814">
    <w:pPr>
      <w:autoSpaceDE w:val="0"/>
      <w:autoSpaceDN w:val="0"/>
      <w:adjustRightInd w:val="0"/>
      <w:contextualSpacing/>
      <w:jc w:val="both"/>
      <w:rPr>
        <w:rFonts w:ascii="Roboto" w:hAnsi="Roboto" w:cs="Arial"/>
        <w:sz w:val="18"/>
        <w:szCs w:val="18"/>
      </w:rPr>
    </w:pPr>
    <w:r>
      <w:rPr>
        <w:rFonts w:ascii="Arial" w:hAnsi="Arial" w:cs="Arial"/>
        <w:sz w:val="18"/>
        <w:szCs w:val="18"/>
      </w:rPr>
      <w:t xml:space="preserve">           </w:t>
    </w:r>
    <w:r w:rsidRPr="00A80359">
      <w:rPr>
        <w:rFonts w:ascii="Roboto" w:hAnsi="Roboto" w:cs="Arial"/>
        <w:sz w:val="18"/>
        <w:szCs w:val="18"/>
      </w:rPr>
      <w:t xml:space="preserve">Pág. </w:t>
    </w:r>
    <w:r w:rsidRPr="00A80359">
      <w:rPr>
        <w:rFonts w:ascii="Roboto" w:hAnsi="Roboto" w:cs="Arial"/>
        <w:sz w:val="18"/>
        <w:szCs w:val="18"/>
      </w:rPr>
      <w:fldChar w:fldCharType="begin"/>
    </w:r>
    <w:r w:rsidRPr="00A80359">
      <w:rPr>
        <w:rFonts w:ascii="Roboto" w:hAnsi="Roboto" w:cs="Arial"/>
        <w:sz w:val="18"/>
        <w:szCs w:val="18"/>
      </w:rPr>
      <w:instrText>PAGE</w:instrText>
    </w:r>
    <w:r w:rsidRPr="00A80359">
      <w:rPr>
        <w:rFonts w:ascii="Roboto" w:hAnsi="Roboto" w:cs="Arial"/>
        <w:sz w:val="18"/>
        <w:szCs w:val="18"/>
      </w:rPr>
      <w:fldChar w:fldCharType="separate"/>
    </w:r>
    <w:r w:rsidRPr="00A80359">
      <w:rPr>
        <w:rFonts w:ascii="Roboto" w:hAnsi="Roboto" w:cs="Arial"/>
        <w:sz w:val="18"/>
        <w:szCs w:val="18"/>
      </w:rPr>
      <w:t>2</w:t>
    </w:r>
    <w:r w:rsidRPr="00A80359">
      <w:rPr>
        <w:rFonts w:ascii="Roboto" w:hAnsi="Roboto" w:cs="Arial"/>
        <w:sz w:val="18"/>
        <w:szCs w:val="18"/>
      </w:rPr>
      <w:fldChar w:fldCharType="end"/>
    </w:r>
    <w:r w:rsidRPr="00A80359">
      <w:rPr>
        <w:rFonts w:ascii="Roboto" w:hAnsi="Roboto" w:cs="Arial"/>
        <w:sz w:val="18"/>
        <w:szCs w:val="18"/>
      </w:rPr>
      <w:t xml:space="preserve"> de </w:t>
    </w:r>
    <w:r w:rsidRPr="00A80359">
      <w:rPr>
        <w:rFonts w:ascii="Roboto" w:hAnsi="Roboto" w:cs="Arial"/>
        <w:sz w:val="18"/>
        <w:szCs w:val="18"/>
      </w:rPr>
      <w:fldChar w:fldCharType="begin"/>
    </w:r>
    <w:r w:rsidRPr="00A80359">
      <w:rPr>
        <w:rFonts w:ascii="Roboto" w:hAnsi="Roboto" w:cs="Arial"/>
        <w:sz w:val="18"/>
        <w:szCs w:val="18"/>
      </w:rPr>
      <w:instrText>NUMPAGES</w:instrText>
    </w:r>
    <w:r w:rsidRPr="00A80359">
      <w:rPr>
        <w:rFonts w:ascii="Roboto" w:hAnsi="Roboto" w:cs="Arial"/>
        <w:sz w:val="18"/>
        <w:szCs w:val="18"/>
      </w:rPr>
      <w:fldChar w:fldCharType="separate"/>
    </w:r>
    <w:r w:rsidRPr="00A80359">
      <w:rPr>
        <w:rFonts w:ascii="Roboto" w:hAnsi="Roboto" w:cs="Arial"/>
        <w:sz w:val="18"/>
        <w:szCs w:val="18"/>
      </w:rPr>
      <w:t>2</w:t>
    </w:r>
    <w:r w:rsidRPr="00A80359">
      <w:rPr>
        <w:rFonts w:ascii="Roboto" w:hAnsi="Roboto" w:cs="Arial"/>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36511" w14:textId="3ACF4A70" w:rsidR="00CB2DE9" w:rsidRPr="00AF2814" w:rsidRDefault="00CB2DE9" w:rsidP="00A03584">
    <w:pPr>
      <w:pStyle w:val="Encabezado"/>
      <w:tabs>
        <w:tab w:val="right" w:pos="9214"/>
      </w:tabs>
      <w:ind w:left="-851" w:right="-568"/>
      <w:rPr>
        <w:rFonts w:ascii="Arial" w:hAnsi="Arial" w:cs="Arial"/>
        <w: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482F"/>
    <w:multiLevelType w:val="hybridMultilevel"/>
    <w:tmpl w:val="ADCA9BC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4E32A0C"/>
    <w:multiLevelType w:val="hybridMultilevel"/>
    <w:tmpl w:val="028C2EEA"/>
    <w:lvl w:ilvl="0" w:tplc="0CCC61C8">
      <w:start w:val="1"/>
      <w:numFmt w:val="decimal"/>
      <w:pStyle w:val="Numeracin"/>
      <w:lvlText w:val="%1."/>
      <w:lvlJc w:val="left"/>
      <w:pPr>
        <w:ind w:left="1636" w:hanging="360"/>
      </w:pPr>
      <w:rPr>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 w15:restartNumberingAfterBreak="0">
    <w:nsid w:val="0F5B3F22"/>
    <w:multiLevelType w:val="hybridMultilevel"/>
    <w:tmpl w:val="A3987362"/>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3" w15:restartNumberingAfterBreak="0">
    <w:nsid w:val="1DBF641B"/>
    <w:multiLevelType w:val="hybridMultilevel"/>
    <w:tmpl w:val="057E1BB8"/>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4" w15:restartNumberingAfterBreak="0">
    <w:nsid w:val="286263CC"/>
    <w:multiLevelType w:val="hybridMultilevel"/>
    <w:tmpl w:val="E78EF258"/>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5" w15:restartNumberingAfterBreak="0">
    <w:nsid w:val="2C21213C"/>
    <w:multiLevelType w:val="hybridMultilevel"/>
    <w:tmpl w:val="99A60DB6"/>
    <w:lvl w:ilvl="0" w:tplc="85F81792">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2F0D3E41"/>
    <w:multiLevelType w:val="hybridMultilevel"/>
    <w:tmpl w:val="1E784508"/>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3A853B36"/>
    <w:multiLevelType w:val="hybridMultilevel"/>
    <w:tmpl w:val="A378AF22"/>
    <w:lvl w:ilvl="0" w:tplc="5F4C3FDC">
      <w:start w:val="1"/>
      <w:numFmt w:val="upperRoman"/>
      <w:lvlText w:val="%1."/>
      <w:lvlJc w:val="left"/>
      <w:pPr>
        <w:tabs>
          <w:tab w:val="num" w:pos="180"/>
        </w:tabs>
        <w:ind w:left="180" w:hanging="180"/>
      </w:pPr>
      <w:rPr>
        <w:rFonts w:hint="default"/>
        <w:b w:val="0"/>
        <w:bCs w:val="0"/>
        <w:color w:val="auto"/>
      </w:rPr>
    </w:lvl>
    <w:lvl w:ilvl="1" w:tplc="5C42D710">
      <w:start w:val="1"/>
      <w:numFmt w:val="lowerLetter"/>
      <w:lvlText w:val="%2."/>
      <w:lvlJc w:val="left"/>
      <w:pPr>
        <w:tabs>
          <w:tab w:val="num" w:pos="1440"/>
        </w:tabs>
        <w:ind w:left="1440" w:hanging="360"/>
      </w:pPr>
      <w:rPr>
        <w:rFonts w:hint="default"/>
      </w:rPr>
    </w:lvl>
    <w:lvl w:ilvl="2" w:tplc="88382F8C">
      <w:start w:val="1"/>
      <w:numFmt w:val="decimal"/>
      <w:lvlText w:val="%3"/>
      <w:lvlJc w:val="left"/>
      <w:pPr>
        <w:tabs>
          <w:tab w:val="num" w:pos="2340"/>
        </w:tabs>
        <w:ind w:left="2340" w:hanging="360"/>
      </w:pPr>
      <w:rPr>
        <w:rFonts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E359D2"/>
    <w:multiLevelType w:val="multilevel"/>
    <w:tmpl w:val="82A0C576"/>
    <w:lvl w:ilvl="0">
      <w:start w:val="3"/>
      <w:numFmt w:val="decimal"/>
      <w:lvlText w:val="%1."/>
      <w:lvlJc w:val="left"/>
      <w:pPr>
        <w:tabs>
          <w:tab w:val="num" w:pos="360"/>
        </w:tabs>
        <w:ind w:left="360" w:hanging="360"/>
      </w:pPr>
      <w:rPr>
        <w:rFonts w:hint="default"/>
        <w:b/>
        <w:i w:val="0"/>
        <w:color w:val="FFFFFF"/>
        <w:sz w:val="4"/>
        <w:szCs w:val="4"/>
      </w:rPr>
    </w:lvl>
    <w:lvl w:ilvl="1">
      <w:start w:val="1"/>
      <w:numFmt w:val="decimal"/>
      <w:lvlText w:val="%1.%2."/>
      <w:lvlJc w:val="left"/>
      <w:pPr>
        <w:tabs>
          <w:tab w:val="num" w:pos="792"/>
        </w:tabs>
        <w:ind w:left="792" w:hanging="432"/>
      </w:pPr>
      <w:rPr>
        <w:rFonts w:hint="default"/>
        <w:b w:val="0"/>
        <w:i w:val="0"/>
        <w:sz w:val="22"/>
        <w:szCs w:val="16"/>
      </w:rPr>
    </w:lvl>
    <w:lvl w:ilvl="2">
      <w:start w:val="1"/>
      <w:numFmt w:val="decimal"/>
      <w:lvlText w:val="%1.%2.%3."/>
      <w:lvlJc w:val="left"/>
      <w:pPr>
        <w:tabs>
          <w:tab w:val="num" w:pos="1224"/>
        </w:tabs>
        <w:ind w:left="1224" w:hanging="504"/>
      </w:pPr>
      <w:rPr>
        <w:rFonts w:hint="default"/>
        <w:b w:val="0"/>
        <w:i w:val="0"/>
      </w:rPr>
    </w:lvl>
    <w:lvl w:ilvl="3">
      <w:start w:val="1"/>
      <w:numFmt w:val="decimal"/>
      <w:lvlText w:val="%1.%2.%3.%4."/>
      <w:lvlJc w:val="left"/>
      <w:pPr>
        <w:tabs>
          <w:tab w:val="num" w:pos="1728"/>
        </w:tabs>
        <w:ind w:left="1728" w:hanging="648"/>
      </w:pPr>
      <w:rPr>
        <w:rFonts w:hint="default"/>
        <w:b w:val="0"/>
      </w:rPr>
    </w:lvl>
    <w:lvl w:ilvl="4">
      <w:start w:val="1"/>
      <w:numFmt w:val="decimal"/>
      <w:lvlText w:val="%1.%2.%3.%4.%5."/>
      <w:lvlJc w:val="left"/>
      <w:pPr>
        <w:tabs>
          <w:tab w:val="num" w:pos="2232"/>
        </w:tabs>
        <w:ind w:left="2232" w:hanging="792"/>
      </w:pPr>
      <w:rPr>
        <w:rFonts w:hint="default"/>
        <w:b w:val="0"/>
      </w:rPr>
    </w:lvl>
    <w:lvl w:ilvl="5">
      <w:start w:val="1"/>
      <w:numFmt w:val="decimal"/>
      <w:lvlText w:val="%1.%2.%3.%4.%5.%6."/>
      <w:lvlJc w:val="left"/>
      <w:pPr>
        <w:tabs>
          <w:tab w:val="num" w:pos="2736"/>
        </w:tabs>
        <w:ind w:left="2736" w:hanging="936"/>
      </w:pPr>
      <w:rPr>
        <w:rFonts w:hint="default"/>
        <w:b w:val="0"/>
      </w:rPr>
    </w:lvl>
    <w:lvl w:ilvl="6">
      <w:start w:val="1"/>
      <w:numFmt w:val="decimal"/>
      <w:lvlText w:val="%1.%2.%3.%4.%5.%6.%7."/>
      <w:lvlJc w:val="left"/>
      <w:pPr>
        <w:tabs>
          <w:tab w:val="num" w:pos="3240"/>
        </w:tabs>
        <w:ind w:left="3240" w:hanging="1080"/>
      </w:pPr>
      <w:rPr>
        <w:rFonts w:hint="default"/>
        <w:b w:val="0"/>
      </w:rPr>
    </w:lvl>
    <w:lvl w:ilvl="7">
      <w:start w:val="1"/>
      <w:numFmt w:val="decimal"/>
      <w:lvlText w:val="%1.%2.%3.%4.%5.%6.%7.%8."/>
      <w:lvlJc w:val="left"/>
      <w:pPr>
        <w:tabs>
          <w:tab w:val="num" w:pos="3744"/>
        </w:tabs>
        <w:ind w:left="3744" w:hanging="1224"/>
      </w:pPr>
      <w:rPr>
        <w:rFonts w:hint="default"/>
        <w:b w:val="0"/>
      </w:rPr>
    </w:lvl>
    <w:lvl w:ilvl="8">
      <w:start w:val="1"/>
      <w:numFmt w:val="decimal"/>
      <w:lvlText w:val="%1.%2.%3.%4.%5.%6.%7.%8.%9."/>
      <w:lvlJc w:val="left"/>
      <w:pPr>
        <w:tabs>
          <w:tab w:val="num" w:pos="4320"/>
        </w:tabs>
        <w:ind w:left="4320" w:hanging="1440"/>
      </w:pPr>
      <w:rPr>
        <w:rFonts w:hint="default"/>
        <w:b w:val="0"/>
      </w:rPr>
    </w:lvl>
  </w:abstractNum>
  <w:abstractNum w:abstractNumId="9" w15:restartNumberingAfterBreak="0">
    <w:nsid w:val="475F48D4"/>
    <w:multiLevelType w:val="hybridMultilevel"/>
    <w:tmpl w:val="019C09DE"/>
    <w:lvl w:ilvl="0" w:tplc="140A0013">
      <w:start w:val="1"/>
      <w:numFmt w:val="upperRoman"/>
      <w:lvlText w:val="%1."/>
      <w:lvlJc w:val="right"/>
      <w:pPr>
        <w:tabs>
          <w:tab w:val="num" w:pos="1080"/>
        </w:tabs>
        <w:ind w:left="1080" w:hanging="720"/>
      </w:pPr>
      <w:rPr>
        <w:rFonts w:hint="default"/>
        <w:b/>
      </w:rPr>
    </w:lvl>
    <w:lvl w:ilvl="1" w:tplc="140A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09D6722"/>
    <w:multiLevelType w:val="hybridMultilevel"/>
    <w:tmpl w:val="BB52A874"/>
    <w:lvl w:ilvl="0" w:tplc="AB822032">
      <w:start w:val="1"/>
      <w:numFmt w:val="decimal"/>
      <w:lvlText w:val="%1."/>
      <w:lvlJc w:val="left"/>
      <w:pPr>
        <w:ind w:left="786" w:hanging="360"/>
      </w:pPr>
      <w:rPr>
        <w:rFonts w:hint="default"/>
        <w:b w:val="0"/>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664C34B7"/>
    <w:multiLevelType w:val="hybridMultilevel"/>
    <w:tmpl w:val="BF5A9B36"/>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2" w15:restartNumberingAfterBreak="0">
    <w:nsid w:val="6AAC087D"/>
    <w:multiLevelType w:val="hybridMultilevel"/>
    <w:tmpl w:val="C1BE5262"/>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13" w15:restartNumberingAfterBreak="0">
    <w:nsid w:val="6AD41E7A"/>
    <w:multiLevelType w:val="hybridMultilevel"/>
    <w:tmpl w:val="3BE2AA3A"/>
    <w:lvl w:ilvl="0" w:tplc="745C6D8C">
      <w:start w:val="1"/>
      <w:numFmt w:val="upperRoman"/>
      <w:lvlText w:val="%1."/>
      <w:lvlJc w:val="left"/>
      <w:pPr>
        <w:ind w:left="1080" w:hanging="72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550927129">
    <w:abstractNumId w:val="9"/>
  </w:num>
  <w:num w:numId="2" w16cid:durableId="96755781">
    <w:abstractNumId w:val="5"/>
  </w:num>
  <w:num w:numId="3" w16cid:durableId="1832603591">
    <w:abstractNumId w:val="13"/>
  </w:num>
  <w:num w:numId="4" w16cid:durableId="488063643">
    <w:abstractNumId w:val="12"/>
  </w:num>
  <w:num w:numId="5" w16cid:durableId="635140846">
    <w:abstractNumId w:val="2"/>
  </w:num>
  <w:num w:numId="6" w16cid:durableId="178011935">
    <w:abstractNumId w:val="4"/>
  </w:num>
  <w:num w:numId="7" w16cid:durableId="1876697737">
    <w:abstractNumId w:val="3"/>
  </w:num>
  <w:num w:numId="8" w16cid:durableId="318852005">
    <w:abstractNumId w:val="0"/>
  </w:num>
  <w:num w:numId="9" w16cid:durableId="663819387">
    <w:abstractNumId w:val="7"/>
  </w:num>
  <w:num w:numId="10" w16cid:durableId="1867131672">
    <w:abstractNumId w:val="10"/>
  </w:num>
  <w:num w:numId="11" w16cid:durableId="1808164648">
    <w:abstractNumId w:val="1"/>
  </w:num>
  <w:num w:numId="12" w16cid:durableId="16275462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674706">
    <w:abstractNumId w:val="6"/>
  </w:num>
  <w:num w:numId="14" w16cid:durableId="909314767">
    <w:abstractNumId w:val="11"/>
  </w:num>
  <w:num w:numId="15" w16cid:durableId="163978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08"/>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E38"/>
    <w:rsid w:val="00014673"/>
    <w:rsid w:val="000356FF"/>
    <w:rsid w:val="00052C17"/>
    <w:rsid w:val="00052EB9"/>
    <w:rsid w:val="00054BD5"/>
    <w:rsid w:val="0006330F"/>
    <w:rsid w:val="000924A5"/>
    <w:rsid w:val="000A2997"/>
    <w:rsid w:val="000A35F7"/>
    <w:rsid w:val="000B3882"/>
    <w:rsid w:val="000D2FBC"/>
    <w:rsid w:val="000D6CE8"/>
    <w:rsid w:val="000D70F8"/>
    <w:rsid w:val="00104F74"/>
    <w:rsid w:val="00105686"/>
    <w:rsid w:val="0011015B"/>
    <w:rsid w:val="00131B92"/>
    <w:rsid w:val="00142EDC"/>
    <w:rsid w:val="00147DD1"/>
    <w:rsid w:val="00185EA8"/>
    <w:rsid w:val="0019266D"/>
    <w:rsid w:val="001D1C7E"/>
    <w:rsid w:val="001D4F62"/>
    <w:rsid w:val="001F3093"/>
    <w:rsid w:val="001F6B07"/>
    <w:rsid w:val="00201A06"/>
    <w:rsid w:val="00237DE9"/>
    <w:rsid w:val="00247B6D"/>
    <w:rsid w:val="00272829"/>
    <w:rsid w:val="002731A3"/>
    <w:rsid w:val="00282E0D"/>
    <w:rsid w:val="002E179D"/>
    <w:rsid w:val="002E5094"/>
    <w:rsid w:val="002F28F7"/>
    <w:rsid w:val="00317F82"/>
    <w:rsid w:val="00321567"/>
    <w:rsid w:val="00321985"/>
    <w:rsid w:val="003418F4"/>
    <w:rsid w:val="00346E57"/>
    <w:rsid w:val="00347B62"/>
    <w:rsid w:val="0035557C"/>
    <w:rsid w:val="00360579"/>
    <w:rsid w:val="00380AE8"/>
    <w:rsid w:val="00384131"/>
    <w:rsid w:val="00384C66"/>
    <w:rsid w:val="00387E52"/>
    <w:rsid w:val="0039334B"/>
    <w:rsid w:val="00394C88"/>
    <w:rsid w:val="00396B8C"/>
    <w:rsid w:val="003A1012"/>
    <w:rsid w:val="003A64DD"/>
    <w:rsid w:val="003C62A3"/>
    <w:rsid w:val="003D2665"/>
    <w:rsid w:val="003D690B"/>
    <w:rsid w:val="003E2D38"/>
    <w:rsid w:val="003F544C"/>
    <w:rsid w:val="00402782"/>
    <w:rsid w:val="00403C78"/>
    <w:rsid w:val="00425BDD"/>
    <w:rsid w:val="00452381"/>
    <w:rsid w:val="00456B92"/>
    <w:rsid w:val="00471431"/>
    <w:rsid w:val="00477574"/>
    <w:rsid w:val="0048488E"/>
    <w:rsid w:val="0049118C"/>
    <w:rsid w:val="00497A67"/>
    <w:rsid w:val="004A6C39"/>
    <w:rsid w:val="004B4891"/>
    <w:rsid w:val="004C2163"/>
    <w:rsid w:val="004F2251"/>
    <w:rsid w:val="004F6B5D"/>
    <w:rsid w:val="00501780"/>
    <w:rsid w:val="0051206C"/>
    <w:rsid w:val="00520477"/>
    <w:rsid w:val="0054081A"/>
    <w:rsid w:val="00550013"/>
    <w:rsid w:val="005536E9"/>
    <w:rsid w:val="00553FC5"/>
    <w:rsid w:val="005836CA"/>
    <w:rsid w:val="00597B93"/>
    <w:rsid w:val="00597F75"/>
    <w:rsid w:val="005B2839"/>
    <w:rsid w:val="005C3D4A"/>
    <w:rsid w:val="005D0073"/>
    <w:rsid w:val="005D5C45"/>
    <w:rsid w:val="006066E1"/>
    <w:rsid w:val="006170CA"/>
    <w:rsid w:val="00640204"/>
    <w:rsid w:val="006453BA"/>
    <w:rsid w:val="00654583"/>
    <w:rsid w:val="00654C87"/>
    <w:rsid w:val="00656C6B"/>
    <w:rsid w:val="00661115"/>
    <w:rsid w:val="00666033"/>
    <w:rsid w:val="00673C6F"/>
    <w:rsid w:val="006757EF"/>
    <w:rsid w:val="006B2AFA"/>
    <w:rsid w:val="006F6D5E"/>
    <w:rsid w:val="00710FDF"/>
    <w:rsid w:val="00740E0F"/>
    <w:rsid w:val="007715FF"/>
    <w:rsid w:val="007A134D"/>
    <w:rsid w:val="007A1854"/>
    <w:rsid w:val="007A2F5E"/>
    <w:rsid w:val="007D003F"/>
    <w:rsid w:val="007E24B6"/>
    <w:rsid w:val="007F2B5B"/>
    <w:rsid w:val="007F7F4E"/>
    <w:rsid w:val="008032E5"/>
    <w:rsid w:val="00803317"/>
    <w:rsid w:val="00806E8F"/>
    <w:rsid w:val="00812ADF"/>
    <w:rsid w:val="00813B81"/>
    <w:rsid w:val="008230EC"/>
    <w:rsid w:val="0083673C"/>
    <w:rsid w:val="008507A5"/>
    <w:rsid w:val="0086412B"/>
    <w:rsid w:val="00867AEA"/>
    <w:rsid w:val="00885D0D"/>
    <w:rsid w:val="00886395"/>
    <w:rsid w:val="008A5692"/>
    <w:rsid w:val="008A60FB"/>
    <w:rsid w:val="008B4AA5"/>
    <w:rsid w:val="008C5513"/>
    <w:rsid w:val="008D2143"/>
    <w:rsid w:val="008D561F"/>
    <w:rsid w:val="008F084A"/>
    <w:rsid w:val="00923DDB"/>
    <w:rsid w:val="009517FC"/>
    <w:rsid w:val="009A1E0C"/>
    <w:rsid w:val="009C26D6"/>
    <w:rsid w:val="009C50CC"/>
    <w:rsid w:val="009D24FC"/>
    <w:rsid w:val="009D6A39"/>
    <w:rsid w:val="009D6E38"/>
    <w:rsid w:val="009F1192"/>
    <w:rsid w:val="00A03584"/>
    <w:rsid w:val="00A127C9"/>
    <w:rsid w:val="00A134E4"/>
    <w:rsid w:val="00A1437E"/>
    <w:rsid w:val="00A26F53"/>
    <w:rsid w:val="00A313BC"/>
    <w:rsid w:val="00A3491F"/>
    <w:rsid w:val="00A35411"/>
    <w:rsid w:val="00A43CC5"/>
    <w:rsid w:val="00A56811"/>
    <w:rsid w:val="00A576C2"/>
    <w:rsid w:val="00A625E8"/>
    <w:rsid w:val="00A72336"/>
    <w:rsid w:val="00A765DF"/>
    <w:rsid w:val="00A80340"/>
    <w:rsid w:val="00A80359"/>
    <w:rsid w:val="00A8144C"/>
    <w:rsid w:val="00A94820"/>
    <w:rsid w:val="00AA7FB0"/>
    <w:rsid w:val="00AB468D"/>
    <w:rsid w:val="00AC258A"/>
    <w:rsid w:val="00AE20D5"/>
    <w:rsid w:val="00AE3ED0"/>
    <w:rsid w:val="00AE72CF"/>
    <w:rsid w:val="00AF2814"/>
    <w:rsid w:val="00AF62BE"/>
    <w:rsid w:val="00AF6C49"/>
    <w:rsid w:val="00B14064"/>
    <w:rsid w:val="00B2011E"/>
    <w:rsid w:val="00B401C2"/>
    <w:rsid w:val="00B53206"/>
    <w:rsid w:val="00B754F8"/>
    <w:rsid w:val="00BA7766"/>
    <w:rsid w:val="00BB034D"/>
    <w:rsid w:val="00BD0403"/>
    <w:rsid w:val="00BD4AEE"/>
    <w:rsid w:val="00BE4A2D"/>
    <w:rsid w:val="00BF645B"/>
    <w:rsid w:val="00C074E1"/>
    <w:rsid w:val="00C20EC5"/>
    <w:rsid w:val="00C305C4"/>
    <w:rsid w:val="00C368EF"/>
    <w:rsid w:val="00C4060B"/>
    <w:rsid w:val="00C4523A"/>
    <w:rsid w:val="00C51B43"/>
    <w:rsid w:val="00C6058A"/>
    <w:rsid w:val="00C8420C"/>
    <w:rsid w:val="00C853B7"/>
    <w:rsid w:val="00CA5AA8"/>
    <w:rsid w:val="00CB244B"/>
    <w:rsid w:val="00CB2DE9"/>
    <w:rsid w:val="00CB2E9D"/>
    <w:rsid w:val="00CB3BA9"/>
    <w:rsid w:val="00CD589E"/>
    <w:rsid w:val="00CE3F5C"/>
    <w:rsid w:val="00D10466"/>
    <w:rsid w:val="00D17348"/>
    <w:rsid w:val="00D33A7F"/>
    <w:rsid w:val="00D40411"/>
    <w:rsid w:val="00D43B60"/>
    <w:rsid w:val="00D4413A"/>
    <w:rsid w:val="00D4580F"/>
    <w:rsid w:val="00D77CEE"/>
    <w:rsid w:val="00D833D2"/>
    <w:rsid w:val="00DB01B7"/>
    <w:rsid w:val="00DB65C8"/>
    <w:rsid w:val="00DD765B"/>
    <w:rsid w:val="00DE32A3"/>
    <w:rsid w:val="00DF1CF2"/>
    <w:rsid w:val="00DF2F11"/>
    <w:rsid w:val="00DF4FEE"/>
    <w:rsid w:val="00E4579E"/>
    <w:rsid w:val="00E55271"/>
    <w:rsid w:val="00E57E39"/>
    <w:rsid w:val="00E60F72"/>
    <w:rsid w:val="00E64680"/>
    <w:rsid w:val="00E677C6"/>
    <w:rsid w:val="00E7065E"/>
    <w:rsid w:val="00E72DF1"/>
    <w:rsid w:val="00E75985"/>
    <w:rsid w:val="00E847B5"/>
    <w:rsid w:val="00EA0A5F"/>
    <w:rsid w:val="00EA50EB"/>
    <w:rsid w:val="00EA7642"/>
    <w:rsid w:val="00EB1CE5"/>
    <w:rsid w:val="00EB2D7B"/>
    <w:rsid w:val="00EB2DC4"/>
    <w:rsid w:val="00EC7111"/>
    <w:rsid w:val="00EE4CD8"/>
    <w:rsid w:val="00EE76EA"/>
    <w:rsid w:val="00EF1502"/>
    <w:rsid w:val="00F05594"/>
    <w:rsid w:val="00F26D06"/>
    <w:rsid w:val="00F315B9"/>
    <w:rsid w:val="00F52363"/>
    <w:rsid w:val="00F60C61"/>
    <w:rsid w:val="00F613C2"/>
    <w:rsid w:val="00F857A3"/>
    <w:rsid w:val="00FA004A"/>
    <w:rsid w:val="00FA1985"/>
    <w:rsid w:val="00FA2FBD"/>
    <w:rsid w:val="00FD6B45"/>
    <w:rsid w:val="00FD6B7F"/>
    <w:rsid w:val="00FE2B93"/>
    <w:rsid w:val="00FE7E89"/>
    <w:rsid w:val="00FF5DE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31BF63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E38"/>
    <w:pPr>
      <w:spacing w:after="0" w:line="240" w:lineRule="auto"/>
    </w:pPr>
    <w:rPr>
      <w:rFonts w:ascii="Times New Roman" w:eastAsia="Times New Roman" w:hAnsi="Times New Roman" w:cs="Times New Roman"/>
      <w:sz w:val="24"/>
      <w:szCs w:val="20"/>
      <w:lang w:val="es-ES" w:eastAsia="es-ES"/>
    </w:rPr>
  </w:style>
  <w:style w:type="paragraph" w:styleId="Ttulo2">
    <w:name w:val="heading 2"/>
    <w:basedOn w:val="Normal"/>
    <w:next w:val="Normal"/>
    <w:link w:val="Ttulo2Car"/>
    <w:qFormat/>
    <w:rsid w:val="00803317"/>
    <w:pPr>
      <w:keepNext/>
      <w:ind w:left="708" w:hanging="708"/>
      <w:jc w:val="both"/>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9D6E38"/>
    <w:rPr>
      <w:color w:val="0000FF"/>
      <w:u w:val="single"/>
    </w:rPr>
  </w:style>
  <w:style w:type="paragraph" w:styleId="Encabezado">
    <w:name w:val="header"/>
    <w:basedOn w:val="Normal"/>
    <w:link w:val="EncabezadoCar"/>
    <w:rsid w:val="009D6E38"/>
    <w:pPr>
      <w:tabs>
        <w:tab w:val="center" w:pos="4419"/>
        <w:tab w:val="right" w:pos="8838"/>
      </w:tabs>
    </w:pPr>
  </w:style>
  <w:style w:type="character" w:customStyle="1" w:styleId="EncabezadoCar">
    <w:name w:val="Encabezado Car"/>
    <w:basedOn w:val="Fuentedeprrafopredeter"/>
    <w:link w:val="Encabezado"/>
    <w:rsid w:val="009D6E38"/>
    <w:rPr>
      <w:rFonts w:ascii="Times New Roman" w:eastAsia="Times New Roman" w:hAnsi="Times New Roman" w:cs="Times New Roman"/>
      <w:sz w:val="24"/>
      <w:szCs w:val="20"/>
      <w:lang w:val="es-ES" w:eastAsia="es-ES"/>
    </w:rPr>
  </w:style>
  <w:style w:type="paragraph" w:styleId="Piedepgina">
    <w:name w:val="footer"/>
    <w:basedOn w:val="Normal"/>
    <w:link w:val="PiedepginaCar"/>
    <w:rsid w:val="009D6E38"/>
    <w:pPr>
      <w:tabs>
        <w:tab w:val="center" w:pos="4419"/>
        <w:tab w:val="right" w:pos="8838"/>
      </w:tabs>
    </w:pPr>
  </w:style>
  <w:style w:type="character" w:customStyle="1" w:styleId="PiedepginaCar">
    <w:name w:val="Pie de página Car"/>
    <w:basedOn w:val="Fuentedeprrafopredeter"/>
    <w:link w:val="Piedepgina"/>
    <w:rsid w:val="009D6E38"/>
    <w:rPr>
      <w:rFonts w:ascii="Times New Roman" w:eastAsia="Times New Roman" w:hAnsi="Times New Roman" w:cs="Times New Roman"/>
      <w:sz w:val="24"/>
      <w:szCs w:val="20"/>
      <w:lang w:val="es-ES" w:eastAsia="es-ES"/>
    </w:rPr>
  </w:style>
  <w:style w:type="paragraph" w:styleId="Textodeglobo">
    <w:name w:val="Balloon Text"/>
    <w:basedOn w:val="Normal"/>
    <w:link w:val="TextodegloboCar"/>
    <w:uiPriority w:val="99"/>
    <w:semiHidden/>
    <w:unhideWhenUsed/>
    <w:rsid w:val="0083673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3673C"/>
    <w:rPr>
      <w:rFonts w:ascii="Segoe UI" w:eastAsia="Times New Roman" w:hAnsi="Segoe UI" w:cs="Segoe UI"/>
      <w:sz w:val="18"/>
      <w:szCs w:val="18"/>
      <w:lang w:val="es-ES" w:eastAsia="es-ES"/>
    </w:rPr>
  </w:style>
  <w:style w:type="character" w:customStyle="1" w:styleId="Ttulo2Car">
    <w:name w:val="Título 2 Car"/>
    <w:basedOn w:val="Fuentedeprrafopredeter"/>
    <w:link w:val="Ttulo2"/>
    <w:rsid w:val="00803317"/>
    <w:rPr>
      <w:rFonts w:ascii="Times New Roman" w:eastAsia="Times New Roman" w:hAnsi="Times New Roman" w:cs="Times New Roman"/>
      <w:sz w:val="24"/>
      <w:szCs w:val="20"/>
      <w:lang w:val="es-ES" w:eastAsia="es-ES"/>
    </w:rPr>
  </w:style>
  <w:style w:type="paragraph" w:styleId="Prrafodelista">
    <w:name w:val="List Paragraph"/>
    <w:aliases w:val="Titulo 2,Párrafo de Informe de Auditoría,Informe,Con viñetas,Normal con viñetas,3,Use Case List Paragraph,Bullet 1,List Paragraph 1,Numbered List Paragraph,Main numbered paragraph,Bullets,List Paragraph (numbered (a)),Akapit z listą BS"/>
    <w:basedOn w:val="Normal"/>
    <w:link w:val="PrrafodelistaCar"/>
    <w:uiPriority w:val="34"/>
    <w:qFormat/>
    <w:rsid w:val="00BD040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PrrafodelistaCar">
    <w:name w:val="Párrafo de lista Car"/>
    <w:aliases w:val="Titulo 2 Car,Párrafo de Informe de Auditoría Car,Informe Car,Con viñetas Car,Normal con viñetas Car,3 Car,Use Case List Paragraph Car,Bullet 1 Car,List Paragraph 1 Car,Numbered List Paragraph Car,Main numbered paragraph Car"/>
    <w:link w:val="Prrafodelista"/>
    <w:uiPriority w:val="34"/>
    <w:qFormat/>
    <w:locked/>
    <w:rsid w:val="00BD0403"/>
    <w:rPr>
      <w:lang w:val="en-US"/>
    </w:rPr>
  </w:style>
  <w:style w:type="paragraph" w:customStyle="1" w:styleId="Numeracin">
    <w:name w:val="Numeración"/>
    <w:basedOn w:val="Normal"/>
    <w:link w:val="NumeracinChar"/>
    <w:qFormat/>
    <w:rsid w:val="004F2251"/>
    <w:pPr>
      <w:numPr>
        <w:numId w:val="11"/>
      </w:numPr>
      <w:spacing w:before="120"/>
      <w:jc w:val="both"/>
    </w:pPr>
    <w:rPr>
      <w:sz w:val="22"/>
      <w:szCs w:val="24"/>
    </w:rPr>
  </w:style>
  <w:style w:type="character" w:customStyle="1" w:styleId="NumeracinChar">
    <w:name w:val="Numeración Char"/>
    <w:link w:val="Numeracin"/>
    <w:rsid w:val="00A03584"/>
    <w:rPr>
      <w:rFonts w:ascii="Times New Roman" w:eastAsia="Times New Roman" w:hAnsi="Times New Roman" w:cs="Times New Roman"/>
      <w:szCs w:val="24"/>
      <w:lang w:val="es-ES" w:eastAsia="es-ES"/>
    </w:rPr>
  </w:style>
  <w:style w:type="paragraph" w:styleId="Textonotapie">
    <w:name w:val="footnote text"/>
    <w:basedOn w:val="Normal"/>
    <w:link w:val="TextonotapieCar"/>
    <w:uiPriority w:val="99"/>
    <w:semiHidden/>
    <w:unhideWhenUsed/>
    <w:rsid w:val="00867AEA"/>
    <w:rPr>
      <w:sz w:val="20"/>
    </w:rPr>
  </w:style>
  <w:style w:type="character" w:customStyle="1" w:styleId="TextonotapieCar">
    <w:name w:val="Texto nota pie Car"/>
    <w:basedOn w:val="Fuentedeprrafopredeter"/>
    <w:link w:val="Textonotapie"/>
    <w:uiPriority w:val="99"/>
    <w:semiHidden/>
    <w:rsid w:val="00867AEA"/>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867A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Excel_Worksheet1.xlsx"/><Relationship Id="rId20" Type="http://schemas.openxmlformats.org/officeDocument/2006/relationships/footer" Target="footer2.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Microsoft_Excel_Worksheet.xlsx"/><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hyperlink" Target="mailto:correo@sugeval.fi.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B0923087E7423392B2BEBA96B881FA"/>
        <w:category>
          <w:name w:val="General"/>
          <w:gallery w:val="placeholder"/>
        </w:category>
        <w:types>
          <w:type w:val="bbPlcHdr"/>
        </w:types>
        <w:behaviors>
          <w:behavior w:val="content"/>
        </w:behaviors>
        <w:guid w:val="{1057DCD1-1617-4169-912E-CB21F30DBF5D}"/>
      </w:docPartPr>
      <w:docPartBody>
        <w:p w:rsidR="00494C8F" w:rsidRDefault="002F3CDD" w:rsidP="002F3CDD">
          <w:pPr>
            <w:pStyle w:val="F5B0923087E7423392B2BEBA96B881FA"/>
          </w:pPr>
          <w:r w:rsidRPr="00450B4A">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87B"/>
    <w:rsid w:val="000A35F7"/>
    <w:rsid w:val="001D1E85"/>
    <w:rsid w:val="002F28F7"/>
    <w:rsid w:val="002F3CDD"/>
    <w:rsid w:val="003334EA"/>
    <w:rsid w:val="00425BDD"/>
    <w:rsid w:val="00494C8F"/>
    <w:rsid w:val="00501780"/>
    <w:rsid w:val="006066E1"/>
    <w:rsid w:val="00656C6B"/>
    <w:rsid w:val="008B2831"/>
    <w:rsid w:val="008B4AED"/>
    <w:rsid w:val="00924CA8"/>
    <w:rsid w:val="00A5400A"/>
    <w:rsid w:val="00A8507F"/>
    <w:rsid w:val="00B14064"/>
    <w:rsid w:val="00C7387B"/>
    <w:rsid w:val="00CC3D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F3CDD"/>
    <w:rPr>
      <w:color w:val="808080"/>
    </w:rPr>
  </w:style>
  <w:style w:type="paragraph" w:customStyle="1" w:styleId="F5B0923087E7423392B2BEBA96B881FA">
    <w:name w:val="F5B0923087E7423392B2BEBA96B881FA"/>
    <w:rsid w:val="002F3C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Display>DocumentLibraryForm</Display>
  <Edit>DocumentLibraryForm</Edit>
  <New>DocumentLibraryForm</New>
  <MobileDisplayFormUrl/>
  <MobileEditFormUrl/>
  <MobileNewFormUrl/>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Nintex conditional workflow start</Name>
    <Synchronization>Synchronous</Synchronization>
    <Type>10001</Type>
    <SequenceNumber>50000</SequenceNumber>
    <Url/>
    <Assembly>Nintex.Workflow, Version=1.0.0.0, Culture=neutral, PublicKeyToken=913f6bae0ca5ae12</Assembly>
    <Class>Nintex.Workflow.ConditionalWorkflowStartReceiver</Class>
    <Data>638363850533699008</Data>
    <Filter/>
  </Receiver>
  <Receiver>
    <Name>Nintex conditional workflow start</Name>
    <Synchronization>Synchronous</Synchronization>
    <Type>10002</Type>
    <SequenceNumber>50000</SequenceNumber>
    <Url/>
    <Assembly>Nintex.Workflow, Version=1.0.0.0, Culture=neutral, PublicKeyToken=913f6bae0ca5ae12</Assembly>
    <Class>Nintex.Workflow.ConditionalWorkflowStartReceiver</Class>
    <Data>638363850533699008</Data>
    <Filter/>
  </Receiver>
  <Receiver>
    <Name>Nintex conditional workflow start</Name>
    <Synchronization>Synchronous</Synchronization>
    <Type>2</Type>
    <SequenceNumber>50000</SequenceNumber>
    <Url/>
    <Assembly>Nintex.Workflow, Version=1.0.0.0, Culture=neutral, PublicKeyToken=913f6bae0ca5ae12</Assembly>
    <Class>Nintex.Workflow.ConditionalWorkflowStartReceiver</Class>
    <Data>638363850533699008</Data>
    <Filter/>
  </Receiver>
  <Receiver>
    <Name>Nintex conditional workflow start</Name>
    <Synchronization>Synchronous</Synchronization>
    <Type>10004</Type>
    <SequenceNumber>50000</SequenceNumber>
    <Url/>
    <Assembly>Nintex.Workflow, Version=1.0.0.0, Culture=neutral, PublicKeyToken=913f6bae0ca5ae12</Assembly>
    <Class>Nintex.Workflow.ConditionalWorkflowStartReceiver</Class>
    <Data>638363850533699008</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F75142B-52A2-4CE4-918B-8BACE850F0A5}">
  <ds:schemaRefs/>
</ds:datastoreItem>
</file>

<file path=customXml/itemProps2.xml><?xml version="1.0" encoding="utf-8"?>
<ds:datastoreItem xmlns:ds="http://schemas.openxmlformats.org/officeDocument/2006/customXml" ds:itemID="{677C96AD-70B5-457E-90DC-8B6CA5022E45}"/>
</file>

<file path=customXml/itemProps3.xml><?xml version="1.0" encoding="utf-8"?>
<ds:datastoreItem xmlns:ds="http://schemas.openxmlformats.org/officeDocument/2006/customXml" ds:itemID="{E99921A8-6457-4919-99B4-91BAEA682A55}"/>
</file>

<file path=customXml/itemProps4.xml><?xml version="1.0" encoding="utf-8"?>
<ds:datastoreItem xmlns:ds="http://schemas.openxmlformats.org/officeDocument/2006/customXml" ds:itemID="{849503AA-B54E-4F7D-A564-7344F1E7EF3E}">
  <ds:schemaRefs>
    <ds:schemaRef ds:uri="http://schemas.microsoft.com/office/2006/metadata/properties"/>
    <ds:schemaRef ds:uri="http://schemas.microsoft.com/office/infopath/2007/PartnerControls"/>
    <ds:schemaRef ds:uri="315842a7-4cff-4ca6-8fb0-a6562d7ae952"/>
  </ds:schemaRefs>
</ds:datastoreItem>
</file>

<file path=customXml/itemProps5.xml><?xml version="1.0" encoding="utf-8"?>
<ds:datastoreItem xmlns:ds="http://schemas.openxmlformats.org/officeDocument/2006/customXml" ds:itemID="{3218E16F-3AC3-4F3C-9AE0-0A742C3A043D}">
  <ds:schemaRefs>
    <ds:schemaRef ds:uri="http://schemas.openxmlformats.org/officeDocument/2006/bibliography"/>
  </ds:schemaRefs>
</ds:datastoreItem>
</file>

<file path=customXml/itemProps6.xml><?xml version="1.0" encoding="utf-8"?>
<ds:datastoreItem xmlns:ds="http://schemas.openxmlformats.org/officeDocument/2006/customXml" ds:itemID="{9C403370-888C-4BAE-A0E8-65C64C94BFA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931</Words>
  <Characters>5125</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SGV A-75 Modificación de los anexos 64 -Déficit/Superávit de GF y anexo 31 Riesgos operativos por eliminación de actividad de custodia</vt:lpstr>
    </vt:vector>
  </TitlesOfParts>
  <Company/>
  <LinksUpToDate>false</LinksUpToDate>
  <CharactersWithSpaces>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SGV A-75 Modificación de los anexos 64 -Déficit/Superávit de GF y anexo 31 Riesgos operativos por eliminación de actividad de custodia</dc:title>
  <dc:subject/>
  <dc:creator/>
  <cp:keywords/>
  <dc:description/>
  <cp:lastModifiedBy/>
  <cp:revision>1</cp:revision>
  <dcterms:created xsi:type="dcterms:W3CDTF">2025-05-07T15:06:00Z</dcterms:created>
  <dcterms:modified xsi:type="dcterms:W3CDTF">2025-05-07T15:06:00Z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b4be34-365a-4a68-b9fb-75c1b6874315_Enabled">
    <vt:lpwstr>true</vt:lpwstr>
  </property>
  <property fmtid="{D5CDD505-2E9C-101B-9397-08002B2CF9AE}" pid="3" name="MSIP_Label_b8b4be34-365a-4a68-b9fb-75c1b6874315_SetDate">
    <vt:lpwstr>2023-12-14T17:52:15Z</vt:lpwstr>
  </property>
  <property fmtid="{D5CDD505-2E9C-101B-9397-08002B2CF9AE}" pid="4" name="MSIP_Label_b8b4be34-365a-4a68-b9fb-75c1b6874315_Method">
    <vt:lpwstr>Standard</vt:lpwstr>
  </property>
  <property fmtid="{D5CDD505-2E9C-101B-9397-08002B2CF9AE}" pid="5" name="MSIP_Label_b8b4be34-365a-4a68-b9fb-75c1b6874315_Name">
    <vt:lpwstr>b8b4be34-365a-4a68-b9fb-75c1b6874315</vt:lpwstr>
  </property>
  <property fmtid="{D5CDD505-2E9C-101B-9397-08002B2CF9AE}" pid="6" name="MSIP_Label_b8b4be34-365a-4a68-b9fb-75c1b6874315_SiteId">
    <vt:lpwstr>618d0a45-25a6-4618-9f80-8f70a435ee52</vt:lpwstr>
  </property>
  <property fmtid="{D5CDD505-2E9C-101B-9397-08002B2CF9AE}" pid="7" name="MSIP_Label_b8b4be34-365a-4a68-b9fb-75c1b6874315_ActionId">
    <vt:lpwstr>6fe89a9e-5b09-4068-bbdc-000064080b38</vt:lpwstr>
  </property>
  <property fmtid="{D5CDD505-2E9C-101B-9397-08002B2CF9AE}" pid="8" name="MSIP_Label_b8b4be34-365a-4a68-b9fb-75c1b6874315_ContentBits">
    <vt:lpwstr>2</vt:lpwstr>
  </property>
  <property fmtid="{D5CDD505-2E9C-101B-9397-08002B2CF9AE}" pid="9" name="ContentTypeId">
    <vt:lpwstr>0x010100A1F83956CD40E44FA7C3C72C7933C58C</vt:lpwstr>
  </property>
  <property fmtid="{D5CDD505-2E9C-101B-9397-08002B2CF9AE}" pid="10" name="MediaServiceImageTags">
    <vt:lpwstr/>
  </property>
  <property fmtid="{D5CDD505-2E9C-101B-9397-08002B2CF9AE}" pid="11" name="DestinatarioInterno">
    <vt:lpwstr>1025;#i:0#.w|sugese\soleypt</vt:lpwstr>
  </property>
  <property fmtid="{D5CDD505-2E9C-101B-9397-08002B2CF9AE}" pid="12" name="_dlc_DocIdItemGuid">
    <vt:lpwstr>9a9667ca-f695-45a4-bd75-57a43ce31bdc</vt:lpwstr>
  </property>
  <property fmtid="{D5CDD505-2E9C-101B-9397-08002B2CF9AE}" pid="13" name="WorkflowChangePath">
    <vt:lpwstr>925af84c-f9b4-4c9e-aa34-aa473371a36e,41;393746fc-6fc4-41c7-a764-9531eaac1a57,44;73ce36ca-d441-4a75-b674-1e19e4671a8e,47;3239805f-962e-48ad-9b94-b03aa633c5f0,52;</vt:lpwstr>
  </property>
  <property fmtid="{D5CDD505-2E9C-101B-9397-08002B2CF9AE}" pid="14" name="TipoDocumental">
    <vt:lpwstr>Acuerdos</vt:lpwstr>
  </property>
  <property fmtid="{D5CDD505-2E9C-101B-9397-08002B2CF9AE}" pid="15" name="Order">
    <vt:r8>1121000</vt:r8>
  </property>
  <property fmtid="{D5CDD505-2E9C-101B-9397-08002B2CF9AE}" pid="16" name="xd_Signature">
    <vt:bool>false</vt:bool>
  </property>
  <property fmtid="{D5CDD505-2E9C-101B-9397-08002B2CF9AE}" pid="17" name="xd_ProgID">
    <vt:lpwstr/>
  </property>
  <property fmtid="{D5CDD505-2E9C-101B-9397-08002B2CF9AE}" pid="18" name="DocumentSetDescription">
    <vt:lpwstr/>
  </property>
  <property fmtid="{D5CDD505-2E9C-101B-9397-08002B2CF9AE}" pid="19" name="_SourceUrl">
    <vt:lpwstr/>
  </property>
  <property fmtid="{D5CDD505-2E9C-101B-9397-08002B2CF9AE}" pid="20" name="_SharedFileIndex">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ies>
</file>