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27497" w14:textId="77777777" w:rsidR="00830429" w:rsidRDefault="00830429" w:rsidP="00C33A41">
      <w:pPr>
        <w:jc w:val="center"/>
        <w:rPr>
          <w:rFonts w:ascii="Arial" w:hAnsi="Arial" w:cs="Arial"/>
          <w:b/>
        </w:rPr>
      </w:pPr>
    </w:p>
    <w:p w14:paraId="5AAB928A" w14:textId="41683A12" w:rsidR="00C66F70" w:rsidRDefault="00C66F70" w:rsidP="00186B5D">
      <w:pPr>
        <w:ind w:right="-193"/>
        <w:jc w:val="both"/>
        <w:rPr>
          <w:rFonts w:ascii="Roboto" w:hAnsi="Roboto" w:cs="Arial"/>
          <w:b/>
        </w:rPr>
      </w:pPr>
      <w:r w:rsidRPr="00C66F70">
        <w:rPr>
          <w:rFonts w:ascii="Roboto" w:hAnsi="Roboto" w:cs="Arial"/>
          <w:b/>
        </w:rPr>
        <w:t>SGV-A-6-2024. MODIFICACIÓN A LOS ACUERDOS SGV-A-188 “Directriz para la implementación del Sistema de Mensajería de Documentos (MENDOCEL)” y SGV-A-257 Información Básica de las Entidades Reguladas y Supervisadas por la Superintendencia General de Valores</w:t>
      </w:r>
      <w:r w:rsidR="00830429" w:rsidRPr="00131B92">
        <w:rPr>
          <w:rFonts w:ascii="Roboto" w:hAnsi="Roboto" w:cs="Arial"/>
          <w:b/>
        </w:rPr>
        <w:t xml:space="preserve"> </w:t>
      </w:r>
      <w:r w:rsidR="00830429">
        <w:rPr>
          <w:rStyle w:val="Refdenotaalpie"/>
          <w:rFonts w:ascii="Roboto" w:hAnsi="Roboto" w:cs="Arial"/>
          <w:b/>
        </w:rPr>
        <w:footnoteReference w:id="1"/>
      </w:r>
    </w:p>
    <w:p w14:paraId="77BD77ED" w14:textId="0E1BE055" w:rsidR="00543431" w:rsidRPr="00C66F70" w:rsidRDefault="00543431" w:rsidP="00186B5D">
      <w:pPr>
        <w:ind w:right="-193"/>
        <w:jc w:val="both"/>
        <w:rPr>
          <w:rFonts w:ascii="Roboto" w:hAnsi="Roboto" w:cs="Arial"/>
          <w:b/>
        </w:rPr>
      </w:pPr>
      <w:r>
        <w:rPr>
          <w:rFonts w:ascii="Roboto" w:hAnsi="Roboto" w:cs="Arial"/>
          <w:b/>
        </w:rPr>
        <w:t>(</w:t>
      </w:r>
      <w:r w:rsidRPr="00543431">
        <w:rPr>
          <w:rFonts w:ascii="Roboto" w:hAnsi="Roboto" w:cs="Arial"/>
          <w:b/>
          <w:i/>
          <w:iCs/>
        </w:rPr>
        <w:t>Incluye las reformas del Acuerdo del Superintendente SGV-A-1-2025</w:t>
      </w:r>
      <w:r w:rsidRPr="00543431">
        <w:rPr>
          <w:rFonts w:ascii="Roboto" w:hAnsi="Roboto" w:cs="Arial"/>
          <w:b/>
        </w:rPr>
        <w:t>)</w:t>
      </w:r>
    </w:p>
    <w:p w14:paraId="5E5998E6" w14:textId="07F2B8ED" w:rsidR="00C66F70" w:rsidRPr="00C66F70" w:rsidRDefault="00C66F70" w:rsidP="00186B5D">
      <w:pPr>
        <w:spacing w:line="276" w:lineRule="auto"/>
        <w:ind w:right="-193"/>
        <w:jc w:val="both"/>
        <w:rPr>
          <w:rFonts w:ascii="Roboto" w:hAnsi="Roboto" w:cs="Arial"/>
          <w:b/>
          <w:bCs/>
        </w:rPr>
      </w:pPr>
      <w:r w:rsidRPr="00131B92">
        <w:rPr>
          <w:rFonts w:ascii="Roboto" w:hAnsi="Roboto" w:cs="Arial"/>
          <w:b/>
          <w:bCs/>
        </w:rPr>
        <w:t>Considerando que:</w:t>
      </w:r>
    </w:p>
    <w:p w14:paraId="2E4B94B6" w14:textId="77777777" w:rsidR="00C66F70" w:rsidRPr="00D54AA0" w:rsidRDefault="00C66F70" w:rsidP="00C66F70">
      <w:pPr>
        <w:numPr>
          <w:ilvl w:val="0"/>
          <w:numId w:val="2"/>
        </w:numPr>
        <w:tabs>
          <w:tab w:val="left" w:pos="567"/>
        </w:tabs>
        <w:spacing w:after="0" w:line="240" w:lineRule="auto"/>
        <w:ind w:left="567" w:right="-193" w:hanging="567"/>
        <w:jc w:val="both"/>
        <w:rPr>
          <w:rFonts w:ascii="Roboto" w:hAnsi="Roboto" w:cs="Arial"/>
        </w:rPr>
      </w:pPr>
      <w:r w:rsidRPr="00D54AA0">
        <w:rPr>
          <w:rFonts w:ascii="Roboto" w:hAnsi="Roboto" w:cs="Arial"/>
        </w:rPr>
        <w:t>El artículo 8 inciso l) de la Ley Reguladora del Mercado de Valores (LRMV) faculta al Superintendente a exigir a los sujetos fiscalizados toda la información razonablemente necesaria, en las condiciones y periodicidad que la Superintendencia determine, para cumplir adecuadamente con sus funciones supervisoras del mercado de valores.</w:t>
      </w:r>
    </w:p>
    <w:p w14:paraId="2494C5D6" w14:textId="77777777" w:rsidR="00C66F70" w:rsidRDefault="00C66F70" w:rsidP="00186B5D">
      <w:pPr>
        <w:tabs>
          <w:tab w:val="left" w:pos="567"/>
        </w:tabs>
        <w:ind w:left="567" w:right="-193"/>
        <w:jc w:val="both"/>
        <w:rPr>
          <w:rFonts w:ascii="Roboto" w:hAnsi="Roboto" w:cs="Arial"/>
        </w:rPr>
      </w:pPr>
    </w:p>
    <w:p w14:paraId="7A7673A9" w14:textId="77777777" w:rsidR="00C66F70" w:rsidRPr="00D54AA0" w:rsidRDefault="00C66F70" w:rsidP="00C66F70">
      <w:pPr>
        <w:numPr>
          <w:ilvl w:val="0"/>
          <w:numId w:val="2"/>
        </w:numPr>
        <w:tabs>
          <w:tab w:val="left" w:pos="567"/>
        </w:tabs>
        <w:spacing w:after="0" w:line="240" w:lineRule="auto"/>
        <w:ind w:left="567" w:right="-193" w:hanging="567"/>
        <w:jc w:val="both"/>
        <w:rPr>
          <w:rFonts w:ascii="Roboto" w:hAnsi="Roboto" w:cs="Arial"/>
        </w:rPr>
      </w:pPr>
      <w:r w:rsidRPr="00D54AA0">
        <w:rPr>
          <w:rFonts w:ascii="Roboto" w:hAnsi="Roboto" w:cs="Arial"/>
        </w:rPr>
        <w:t>El artículo 8 inciso j) de la Ley 7732, Ley Reguladora del Mercado de Valores, determina que corresponde al Superintendente General de Valores adoptar todas las acciones necesarias para el cumplimiento efectivo de las funciones de regulación que le competen a la Superintendencia según lo dispuesto en la ley.</w:t>
      </w:r>
    </w:p>
    <w:p w14:paraId="2D402131" w14:textId="77777777" w:rsidR="00C66F70" w:rsidRPr="00D54AA0" w:rsidRDefault="00C66F70" w:rsidP="00186B5D">
      <w:pPr>
        <w:tabs>
          <w:tab w:val="left" w:pos="567"/>
        </w:tabs>
        <w:ind w:left="567" w:right="-193"/>
        <w:jc w:val="both"/>
        <w:rPr>
          <w:rFonts w:ascii="Roboto" w:hAnsi="Roboto" w:cs="Arial"/>
        </w:rPr>
      </w:pPr>
    </w:p>
    <w:p w14:paraId="104625F4" w14:textId="77777777" w:rsidR="00C66F70" w:rsidRPr="00D54AA0" w:rsidRDefault="00C66F70" w:rsidP="00C66F70">
      <w:pPr>
        <w:numPr>
          <w:ilvl w:val="0"/>
          <w:numId w:val="2"/>
        </w:numPr>
        <w:tabs>
          <w:tab w:val="left" w:pos="567"/>
        </w:tabs>
        <w:spacing w:after="0" w:line="240" w:lineRule="auto"/>
        <w:ind w:left="567" w:right="-193" w:hanging="567"/>
        <w:jc w:val="both"/>
        <w:rPr>
          <w:rFonts w:ascii="Roboto" w:hAnsi="Roboto" w:cs="Arial"/>
        </w:rPr>
      </w:pPr>
      <w:r w:rsidRPr="00D54AA0">
        <w:rPr>
          <w:rFonts w:ascii="Roboto" w:hAnsi="Roboto" w:cs="Arial"/>
        </w:rPr>
        <w:t>El artículo 105 de la Ley Reguladora del Mercado de Valores, indica que los emisores de valores deberán informar al público, en el menor plazo posible, de la existencia de factores, hechos o decisiones que puedan influir, de modo sensible, en el precio de sus valores.</w:t>
      </w:r>
    </w:p>
    <w:p w14:paraId="6E2AAA40" w14:textId="77777777" w:rsidR="00C66F70" w:rsidRPr="00D54AA0" w:rsidRDefault="00C66F70" w:rsidP="00186B5D">
      <w:pPr>
        <w:tabs>
          <w:tab w:val="left" w:pos="567"/>
        </w:tabs>
        <w:ind w:left="567" w:right="-193"/>
        <w:jc w:val="both"/>
        <w:rPr>
          <w:rFonts w:ascii="Roboto" w:hAnsi="Roboto" w:cs="Arial"/>
        </w:rPr>
      </w:pPr>
    </w:p>
    <w:p w14:paraId="75D24452" w14:textId="77777777" w:rsidR="00C66F70" w:rsidRPr="00D54AA0" w:rsidRDefault="00C66F70" w:rsidP="00C66F70">
      <w:pPr>
        <w:numPr>
          <w:ilvl w:val="0"/>
          <w:numId w:val="2"/>
        </w:numPr>
        <w:tabs>
          <w:tab w:val="left" w:pos="567"/>
        </w:tabs>
        <w:spacing w:after="0" w:line="240" w:lineRule="auto"/>
        <w:ind w:left="567" w:right="-193" w:hanging="567"/>
        <w:jc w:val="both"/>
        <w:rPr>
          <w:rFonts w:ascii="Roboto" w:hAnsi="Roboto" w:cs="Arial"/>
        </w:rPr>
      </w:pPr>
      <w:r w:rsidRPr="00D54AA0">
        <w:rPr>
          <w:rFonts w:ascii="Roboto" w:hAnsi="Roboto" w:cs="Arial"/>
        </w:rPr>
        <w:t xml:space="preserve">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 Posteriormente, mediante el Artículo 11 del Acta de la Sesión 1579-2020, celebrada el 1 de junio de 2020, se aprobó la adición de un artículo 7bis al Reglamento, que tiene por objetivo hacer más eficiente el proceso de captura de información sobre miembros de órgano dirección, alta gerencia y otros órganos de gobierno de las entidades supervisadas y fiscalizadas, mediante las herramientas informáticas de autogestión Sistema de Registro y Actualización de Roles y Administración de Esquemas de Seguridad (AES) que sea uniforme con las herramientas con que cuentan otras Superintendencias. </w:t>
      </w:r>
    </w:p>
    <w:p w14:paraId="1E93ED5C" w14:textId="77777777" w:rsidR="00C66F70" w:rsidRPr="00D54AA0" w:rsidRDefault="00C66F70" w:rsidP="00186B5D">
      <w:pPr>
        <w:tabs>
          <w:tab w:val="left" w:pos="567"/>
        </w:tabs>
        <w:ind w:left="567" w:right="-193"/>
        <w:jc w:val="both"/>
        <w:rPr>
          <w:rFonts w:ascii="Roboto" w:hAnsi="Roboto" w:cs="Arial"/>
        </w:rPr>
      </w:pPr>
    </w:p>
    <w:p w14:paraId="2C05A7BB" w14:textId="3120F467" w:rsidR="00C66F70" w:rsidRPr="00D54AA0" w:rsidRDefault="00C66F70" w:rsidP="00C66F70">
      <w:pPr>
        <w:numPr>
          <w:ilvl w:val="0"/>
          <w:numId w:val="2"/>
        </w:numPr>
        <w:tabs>
          <w:tab w:val="left" w:pos="567"/>
        </w:tabs>
        <w:spacing w:after="0" w:line="240" w:lineRule="auto"/>
        <w:ind w:left="567" w:right="-193" w:hanging="567"/>
        <w:jc w:val="both"/>
        <w:rPr>
          <w:rFonts w:ascii="Roboto" w:hAnsi="Roboto" w:cs="Arial"/>
        </w:rPr>
      </w:pPr>
      <w:r w:rsidRPr="00D54AA0">
        <w:rPr>
          <w:rFonts w:ascii="Roboto" w:hAnsi="Roboto" w:cs="Arial"/>
        </w:rPr>
        <w:t xml:space="preserve">Por circular M01/0/285 del 29 de enero del 2013, esta </w:t>
      </w:r>
      <w:r w:rsidR="006D69C2" w:rsidRPr="00D54AA0">
        <w:rPr>
          <w:rFonts w:ascii="Roboto" w:hAnsi="Roboto" w:cs="Arial"/>
        </w:rPr>
        <w:t>Superintendencia informó</w:t>
      </w:r>
      <w:r w:rsidRPr="00D54AA0">
        <w:rPr>
          <w:rFonts w:ascii="Roboto" w:hAnsi="Roboto" w:cs="Arial"/>
        </w:rPr>
        <w:t xml:space="preserve">: “Con el objeto de lograr una mayor eficiencia en los trámites que todos los regulados realizan ante la SUGEVAL y a su vez reducir la huella ambiental, se trabaja en un proyecto para contar en este año con una ventanilla virtual a la cual se deberá remitir electrónicamente </w:t>
      </w:r>
      <w:r w:rsidRPr="00D54AA0">
        <w:rPr>
          <w:rFonts w:ascii="Roboto" w:hAnsi="Roboto" w:cs="Arial"/>
        </w:rPr>
        <w:lastRenderedPageBreak/>
        <w:t xml:space="preserve">todos los comunicados de hechos relevantes y de interés, así como toda la correspondencia de carácter oficial.  Con este paso, aunado a los que se han dado en materia de prospectos electrónicos de emisores (diciembre 2012), prospectos de fondos de inversión (julio 2009) e información financiera y operativa (1999), esta Superintendencia habrá eliminado el uso del papel en los trámites que realiza con las entidades reguladas”.  </w:t>
      </w:r>
    </w:p>
    <w:p w14:paraId="70008B72" w14:textId="77777777" w:rsidR="00C66F70" w:rsidRDefault="00C66F70" w:rsidP="00186B5D">
      <w:pPr>
        <w:tabs>
          <w:tab w:val="left" w:pos="567"/>
        </w:tabs>
        <w:ind w:left="567" w:right="-193"/>
        <w:jc w:val="both"/>
        <w:rPr>
          <w:rFonts w:ascii="Roboto" w:hAnsi="Roboto" w:cs="Arial"/>
        </w:rPr>
      </w:pPr>
    </w:p>
    <w:p w14:paraId="5FF27E70" w14:textId="77777777" w:rsidR="00C66F70" w:rsidRPr="00D54AA0" w:rsidRDefault="00C66F70" w:rsidP="00C66F70">
      <w:pPr>
        <w:numPr>
          <w:ilvl w:val="0"/>
          <w:numId w:val="2"/>
        </w:numPr>
        <w:tabs>
          <w:tab w:val="left" w:pos="567"/>
        </w:tabs>
        <w:spacing w:after="0" w:line="240" w:lineRule="auto"/>
        <w:ind w:left="567" w:right="-193" w:hanging="567"/>
        <w:jc w:val="both"/>
        <w:rPr>
          <w:rFonts w:ascii="Roboto" w:hAnsi="Roboto" w:cs="Arial"/>
        </w:rPr>
      </w:pPr>
      <w:r w:rsidRPr="00D54AA0">
        <w:rPr>
          <w:rFonts w:ascii="Roboto" w:hAnsi="Roboto" w:cs="Arial"/>
        </w:rPr>
        <w:t>En cumplimiento de lo expuesto se ha creado el Sistema de Mensajería de Documentos Electrónicos (MENDOCEL), cuyas principales características consisten en: a) Proveer un medio más seguro que el correo electrónico para el trasiego de documentos. b) Garantizar para el regulado y la SUGEVAL un acuse de recibo con mayor seguridad jurídica. c) Estampar la fecha y hora oficiales en la recepción de documentos por medio del uso de Certificados Digitales y Firma Digital Avanzada en el contexto de un domicilio electrónico.  d)  Transmitir por este Sistema documentos tanto públicos como confidenciales. e) Reducir los costos de la transmisión de documentos disminuyendo en la mayor cantidad posible su presentación y entrega en físico, reduciendo a la vez la huella de carbono tanto de SUGEVAL como de sus regulados.</w:t>
      </w:r>
    </w:p>
    <w:p w14:paraId="74E9696C" w14:textId="77777777" w:rsidR="00C66F70" w:rsidRPr="00D54AA0" w:rsidRDefault="00C66F70" w:rsidP="00186B5D">
      <w:pPr>
        <w:tabs>
          <w:tab w:val="left" w:pos="567"/>
        </w:tabs>
        <w:ind w:left="567" w:right="-193"/>
        <w:jc w:val="both"/>
        <w:rPr>
          <w:rFonts w:ascii="Roboto" w:hAnsi="Roboto" w:cs="Arial"/>
        </w:rPr>
      </w:pPr>
    </w:p>
    <w:p w14:paraId="397E532A" w14:textId="77777777" w:rsidR="00C66F70" w:rsidRPr="00D54AA0" w:rsidRDefault="00C66F70" w:rsidP="00C66F70">
      <w:pPr>
        <w:numPr>
          <w:ilvl w:val="0"/>
          <w:numId w:val="2"/>
        </w:numPr>
        <w:tabs>
          <w:tab w:val="left" w:pos="567"/>
        </w:tabs>
        <w:spacing w:after="0" w:line="240" w:lineRule="auto"/>
        <w:ind w:left="567" w:right="-193" w:hanging="567"/>
        <w:jc w:val="both"/>
        <w:rPr>
          <w:rFonts w:ascii="Roboto" w:hAnsi="Roboto" w:cs="Arial"/>
        </w:rPr>
      </w:pPr>
      <w:r w:rsidRPr="00D54AA0">
        <w:rPr>
          <w:rFonts w:ascii="Roboto" w:hAnsi="Roboto" w:cs="Arial"/>
        </w:rPr>
        <w:t>El principio de divulgación; completa, oportuna, y precisa de información actual, así como fiable que sea relevante para la toma de decisiones de inversión, está directamente relacionado con los objetivos de protección de los inversionistas y de los mercados justos, eficientes y transparentes emitidos por la IOSCO. Este principio exige considerar la idoneidad, precisión y oportunidad de la información financiera y no financiera, así como la revelación de los riesgos que sean importantes para las decisiones de los inversionistas. De tal forma que la información registrada en el sistema de Roles se constituye en un insumo para el análisis de las entidades que participan en el mercado de valores.</w:t>
      </w:r>
    </w:p>
    <w:p w14:paraId="3E4940B5" w14:textId="77777777" w:rsidR="00C66F70" w:rsidRPr="00D54AA0" w:rsidRDefault="00C66F70" w:rsidP="00186B5D">
      <w:pPr>
        <w:tabs>
          <w:tab w:val="left" w:pos="567"/>
        </w:tabs>
        <w:ind w:left="567" w:right="-193"/>
        <w:jc w:val="both"/>
        <w:rPr>
          <w:rFonts w:ascii="Roboto" w:hAnsi="Roboto" w:cs="Arial"/>
        </w:rPr>
      </w:pPr>
    </w:p>
    <w:p w14:paraId="1B44406A" w14:textId="77777777" w:rsidR="00C66F70" w:rsidRPr="00D54AA0" w:rsidRDefault="00C66F70" w:rsidP="00C66F70">
      <w:pPr>
        <w:numPr>
          <w:ilvl w:val="0"/>
          <w:numId w:val="2"/>
        </w:numPr>
        <w:tabs>
          <w:tab w:val="left" w:pos="567"/>
        </w:tabs>
        <w:spacing w:after="0" w:line="240" w:lineRule="auto"/>
        <w:ind w:left="567" w:right="-193" w:hanging="567"/>
        <w:jc w:val="both"/>
        <w:rPr>
          <w:rFonts w:ascii="Roboto" w:hAnsi="Roboto" w:cs="Arial"/>
        </w:rPr>
      </w:pPr>
      <w:r w:rsidRPr="00D54AA0">
        <w:rPr>
          <w:rFonts w:ascii="Roboto" w:hAnsi="Roboto" w:cs="Arial"/>
        </w:rPr>
        <w:t>Además, la utilización de tecnologías de información permite proteger los datos y las transacciones de forma segura, oportuna y eficiente, a la vez facilita la remisión de información de manera periódica, lo cual constituye una herramienta fundamental para las labores de supervisión y control desarrolladas por la Superintendencia.</w:t>
      </w:r>
    </w:p>
    <w:p w14:paraId="2467E220" w14:textId="77777777" w:rsidR="00C66F70" w:rsidRPr="00D54AA0" w:rsidRDefault="00C66F70" w:rsidP="00186B5D">
      <w:pPr>
        <w:tabs>
          <w:tab w:val="left" w:pos="567"/>
        </w:tabs>
        <w:ind w:left="567" w:right="-193"/>
        <w:jc w:val="both"/>
        <w:rPr>
          <w:rFonts w:ascii="Roboto" w:hAnsi="Roboto" w:cs="Arial"/>
        </w:rPr>
      </w:pPr>
    </w:p>
    <w:p w14:paraId="405AA145" w14:textId="77777777" w:rsidR="00C66F70" w:rsidRPr="00D54AA0" w:rsidRDefault="00C66F70" w:rsidP="00C66F70">
      <w:pPr>
        <w:numPr>
          <w:ilvl w:val="0"/>
          <w:numId w:val="2"/>
        </w:numPr>
        <w:tabs>
          <w:tab w:val="left" w:pos="567"/>
        </w:tabs>
        <w:spacing w:after="0" w:line="240" w:lineRule="auto"/>
        <w:ind w:left="567" w:right="-193" w:hanging="567"/>
        <w:jc w:val="both"/>
        <w:rPr>
          <w:rFonts w:ascii="Roboto" w:hAnsi="Roboto" w:cs="Arial"/>
        </w:rPr>
      </w:pPr>
      <w:r w:rsidRPr="00D54AA0">
        <w:rPr>
          <w:rFonts w:ascii="Roboto" w:hAnsi="Roboto" w:cs="Arial"/>
        </w:rPr>
        <w:t xml:space="preserve">La superintendencia ha venido trabajando en proyectos tecnológicos que permitan mejorar la experiencia de los usuarios en el uso de los sistemas de información, de tal forma que como parte de dichas mejoras se van a centralizar el registro de los Roles que existen asociados a la remisión de correspondencia, trámites e información periódica sustituyendo el sistema actual de Módulo de Administración de Privilegios del Sistema Ingresador (MAPSI). </w:t>
      </w:r>
    </w:p>
    <w:p w14:paraId="6FE99E05" w14:textId="77777777" w:rsidR="00C66F70" w:rsidRPr="00D54AA0" w:rsidRDefault="00C66F70" w:rsidP="00186B5D">
      <w:pPr>
        <w:tabs>
          <w:tab w:val="left" w:pos="567"/>
        </w:tabs>
        <w:ind w:left="567" w:right="-193"/>
        <w:jc w:val="both"/>
        <w:rPr>
          <w:rFonts w:ascii="Roboto" w:hAnsi="Roboto" w:cs="Arial"/>
        </w:rPr>
      </w:pPr>
    </w:p>
    <w:p w14:paraId="70600A5E" w14:textId="77777777" w:rsidR="00C66F70" w:rsidRPr="00D54AA0" w:rsidRDefault="00C66F70" w:rsidP="00C66F70">
      <w:pPr>
        <w:numPr>
          <w:ilvl w:val="0"/>
          <w:numId w:val="2"/>
        </w:numPr>
        <w:tabs>
          <w:tab w:val="left" w:pos="567"/>
        </w:tabs>
        <w:spacing w:after="0" w:line="240" w:lineRule="auto"/>
        <w:ind w:left="567" w:right="-193" w:hanging="567"/>
        <w:jc w:val="both"/>
        <w:rPr>
          <w:rFonts w:ascii="Roboto" w:hAnsi="Roboto" w:cs="Arial"/>
        </w:rPr>
      </w:pPr>
      <w:r w:rsidRPr="00D54AA0">
        <w:rPr>
          <w:rFonts w:ascii="Roboto" w:hAnsi="Roboto" w:cs="Arial"/>
        </w:rPr>
        <w:t xml:space="preserve">Como resultado del proceso de revisión continua de los acuerdos emitidos por el Superintendente, se han identificado mejoras a los acuerdos vigentes que son necesarias para mantener la coherencia, actualización y proporcionalidad de las disposiciones que deben acatar. Por lo anterior se hace necesario proponer la actualización de disposiciones específicas en los acuerdos SGV-A-188 Directriz para la </w:t>
      </w:r>
      <w:r w:rsidRPr="00D54AA0">
        <w:rPr>
          <w:rFonts w:ascii="Roboto" w:hAnsi="Roboto" w:cs="Arial"/>
        </w:rPr>
        <w:lastRenderedPageBreak/>
        <w:t>implementación del Sistema de Mensajería de Documentos (MENDOCEL) y SGV-A-257. Información Básica de las Entidades Reguladas y Supervisadas por la Superintendencia General de Valores.</w:t>
      </w:r>
    </w:p>
    <w:p w14:paraId="10A635F7" w14:textId="77777777" w:rsidR="00C66F70" w:rsidRPr="00F87CD2" w:rsidRDefault="00C66F70" w:rsidP="00186B5D">
      <w:pPr>
        <w:tabs>
          <w:tab w:val="left" w:pos="567"/>
        </w:tabs>
        <w:ind w:right="-193"/>
        <w:jc w:val="both"/>
        <w:rPr>
          <w:rFonts w:ascii="Arial" w:eastAsia="Calibri" w:hAnsi="Arial" w:cs="Arial"/>
          <w:color w:val="000000"/>
          <w:lang w:eastAsia="es-CR"/>
        </w:rPr>
      </w:pPr>
    </w:p>
    <w:p w14:paraId="3047F6EB" w14:textId="733E993B" w:rsidR="00C66F70" w:rsidRPr="006D69C2" w:rsidRDefault="00C66F70" w:rsidP="00186B5D">
      <w:pPr>
        <w:jc w:val="both"/>
        <w:rPr>
          <w:rFonts w:ascii="Roboto" w:eastAsia="Calibri" w:hAnsi="Roboto" w:cs="Arial"/>
        </w:rPr>
      </w:pPr>
      <w:r w:rsidRPr="004C2163">
        <w:rPr>
          <w:rFonts w:ascii="Roboto" w:eastAsia="Calibri" w:hAnsi="Roboto" w:cs="Arial"/>
        </w:rPr>
        <w:t>Por tanto, dispone el presente acuerdo:</w:t>
      </w:r>
    </w:p>
    <w:p w14:paraId="2F3832EC" w14:textId="30404FBC" w:rsidR="00C66F70" w:rsidRPr="00F87CD2" w:rsidRDefault="006D69C2" w:rsidP="00186B5D">
      <w:pPr>
        <w:jc w:val="both"/>
        <w:rPr>
          <w:rFonts w:ascii="Arial" w:hAnsi="Arial" w:cs="Arial"/>
          <w:b/>
        </w:rPr>
      </w:pPr>
      <w:r w:rsidRPr="006D69C2">
        <w:rPr>
          <w:rFonts w:ascii="Arial" w:hAnsi="Arial" w:cs="Arial"/>
          <w:b/>
        </w:rPr>
        <w:t xml:space="preserve">SGV-A-6-2024.  </w:t>
      </w:r>
      <w:r w:rsidR="00C66F70" w:rsidRPr="00E32BDA">
        <w:rPr>
          <w:rFonts w:ascii="Roboto" w:hAnsi="Roboto" w:cs="Arial"/>
          <w:b/>
        </w:rPr>
        <w:t>MODIFICACIÓN A LOS ACUERDOS SGV-A-188 “Directriz para la implementación del Sistema de Mensajería de Documentos (MENDOCEL)” y SGV-A-257 Información Básica de las Entidades Reguladas y Supervisadas por la Superintendencia General de Valores</w:t>
      </w:r>
    </w:p>
    <w:p w14:paraId="6F27E5D8" w14:textId="2E3FBC6F" w:rsidR="006D69C2" w:rsidRPr="00D54AA0" w:rsidRDefault="00C66F70" w:rsidP="00186B5D">
      <w:pPr>
        <w:jc w:val="both"/>
        <w:rPr>
          <w:rFonts w:ascii="Roboto" w:eastAsia="Calibri" w:hAnsi="Roboto" w:cs="Arial"/>
          <w:bCs/>
          <w:color w:val="000000"/>
          <w:lang w:eastAsia="es-CR"/>
        </w:rPr>
      </w:pPr>
      <w:r w:rsidRPr="004C2163">
        <w:rPr>
          <w:rFonts w:ascii="Roboto" w:eastAsia="Calibri" w:hAnsi="Roboto" w:cs="Arial"/>
          <w:b/>
          <w:color w:val="000000"/>
          <w:lang w:eastAsia="es-CR"/>
        </w:rPr>
        <w:t>Artículo 1.-</w:t>
      </w:r>
      <w:r w:rsidRPr="004C2163">
        <w:rPr>
          <w:rFonts w:ascii="Roboto" w:eastAsia="Calibri" w:hAnsi="Roboto" w:cs="Arial"/>
          <w:b/>
          <w:color w:val="000000"/>
          <w:lang w:eastAsia="es-CR"/>
        </w:rPr>
        <w:tab/>
      </w:r>
      <w:r w:rsidRPr="00D54AA0">
        <w:rPr>
          <w:rFonts w:ascii="Roboto" w:eastAsia="Calibri" w:hAnsi="Roboto" w:cs="Arial"/>
          <w:bCs/>
          <w:color w:val="000000"/>
          <w:lang w:eastAsia="es-CR"/>
        </w:rPr>
        <w:t>Modificar los artículos 5, 6, 7, 8 y eliminar el Anexo 1 del acuerdo SGV-A-188. Directriz para la implementación del Sistema de Mensajería de Documentos Electrónicos (MENDOCEL), para que se lea de la siguiente manera:</w:t>
      </w:r>
    </w:p>
    <w:p w14:paraId="32929A36" w14:textId="77777777" w:rsidR="00C66F70" w:rsidRPr="006D69C2" w:rsidRDefault="00C66F70" w:rsidP="00186B5D">
      <w:pPr>
        <w:jc w:val="both"/>
        <w:rPr>
          <w:rFonts w:ascii="Roboto" w:eastAsia="Calibri" w:hAnsi="Roboto" w:cs="Arial"/>
          <w:bCs/>
          <w:i/>
          <w:iCs/>
          <w:color w:val="000000"/>
          <w:lang w:eastAsia="es-CR"/>
        </w:rPr>
      </w:pPr>
      <w:r w:rsidRPr="00D54AA0">
        <w:rPr>
          <w:rFonts w:ascii="Roboto" w:eastAsia="Calibri" w:hAnsi="Roboto" w:cs="Arial"/>
          <w:bCs/>
          <w:color w:val="000000"/>
          <w:lang w:eastAsia="es-CR"/>
        </w:rPr>
        <w:t>“</w:t>
      </w:r>
      <w:r w:rsidRPr="006D69C2">
        <w:rPr>
          <w:rFonts w:ascii="Roboto" w:eastAsia="Calibri" w:hAnsi="Roboto" w:cs="Arial"/>
          <w:bCs/>
          <w:i/>
          <w:iCs/>
          <w:color w:val="000000"/>
          <w:lang w:eastAsia="es-CR"/>
        </w:rPr>
        <w:t>Artículo 5.  Usuarios con Acceso al MENDOCEL</w:t>
      </w:r>
    </w:p>
    <w:p w14:paraId="623074FD" w14:textId="4C38C863" w:rsidR="00C66F70" w:rsidRPr="006D69C2" w:rsidRDefault="00C66F70" w:rsidP="00186B5D">
      <w:pPr>
        <w:jc w:val="both"/>
        <w:rPr>
          <w:rFonts w:ascii="Roboto" w:eastAsia="Calibri" w:hAnsi="Roboto" w:cs="Arial"/>
          <w:bCs/>
          <w:i/>
          <w:iCs/>
          <w:color w:val="000000"/>
          <w:lang w:eastAsia="es-CR"/>
        </w:rPr>
      </w:pPr>
      <w:r w:rsidRPr="006D69C2">
        <w:rPr>
          <w:rFonts w:ascii="Roboto" w:eastAsia="Calibri" w:hAnsi="Roboto" w:cs="Arial"/>
          <w:bCs/>
          <w:i/>
          <w:iCs/>
          <w:color w:val="000000"/>
          <w:lang w:eastAsia="es-CR"/>
        </w:rPr>
        <w:t>Todos los usuarios que accedan al Sistema para depositar o consultar documentos deben estar debidamente registrados en el Sistema de Registro y Actualización de Roles.”</w:t>
      </w:r>
    </w:p>
    <w:p w14:paraId="7804FD66" w14:textId="77777777" w:rsidR="00C66F70" w:rsidRPr="006D69C2" w:rsidRDefault="00C66F70" w:rsidP="00186B5D">
      <w:pPr>
        <w:jc w:val="both"/>
        <w:rPr>
          <w:rFonts w:ascii="Roboto" w:eastAsia="Calibri" w:hAnsi="Roboto" w:cs="Arial"/>
          <w:bCs/>
          <w:i/>
          <w:iCs/>
          <w:color w:val="000000"/>
          <w:lang w:eastAsia="es-CR"/>
        </w:rPr>
      </w:pPr>
      <w:r w:rsidRPr="006D69C2">
        <w:rPr>
          <w:rFonts w:ascii="Roboto" w:eastAsia="Calibri" w:hAnsi="Roboto" w:cs="Arial"/>
          <w:bCs/>
          <w:i/>
          <w:iCs/>
          <w:color w:val="000000"/>
          <w:lang w:eastAsia="es-CR"/>
        </w:rPr>
        <w:t>“Artículo 6.  Usuarios con autoridad para firmar digitalmente documentos.</w:t>
      </w:r>
    </w:p>
    <w:p w14:paraId="727A3D0B" w14:textId="77777777" w:rsidR="00C66F70" w:rsidRPr="006D69C2" w:rsidRDefault="00C66F70" w:rsidP="00186B5D">
      <w:pPr>
        <w:jc w:val="both"/>
        <w:rPr>
          <w:rFonts w:ascii="Roboto" w:eastAsia="Calibri" w:hAnsi="Roboto" w:cs="Arial"/>
          <w:bCs/>
          <w:i/>
          <w:iCs/>
          <w:color w:val="000000"/>
          <w:lang w:eastAsia="es-CR"/>
        </w:rPr>
      </w:pPr>
      <w:r w:rsidRPr="006D69C2">
        <w:rPr>
          <w:rFonts w:ascii="Roboto" w:eastAsia="Calibri" w:hAnsi="Roboto" w:cs="Arial"/>
          <w:bCs/>
          <w:i/>
          <w:iCs/>
          <w:color w:val="000000"/>
          <w:lang w:eastAsia="es-CR"/>
        </w:rPr>
        <w:t xml:space="preserve">Las entidades reguladas deberán acreditar ante SUGEVAL a las personas que tendrán la autoridad de firmar digitalmente documentos.  </w:t>
      </w:r>
    </w:p>
    <w:p w14:paraId="3FBD2CE5" w14:textId="68A99151" w:rsidR="00C66F70" w:rsidRPr="006D69C2" w:rsidRDefault="00C66F70" w:rsidP="00186B5D">
      <w:pPr>
        <w:jc w:val="both"/>
        <w:rPr>
          <w:rFonts w:ascii="Roboto" w:eastAsia="Calibri" w:hAnsi="Roboto" w:cs="Arial"/>
          <w:bCs/>
          <w:i/>
          <w:iCs/>
          <w:color w:val="000000"/>
          <w:lang w:eastAsia="es-CR"/>
        </w:rPr>
      </w:pPr>
      <w:r w:rsidRPr="006D69C2">
        <w:rPr>
          <w:rFonts w:ascii="Roboto" w:eastAsia="Calibri" w:hAnsi="Roboto" w:cs="Arial"/>
          <w:bCs/>
          <w:i/>
          <w:iCs/>
          <w:color w:val="000000"/>
          <w:lang w:eastAsia="es-CR"/>
        </w:rPr>
        <w:t>En cualquier caso, los funcionarios de cada entidad regulada que desempeñan el rol de Administradores del Sistema deben registrar en esta aplicación a las personas que firmarán digitalmente documentos.”</w:t>
      </w:r>
    </w:p>
    <w:p w14:paraId="57702DD9" w14:textId="77777777" w:rsidR="00C66F70" w:rsidRPr="006D69C2" w:rsidRDefault="00C66F70" w:rsidP="00186B5D">
      <w:pPr>
        <w:jc w:val="both"/>
        <w:rPr>
          <w:rFonts w:ascii="Roboto" w:eastAsia="Calibri" w:hAnsi="Roboto" w:cs="Arial"/>
          <w:bCs/>
          <w:i/>
          <w:iCs/>
          <w:color w:val="000000"/>
          <w:lang w:eastAsia="es-CR"/>
        </w:rPr>
      </w:pPr>
      <w:r w:rsidRPr="006D69C2">
        <w:rPr>
          <w:rFonts w:ascii="Roboto" w:eastAsia="Calibri" w:hAnsi="Roboto" w:cs="Arial"/>
          <w:bCs/>
          <w:i/>
          <w:iCs/>
          <w:color w:val="000000"/>
          <w:lang w:eastAsia="es-CR"/>
        </w:rPr>
        <w:t>“Artículo 7.  Representación Legal</w:t>
      </w:r>
    </w:p>
    <w:p w14:paraId="43B3BE35" w14:textId="396C5063" w:rsidR="00C66F70" w:rsidRPr="006D69C2" w:rsidRDefault="00C66F70" w:rsidP="00186B5D">
      <w:pPr>
        <w:jc w:val="both"/>
        <w:rPr>
          <w:rFonts w:ascii="Roboto" w:eastAsia="Calibri" w:hAnsi="Roboto" w:cs="Arial"/>
          <w:bCs/>
          <w:i/>
          <w:iCs/>
          <w:color w:val="000000"/>
          <w:lang w:eastAsia="es-CR"/>
        </w:rPr>
      </w:pPr>
      <w:r w:rsidRPr="006D69C2">
        <w:rPr>
          <w:rFonts w:ascii="Roboto" w:eastAsia="Calibri" w:hAnsi="Roboto" w:cs="Arial"/>
          <w:bCs/>
          <w:i/>
          <w:iCs/>
          <w:color w:val="000000"/>
          <w:lang w:eastAsia="es-CR"/>
        </w:rPr>
        <w:t xml:space="preserve">Los documentos que sean firmados por funcionarios que no estén debidamente registrados en el en el Sistema de Registro y Actualización de Roles, serán rechazados a su ingreso en el Sistema.” </w:t>
      </w:r>
    </w:p>
    <w:p w14:paraId="6194C135" w14:textId="77777777" w:rsidR="00C66F70" w:rsidRPr="006D69C2" w:rsidRDefault="00C66F70" w:rsidP="00186B5D">
      <w:pPr>
        <w:jc w:val="both"/>
        <w:rPr>
          <w:rFonts w:ascii="Roboto" w:eastAsia="Calibri" w:hAnsi="Roboto" w:cs="Arial"/>
          <w:bCs/>
          <w:i/>
          <w:iCs/>
          <w:color w:val="000000"/>
          <w:lang w:eastAsia="es-CR"/>
        </w:rPr>
      </w:pPr>
      <w:r w:rsidRPr="006D69C2">
        <w:rPr>
          <w:rFonts w:ascii="Roboto" w:eastAsia="Calibri" w:hAnsi="Roboto" w:cs="Arial"/>
          <w:bCs/>
          <w:i/>
          <w:iCs/>
          <w:color w:val="000000"/>
          <w:lang w:eastAsia="es-CR"/>
        </w:rPr>
        <w:t>“Artículo 8.  Autorización de Cuenta Oficial para Comunicados</w:t>
      </w:r>
    </w:p>
    <w:p w14:paraId="3D05A615" w14:textId="24AD8E4B" w:rsidR="00C66F70" w:rsidRPr="006D69C2" w:rsidRDefault="00C66F70" w:rsidP="006D69C2">
      <w:pPr>
        <w:jc w:val="both"/>
        <w:rPr>
          <w:rFonts w:ascii="Roboto" w:hAnsi="Roboto" w:cs="Arial"/>
          <w:i/>
          <w:iCs/>
          <w:sz w:val="20"/>
        </w:rPr>
      </w:pPr>
      <w:r w:rsidRPr="006D69C2">
        <w:rPr>
          <w:rFonts w:ascii="Roboto" w:eastAsia="Calibri" w:hAnsi="Roboto" w:cs="Arial"/>
          <w:bCs/>
          <w:i/>
          <w:iCs/>
          <w:color w:val="000000"/>
          <w:lang w:eastAsia="es-CR"/>
        </w:rPr>
        <w:t xml:space="preserve">La entidad regulada deberá especificar una cuenta oficial de correo electrónico para que SUGEVAL remita todos los comunicados que resulten de la operativa del MENDOCEL.  Esta cuenta debe ser genérica, no pertenecer a ningún funcionario en particular </w:t>
      </w:r>
      <w:r w:rsidRPr="006D69C2">
        <w:rPr>
          <w:rFonts w:ascii="Roboto" w:eastAsia="Calibri" w:hAnsi="Roboto" w:cs="Arial"/>
          <w:bCs/>
          <w:i/>
          <w:iCs/>
          <w:color w:val="000000" w:themeColor="text1"/>
          <w:lang w:eastAsia="es-CR"/>
        </w:rPr>
        <w:t>y puede ser, si así se desea, la cuenta asociada a los servicios de Ventanilla Virtual de SUGEVAL que el regulado ya esté utilizando.”</w:t>
      </w:r>
    </w:p>
    <w:p w14:paraId="3F4FC00F" w14:textId="0B54B851" w:rsidR="00C66F70" w:rsidRPr="00D54AA0" w:rsidRDefault="00C66F70" w:rsidP="00186B5D">
      <w:pPr>
        <w:jc w:val="both"/>
        <w:rPr>
          <w:rFonts w:ascii="Roboto" w:eastAsia="Calibri" w:hAnsi="Roboto" w:cs="Arial"/>
          <w:bCs/>
          <w:color w:val="000000"/>
          <w:lang w:eastAsia="es-CR"/>
        </w:rPr>
      </w:pPr>
      <w:r w:rsidRPr="004C2163">
        <w:rPr>
          <w:rFonts w:ascii="Roboto" w:eastAsia="Calibri" w:hAnsi="Roboto" w:cs="Arial"/>
          <w:b/>
          <w:color w:val="000000"/>
          <w:lang w:eastAsia="es-CR"/>
        </w:rPr>
        <w:t>Artículo 2.-</w:t>
      </w:r>
      <w:r w:rsidRPr="004C2163">
        <w:rPr>
          <w:rFonts w:ascii="Roboto" w:eastAsia="Calibri" w:hAnsi="Roboto" w:cs="Arial"/>
          <w:b/>
          <w:color w:val="000000"/>
          <w:lang w:eastAsia="es-CR"/>
        </w:rPr>
        <w:tab/>
      </w:r>
      <w:r w:rsidRPr="00D54AA0">
        <w:rPr>
          <w:rFonts w:ascii="Roboto" w:eastAsia="Calibri" w:hAnsi="Roboto" w:cs="Arial"/>
          <w:bCs/>
          <w:color w:val="000000"/>
          <w:lang w:eastAsia="es-CR"/>
        </w:rPr>
        <w:t>Modificar los artículos 5 y 6 del acuerdo SGV-A-257. Información Básica de las Entidades Reguladas y Supervisadas por la Superintendencia General de Valores, para que se lea de la siguiente manera:</w:t>
      </w:r>
    </w:p>
    <w:p w14:paraId="7187D2D7" w14:textId="77777777" w:rsidR="00C66F70" w:rsidRPr="006D69C2" w:rsidRDefault="00C66F70" w:rsidP="00186B5D">
      <w:pPr>
        <w:jc w:val="both"/>
        <w:rPr>
          <w:rFonts w:ascii="Roboto" w:eastAsia="Calibri" w:hAnsi="Roboto" w:cs="Arial"/>
          <w:bCs/>
          <w:i/>
          <w:iCs/>
          <w:color w:val="000000"/>
          <w:lang w:eastAsia="es-CR"/>
        </w:rPr>
      </w:pPr>
      <w:r w:rsidRPr="006D69C2">
        <w:rPr>
          <w:rFonts w:ascii="Roboto" w:eastAsia="Calibri" w:hAnsi="Roboto" w:cs="Arial"/>
          <w:bCs/>
          <w:i/>
          <w:iCs/>
          <w:color w:val="000000"/>
          <w:lang w:eastAsia="es-CR"/>
        </w:rPr>
        <w:t>“Artículo 5.</w:t>
      </w:r>
      <w:r w:rsidRPr="006D69C2">
        <w:rPr>
          <w:rFonts w:ascii="Roboto" w:eastAsia="Calibri" w:hAnsi="Roboto" w:cs="Arial"/>
          <w:bCs/>
          <w:i/>
          <w:iCs/>
          <w:color w:val="000000"/>
          <w:lang w:eastAsia="es-CR"/>
        </w:rPr>
        <w:tab/>
        <w:t>Puestos e instancias de control que deben ser revelados</w:t>
      </w:r>
    </w:p>
    <w:p w14:paraId="39A89659" w14:textId="31389376" w:rsidR="006D69C2" w:rsidRPr="006D69C2" w:rsidRDefault="00C66F70" w:rsidP="00186B5D">
      <w:pPr>
        <w:jc w:val="both"/>
        <w:rPr>
          <w:rFonts w:ascii="Roboto" w:eastAsia="Calibri" w:hAnsi="Roboto" w:cs="Arial"/>
          <w:bCs/>
          <w:i/>
          <w:iCs/>
          <w:color w:val="000000"/>
          <w:lang w:eastAsia="es-CR"/>
        </w:rPr>
      </w:pPr>
      <w:r w:rsidRPr="006D69C2">
        <w:rPr>
          <w:rFonts w:ascii="Roboto" w:eastAsia="Calibri" w:hAnsi="Roboto" w:cs="Arial"/>
          <w:bCs/>
          <w:i/>
          <w:iCs/>
          <w:color w:val="000000"/>
          <w:lang w:eastAsia="es-CR"/>
        </w:rPr>
        <w:t xml:space="preserve">Las entidades reguladas y supervisadas por la Superintendencia deben informar en los casos que corresponda, los requisitos que establezca la normativa acerca del nombramiento </w:t>
      </w:r>
      <w:r w:rsidRPr="006D69C2">
        <w:rPr>
          <w:rFonts w:ascii="Roboto" w:eastAsia="Calibri" w:hAnsi="Roboto" w:cs="Arial"/>
          <w:bCs/>
          <w:i/>
          <w:iCs/>
          <w:color w:val="000000"/>
          <w:lang w:eastAsia="es-CR"/>
        </w:rPr>
        <w:lastRenderedPageBreak/>
        <w:t>(permanente o temporal) así como cuando se deje de ocupar el cargo en la entidad o cese su designación, de los puestos o instancias de control indicados en el Anexo 1 a este acuerdo.</w:t>
      </w:r>
    </w:p>
    <w:p w14:paraId="7CE13761" w14:textId="139CA6FB" w:rsidR="00C66F70" w:rsidRPr="00D54AA0" w:rsidRDefault="00C66F70" w:rsidP="00186B5D">
      <w:pPr>
        <w:jc w:val="both"/>
        <w:rPr>
          <w:rFonts w:ascii="Roboto" w:eastAsia="Calibri" w:hAnsi="Roboto" w:cs="Arial"/>
          <w:bCs/>
          <w:color w:val="000000"/>
          <w:lang w:eastAsia="es-CR"/>
        </w:rPr>
      </w:pPr>
      <w:r w:rsidRPr="00D54AA0">
        <w:rPr>
          <w:rFonts w:ascii="Roboto" w:eastAsia="Calibri" w:hAnsi="Roboto" w:cs="Arial"/>
          <w:bCs/>
          <w:color w:val="000000"/>
          <w:lang w:eastAsia="es-CR"/>
        </w:rPr>
        <w:t>Para evitar duplicidades, en el caso de las entidades supervisadas por la Superintendencia de Entidades Financieras (</w:t>
      </w:r>
      <w:proofErr w:type="gramStart"/>
      <w:r w:rsidRPr="00D54AA0">
        <w:rPr>
          <w:rFonts w:ascii="Roboto" w:eastAsia="Calibri" w:hAnsi="Roboto" w:cs="Arial"/>
          <w:bCs/>
          <w:color w:val="000000"/>
          <w:lang w:eastAsia="es-CR"/>
        </w:rPr>
        <w:t>SUGEF)  que</w:t>
      </w:r>
      <w:proofErr w:type="gramEnd"/>
      <w:r w:rsidRPr="00D54AA0">
        <w:rPr>
          <w:rFonts w:ascii="Roboto" w:eastAsia="Calibri" w:hAnsi="Roboto" w:cs="Arial"/>
          <w:bCs/>
          <w:color w:val="000000"/>
          <w:lang w:eastAsia="es-CR"/>
        </w:rPr>
        <w:t xml:space="preserve"> ya ingresan información de Roles en </w:t>
      </w:r>
      <w:proofErr w:type="spellStart"/>
      <w:r w:rsidRPr="00D54AA0">
        <w:rPr>
          <w:rFonts w:ascii="Roboto" w:eastAsia="Calibri" w:hAnsi="Roboto" w:cs="Arial"/>
          <w:bCs/>
          <w:color w:val="000000"/>
          <w:lang w:eastAsia="es-CR"/>
        </w:rPr>
        <w:t>Sugef</w:t>
      </w:r>
      <w:proofErr w:type="spellEnd"/>
      <w:r w:rsidRPr="00D54AA0">
        <w:rPr>
          <w:rFonts w:ascii="Roboto" w:eastAsia="Calibri" w:hAnsi="Roboto" w:cs="Arial"/>
          <w:bCs/>
          <w:color w:val="000000"/>
          <w:lang w:eastAsia="es-CR"/>
        </w:rPr>
        <w:t xml:space="preserve"> Directo, solo deben ingresar en Roles de Sugeval directo información adicional al rol aplicable, de acuerdo a la actividad regulada por Sugeval”.</w:t>
      </w:r>
    </w:p>
    <w:p w14:paraId="638DCFB2" w14:textId="7BBEAC11" w:rsidR="00C66F70" w:rsidRPr="00D54AA0" w:rsidRDefault="00C66F70" w:rsidP="00186B5D">
      <w:pPr>
        <w:jc w:val="both"/>
        <w:rPr>
          <w:rFonts w:ascii="Roboto" w:eastAsia="Calibri" w:hAnsi="Roboto" w:cs="Arial"/>
          <w:bCs/>
          <w:color w:val="000000"/>
          <w:lang w:eastAsia="es-CR"/>
        </w:rPr>
      </w:pPr>
      <w:r w:rsidRPr="00D54AA0">
        <w:rPr>
          <w:rFonts w:ascii="Roboto" w:eastAsia="Calibri" w:hAnsi="Roboto" w:cs="Arial"/>
          <w:b/>
          <w:color w:val="000000"/>
          <w:lang w:eastAsia="es-CR"/>
        </w:rPr>
        <w:t>Se adiciona</w:t>
      </w:r>
      <w:r w:rsidRPr="00D54AA0">
        <w:rPr>
          <w:rFonts w:ascii="Roboto" w:eastAsia="Calibri" w:hAnsi="Roboto" w:cs="Arial"/>
          <w:bCs/>
          <w:color w:val="000000"/>
          <w:lang w:eastAsia="es-CR"/>
        </w:rPr>
        <w:t xml:space="preserve"> dentro del rol de </w:t>
      </w:r>
      <w:r w:rsidRPr="00D54AA0">
        <w:rPr>
          <w:rFonts w:ascii="Roboto" w:eastAsia="Calibri" w:hAnsi="Roboto" w:cs="Arial"/>
          <w:b/>
          <w:color w:val="000000"/>
          <w:lang w:eastAsia="es-CR"/>
        </w:rPr>
        <w:t xml:space="preserve">Puestos externos </w:t>
      </w:r>
      <w:r w:rsidRPr="00D54AA0">
        <w:rPr>
          <w:rFonts w:ascii="Roboto" w:eastAsia="Calibri" w:hAnsi="Roboto" w:cs="Arial"/>
          <w:bCs/>
          <w:color w:val="000000"/>
          <w:lang w:eastAsia="es-CR"/>
        </w:rPr>
        <w:t xml:space="preserve">el de Auditor LAFT y Auditor externo alternativo. </w:t>
      </w:r>
    </w:p>
    <w:p w14:paraId="5265CD35" w14:textId="77777777" w:rsidR="00C66F70" w:rsidRPr="00D54AA0" w:rsidRDefault="00C66F70" w:rsidP="00186B5D">
      <w:pPr>
        <w:jc w:val="both"/>
        <w:rPr>
          <w:rFonts w:ascii="Roboto" w:eastAsia="Calibri" w:hAnsi="Roboto" w:cs="Arial"/>
          <w:bCs/>
          <w:color w:val="000000"/>
          <w:lang w:eastAsia="es-CR"/>
        </w:rPr>
      </w:pPr>
      <w:r w:rsidRPr="00D54AA0">
        <w:rPr>
          <w:rFonts w:ascii="Roboto" w:eastAsia="Calibri" w:hAnsi="Roboto" w:cs="Arial"/>
          <w:b/>
          <w:color w:val="000000"/>
          <w:lang w:eastAsia="es-CR"/>
        </w:rPr>
        <w:t>Se adiciona</w:t>
      </w:r>
      <w:r w:rsidRPr="00D54AA0">
        <w:rPr>
          <w:rFonts w:ascii="Roboto" w:eastAsia="Calibri" w:hAnsi="Roboto" w:cs="Arial"/>
          <w:bCs/>
          <w:color w:val="000000"/>
          <w:lang w:eastAsia="es-CR"/>
        </w:rPr>
        <w:t xml:space="preserve"> dentro del rol </w:t>
      </w:r>
      <w:r w:rsidRPr="00D54AA0">
        <w:rPr>
          <w:rFonts w:ascii="Roboto" w:eastAsia="Calibri" w:hAnsi="Roboto" w:cs="Arial"/>
          <w:b/>
          <w:color w:val="000000"/>
          <w:lang w:eastAsia="es-CR"/>
        </w:rPr>
        <w:t>Otros Roles</w:t>
      </w:r>
      <w:r w:rsidRPr="00D54AA0">
        <w:rPr>
          <w:rFonts w:ascii="Roboto" w:eastAsia="Calibri" w:hAnsi="Roboto" w:cs="Arial"/>
          <w:bCs/>
          <w:color w:val="000000"/>
          <w:lang w:eastAsia="es-CR"/>
        </w:rPr>
        <w:t xml:space="preserve"> los siguientes:</w:t>
      </w:r>
    </w:p>
    <w:p w14:paraId="267E5986" w14:textId="77777777" w:rsidR="00C66F70" w:rsidRPr="00516DDF" w:rsidRDefault="00C66F70" w:rsidP="00C66F70">
      <w:pPr>
        <w:pStyle w:val="Prrafodelista"/>
        <w:numPr>
          <w:ilvl w:val="0"/>
          <w:numId w:val="10"/>
        </w:numPr>
        <w:jc w:val="both"/>
        <w:rPr>
          <w:rFonts w:ascii="Roboto" w:eastAsia="Calibri" w:hAnsi="Roboto" w:cs="Arial"/>
          <w:bCs/>
          <w:color w:val="000000"/>
          <w:sz w:val="24"/>
          <w:szCs w:val="24"/>
          <w:lang w:val="es-CR" w:eastAsia="es-CR"/>
        </w:rPr>
      </w:pPr>
      <w:r w:rsidRPr="00516DDF">
        <w:rPr>
          <w:rFonts w:ascii="Roboto" w:eastAsia="Calibri" w:hAnsi="Roboto" w:cs="Arial"/>
          <w:bCs/>
          <w:color w:val="000000"/>
          <w:sz w:val="24"/>
          <w:szCs w:val="24"/>
          <w:lang w:val="es-CR" w:eastAsia="es-CR"/>
        </w:rPr>
        <w:t>Firmador de información periódica.</w:t>
      </w:r>
    </w:p>
    <w:p w14:paraId="583D3967" w14:textId="77777777" w:rsidR="00C66F70" w:rsidRPr="00821A1A" w:rsidRDefault="00C66F70" w:rsidP="00C66F70">
      <w:pPr>
        <w:pStyle w:val="Prrafodelista"/>
        <w:numPr>
          <w:ilvl w:val="0"/>
          <w:numId w:val="10"/>
        </w:numPr>
        <w:jc w:val="both"/>
        <w:rPr>
          <w:rFonts w:ascii="Roboto" w:eastAsia="Calibri" w:hAnsi="Roboto" w:cs="Arial"/>
          <w:bCs/>
          <w:color w:val="000000"/>
          <w:sz w:val="24"/>
          <w:szCs w:val="24"/>
          <w:lang w:val="es-CR" w:eastAsia="es-CR"/>
        </w:rPr>
      </w:pPr>
      <w:r w:rsidRPr="00821A1A">
        <w:rPr>
          <w:rFonts w:ascii="Roboto" w:eastAsia="Calibri" w:hAnsi="Roboto" w:cs="Arial"/>
          <w:bCs/>
          <w:color w:val="000000"/>
          <w:sz w:val="24"/>
          <w:szCs w:val="24"/>
          <w:lang w:val="es-CR" w:eastAsia="es-CR"/>
        </w:rPr>
        <w:t>Firmador de mensajería de documentos.</w:t>
      </w:r>
    </w:p>
    <w:p w14:paraId="3FD00873" w14:textId="77777777" w:rsidR="00C66F70" w:rsidRPr="00821A1A" w:rsidRDefault="00C66F70" w:rsidP="00C66F70">
      <w:pPr>
        <w:pStyle w:val="Prrafodelista"/>
        <w:numPr>
          <w:ilvl w:val="0"/>
          <w:numId w:val="10"/>
        </w:numPr>
        <w:jc w:val="both"/>
        <w:rPr>
          <w:rFonts w:ascii="Roboto" w:eastAsia="Calibri" w:hAnsi="Roboto" w:cs="Arial"/>
          <w:bCs/>
          <w:color w:val="000000"/>
          <w:sz w:val="24"/>
          <w:szCs w:val="24"/>
          <w:lang w:eastAsia="es-CR"/>
        </w:rPr>
      </w:pPr>
      <w:proofErr w:type="spellStart"/>
      <w:r w:rsidRPr="00821A1A">
        <w:rPr>
          <w:rFonts w:ascii="Roboto" w:eastAsia="Calibri" w:hAnsi="Roboto" w:cs="Arial"/>
          <w:bCs/>
          <w:color w:val="000000"/>
          <w:sz w:val="24"/>
          <w:szCs w:val="24"/>
          <w:lang w:eastAsia="es-CR"/>
        </w:rPr>
        <w:t>Firmador</w:t>
      </w:r>
      <w:proofErr w:type="spellEnd"/>
      <w:r w:rsidRPr="00821A1A">
        <w:rPr>
          <w:rFonts w:ascii="Roboto" w:eastAsia="Calibri" w:hAnsi="Roboto" w:cs="Arial"/>
          <w:bCs/>
          <w:color w:val="000000"/>
          <w:sz w:val="24"/>
          <w:szCs w:val="24"/>
          <w:lang w:eastAsia="es-CR"/>
        </w:rPr>
        <w:t xml:space="preserve"> de </w:t>
      </w:r>
      <w:proofErr w:type="spellStart"/>
      <w:r w:rsidRPr="00821A1A">
        <w:rPr>
          <w:rFonts w:ascii="Roboto" w:eastAsia="Calibri" w:hAnsi="Roboto" w:cs="Arial"/>
          <w:bCs/>
          <w:color w:val="000000"/>
          <w:sz w:val="24"/>
          <w:szCs w:val="24"/>
          <w:lang w:eastAsia="es-CR"/>
        </w:rPr>
        <w:t>trámites</w:t>
      </w:r>
      <w:proofErr w:type="spellEnd"/>
      <w:r w:rsidRPr="00821A1A">
        <w:rPr>
          <w:rFonts w:ascii="Roboto" w:eastAsia="Calibri" w:hAnsi="Roboto" w:cs="Arial"/>
          <w:bCs/>
          <w:color w:val="000000"/>
          <w:sz w:val="24"/>
          <w:szCs w:val="24"/>
          <w:lang w:eastAsia="es-CR"/>
        </w:rPr>
        <w:t>.</w:t>
      </w:r>
    </w:p>
    <w:p w14:paraId="2AE0EA10" w14:textId="77777777" w:rsidR="00C66F70" w:rsidRPr="00821A1A" w:rsidRDefault="00C66F70" w:rsidP="00C66F70">
      <w:pPr>
        <w:pStyle w:val="Prrafodelista"/>
        <w:numPr>
          <w:ilvl w:val="0"/>
          <w:numId w:val="10"/>
        </w:numPr>
        <w:jc w:val="both"/>
        <w:rPr>
          <w:rFonts w:ascii="Roboto" w:eastAsia="Calibri" w:hAnsi="Roboto" w:cs="Arial"/>
          <w:bCs/>
          <w:color w:val="000000"/>
          <w:sz w:val="24"/>
          <w:szCs w:val="24"/>
          <w:lang w:eastAsia="es-CR"/>
        </w:rPr>
      </w:pPr>
      <w:proofErr w:type="spellStart"/>
      <w:r w:rsidRPr="00821A1A">
        <w:rPr>
          <w:rFonts w:ascii="Roboto" w:eastAsia="Calibri" w:hAnsi="Roboto" w:cs="Arial"/>
          <w:bCs/>
          <w:color w:val="000000"/>
          <w:sz w:val="24"/>
          <w:szCs w:val="24"/>
          <w:lang w:eastAsia="es-CR"/>
        </w:rPr>
        <w:t>Firmador</w:t>
      </w:r>
      <w:proofErr w:type="spellEnd"/>
      <w:r w:rsidRPr="00821A1A">
        <w:rPr>
          <w:rFonts w:ascii="Roboto" w:eastAsia="Calibri" w:hAnsi="Roboto" w:cs="Arial"/>
          <w:bCs/>
          <w:color w:val="000000"/>
          <w:sz w:val="24"/>
          <w:szCs w:val="24"/>
          <w:lang w:eastAsia="es-CR"/>
        </w:rPr>
        <w:t xml:space="preserve"> de </w:t>
      </w:r>
      <w:proofErr w:type="spellStart"/>
      <w:r w:rsidRPr="00821A1A">
        <w:rPr>
          <w:rFonts w:ascii="Roboto" w:eastAsia="Calibri" w:hAnsi="Roboto" w:cs="Arial"/>
          <w:bCs/>
          <w:color w:val="000000"/>
          <w:sz w:val="24"/>
          <w:szCs w:val="24"/>
          <w:lang w:eastAsia="es-CR"/>
        </w:rPr>
        <w:t>hechos</w:t>
      </w:r>
      <w:proofErr w:type="spellEnd"/>
      <w:r w:rsidRPr="00821A1A">
        <w:rPr>
          <w:rFonts w:ascii="Roboto" w:eastAsia="Calibri" w:hAnsi="Roboto" w:cs="Arial"/>
          <w:bCs/>
          <w:color w:val="000000"/>
          <w:sz w:val="24"/>
          <w:szCs w:val="24"/>
          <w:lang w:eastAsia="es-CR"/>
        </w:rPr>
        <w:t xml:space="preserve"> </w:t>
      </w:r>
      <w:proofErr w:type="spellStart"/>
      <w:r w:rsidRPr="00821A1A">
        <w:rPr>
          <w:rFonts w:ascii="Roboto" w:eastAsia="Calibri" w:hAnsi="Roboto" w:cs="Arial"/>
          <w:bCs/>
          <w:color w:val="000000"/>
          <w:sz w:val="24"/>
          <w:szCs w:val="24"/>
          <w:lang w:eastAsia="es-CR"/>
        </w:rPr>
        <w:t>relevantes</w:t>
      </w:r>
      <w:proofErr w:type="spellEnd"/>
      <w:r w:rsidRPr="00821A1A">
        <w:rPr>
          <w:rFonts w:ascii="Roboto" w:eastAsia="Calibri" w:hAnsi="Roboto" w:cs="Arial"/>
          <w:bCs/>
          <w:color w:val="000000"/>
          <w:sz w:val="24"/>
          <w:szCs w:val="24"/>
          <w:lang w:eastAsia="es-CR"/>
        </w:rPr>
        <w:t>.</w:t>
      </w:r>
    </w:p>
    <w:p w14:paraId="118029D4" w14:textId="77777777" w:rsidR="00C66F70" w:rsidRPr="00D54AA0" w:rsidRDefault="00C66F70" w:rsidP="00186B5D">
      <w:pPr>
        <w:jc w:val="both"/>
        <w:rPr>
          <w:rFonts w:ascii="Roboto" w:eastAsia="Calibri" w:hAnsi="Roboto" w:cs="Arial"/>
          <w:bCs/>
          <w:color w:val="000000"/>
          <w:lang w:eastAsia="es-CR"/>
        </w:rPr>
      </w:pPr>
    </w:p>
    <w:p w14:paraId="0721DAC5" w14:textId="5CDC13EA" w:rsidR="00C66F70" w:rsidRPr="00D54AA0" w:rsidRDefault="00C66F70" w:rsidP="00186B5D">
      <w:pPr>
        <w:jc w:val="both"/>
        <w:rPr>
          <w:rFonts w:ascii="Roboto" w:eastAsia="Calibri" w:hAnsi="Roboto" w:cs="Arial"/>
          <w:bCs/>
          <w:color w:val="000000"/>
          <w:lang w:eastAsia="es-CR"/>
        </w:rPr>
      </w:pPr>
      <w:r w:rsidRPr="00D54AA0">
        <w:rPr>
          <w:rFonts w:ascii="Roboto" w:eastAsia="Calibri" w:hAnsi="Roboto" w:cs="Arial"/>
          <w:b/>
          <w:color w:val="000000"/>
          <w:lang w:eastAsia="es-CR"/>
        </w:rPr>
        <w:t>Se adiciona</w:t>
      </w:r>
      <w:r w:rsidRPr="00D54AA0">
        <w:rPr>
          <w:rFonts w:ascii="Roboto" w:eastAsia="Calibri" w:hAnsi="Roboto" w:cs="Arial"/>
          <w:bCs/>
          <w:color w:val="000000"/>
          <w:lang w:eastAsia="es-CR"/>
        </w:rPr>
        <w:t xml:space="preserve"> dentro del rol </w:t>
      </w:r>
      <w:r w:rsidRPr="00D54AA0">
        <w:rPr>
          <w:rFonts w:ascii="Roboto" w:eastAsia="Calibri" w:hAnsi="Roboto" w:cs="Arial"/>
          <w:b/>
          <w:color w:val="000000"/>
          <w:lang w:eastAsia="es-CR"/>
        </w:rPr>
        <w:t>Cumplimiento legal y regulatorio</w:t>
      </w:r>
      <w:r w:rsidRPr="00D54AA0">
        <w:rPr>
          <w:rFonts w:ascii="Roboto" w:eastAsia="Calibri" w:hAnsi="Roboto" w:cs="Arial"/>
          <w:bCs/>
          <w:color w:val="000000"/>
          <w:lang w:eastAsia="es-CR"/>
        </w:rPr>
        <w:t xml:space="preserve"> el rol Contacto sistema de supervisión. </w:t>
      </w:r>
    </w:p>
    <w:p w14:paraId="790B7191" w14:textId="01F4EF13" w:rsidR="00C66F70" w:rsidRPr="00D54AA0" w:rsidRDefault="00C66F70" w:rsidP="00186B5D">
      <w:pPr>
        <w:jc w:val="both"/>
        <w:rPr>
          <w:rFonts w:ascii="Roboto" w:eastAsia="Calibri" w:hAnsi="Roboto" w:cs="Arial"/>
          <w:bCs/>
          <w:color w:val="000000"/>
          <w:lang w:eastAsia="es-CR"/>
        </w:rPr>
      </w:pPr>
      <w:r w:rsidRPr="00D54AA0">
        <w:rPr>
          <w:rFonts w:ascii="Roboto" w:eastAsia="Calibri" w:hAnsi="Roboto" w:cs="Arial"/>
          <w:b/>
          <w:color w:val="000000"/>
          <w:lang w:eastAsia="es-CR"/>
        </w:rPr>
        <w:t>Se adiciona</w:t>
      </w:r>
      <w:r w:rsidRPr="00D54AA0">
        <w:rPr>
          <w:rFonts w:ascii="Roboto" w:eastAsia="Calibri" w:hAnsi="Roboto" w:cs="Arial"/>
          <w:bCs/>
          <w:color w:val="000000"/>
          <w:lang w:eastAsia="es-CR"/>
        </w:rPr>
        <w:t xml:space="preserve"> dentro del rol </w:t>
      </w:r>
      <w:r w:rsidRPr="00D54AA0">
        <w:rPr>
          <w:rFonts w:ascii="Roboto" w:eastAsia="Calibri" w:hAnsi="Roboto" w:cs="Arial"/>
          <w:b/>
          <w:color w:val="000000"/>
          <w:lang w:eastAsia="es-CR"/>
        </w:rPr>
        <w:t>Comité de Inversiones</w:t>
      </w:r>
      <w:r w:rsidRPr="00D54AA0">
        <w:rPr>
          <w:rFonts w:ascii="Roboto" w:eastAsia="Calibri" w:hAnsi="Roboto" w:cs="Arial"/>
          <w:bCs/>
          <w:color w:val="000000"/>
          <w:lang w:eastAsia="es-CR"/>
        </w:rPr>
        <w:t xml:space="preserve"> el rol Representante de los inversionistas. </w:t>
      </w:r>
    </w:p>
    <w:p w14:paraId="65F9C0B6" w14:textId="2C845111" w:rsidR="00C66F70" w:rsidRPr="00D54AA0" w:rsidRDefault="00C66F70" w:rsidP="00186B5D">
      <w:pPr>
        <w:jc w:val="both"/>
        <w:rPr>
          <w:rFonts w:ascii="Roboto" w:eastAsia="Calibri" w:hAnsi="Roboto" w:cs="Arial"/>
          <w:bCs/>
          <w:color w:val="000000"/>
          <w:lang w:eastAsia="es-CR"/>
        </w:rPr>
      </w:pPr>
      <w:r w:rsidRPr="00D54AA0">
        <w:rPr>
          <w:rFonts w:ascii="Roboto" w:eastAsia="Calibri" w:hAnsi="Roboto" w:cs="Arial"/>
          <w:b/>
          <w:color w:val="000000"/>
          <w:lang w:eastAsia="es-CR"/>
        </w:rPr>
        <w:t>Se modifica</w:t>
      </w:r>
      <w:r w:rsidRPr="00D54AA0">
        <w:rPr>
          <w:rFonts w:ascii="Roboto" w:eastAsia="Calibri" w:hAnsi="Roboto" w:cs="Arial"/>
          <w:bCs/>
          <w:color w:val="000000"/>
          <w:lang w:eastAsia="es-CR"/>
        </w:rPr>
        <w:t xml:space="preserve"> el nombre de los siguientes roles que se agrupan en </w:t>
      </w:r>
      <w:r w:rsidRPr="00D54AA0">
        <w:rPr>
          <w:rFonts w:ascii="Roboto" w:eastAsia="Calibri" w:hAnsi="Roboto" w:cs="Arial"/>
          <w:b/>
          <w:color w:val="000000"/>
          <w:lang w:eastAsia="es-CR"/>
        </w:rPr>
        <w:t>Gestor de Portafolio</w:t>
      </w:r>
      <w:r w:rsidRPr="00D54AA0">
        <w:rPr>
          <w:rFonts w:ascii="Roboto" w:eastAsia="Calibri" w:hAnsi="Roboto" w:cs="Arial"/>
          <w:bCs/>
          <w:color w:val="000000"/>
          <w:lang w:eastAsia="es-CR"/>
        </w:rPr>
        <w:t xml:space="preserve">, para que se lea de la siguiente manera: Gestor de cartera privada por “Gestor de cartera de oferta privada titular” y Gestor de cartera de oferta pública por “Gestor de cartera de oferta pública titular”. </w:t>
      </w:r>
    </w:p>
    <w:p w14:paraId="266F2F8B" w14:textId="6B26D69D" w:rsidR="00C66F70" w:rsidRPr="00D54AA0" w:rsidRDefault="00C66F70" w:rsidP="00186B5D">
      <w:pPr>
        <w:jc w:val="both"/>
        <w:rPr>
          <w:rFonts w:ascii="Roboto" w:eastAsia="Calibri" w:hAnsi="Roboto" w:cs="Arial"/>
          <w:bCs/>
          <w:color w:val="000000"/>
          <w:lang w:eastAsia="es-CR"/>
        </w:rPr>
      </w:pPr>
      <w:r w:rsidRPr="00D54AA0">
        <w:rPr>
          <w:rFonts w:ascii="Roboto" w:eastAsia="Calibri" w:hAnsi="Roboto" w:cs="Arial"/>
          <w:b/>
          <w:color w:val="000000"/>
          <w:lang w:eastAsia="es-CR"/>
        </w:rPr>
        <w:t>Se adicionan</w:t>
      </w:r>
      <w:r w:rsidRPr="00D54AA0">
        <w:rPr>
          <w:rFonts w:ascii="Roboto" w:eastAsia="Calibri" w:hAnsi="Roboto" w:cs="Arial"/>
          <w:bCs/>
          <w:color w:val="000000"/>
          <w:lang w:eastAsia="es-CR"/>
        </w:rPr>
        <w:t xml:space="preserve"> dentro del rol </w:t>
      </w:r>
      <w:r w:rsidRPr="00D54AA0">
        <w:rPr>
          <w:rFonts w:ascii="Roboto" w:eastAsia="Calibri" w:hAnsi="Roboto" w:cs="Arial"/>
          <w:b/>
          <w:color w:val="000000"/>
          <w:lang w:eastAsia="es-CR"/>
        </w:rPr>
        <w:t>Gestor de Portafolio</w:t>
      </w:r>
      <w:r w:rsidRPr="00D54AA0">
        <w:rPr>
          <w:rFonts w:ascii="Roboto" w:eastAsia="Calibri" w:hAnsi="Roboto" w:cs="Arial"/>
          <w:bCs/>
          <w:color w:val="000000"/>
          <w:lang w:eastAsia="es-CR"/>
        </w:rPr>
        <w:t xml:space="preserve"> los roles </w:t>
      </w:r>
      <w:proofErr w:type="gramStart"/>
      <w:r w:rsidRPr="00D54AA0">
        <w:rPr>
          <w:rFonts w:ascii="Roboto" w:eastAsia="Calibri" w:hAnsi="Roboto" w:cs="Arial"/>
          <w:bCs/>
          <w:color w:val="000000"/>
          <w:lang w:eastAsia="es-CR"/>
        </w:rPr>
        <w:t>de  “</w:t>
      </w:r>
      <w:proofErr w:type="gramEnd"/>
      <w:r w:rsidRPr="00D54AA0">
        <w:rPr>
          <w:rFonts w:ascii="Roboto" w:eastAsia="Calibri" w:hAnsi="Roboto" w:cs="Arial"/>
          <w:bCs/>
          <w:color w:val="000000"/>
          <w:lang w:eastAsia="es-CR"/>
        </w:rPr>
        <w:t xml:space="preserve">Gestor de cartera de oferta privada suplente” y “Gestor de cartera de oferta pública suplente”. </w:t>
      </w:r>
    </w:p>
    <w:p w14:paraId="449FB1AC" w14:textId="4C0422EB" w:rsidR="00C66F70" w:rsidRDefault="00C66F70" w:rsidP="00186B5D">
      <w:pPr>
        <w:jc w:val="both"/>
        <w:rPr>
          <w:rFonts w:ascii="Roboto" w:eastAsia="Calibri" w:hAnsi="Roboto" w:cs="Arial"/>
          <w:bCs/>
          <w:color w:val="000000"/>
          <w:lang w:eastAsia="es-CR"/>
        </w:rPr>
      </w:pPr>
      <w:r w:rsidRPr="00D54AA0">
        <w:rPr>
          <w:rFonts w:ascii="Roboto" w:eastAsia="Calibri" w:hAnsi="Roboto" w:cs="Arial"/>
          <w:b/>
          <w:color w:val="000000"/>
          <w:lang w:eastAsia="es-CR"/>
        </w:rPr>
        <w:t>Se elimina</w:t>
      </w:r>
      <w:r w:rsidRPr="00D54AA0">
        <w:rPr>
          <w:rFonts w:ascii="Roboto" w:eastAsia="Calibri" w:hAnsi="Roboto" w:cs="Arial"/>
          <w:bCs/>
          <w:color w:val="000000"/>
          <w:lang w:eastAsia="es-CR"/>
        </w:rPr>
        <w:t xml:space="preserve"> como rol </w:t>
      </w:r>
      <w:r w:rsidRPr="00D54AA0">
        <w:rPr>
          <w:rFonts w:ascii="Roboto" w:eastAsia="Calibri" w:hAnsi="Roboto" w:cs="Arial"/>
          <w:b/>
          <w:color w:val="000000"/>
          <w:lang w:eastAsia="es-CR"/>
        </w:rPr>
        <w:t>Aprobador de Roles</w:t>
      </w:r>
      <w:r w:rsidRPr="00D54AA0">
        <w:rPr>
          <w:rFonts w:ascii="Roboto" w:eastAsia="Calibri" w:hAnsi="Roboto" w:cs="Arial"/>
          <w:bCs/>
          <w:color w:val="000000"/>
          <w:lang w:eastAsia="es-CR"/>
        </w:rPr>
        <w:t>.</w:t>
      </w:r>
    </w:p>
    <w:bookmarkStart w:id="1" w:name="_MON_1792235209"/>
    <w:bookmarkEnd w:id="1"/>
    <w:p w14:paraId="09A2BE52" w14:textId="61416DFD" w:rsidR="00C66F70" w:rsidRPr="00D54AA0" w:rsidRDefault="00E2742F" w:rsidP="00186B5D">
      <w:pPr>
        <w:jc w:val="both"/>
        <w:rPr>
          <w:rFonts w:ascii="Roboto" w:eastAsia="Calibri" w:hAnsi="Roboto" w:cs="Arial"/>
          <w:bCs/>
          <w:color w:val="000000"/>
          <w:lang w:eastAsia="es-CR"/>
        </w:rPr>
      </w:pPr>
      <w:r>
        <w:object w:dxaOrig="1810" w:dyaOrig="1181" w14:anchorId="36C11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59.5pt" o:ole="">
            <v:imagedata r:id="rId11" o:title=""/>
          </v:shape>
          <o:OLEObject Type="Embed" ProgID="Excel.Sheet.12" ShapeID="_x0000_i1025" DrawAspect="Icon" ObjectID="_1808199110" r:id="rId12"/>
        </w:object>
      </w:r>
    </w:p>
    <w:p w14:paraId="436BFEFE" w14:textId="77777777" w:rsidR="00C66F70" w:rsidRPr="00D54AA0" w:rsidRDefault="00C66F70" w:rsidP="00186B5D">
      <w:pPr>
        <w:jc w:val="both"/>
        <w:rPr>
          <w:rFonts w:ascii="Roboto" w:eastAsia="Calibri" w:hAnsi="Roboto" w:cs="Arial"/>
          <w:bCs/>
          <w:color w:val="000000"/>
          <w:lang w:eastAsia="es-CR"/>
        </w:rPr>
      </w:pPr>
      <w:r w:rsidRPr="00D54AA0">
        <w:rPr>
          <w:rFonts w:ascii="Roboto" w:eastAsia="Calibri" w:hAnsi="Roboto" w:cs="Arial"/>
          <w:bCs/>
          <w:color w:val="000000"/>
          <w:lang w:eastAsia="es-CR"/>
        </w:rPr>
        <w:t>“Artículo 6.</w:t>
      </w:r>
      <w:r w:rsidRPr="00D54AA0">
        <w:rPr>
          <w:rFonts w:ascii="Roboto" w:eastAsia="Calibri" w:hAnsi="Roboto" w:cs="Arial"/>
          <w:bCs/>
          <w:color w:val="000000"/>
          <w:lang w:eastAsia="es-CR"/>
        </w:rPr>
        <w:tab/>
        <w:t>Declaraciones</w:t>
      </w:r>
    </w:p>
    <w:p w14:paraId="3A1ABD7F" w14:textId="55BC8223" w:rsidR="00C66F70" w:rsidRPr="00D54AA0" w:rsidRDefault="00C66F70" w:rsidP="00186B5D">
      <w:pPr>
        <w:jc w:val="both"/>
        <w:rPr>
          <w:rFonts w:ascii="Roboto" w:eastAsia="Calibri" w:hAnsi="Roboto" w:cs="Arial"/>
          <w:bCs/>
          <w:color w:val="000000"/>
          <w:lang w:eastAsia="es-CR"/>
        </w:rPr>
      </w:pPr>
      <w:r w:rsidRPr="00D54AA0">
        <w:rPr>
          <w:rFonts w:ascii="Roboto" w:eastAsia="Calibri" w:hAnsi="Roboto" w:cs="Arial"/>
          <w:bCs/>
          <w:color w:val="000000"/>
          <w:lang w:eastAsia="es-CR"/>
        </w:rPr>
        <w:t xml:space="preserve">Algunos de los roles ingresados al sistema deberán completar información de los aspectos que se detallan a continuación: </w:t>
      </w:r>
    </w:p>
    <w:p w14:paraId="2EE4905F" w14:textId="77777777" w:rsidR="00C66F70" w:rsidRPr="00D54AA0" w:rsidRDefault="00C66F70" w:rsidP="00C66F70">
      <w:pPr>
        <w:pStyle w:val="Prrafodelista"/>
        <w:numPr>
          <w:ilvl w:val="0"/>
          <w:numId w:val="11"/>
        </w:numPr>
        <w:jc w:val="both"/>
        <w:rPr>
          <w:rFonts w:ascii="Roboto" w:eastAsia="Calibri" w:hAnsi="Roboto" w:cs="Arial"/>
          <w:bCs/>
          <w:color w:val="000000"/>
          <w:sz w:val="24"/>
          <w:szCs w:val="24"/>
          <w:lang w:val="es-CR" w:eastAsia="es-CR"/>
        </w:rPr>
      </w:pPr>
      <w:r w:rsidRPr="00D54AA0">
        <w:rPr>
          <w:rFonts w:ascii="Roboto" w:eastAsia="Calibri" w:hAnsi="Roboto" w:cs="Arial"/>
          <w:b/>
          <w:color w:val="000000"/>
          <w:sz w:val="24"/>
          <w:szCs w:val="24"/>
          <w:lang w:val="es-CR" w:eastAsia="es-CR"/>
        </w:rPr>
        <w:t>Formación académica:</w:t>
      </w:r>
      <w:r w:rsidRPr="00D54AA0">
        <w:rPr>
          <w:rFonts w:ascii="Roboto" w:eastAsia="Calibri" w:hAnsi="Roboto" w:cs="Arial"/>
          <w:bCs/>
          <w:color w:val="000000"/>
          <w:sz w:val="24"/>
          <w:szCs w:val="24"/>
          <w:lang w:val="es-CR" w:eastAsia="es-CR"/>
        </w:rPr>
        <w:t xml:space="preserve"> Se relaciona con aspectos generales de los títulos académicos obtenidos por el Rol respectivo.</w:t>
      </w:r>
    </w:p>
    <w:p w14:paraId="1183612F" w14:textId="77777777" w:rsidR="00C66F70" w:rsidRPr="00D54AA0" w:rsidRDefault="00C66F70" w:rsidP="00C66F70">
      <w:pPr>
        <w:pStyle w:val="Prrafodelista"/>
        <w:numPr>
          <w:ilvl w:val="0"/>
          <w:numId w:val="11"/>
        </w:numPr>
        <w:jc w:val="both"/>
        <w:rPr>
          <w:rFonts w:ascii="Roboto" w:eastAsia="Calibri" w:hAnsi="Roboto" w:cs="Arial"/>
          <w:bCs/>
          <w:color w:val="000000"/>
          <w:sz w:val="24"/>
          <w:szCs w:val="24"/>
          <w:lang w:val="es-CR" w:eastAsia="es-CR"/>
        </w:rPr>
      </w:pPr>
      <w:r w:rsidRPr="00D54AA0">
        <w:rPr>
          <w:rFonts w:ascii="Roboto" w:eastAsia="Calibri" w:hAnsi="Roboto" w:cs="Arial"/>
          <w:b/>
          <w:color w:val="000000"/>
          <w:sz w:val="24"/>
          <w:szCs w:val="24"/>
          <w:lang w:val="es-CR" w:eastAsia="es-CR"/>
        </w:rPr>
        <w:t>Formación especializada:</w:t>
      </w:r>
      <w:r w:rsidRPr="00D54AA0">
        <w:rPr>
          <w:rFonts w:ascii="Roboto" w:eastAsia="Calibri" w:hAnsi="Roboto" w:cs="Arial"/>
          <w:bCs/>
          <w:color w:val="000000"/>
          <w:sz w:val="24"/>
          <w:szCs w:val="24"/>
          <w:lang w:val="es-CR" w:eastAsia="es-CR"/>
        </w:rPr>
        <w:t xml:space="preserve"> Corresponde a la formación especializada que tiene el Rol respectivo y que se relaciona con las funciones desarrolladas.</w:t>
      </w:r>
    </w:p>
    <w:p w14:paraId="7834054A" w14:textId="77777777" w:rsidR="00C66F70" w:rsidRPr="00D54AA0" w:rsidRDefault="00C66F70" w:rsidP="00C66F70">
      <w:pPr>
        <w:pStyle w:val="Prrafodelista"/>
        <w:numPr>
          <w:ilvl w:val="0"/>
          <w:numId w:val="11"/>
        </w:numPr>
        <w:jc w:val="both"/>
        <w:rPr>
          <w:rFonts w:ascii="Roboto" w:eastAsia="Calibri" w:hAnsi="Roboto" w:cs="Arial"/>
          <w:bCs/>
          <w:color w:val="000000"/>
          <w:sz w:val="24"/>
          <w:szCs w:val="24"/>
          <w:lang w:val="es-CR" w:eastAsia="es-CR"/>
        </w:rPr>
      </w:pPr>
      <w:r w:rsidRPr="00D54AA0">
        <w:rPr>
          <w:rFonts w:ascii="Roboto" w:eastAsia="Calibri" w:hAnsi="Roboto" w:cs="Arial"/>
          <w:b/>
          <w:color w:val="000000"/>
          <w:sz w:val="24"/>
          <w:szCs w:val="24"/>
          <w:lang w:val="es-CR" w:eastAsia="es-CR"/>
        </w:rPr>
        <w:lastRenderedPageBreak/>
        <w:t>Historial laboral:</w:t>
      </w:r>
      <w:r w:rsidRPr="00D54AA0">
        <w:rPr>
          <w:rFonts w:ascii="Roboto" w:eastAsia="Calibri" w:hAnsi="Roboto" w:cs="Arial"/>
          <w:bCs/>
          <w:color w:val="000000"/>
          <w:sz w:val="24"/>
          <w:szCs w:val="24"/>
          <w:lang w:val="es-CR" w:eastAsia="es-CR"/>
        </w:rPr>
        <w:t xml:space="preserve"> Se refiere al detalle de las últimas experiencias laborales del Rol donde se incluye información general del puesto y el periodo durante el cual se desarrolló.</w:t>
      </w:r>
    </w:p>
    <w:p w14:paraId="7EBBD114" w14:textId="77777777" w:rsidR="00C66F70" w:rsidRPr="007F61F7" w:rsidRDefault="00C66F70" w:rsidP="00C66F70">
      <w:pPr>
        <w:pStyle w:val="Prrafodelista"/>
        <w:numPr>
          <w:ilvl w:val="0"/>
          <w:numId w:val="11"/>
        </w:numPr>
        <w:jc w:val="both"/>
        <w:rPr>
          <w:rFonts w:ascii="Roboto" w:eastAsia="Calibri" w:hAnsi="Roboto" w:cs="Arial"/>
          <w:bCs/>
          <w:color w:val="000000"/>
          <w:sz w:val="24"/>
          <w:szCs w:val="24"/>
          <w:lang w:val="es-CR" w:eastAsia="es-CR"/>
        </w:rPr>
      </w:pPr>
      <w:r w:rsidRPr="00D54AA0">
        <w:rPr>
          <w:rFonts w:ascii="Roboto" w:eastAsia="Calibri" w:hAnsi="Roboto" w:cs="Arial"/>
          <w:b/>
          <w:color w:val="000000"/>
          <w:sz w:val="24"/>
          <w:szCs w:val="24"/>
          <w:lang w:val="es-CR" w:eastAsia="es-CR"/>
        </w:rPr>
        <w:t>Antecedentes disciplinarios y judiciales:</w:t>
      </w:r>
      <w:r w:rsidRPr="00D54AA0">
        <w:rPr>
          <w:rFonts w:ascii="Roboto" w:eastAsia="Calibri" w:hAnsi="Roboto" w:cs="Arial"/>
          <w:bCs/>
          <w:color w:val="000000"/>
          <w:sz w:val="24"/>
          <w:szCs w:val="24"/>
          <w:lang w:val="es-CR" w:eastAsia="es-CR"/>
        </w:rPr>
        <w:t xml:space="preserve"> Corresponde a una serie de preguntas de respuesta cerrada, sobre algunos antecedentes penales del Rol respectivo. </w:t>
      </w:r>
      <w:r w:rsidRPr="007F61F7">
        <w:rPr>
          <w:rFonts w:ascii="Roboto" w:eastAsia="Calibri" w:hAnsi="Roboto" w:cs="Arial"/>
          <w:bCs/>
          <w:color w:val="000000"/>
          <w:sz w:val="24"/>
          <w:szCs w:val="24"/>
          <w:lang w:val="es-CR" w:eastAsia="es-CR"/>
        </w:rPr>
        <w:t>Para los casos afirmativos se debe incluir las observaciones respectivas.</w:t>
      </w:r>
    </w:p>
    <w:p w14:paraId="69AF07C9" w14:textId="3BD960B7" w:rsidR="00C66F70" w:rsidRPr="00D54AA0" w:rsidRDefault="00C66F70" w:rsidP="00186B5D">
      <w:pPr>
        <w:jc w:val="both"/>
        <w:rPr>
          <w:rFonts w:ascii="Roboto" w:eastAsia="Calibri" w:hAnsi="Roboto" w:cs="Arial"/>
          <w:bCs/>
          <w:color w:val="000000"/>
          <w:lang w:eastAsia="es-CR"/>
        </w:rPr>
      </w:pPr>
      <w:r w:rsidRPr="00D54AA0">
        <w:rPr>
          <w:rFonts w:ascii="Roboto" w:eastAsia="Calibri" w:hAnsi="Roboto" w:cs="Arial"/>
          <w:b/>
          <w:color w:val="000000"/>
          <w:lang w:eastAsia="es-CR"/>
        </w:rPr>
        <w:t>Se incluyen</w:t>
      </w:r>
      <w:r w:rsidRPr="00D54AA0">
        <w:rPr>
          <w:rFonts w:ascii="Roboto" w:eastAsia="Calibri" w:hAnsi="Roboto" w:cs="Arial"/>
          <w:bCs/>
          <w:color w:val="000000"/>
          <w:lang w:eastAsia="es-CR"/>
        </w:rPr>
        <w:t xml:space="preserve"> como declarantes dentro del tipo de rol </w:t>
      </w:r>
      <w:r w:rsidRPr="00D54AA0">
        <w:rPr>
          <w:rFonts w:ascii="Roboto" w:eastAsia="Calibri" w:hAnsi="Roboto" w:cs="Arial"/>
          <w:b/>
          <w:color w:val="000000"/>
          <w:lang w:eastAsia="es-CR"/>
        </w:rPr>
        <w:t>Gestor de Portafolio</w:t>
      </w:r>
      <w:r w:rsidRPr="00D54AA0">
        <w:rPr>
          <w:rFonts w:ascii="Roboto" w:eastAsia="Calibri" w:hAnsi="Roboto" w:cs="Arial"/>
          <w:bCs/>
          <w:color w:val="000000"/>
          <w:lang w:eastAsia="es-CR"/>
        </w:rPr>
        <w:t xml:space="preserve"> los roles de “Gestor de cartera de oferta privada suplente” y “Gestor de cartera de oferta pública suplente”. </w:t>
      </w:r>
    </w:p>
    <w:p w14:paraId="4B41C644" w14:textId="1D602AD1" w:rsidR="00C66F70" w:rsidRPr="006D69C2" w:rsidRDefault="00C66F70" w:rsidP="006D69C2">
      <w:pPr>
        <w:jc w:val="both"/>
        <w:rPr>
          <w:rFonts w:ascii="Roboto" w:eastAsia="Calibri" w:hAnsi="Roboto" w:cs="Arial"/>
          <w:bCs/>
          <w:color w:val="000000"/>
          <w:lang w:eastAsia="es-CR"/>
        </w:rPr>
      </w:pPr>
      <w:r w:rsidRPr="00D54AA0">
        <w:rPr>
          <w:rFonts w:ascii="Roboto" w:eastAsia="Calibri" w:hAnsi="Roboto" w:cs="Arial"/>
          <w:b/>
          <w:color w:val="000000"/>
          <w:lang w:eastAsia="es-CR"/>
        </w:rPr>
        <w:t>Se elimina</w:t>
      </w:r>
      <w:r w:rsidRPr="00D54AA0">
        <w:rPr>
          <w:rFonts w:ascii="Roboto" w:eastAsia="Calibri" w:hAnsi="Roboto" w:cs="Arial"/>
          <w:bCs/>
          <w:color w:val="000000"/>
          <w:lang w:eastAsia="es-CR"/>
        </w:rPr>
        <w:t xml:space="preserve"> como declarante dentro del rol de </w:t>
      </w:r>
      <w:r w:rsidRPr="00D54AA0">
        <w:rPr>
          <w:rFonts w:ascii="Roboto" w:eastAsia="Calibri" w:hAnsi="Roboto" w:cs="Arial"/>
          <w:b/>
          <w:color w:val="000000"/>
          <w:lang w:eastAsia="es-CR"/>
        </w:rPr>
        <w:t>Alta Gerencia</w:t>
      </w:r>
      <w:r w:rsidRPr="00D54AA0">
        <w:rPr>
          <w:rFonts w:ascii="Roboto" w:eastAsia="Calibri" w:hAnsi="Roboto" w:cs="Arial"/>
          <w:bCs/>
          <w:color w:val="000000"/>
          <w:lang w:eastAsia="es-CR"/>
        </w:rPr>
        <w:t xml:space="preserve"> el relacionado con “Otro puesto gerencial (</w:t>
      </w:r>
      <w:proofErr w:type="gramStart"/>
      <w:r w:rsidRPr="00D54AA0">
        <w:rPr>
          <w:rFonts w:ascii="Roboto" w:eastAsia="Calibri" w:hAnsi="Roboto" w:cs="Arial"/>
          <w:bCs/>
          <w:color w:val="000000"/>
          <w:lang w:eastAsia="es-CR"/>
        </w:rPr>
        <w:t>Director</w:t>
      </w:r>
      <w:proofErr w:type="gramEnd"/>
      <w:r w:rsidRPr="00D54AA0">
        <w:rPr>
          <w:rFonts w:ascii="Roboto" w:eastAsia="Calibri" w:hAnsi="Roboto" w:cs="Arial"/>
          <w:bCs/>
          <w:color w:val="000000"/>
          <w:lang w:eastAsia="es-CR"/>
        </w:rPr>
        <w:t>).</w:t>
      </w:r>
    </w:p>
    <w:p w14:paraId="40EDDA37" w14:textId="4E4ED9D2" w:rsidR="00C66F70" w:rsidRDefault="00C66F70" w:rsidP="00186B5D">
      <w:pPr>
        <w:jc w:val="both"/>
        <w:rPr>
          <w:rFonts w:ascii="Roboto" w:eastAsia="Calibri" w:hAnsi="Roboto" w:cs="Arial"/>
          <w:bCs/>
          <w:color w:val="000000"/>
          <w:lang w:eastAsia="es-CR"/>
        </w:rPr>
      </w:pPr>
      <w:bookmarkStart w:id="2" w:name="_Hlk182921674"/>
      <w:r w:rsidRPr="00D54AA0">
        <w:rPr>
          <w:rFonts w:ascii="Roboto" w:eastAsia="Calibri" w:hAnsi="Roboto" w:cs="Arial"/>
          <w:bCs/>
          <w:color w:val="000000"/>
          <w:lang w:eastAsia="es-CR"/>
        </w:rPr>
        <w:t>En el Anexo 2 se detallan los Roles que deben llenar la declaración jurada, así como las secciones que se deben completar para los roles que conforman los puestos o instancias de control.”</w:t>
      </w:r>
    </w:p>
    <w:bookmarkEnd w:id="2"/>
    <w:bookmarkStart w:id="3" w:name="_MON_1792234709"/>
    <w:bookmarkEnd w:id="3"/>
    <w:p w14:paraId="2FA37B31" w14:textId="41E7D646" w:rsidR="006D69C2" w:rsidRPr="006D69C2" w:rsidRDefault="00E2742F" w:rsidP="006D69C2">
      <w:pPr>
        <w:jc w:val="both"/>
        <w:rPr>
          <w:rFonts w:ascii="Roboto" w:eastAsia="Calibri" w:hAnsi="Roboto" w:cs="Arial"/>
          <w:bCs/>
          <w:color w:val="000000"/>
          <w:lang w:eastAsia="es-CR"/>
        </w:rPr>
      </w:pPr>
      <w:r>
        <w:object w:dxaOrig="1810" w:dyaOrig="1181" w14:anchorId="28B01273">
          <v:shape id="_x0000_i1026" type="#_x0000_t75" style="width:90.75pt;height:59.5pt" o:ole="">
            <v:imagedata r:id="rId13" o:title=""/>
          </v:shape>
          <o:OLEObject Type="Embed" ProgID="Excel.Sheet.12" ShapeID="_x0000_i1026" DrawAspect="Icon" ObjectID="_1808199111" r:id="rId14"/>
        </w:object>
      </w:r>
    </w:p>
    <w:p w14:paraId="1A47896C" w14:textId="4BB2CA5E" w:rsidR="00C66F70" w:rsidRPr="006D69C2" w:rsidRDefault="00C66F70" w:rsidP="00186B5D">
      <w:pPr>
        <w:jc w:val="both"/>
        <w:rPr>
          <w:rFonts w:ascii="Roboto" w:hAnsi="Roboto" w:cs="Arial"/>
        </w:rPr>
      </w:pPr>
      <w:r w:rsidRPr="004C2163">
        <w:rPr>
          <w:rFonts w:ascii="Roboto" w:eastAsia="Calibri" w:hAnsi="Roboto" w:cs="Arial"/>
          <w:b/>
          <w:color w:val="000000"/>
          <w:lang w:eastAsia="es-CR"/>
        </w:rPr>
        <w:t>Artículo 3.-</w:t>
      </w:r>
      <w:r w:rsidRPr="004C2163">
        <w:rPr>
          <w:rFonts w:ascii="Roboto" w:hAnsi="Roboto" w:cs="Arial"/>
        </w:rPr>
        <w:t xml:space="preserve"> </w:t>
      </w:r>
      <w:r w:rsidRPr="004C2163">
        <w:rPr>
          <w:rFonts w:ascii="Roboto" w:eastAsia="Calibri" w:hAnsi="Roboto" w:cs="Arial"/>
          <w:b/>
          <w:bCs/>
        </w:rPr>
        <w:t>Vigencia</w:t>
      </w:r>
    </w:p>
    <w:p w14:paraId="6AA0DED6" w14:textId="2DB9CB23" w:rsidR="00C66F70" w:rsidRPr="006D69C2" w:rsidRDefault="00C66F70" w:rsidP="006D69C2">
      <w:pPr>
        <w:jc w:val="both"/>
        <w:rPr>
          <w:rFonts w:ascii="Roboto" w:eastAsia="Calibri" w:hAnsi="Roboto" w:cs="Arial"/>
          <w:bCs/>
          <w:color w:val="000000"/>
          <w:lang w:eastAsia="es-CR"/>
        </w:rPr>
      </w:pPr>
      <w:r w:rsidRPr="00D54AA0">
        <w:rPr>
          <w:rFonts w:ascii="Roboto" w:eastAsia="Calibri" w:hAnsi="Roboto" w:cs="Arial"/>
          <w:bCs/>
          <w:color w:val="000000"/>
          <w:lang w:eastAsia="es-CR"/>
        </w:rPr>
        <w:t>Rige a partir del 30 de noviembre del 2024</w:t>
      </w:r>
      <w:r>
        <w:rPr>
          <w:rFonts w:ascii="Roboto" w:eastAsia="Calibri" w:hAnsi="Roboto" w:cs="Arial"/>
          <w:bCs/>
          <w:color w:val="000000"/>
          <w:lang w:eastAsia="es-CR"/>
        </w:rPr>
        <w:t>.</w:t>
      </w:r>
      <w:bookmarkStart w:id="4" w:name="_Hlk101544405"/>
      <w:bookmarkStart w:id="5" w:name="_Hlk67579283"/>
    </w:p>
    <w:bookmarkEnd w:id="4"/>
    <w:bookmarkEnd w:id="5"/>
    <w:p w14:paraId="4442CA86" w14:textId="79397757" w:rsidR="00C66F70" w:rsidRPr="002C1BD3" w:rsidRDefault="00C66F70" w:rsidP="00186B5D">
      <w:pPr>
        <w:tabs>
          <w:tab w:val="center" w:pos="4419"/>
        </w:tabs>
        <w:rPr>
          <w:rFonts w:ascii="Roboto" w:eastAsia="Calibri" w:hAnsi="Roboto" w:cs="Arial"/>
          <w:b/>
          <w:color w:val="000000" w:themeColor="text1"/>
        </w:rPr>
      </w:pPr>
      <w:r w:rsidRPr="002C1BD3">
        <w:rPr>
          <w:rFonts w:ascii="Roboto" w:eastAsia="Calibri" w:hAnsi="Roboto" w:cs="Arial"/>
          <w:b/>
          <w:color w:val="000000" w:themeColor="text1"/>
        </w:rPr>
        <w:t xml:space="preserve">Transitorio I. Sobre la carga inicial de información relacionada con los roles de gestión de la </w:t>
      </w:r>
      <w:r>
        <w:rPr>
          <w:rFonts w:ascii="Roboto" w:eastAsia="Calibri" w:hAnsi="Roboto" w:cs="Arial"/>
          <w:b/>
          <w:color w:val="000000" w:themeColor="text1"/>
        </w:rPr>
        <w:t>correspondencia e información periódica</w:t>
      </w:r>
      <w:r w:rsidRPr="002C1BD3">
        <w:rPr>
          <w:rFonts w:ascii="Roboto" w:eastAsia="Calibri" w:hAnsi="Roboto" w:cs="Arial"/>
          <w:b/>
          <w:color w:val="000000" w:themeColor="text1"/>
        </w:rPr>
        <w:t>.</w:t>
      </w:r>
      <w:r w:rsidR="00171D9F">
        <w:rPr>
          <w:rStyle w:val="Refdenotaalpie"/>
          <w:rFonts w:ascii="Roboto" w:eastAsia="Calibri" w:hAnsi="Roboto" w:cs="Arial"/>
          <w:b/>
          <w:color w:val="000000" w:themeColor="text1"/>
        </w:rPr>
        <w:footnoteReference w:id="2"/>
      </w:r>
    </w:p>
    <w:p w14:paraId="1677D9E4" w14:textId="77777777" w:rsidR="00171D9F" w:rsidRPr="00EA203B" w:rsidRDefault="00171D9F" w:rsidP="00171D9F">
      <w:pPr>
        <w:jc w:val="both"/>
        <w:rPr>
          <w:rFonts w:ascii="Arial" w:hAnsi="Arial" w:cs="Arial"/>
          <w:bCs/>
          <w:szCs w:val="24"/>
        </w:rPr>
      </w:pPr>
      <w:r w:rsidRPr="00EA203B">
        <w:rPr>
          <w:rFonts w:ascii="Arial" w:hAnsi="Arial" w:cs="Arial"/>
          <w:bCs/>
          <w:szCs w:val="24"/>
        </w:rPr>
        <w:t>Las entidades reguladas o supervisadas tendrán las siguientes fechas límite para ingresar la información de los siguientes roles.</w:t>
      </w:r>
    </w:p>
    <w:tbl>
      <w:tblPr>
        <w:tblStyle w:val="Tablaconcuadrcula1clara"/>
        <w:tblW w:w="0" w:type="auto"/>
        <w:tblLook w:val="04A0" w:firstRow="1" w:lastRow="0" w:firstColumn="1" w:lastColumn="0" w:noHBand="0" w:noVBand="1"/>
      </w:tblPr>
      <w:tblGrid>
        <w:gridCol w:w="4414"/>
        <w:gridCol w:w="4414"/>
      </w:tblGrid>
      <w:tr w:rsidR="00171D9F" w:rsidRPr="00EA203B" w14:paraId="7C4C72A1" w14:textId="77777777" w:rsidTr="002E1C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7A09AA6" w14:textId="77777777" w:rsidR="00171D9F" w:rsidRPr="00EA203B" w:rsidRDefault="00171D9F" w:rsidP="002E1C8F">
            <w:pPr>
              <w:jc w:val="center"/>
              <w:rPr>
                <w:rFonts w:ascii="Arial" w:hAnsi="Arial" w:cs="Arial"/>
                <w:szCs w:val="24"/>
              </w:rPr>
            </w:pPr>
            <w:r w:rsidRPr="00EA203B">
              <w:rPr>
                <w:rFonts w:ascii="Arial" w:hAnsi="Arial" w:cs="Arial"/>
                <w:szCs w:val="24"/>
              </w:rPr>
              <w:t>Nombre del Rol</w:t>
            </w:r>
          </w:p>
        </w:tc>
        <w:tc>
          <w:tcPr>
            <w:tcW w:w="4414"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759D4FA" w14:textId="77777777" w:rsidR="00171D9F" w:rsidRPr="00EA203B" w:rsidRDefault="00171D9F" w:rsidP="002E1C8F">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24"/>
              </w:rPr>
            </w:pPr>
            <w:r w:rsidRPr="00EA203B">
              <w:rPr>
                <w:rFonts w:ascii="Arial" w:hAnsi="Arial" w:cs="Arial"/>
                <w:szCs w:val="24"/>
              </w:rPr>
              <w:t>Fecha límite de registro en el Sistema de Roles</w:t>
            </w:r>
          </w:p>
        </w:tc>
      </w:tr>
      <w:tr w:rsidR="00171D9F" w:rsidRPr="00EA203B" w14:paraId="405CFBC0" w14:textId="77777777" w:rsidTr="002E1C8F">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D67557" w14:textId="77777777" w:rsidR="00171D9F" w:rsidRPr="00EA203B" w:rsidRDefault="00171D9F" w:rsidP="002E1C8F">
            <w:pPr>
              <w:jc w:val="center"/>
              <w:rPr>
                <w:rFonts w:ascii="Arial" w:hAnsi="Arial" w:cs="Arial"/>
                <w:b w:val="0"/>
                <w:bCs w:val="0"/>
                <w:szCs w:val="24"/>
              </w:rPr>
            </w:pPr>
            <w:r w:rsidRPr="00EA203B">
              <w:rPr>
                <w:rFonts w:ascii="Arial" w:hAnsi="Arial" w:cs="Arial"/>
                <w:b w:val="0"/>
                <w:bCs w:val="0"/>
                <w:szCs w:val="24"/>
              </w:rPr>
              <w:t>Firmador de información periódica.</w:t>
            </w:r>
          </w:p>
        </w:tc>
        <w:tc>
          <w:tcPr>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603EFC" w14:textId="77777777" w:rsidR="00171D9F" w:rsidRPr="00EA203B" w:rsidRDefault="00171D9F" w:rsidP="002E1C8F">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EA203B">
              <w:rPr>
                <w:rFonts w:ascii="Arial" w:hAnsi="Arial" w:cs="Arial"/>
                <w:szCs w:val="24"/>
              </w:rPr>
              <w:t>31 de julio del 2025</w:t>
            </w:r>
          </w:p>
        </w:tc>
      </w:tr>
      <w:tr w:rsidR="00171D9F" w:rsidRPr="00EA203B" w14:paraId="598B8945" w14:textId="77777777" w:rsidTr="002E1C8F">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32C30D" w14:textId="77777777" w:rsidR="00171D9F" w:rsidRPr="00EA203B" w:rsidRDefault="00171D9F" w:rsidP="002E1C8F">
            <w:pPr>
              <w:jc w:val="center"/>
              <w:rPr>
                <w:rFonts w:ascii="Arial" w:hAnsi="Arial" w:cs="Arial"/>
                <w:b w:val="0"/>
                <w:bCs w:val="0"/>
                <w:szCs w:val="24"/>
              </w:rPr>
            </w:pPr>
            <w:r w:rsidRPr="00EA203B">
              <w:rPr>
                <w:rFonts w:ascii="Arial" w:hAnsi="Arial" w:cs="Arial"/>
                <w:b w:val="0"/>
                <w:bCs w:val="0"/>
                <w:szCs w:val="24"/>
              </w:rPr>
              <w:t>Firmador de trámites.</w:t>
            </w:r>
          </w:p>
        </w:tc>
        <w:tc>
          <w:tcPr>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719C72" w14:textId="77777777" w:rsidR="00171D9F" w:rsidRPr="00EA203B" w:rsidRDefault="00171D9F" w:rsidP="002E1C8F">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EA203B">
              <w:rPr>
                <w:rFonts w:ascii="Arial" w:hAnsi="Arial" w:cs="Arial"/>
                <w:szCs w:val="24"/>
              </w:rPr>
              <w:t>31 de julio del 2025</w:t>
            </w:r>
          </w:p>
        </w:tc>
      </w:tr>
      <w:tr w:rsidR="00171D9F" w:rsidRPr="00EA203B" w14:paraId="1239DB35" w14:textId="77777777" w:rsidTr="002E1C8F">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1DFD52" w14:textId="77777777" w:rsidR="00171D9F" w:rsidRPr="00EA203B" w:rsidRDefault="00171D9F" w:rsidP="002E1C8F">
            <w:pPr>
              <w:jc w:val="center"/>
              <w:rPr>
                <w:rFonts w:ascii="Arial" w:hAnsi="Arial" w:cs="Arial"/>
                <w:b w:val="0"/>
                <w:bCs w:val="0"/>
                <w:szCs w:val="24"/>
              </w:rPr>
            </w:pPr>
            <w:r w:rsidRPr="00EA203B">
              <w:rPr>
                <w:rFonts w:ascii="Arial" w:hAnsi="Arial" w:cs="Arial"/>
                <w:b w:val="0"/>
                <w:bCs w:val="0"/>
                <w:szCs w:val="24"/>
              </w:rPr>
              <w:t>Firmador de mensajería de documentos.</w:t>
            </w:r>
          </w:p>
        </w:tc>
        <w:tc>
          <w:tcPr>
            <w:tcW w:w="441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8C2A26" w14:textId="77777777" w:rsidR="00171D9F" w:rsidRPr="00EA203B" w:rsidRDefault="00171D9F" w:rsidP="002E1C8F">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24"/>
                <w:highlight w:val="yellow"/>
              </w:rPr>
            </w:pPr>
            <w:r w:rsidRPr="00EA203B">
              <w:rPr>
                <w:rFonts w:ascii="Arial" w:hAnsi="Arial" w:cs="Arial"/>
                <w:szCs w:val="24"/>
              </w:rPr>
              <w:t>15 de octubre del 2025</w:t>
            </w:r>
          </w:p>
        </w:tc>
      </w:tr>
    </w:tbl>
    <w:p w14:paraId="509B4D34" w14:textId="77777777" w:rsidR="00171D9F" w:rsidRPr="00EA203B" w:rsidRDefault="00171D9F" w:rsidP="00171D9F">
      <w:pPr>
        <w:jc w:val="both"/>
        <w:rPr>
          <w:rFonts w:ascii="Arial" w:hAnsi="Arial" w:cs="Arial"/>
          <w:bCs/>
          <w:szCs w:val="24"/>
        </w:rPr>
      </w:pPr>
    </w:p>
    <w:p w14:paraId="4F436840" w14:textId="7BDFBBD7" w:rsidR="00C66F70" w:rsidRDefault="00171D9F" w:rsidP="00171D9F">
      <w:pPr>
        <w:jc w:val="both"/>
        <w:rPr>
          <w:rFonts w:ascii="Arial" w:hAnsi="Arial" w:cs="Arial"/>
        </w:rPr>
      </w:pPr>
      <w:r w:rsidRPr="00EA203B">
        <w:rPr>
          <w:rFonts w:ascii="Arial" w:hAnsi="Arial" w:cs="Arial"/>
          <w:bCs/>
          <w:szCs w:val="24"/>
        </w:rPr>
        <w:t>Mientras no se haya implementado la integración de los sistemas de validación, deben mantenerse los registros de los firmantes tanto en el sistema MAPSI con en el sistema de Roles.</w:t>
      </w:r>
      <w:r w:rsidR="00C66F70" w:rsidRPr="0023282E">
        <w:rPr>
          <w:rFonts w:ascii="Arial" w:hAnsi="Arial" w:cs="Arial"/>
        </w:rPr>
        <w:tab/>
      </w:r>
    </w:p>
    <w:p w14:paraId="35D77928" w14:textId="523FEB7A" w:rsidR="00D23EE1" w:rsidRPr="006D69C2" w:rsidRDefault="00D23EE1" w:rsidP="00624816">
      <w:pPr>
        <w:rPr>
          <w:rFonts w:ascii="Arial" w:hAnsi="Arial" w:cs="Arial"/>
        </w:rPr>
      </w:pPr>
    </w:p>
    <w:sectPr w:rsidR="00D23EE1" w:rsidRPr="006D69C2" w:rsidSect="009C6139">
      <w:headerReference w:type="default" r:id="rId15"/>
      <w:footerReference w:type="even" r:id="rId16"/>
      <w:footerReference w:type="default" r:id="rId17"/>
      <w:footerReference w:type="first" r:id="rId1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96B88" w14:textId="77777777" w:rsidR="000B534B" w:rsidRDefault="000B534B" w:rsidP="009C6139">
      <w:pPr>
        <w:spacing w:after="0" w:line="240" w:lineRule="auto"/>
      </w:pPr>
      <w:r>
        <w:separator/>
      </w:r>
    </w:p>
  </w:endnote>
  <w:endnote w:type="continuationSeparator" w:id="0">
    <w:p w14:paraId="30413302" w14:textId="77777777" w:rsidR="000B534B" w:rsidRDefault="000B534B" w:rsidP="009C6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920DD" w14:textId="4B37664B" w:rsidR="009C6139" w:rsidRDefault="009C6139">
    <w:pPr>
      <w:pStyle w:val="Piedepgina"/>
    </w:pPr>
    <w:r>
      <w:rPr>
        <w:noProof/>
      </w:rPr>
      <mc:AlternateContent>
        <mc:Choice Requires="wps">
          <w:drawing>
            <wp:anchor distT="0" distB="0" distL="0" distR="0" simplePos="0" relativeHeight="251661312" behindDoc="0" locked="0" layoutInCell="1" allowOverlap="1" wp14:anchorId="275C18F3" wp14:editId="27C2854B">
              <wp:simplePos x="635" y="635"/>
              <wp:positionH relativeFrom="page">
                <wp:align>center</wp:align>
              </wp:positionH>
              <wp:positionV relativeFrom="page">
                <wp:align>bottom</wp:align>
              </wp:positionV>
              <wp:extent cx="443865" cy="443865"/>
              <wp:effectExtent l="0" t="0" r="0" b="0"/>
              <wp:wrapNone/>
              <wp:docPr id="2"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CA642F" w14:textId="617225E1" w:rsidR="009C6139" w:rsidRPr="009C6139" w:rsidRDefault="009C6139" w:rsidP="009C6139">
                          <w:pPr>
                            <w:spacing w:after="0"/>
                            <w:rPr>
                              <w:rFonts w:ascii="Calibri" w:eastAsia="Calibri" w:hAnsi="Calibri" w:cs="Calibri"/>
                              <w:noProof/>
                              <w:color w:val="000000"/>
                              <w:sz w:val="20"/>
                              <w:szCs w:val="20"/>
                            </w:rPr>
                          </w:pPr>
                          <w:r w:rsidRPr="009C613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5C18F3" id="_x0000_t202" coordsize="21600,21600" o:spt="202" path="m,l,21600r21600,l21600,xe">
              <v:stroke joinstyle="miter"/>
              <v:path gradientshapeok="t" o:connecttype="rect"/>
            </v:shapetype>
            <v:shape id="Cuadro de texto 2" o:spid="_x0000_s1026" type="#_x0000_t202" alt="Uso Interno"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ACA642F" w14:textId="617225E1" w:rsidR="009C6139" w:rsidRPr="009C6139" w:rsidRDefault="009C6139" w:rsidP="009C6139">
                    <w:pPr>
                      <w:spacing w:after="0"/>
                      <w:rPr>
                        <w:rFonts w:ascii="Calibri" w:eastAsia="Calibri" w:hAnsi="Calibri" w:cs="Calibri"/>
                        <w:noProof/>
                        <w:color w:val="000000"/>
                        <w:sz w:val="20"/>
                        <w:szCs w:val="20"/>
                      </w:rPr>
                    </w:pPr>
                    <w:r w:rsidRPr="009C6139">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D2BE" w14:textId="13F25381" w:rsidR="009C6139" w:rsidRPr="009C6139" w:rsidRDefault="009C6139" w:rsidP="009C6139">
    <w:pPr>
      <w:pStyle w:val="Piedepgina"/>
      <w:pBdr>
        <w:top w:val="single" w:sz="4" w:space="1" w:color="D9D9D9"/>
      </w:pBdr>
      <w:rPr>
        <w:rFonts w:ascii="Arial" w:hAnsi="Arial" w:cs="Arial"/>
        <w:b/>
        <w:bCs/>
        <w:color w:val="1B75BB"/>
      </w:rPr>
    </w:pPr>
    <w:r>
      <w:rPr>
        <w:rFonts w:ascii="Arial" w:hAnsi="Arial" w:cs="Arial"/>
        <w:b/>
        <w:bCs/>
        <w:noProof/>
        <w:color w:val="1B75BB"/>
      </w:rPr>
      <mc:AlternateContent>
        <mc:Choice Requires="wps">
          <w:drawing>
            <wp:anchor distT="0" distB="0" distL="0" distR="0" simplePos="0" relativeHeight="251662336" behindDoc="0" locked="0" layoutInCell="1" allowOverlap="1" wp14:anchorId="527A41EC" wp14:editId="25CE300F">
              <wp:simplePos x="1082040" y="9433560"/>
              <wp:positionH relativeFrom="page">
                <wp:align>center</wp:align>
              </wp:positionH>
              <wp:positionV relativeFrom="page">
                <wp:align>bottom</wp:align>
              </wp:positionV>
              <wp:extent cx="443865" cy="443865"/>
              <wp:effectExtent l="0" t="0" r="0" b="0"/>
              <wp:wrapNone/>
              <wp:docPr id="3"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2ED296" w14:textId="41232552" w:rsidR="009C6139" w:rsidRPr="009C6139" w:rsidRDefault="009C6139" w:rsidP="009C6139">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7A41EC" id="_x0000_t202" coordsize="21600,21600" o:spt="202" path="m,l,21600r21600,l21600,xe">
              <v:stroke joinstyle="miter"/>
              <v:path gradientshapeok="t" o:connecttype="rect"/>
            </v:shapetype>
            <v:shape id="Cuadro de texto 3" o:spid="_x0000_s1027" type="#_x0000_t202" alt="Uso Interno"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22ED296" w14:textId="41232552" w:rsidR="009C6139" w:rsidRPr="009C6139" w:rsidRDefault="009C6139" w:rsidP="009C6139">
                    <w:pPr>
                      <w:spacing w:after="0"/>
                      <w:rPr>
                        <w:rFonts w:ascii="Calibri" w:eastAsia="Calibri" w:hAnsi="Calibri" w:cs="Calibri"/>
                        <w:noProof/>
                        <w:color w:val="000000"/>
                        <w:sz w:val="20"/>
                        <w:szCs w:val="20"/>
                      </w:rPr>
                    </w:pPr>
                  </w:p>
                </w:txbxContent>
              </v:textbox>
              <w10:wrap anchorx="page" anchory="page"/>
            </v:shape>
          </w:pict>
        </mc:Fallback>
      </mc:AlternateContent>
    </w:r>
    <w:r w:rsidRPr="003959B0">
      <w:rPr>
        <w:rFonts w:ascii="Arial" w:hAnsi="Arial" w:cs="Arial"/>
        <w:b/>
        <w:bCs/>
        <w:color w:val="1B75BB"/>
      </w:rPr>
      <w:fldChar w:fldCharType="begin"/>
    </w:r>
    <w:r w:rsidRPr="003959B0">
      <w:rPr>
        <w:rFonts w:ascii="Arial" w:hAnsi="Arial" w:cs="Arial"/>
        <w:b/>
        <w:bCs/>
        <w:color w:val="1B75BB"/>
      </w:rPr>
      <w:instrText xml:space="preserve"> PAGE   \* MERGEFORMAT </w:instrText>
    </w:r>
    <w:r w:rsidRPr="003959B0">
      <w:rPr>
        <w:rFonts w:ascii="Arial" w:hAnsi="Arial" w:cs="Arial"/>
        <w:b/>
        <w:bCs/>
        <w:color w:val="1B75BB"/>
      </w:rPr>
      <w:fldChar w:fldCharType="separate"/>
    </w:r>
    <w:r>
      <w:rPr>
        <w:rFonts w:ascii="Arial" w:hAnsi="Arial" w:cs="Arial"/>
        <w:b/>
        <w:bCs/>
        <w:color w:val="1B75BB"/>
      </w:rPr>
      <w:t>2</w:t>
    </w:r>
    <w:r w:rsidRPr="003959B0">
      <w:rPr>
        <w:rFonts w:ascii="Arial" w:hAnsi="Arial" w:cs="Arial"/>
        <w:b/>
        <w:bCs/>
        <w:noProof/>
        <w:color w:val="1B75BB"/>
      </w:rPr>
      <w:fldChar w:fldCharType="end"/>
    </w:r>
    <w:r w:rsidRPr="003959B0">
      <w:rPr>
        <w:rFonts w:ascii="Arial" w:hAnsi="Arial" w:cs="Arial"/>
        <w:b/>
        <w:bCs/>
        <w:color w:val="1B75BB"/>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D4A5" w14:textId="71ADE2BF" w:rsidR="009C6139" w:rsidRDefault="009C6139">
    <w:pPr>
      <w:pStyle w:val="Piedepgina"/>
    </w:pPr>
    <w:r>
      <w:rPr>
        <w:noProof/>
      </w:rPr>
      <mc:AlternateContent>
        <mc:Choice Requires="wps">
          <w:drawing>
            <wp:anchor distT="0" distB="0" distL="0" distR="0" simplePos="0" relativeHeight="251660288" behindDoc="0" locked="0" layoutInCell="1" allowOverlap="1" wp14:anchorId="36E0B4F2" wp14:editId="1AE8FBE2">
              <wp:simplePos x="1080770" y="9438640"/>
              <wp:positionH relativeFrom="page">
                <wp:align>center</wp:align>
              </wp:positionH>
              <wp:positionV relativeFrom="page">
                <wp:align>bottom</wp:align>
              </wp:positionV>
              <wp:extent cx="443865" cy="443865"/>
              <wp:effectExtent l="0" t="0" r="0" b="0"/>
              <wp:wrapNone/>
              <wp:docPr id="1"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CED0DF" w14:textId="672FBB4C" w:rsidR="009C6139" w:rsidRPr="009C6139" w:rsidRDefault="009C6139" w:rsidP="009C6139">
                          <w:pPr>
                            <w:spacing w:after="0"/>
                            <w:rPr>
                              <w:rFonts w:ascii="Calibri" w:eastAsia="Calibri" w:hAnsi="Calibri" w:cs="Calibri"/>
                              <w:noProof/>
                              <w:color w:val="000000"/>
                              <w:sz w:val="20"/>
                              <w:szCs w:val="20"/>
                            </w:rPr>
                          </w:pPr>
                          <w:r w:rsidRPr="009C613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E0B4F2" id="_x0000_t202" coordsize="21600,21600" o:spt="202" path="m,l,21600r21600,l21600,xe">
              <v:stroke joinstyle="miter"/>
              <v:path gradientshapeok="t" o:connecttype="rect"/>
            </v:shapetype>
            <v:shape id="Cuadro de texto 1" o:spid="_x0000_s1028" type="#_x0000_t202" alt="Uso Interno"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6CED0DF" w14:textId="672FBB4C" w:rsidR="009C6139" w:rsidRPr="009C6139" w:rsidRDefault="009C6139" w:rsidP="009C6139">
                    <w:pPr>
                      <w:spacing w:after="0"/>
                      <w:rPr>
                        <w:rFonts w:ascii="Calibri" w:eastAsia="Calibri" w:hAnsi="Calibri" w:cs="Calibri"/>
                        <w:noProof/>
                        <w:color w:val="000000"/>
                        <w:sz w:val="20"/>
                        <w:szCs w:val="20"/>
                      </w:rPr>
                    </w:pPr>
                    <w:r w:rsidRPr="009C6139">
                      <w:rPr>
                        <w:rFonts w:ascii="Calibri" w:eastAsia="Calibri" w:hAnsi="Calibri" w:cs="Calibri"/>
                        <w:noProof/>
                        <w:color w:val="000000"/>
                        <w:sz w:val="20"/>
                        <w:szCs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CB082" w14:textId="77777777" w:rsidR="000B534B" w:rsidRDefault="000B534B" w:rsidP="009C6139">
      <w:pPr>
        <w:spacing w:after="0" w:line="240" w:lineRule="auto"/>
      </w:pPr>
      <w:r>
        <w:separator/>
      </w:r>
    </w:p>
  </w:footnote>
  <w:footnote w:type="continuationSeparator" w:id="0">
    <w:p w14:paraId="2011658A" w14:textId="77777777" w:rsidR="000B534B" w:rsidRDefault="000B534B" w:rsidP="009C6139">
      <w:pPr>
        <w:spacing w:after="0" w:line="240" w:lineRule="auto"/>
      </w:pPr>
      <w:r>
        <w:continuationSeparator/>
      </w:r>
    </w:p>
  </w:footnote>
  <w:footnote w:id="1">
    <w:p w14:paraId="1A42B5C5" w14:textId="5DBB3E26" w:rsidR="00830429" w:rsidRPr="00830429" w:rsidRDefault="00830429" w:rsidP="00830429">
      <w:pPr>
        <w:pStyle w:val="Textonotapie"/>
        <w:jc w:val="both"/>
        <w:rPr>
          <w:rFonts w:ascii="Arial" w:hAnsi="Arial" w:cs="Arial"/>
          <w:lang w:val="es-CR"/>
        </w:rPr>
      </w:pPr>
      <w:r w:rsidRPr="00830429">
        <w:rPr>
          <w:rStyle w:val="Refdenotaalpie"/>
          <w:rFonts w:ascii="Arial" w:hAnsi="Arial" w:cs="Arial"/>
        </w:rPr>
        <w:footnoteRef/>
      </w:r>
      <w:r w:rsidRPr="00830429">
        <w:rPr>
          <w:rFonts w:ascii="Arial" w:hAnsi="Arial" w:cs="Arial"/>
        </w:rPr>
        <w:t xml:space="preserve"> </w:t>
      </w:r>
      <w:bookmarkStart w:id="0" w:name="_Hlk187140317"/>
      <w:r w:rsidRPr="00830429">
        <w:rPr>
          <w:rFonts w:ascii="Arial" w:hAnsi="Arial" w:cs="Arial"/>
        </w:rPr>
        <w:t xml:space="preserve">Superintendencia General de Valores. Despacho del Superintendente. A las </w:t>
      </w:r>
      <w:r w:rsidR="00C66F70" w:rsidRPr="00C66F70">
        <w:rPr>
          <w:rFonts w:ascii="Arial" w:hAnsi="Arial" w:cs="Arial"/>
        </w:rPr>
        <w:t>dieciséis horas del cinco de noviembre del dos mil veinticuatro</w:t>
      </w:r>
      <w:r w:rsidRPr="00830429">
        <w:rPr>
          <w:rFonts w:ascii="Arial" w:hAnsi="Arial" w:cs="Arial"/>
        </w:rPr>
        <w:t xml:space="preserve">. </w:t>
      </w:r>
      <w:r w:rsidR="00F6016A">
        <w:rPr>
          <w:rFonts w:ascii="Arial" w:hAnsi="Arial" w:cs="Arial"/>
        </w:rPr>
        <w:t xml:space="preserve">Publicado en el Alcance del Diario Oficial la Gaceta No. 205 del 18 de diciembre del 2024. </w:t>
      </w:r>
      <w:r w:rsidRPr="00830429">
        <w:rPr>
          <w:rFonts w:ascii="Arial" w:hAnsi="Arial" w:cs="Arial"/>
        </w:rPr>
        <w:t xml:space="preserve">Rige a partir </w:t>
      </w:r>
      <w:r w:rsidR="00F6016A">
        <w:rPr>
          <w:rFonts w:ascii="Arial" w:hAnsi="Arial" w:cs="Arial"/>
        </w:rPr>
        <w:t xml:space="preserve">del 18 de diciembre del 2024. </w:t>
      </w:r>
      <w:r w:rsidRPr="00830429">
        <w:rPr>
          <w:rFonts w:ascii="Arial" w:hAnsi="Arial" w:cs="Arial"/>
        </w:rPr>
        <w:t xml:space="preserve"> </w:t>
      </w:r>
      <w:bookmarkEnd w:id="0"/>
    </w:p>
  </w:footnote>
  <w:footnote w:id="2">
    <w:p w14:paraId="2CA44482" w14:textId="2EA0A6B5" w:rsidR="00171D9F" w:rsidRPr="00171D9F" w:rsidRDefault="00171D9F">
      <w:pPr>
        <w:pStyle w:val="Textonotapie"/>
        <w:rPr>
          <w:lang w:val="es-CR"/>
        </w:rPr>
      </w:pPr>
      <w:r>
        <w:rPr>
          <w:rStyle w:val="Refdenotaalpie"/>
        </w:rPr>
        <w:footnoteRef/>
      </w:r>
      <w:r>
        <w:t xml:space="preserve"> </w:t>
      </w:r>
      <w:r w:rsidRPr="008031BD">
        <w:rPr>
          <w:rFonts w:ascii="Arial" w:hAnsi="Arial" w:cs="Arial"/>
        </w:rPr>
        <w:t xml:space="preserve">Transitorio modificado </w:t>
      </w:r>
      <w:r>
        <w:rPr>
          <w:rFonts w:ascii="Arial" w:hAnsi="Arial" w:cs="Arial"/>
        </w:rPr>
        <w:t>por</w:t>
      </w:r>
      <w:r w:rsidRPr="008031BD">
        <w:rPr>
          <w:rFonts w:ascii="Arial" w:hAnsi="Arial" w:cs="Arial"/>
        </w:rPr>
        <w:t xml:space="preserve"> el acuerdo SGV-A-1-2025 del </w:t>
      </w:r>
      <w:r>
        <w:rPr>
          <w:rFonts w:ascii="Arial" w:hAnsi="Arial" w:cs="Arial"/>
        </w:rPr>
        <w:t>1</w:t>
      </w:r>
      <w:r w:rsidRPr="008031BD">
        <w:rPr>
          <w:rFonts w:ascii="Arial" w:hAnsi="Arial" w:cs="Arial"/>
        </w:rPr>
        <w:t xml:space="preserve">7 de marzo del 2025.  Rige a partir </w:t>
      </w:r>
      <w:r>
        <w:rPr>
          <w:rFonts w:ascii="Arial" w:hAnsi="Arial" w:cs="Arial"/>
        </w:rPr>
        <w:t>del 17 de marzo del 2025</w:t>
      </w:r>
      <w:r w:rsidRPr="008031BD">
        <w:rPr>
          <w:rFonts w:ascii="Arial" w:hAnsi="Arial" w:cs="Arial"/>
        </w:rPr>
        <w:t>.</w:t>
      </w:r>
      <w:r w:rsidR="00D834C2">
        <w:rPr>
          <w:rFonts w:ascii="Arial" w:hAnsi="Arial" w:cs="Arial"/>
        </w:rPr>
        <w:t xml:space="preserve"> Publicado en el Diario Oficial La Gaceta del 30 de abril del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C77E" w14:textId="77777777" w:rsidR="002071C9" w:rsidRDefault="002071C9" w:rsidP="002071C9">
    <w:pPr>
      <w:pStyle w:val="Encabezado"/>
    </w:pPr>
    <w:r>
      <w:rPr>
        <w:noProof/>
      </w:rPr>
      <w:drawing>
        <wp:anchor distT="0" distB="0" distL="114300" distR="114300" simplePos="0" relativeHeight="251664384" behindDoc="1" locked="0" layoutInCell="1" allowOverlap="1" wp14:anchorId="5D1DF035" wp14:editId="0DACCB4E">
          <wp:simplePos x="0" y="0"/>
          <wp:positionH relativeFrom="column">
            <wp:posOffset>-1099185</wp:posOffset>
          </wp:positionH>
          <wp:positionV relativeFrom="paragraph">
            <wp:posOffset>-570230</wp:posOffset>
          </wp:positionV>
          <wp:extent cx="7810500" cy="1055352"/>
          <wp:effectExtent l="0" t="0" r="0" b="0"/>
          <wp:wrapNone/>
          <wp:docPr id="5" name="Imagen 5"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Descripción generada automáticamente"/>
                  <pic:cNvPicPr/>
                </pic:nvPicPr>
                <pic:blipFill rotWithShape="1">
                  <a:blip r:embed="rId1">
                    <a:extLst>
                      <a:ext uri="{28A0092B-C50C-407E-A947-70E740481C1C}">
                        <a14:useLocalDpi xmlns:a14="http://schemas.microsoft.com/office/drawing/2010/main" val="0"/>
                      </a:ext>
                    </a:extLst>
                  </a:blip>
                  <a:srcRect b="90448"/>
                  <a:stretch/>
                </pic:blipFill>
                <pic:spPr bwMode="auto">
                  <a:xfrm>
                    <a:off x="0" y="0"/>
                    <a:ext cx="7861966" cy="10623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BB0AFB" w14:textId="460DCA75" w:rsidR="009C6139" w:rsidRDefault="009C6139" w:rsidP="009C6139">
    <w:pPr>
      <w:pStyle w:val="Encabezado"/>
      <w:jc w:val="right"/>
    </w:pPr>
  </w:p>
  <w:p w14:paraId="3A6948AB" w14:textId="2155D1BC" w:rsidR="009C6139" w:rsidRDefault="009C613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0A27206C"/>
    <w:multiLevelType w:val="hybridMultilevel"/>
    <w:tmpl w:val="720CD294"/>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0F7E7D31"/>
    <w:multiLevelType w:val="hybridMultilevel"/>
    <w:tmpl w:val="9CA6F1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7FF7C32"/>
    <w:multiLevelType w:val="hybridMultilevel"/>
    <w:tmpl w:val="17DE1DE6"/>
    <w:lvl w:ilvl="0" w:tplc="140A0001">
      <w:start w:val="1"/>
      <w:numFmt w:val="bullet"/>
      <w:lvlText w:val=""/>
      <w:lvlJc w:val="left"/>
      <w:pPr>
        <w:ind w:left="1211" w:hanging="710"/>
      </w:pPr>
      <w:rPr>
        <w:rFonts w:ascii="Symbol" w:hAnsi="Symbol" w:hint="default"/>
      </w:rPr>
    </w:lvl>
    <w:lvl w:ilvl="1" w:tplc="FFFFFFFF" w:tentative="1">
      <w:start w:val="1"/>
      <w:numFmt w:val="bullet"/>
      <w:lvlText w:val="o"/>
      <w:lvlJc w:val="left"/>
      <w:pPr>
        <w:ind w:left="1581" w:hanging="360"/>
      </w:pPr>
      <w:rPr>
        <w:rFonts w:ascii="Courier New" w:hAnsi="Courier New" w:cs="Courier New" w:hint="default"/>
      </w:rPr>
    </w:lvl>
    <w:lvl w:ilvl="2" w:tplc="FFFFFFFF" w:tentative="1">
      <w:start w:val="1"/>
      <w:numFmt w:val="bullet"/>
      <w:lvlText w:val=""/>
      <w:lvlJc w:val="left"/>
      <w:pPr>
        <w:ind w:left="2301" w:hanging="360"/>
      </w:pPr>
      <w:rPr>
        <w:rFonts w:ascii="Wingdings" w:hAnsi="Wingdings" w:hint="default"/>
      </w:rPr>
    </w:lvl>
    <w:lvl w:ilvl="3" w:tplc="FFFFFFFF" w:tentative="1">
      <w:start w:val="1"/>
      <w:numFmt w:val="bullet"/>
      <w:lvlText w:val=""/>
      <w:lvlJc w:val="left"/>
      <w:pPr>
        <w:ind w:left="3021" w:hanging="360"/>
      </w:pPr>
      <w:rPr>
        <w:rFonts w:ascii="Symbol" w:hAnsi="Symbol" w:hint="default"/>
      </w:rPr>
    </w:lvl>
    <w:lvl w:ilvl="4" w:tplc="FFFFFFFF" w:tentative="1">
      <w:start w:val="1"/>
      <w:numFmt w:val="bullet"/>
      <w:lvlText w:val="o"/>
      <w:lvlJc w:val="left"/>
      <w:pPr>
        <w:ind w:left="3741" w:hanging="360"/>
      </w:pPr>
      <w:rPr>
        <w:rFonts w:ascii="Courier New" w:hAnsi="Courier New" w:cs="Courier New" w:hint="default"/>
      </w:rPr>
    </w:lvl>
    <w:lvl w:ilvl="5" w:tplc="FFFFFFFF" w:tentative="1">
      <w:start w:val="1"/>
      <w:numFmt w:val="bullet"/>
      <w:lvlText w:val=""/>
      <w:lvlJc w:val="left"/>
      <w:pPr>
        <w:ind w:left="4461" w:hanging="360"/>
      </w:pPr>
      <w:rPr>
        <w:rFonts w:ascii="Wingdings" w:hAnsi="Wingdings" w:hint="default"/>
      </w:rPr>
    </w:lvl>
    <w:lvl w:ilvl="6" w:tplc="FFFFFFFF" w:tentative="1">
      <w:start w:val="1"/>
      <w:numFmt w:val="bullet"/>
      <w:lvlText w:val=""/>
      <w:lvlJc w:val="left"/>
      <w:pPr>
        <w:ind w:left="5181" w:hanging="360"/>
      </w:pPr>
      <w:rPr>
        <w:rFonts w:ascii="Symbol" w:hAnsi="Symbol" w:hint="default"/>
      </w:rPr>
    </w:lvl>
    <w:lvl w:ilvl="7" w:tplc="FFFFFFFF" w:tentative="1">
      <w:start w:val="1"/>
      <w:numFmt w:val="bullet"/>
      <w:lvlText w:val="o"/>
      <w:lvlJc w:val="left"/>
      <w:pPr>
        <w:ind w:left="5901" w:hanging="360"/>
      </w:pPr>
      <w:rPr>
        <w:rFonts w:ascii="Courier New" w:hAnsi="Courier New" w:cs="Courier New" w:hint="default"/>
      </w:rPr>
    </w:lvl>
    <w:lvl w:ilvl="8" w:tplc="FFFFFFFF" w:tentative="1">
      <w:start w:val="1"/>
      <w:numFmt w:val="bullet"/>
      <w:lvlText w:val=""/>
      <w:lvlJc w:val="left"/>
      <w:pPr>
        <w:ind w:left="6621" w:hanging="360"/>
      </w:pPr>
      <w:rPr>
        <w:rFonts w:ascii="Wingdings" w:hAnsi="Wingdings" w:hint="default"/>
      </w:rPr>
    </w:lvl>
  </w:abstractNum>
  <w:abstractNum w:abstractNumId="5" w15:restartNumberingAfterBreak="0">
    <w:nsid w:val="3C29402C"/>
    <w:multiLevelType w:val="hybridMultilevel"/>
    <w:tmpl w:val="40F4360E"/>
    <w:lvl w:ilvl="0" w:tplc="14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50C7B2B"/>
    <w:multiLevelType w:val="hybridMultilevel"/>
    <w:tmpl w:val="FE629E26"/>
    <w:lvl w:ilvl="0" w:tplc="9258CDE2">
      <w:numFmt w:val="bullet"/>
      <w:lvlText w:val="•"/>
      <w:lvlJc w:val="left"/>
      <w:pPr>
        <w:ind w:left="1070" w:hanging="710"/>
      </w:pPr>
      <w:rPr>
        <w:rFonts w:ascii="Roboto" w:eastAsia="Calibri" w:hAnsi="Roboto"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59637207"/>
    <w:multiLevelType w:val="hybridMultilevel"/>
    <w:tmpl w:val="C360C1CA"/>
    <w:lvl w:ilvl="0" w:tplc="F9E802EE">
      <w:start w:val="1"/>
      <w:numFmt w:val="decimal"/>
      <w:lvlText w:val="%1."/>
      <w:lvlJc w:val="left"/>
      <w:pPr>
        <w:ind w:left="501" w:hanging="360"/>
      </w:pPr>
      <w:rPr>
        <w:b w:val="0"/>
        <w:bCs/>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8" w15:restartNumberingAfterBreak="0">
    <w:nsid w:val="63410E2C"/>
    <w:multiLevelType w:val="hybridMultilevel"/>
    <w:tmpl w:val="5D0AC54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7F7E6C3A"/>
    <w:multiLevelType w:val="hybridMultilevel"/>
    <w:tmpl w:val="8790007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534727675">
    <w:abstractNumId w:val="0"/>
  </w:num>
  <w:num w:numId="2" w16cid:durableId="16275462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5180823">
    <w:abstractNumId w:val="3"/>
  </w:num>
  <w:num w:numId="4" w16cid:durableId="1270695593">
    <w:abstractNumId w:val="1"/>
  </w:num>
  <w:num w:numId="5" w16cid:durableId="2081321263">
    <w:abstractNumId w:val="8"/>
  </w:num>
  <w:num w:numId="6" w16cid:durableId="1920795939">
    <w:abstractNumId w:val="2"/>
  </w:num>
  <w:num w:numId="7" w16cid:durableId="1137913327">
    <w:abstractNumId w:val="5"/>
  </w:num>
  <w:num w:numId="8" w16cid:durableId="14157383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3391351">
    <w:abstractNumId w:val="4"/>
  </w:num>
  <w:num w:numId="10" w16cid:durableId="591553050">
    <w:abstractNumId w:val="6"/>
  </w:num>
  <w:num w:numId="11" w16cid:durableId="21125052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39"/>
    <w:rsid w:val="000B534B"/>
    <w:rsid w:val="000D7688"/>
    <w:rsid w:val="001461F3"/>
    <w:rsid w:val="00171D9F"/>
    <w:rsid w:val="001A01A5"/>
    <w:rsid w:val="002071C9"/>
    <w:rsid w:val="00262524"/>
    <w:rsid w:val="002B54AF"/>
    <w:rsid w:val="00317E18"/>
    <w:rsid w:val="00347BC0"/>
    <w:rsid w:val="00383640"/>
    <w:rsid w:val="00480E91"/>
    <w:rsid w:val="00543431"/>
    <w:rsid w:val="00545800"/>
    <w:rsid w:val="005F385E"/>
    <w:rsid w:val="00624816"/>
    <w:rsid w:val="006262C0"/>
    <w:rsid w:val="00637370"/>
    <w:rsid w:val="006D69C2"/>
    <w:rsid w:val="00701613"/>
    <w:rsid w:val="00771F1E"/>
    <w:rsid w:val="00830429"/>
    <w:rsid w:val="00894260"/>
    <w:rsid w:val="0096789F"/>
    <w:rsid w:val="009B5E6F"/>
    <w:rsid w:val="009C6139"/>
    <w:rsid w:val="00A10B7B"/>
    <w:rsid w:val="00A67EB4"/>
    <w:rsid w:val="00AA7963"/>
    <w:rsid w:val="00C66F70"/>
    <w:rsid w:val="00CF1CD0"/>
    <w:rsid w:val="00D23EE1"/>
    <w:rsid w:val="00D834C2"/>
    <w:rsid w:val="00E2742F"/>
    <w:rsid w:val="00EF133C"/>
    <w:rsid w:val="00F07616"/>
    <w:rsid w:val="00F6016A"/>
    <w:rsid w:val="00FB60B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BA086"/>
  <w15:chartTrackingRefBased/>
  <w15:docId w15:val="{DE32140B-A444-4761-83B8-156F67AB8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23EE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es-ES" w:eastAsia="es-ES"/>
    </w:rPr>
  </w:style>
  <w:style w:type="paragraph" w:styleId="Ttulo2">
    <w:name w:val="heading 2"/>
    <w:basedOn w:val="Normal"/>
    <w:next w:val="Normal"/>
    <w:link w:val="Ttulo2Car"/>
    <w:qFormat/>
    <w:rsid w:val="00D23EE1"/>
    <w:pPr>
      <w:keepNext/>
      <w:spacing w:after="0" w:line="240" w:lineRule="auto"/>
      <w:ind w:left="708" w:hanging="708"/>
      <w:jc w:val="both"/>
      <w:outlineLvl w:val="1"/>
    </w:pPr>
    <w:rPr>
      <w:rFonts w:ascii="Times New Roman" w:eastAsia="Times New Roman" w:hAnsi="Times New Roman" w:cs="Times New Roman"/>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9C6139"/>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9C6139"/>
    <w:rPr>
      <w:rFonts w:ascii="Times New Roman" w:eastAsia="Times New Roman" w:hAnsi="Times New Roman" w:cs="Times New Roman"/>
      <w:sz w:val="20"/>
      <w:szCs w:val="20"/>
      <w:lang w:val="es-ES" w:eastAsia="es-ES"/>
    </w:rPr>
  </w:style>
  <w:style w:type="character" w:customStyle="1" w:styleId="TextodereglamentoChar">
    <w:name w:val="Texto de reglamento Char"/>
    <w:link w:val="Textodereglamento"/>
    <w:locked/>
    <w:rsid w:val="009C6139"/>
    <w:rPr>
      <w:rFonts w:ascii="Times New Roman" w:eastAsia="Times New Roman" w:hAnsi="Times New Roman" w:cs="Times New Roman"/>
      <w:szCs w:val="24"/>
      <w:lang w:val="es-ES" w:eastAsia="es-ES"/>
    </w:rPr>
  </w:style>
  <w:style w:type="paragraph" w:customStyle="1" w:styleId="Textodereglamento">
    <w:name w:val="Texto de reglamento"/>
    <w:basedOn w:val="Normal"/>
    <w:link w:val="TextodereglamentoChar"/>
    <w:qFormat/>
    <w:rsid w:val="009C6139"/>
    <w:pPr>
      <w:spacing w:before="120" w:after="0" w:line="240" w:lineRule="auto"/>
      <w:jc w:val="both"/>
    </w:pPr>
    <w:rPr>
      <w:rFonts w:ascii="Times New Roman" w:eastAsia="Times New Roman" w:hAnsi="Times New Roman" w:cs="Times New Roman"/>
      <w:szCs w:val="24"/>
      <w:lang w:val="es-ES" w:eastAsia="es-ES"/>
    </w:rPr>
  </w:style>
  <w:style w:type="character" w:styleId="Refdenotaalpie">
    <w:name w:val="footnote reference"/>
    <w:basedOn w:val="Fuentedeprrafopredeter"/>
    <w:uiPriority w:val="99"/>
    <w:semiHidden/>
    <w:unhideWhenUsed/>
    <w:rsid w:val="009C6139"/>
    <w:rPr>
      <w:vertAlign w:val="superscript"/>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9C6139"/>
    <w:pPr>
      <w:spacing w:after="200" w:line="276" w:lineRule="auto"/>
      <w:ind w:left="720"/>
      <w:contextualSpacing/>
    </w:pPr>
    <w:rPr>
      <w:lang w:val="en-US"/>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9C6139"/>
    <w:rPr>
      <w:lang w:val="en-US"/>
    </w:rPr>
  </w:style>
  <w:style w:type="paragraph" w:customStyle="1" w:styleId="Numeracin">
    <w:name w:val="Numeración"/>
    <w:basedOn w:val="Normal"/>
    <w:qFormat/>
    <w:rsid w:val="009C6139"/>
    <w:pPr>
      <w:numPr>
        <w:numId w:val="1"/>
      </w:numPr>
      <w:spacing w:before="120" w:after="0" w:line="240" w:lineRule="auto"/>
      <w:jc w:val="both"/>
    </w:pPr>
    <w:rPr>
      <w:rFonts w:ascii="Times New Roman" w:eastAsia="Times New Roman" w:hAnsi="Times New Roman" w:cs="Times New Roman"/>
      <w:szCs w:val="24"/>
      <w:lang w:val="es-ES" w:eastAsia="es-ES"/>
    </w:rPr>
  </w:style>
  <w:style w:type="paragraph" w:styleId="Encabezado">
    <w:name w:val="header"/>
    <w:basedOn w:val="Normal"/>
    <w:link w:val="EncabezadoCar"/>
    <w:unhideWhenUsed/>
    <w:rsid w:val="009C6139"/>
    <w:pPr>
      <w:tabs>
        <w:tab w:val="center" w:pos="4419"/>
        <w:tab w:val="right" w:pos="8838"/>
      </w:tabs>
      <w:spacing w:after="0" w:line="240" w:lineRule="auto"/>
    </w:pPr>
  </w:style>
  <w:style w:type="character" w:customStyle="1" w:styleId="EncabezadoCar">
    <w:name w:val="Encabezado Car"/>
    <w:basedOn w:val="Fuentedeprrafopredeter"/>
    <w:link w:val="Encabezado"/>
    <w:rsid w:val="009C6139"/>
  </w:style>
  <w:style w:type="paragraph" w:styleId="Piedepgina">
    <w:name w:val="footer"/>
    <w:basedOn w:val="Normal"/>
    <w:link w:val="PiedepginaCar"/>
    <w:uiPriority w:val="99"/>
    <w:unhideWhenUsed/>
    <w:rsid w:val="009C61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6139"/>
  </w:style>
  <w:style w:type="character" w:customStyle="1" w:styleId="Ttulo1Car">
    <w:name w:val="Título 1 Car"/>
    <w:basedOn w:val="Fuentedeprrafopredeter"/>
    <w:link w:val="Ttulo1"/>
    <w:uiPriority w:val="9"/>
    <w:rsid w:val="00D23EE1"/>
    <w:rPr>
      <w:rFonts w:asciiTheme="majorHAnsi" w:eastAsiaTheme="majorEastAsia" w:hAnsiTheme="majorHAnsi" w:cstheme="majorBidi"/>
      <w:color w:val="2F5496" w:themeColor="accent1" w:themeShade="BF"/>
      <w:sz w:val="32"/>
      <w:szCs w:val="32"/>
      <w:lang w:val="es-ES" w:eastAsia="es-ES"/>
    </w:rPr>
  </w:style>
  <w:style w:type="character" w:customStyle="1" w:styleId="Ttulo2Car">
    <w:name w:val="Título 2 Car"/>
    <w:basedOn w:val="Fuentedeprrafopredeter"/>
    <w:link w:val="Ttulo2"/>
    <w:rsid w:val="00D23EE1"/>
    <w:rPr>
      <w:rFonts w:ascii="Times New Roman" w:eastAsia="Times New Roman" w:hAnsi="Times New Roman" w:cs="Times New Roman"/>
      <w:sz w:val="24"/>
      <w:szCs w:val="20"/>
      <w:lang w:val="es-ES" w:eastAsia="es-ES"/>
    </w:rPr>
  </w:style>
  <w:style w:type="paragraph" w:customStyle="1" w:styleId="CNV">
    <w:name w:val="CNV"/>
    <w:basedOn w:val="Normal"/>
    <w:rsid w:val="00D23EE1"/>
    <w:pPr>
      <w:spacing w:after="0" w:line="240" w:lineRule="auto"/>
      <w:jc w:val="both"/>
    </w:pPr>
    <w:rPr>
      <w:rFonts w:ascii="Times New Roman" w:eastAsia="Times New Roman" w:hAnsi="Times New Roman" w:cs="Times New Roman"/>
      <w:sz w:val="24"/>
      <w:szCs w:val="20"/>
      <w:lang w:val="es-ES_tradnl"/>
    </w:rPr>
  </w:style>
  <w:style w:type="table" w:styleId="Tablaconcuadrcula">
    <w:name w:val="Table Grid"/>
    <w:basedOn w:val="Tablanormal"/>
    <w:uiPriority w:val="39"/>
    <w:rsid w:val="00D23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30429"/>
    <w:pPr>
      <w:spacing w:after="0" w:line="240" w:lineRule="auto"/>
    </w:pPr>
    <w:rPr>
      <w:rFonts w:ascii="Calibri" w:hAnsi="Calibri" w:cs="Calibri"/>
      <w:lang w:eastAsia="es-CR"/>
    </w:rPr>
  </w:style>
  <w:style w:type="paragraph" w:styleId="NormalWeb">
    <w:name w:val="Normal (Web)"/>
    <w:basedOn w:val="Normal"/>
    <w:uiPriority w:val="99"/>
    <w:semiHidden/>
    <w:unhideWhenUsed/>
    <w:rsid w:val="00830429"/>
    <w:pPr>
      <w:spacing w:before="100" w:beforeAutospacing="1" w:after="100" w:afterAutospacing="1" w:line="240" w:lineRule="auto"/>
    </w:pPr>
    <w:rPr>
      <w:rFonts w:ascii="Times New Roman" w:eastAsia="Times New Roman" w:hAnsi="Times New Roman" w:cs="Times New Roman"/>
      <w:sz w:val="24"/>
      <w:szCs w:val="24"/>
      <w:lang w:eastAsia="es-CR"/>
    </w:rPr>
  </w:style>
  <w:style w:type="table" w:styleId="Tablaconcuadrcula1clara">
    <w:name w:val="Grid Table 1 Light"/>
    <w:basedOn w:val="Tablanormal"/>
    <w:uiPriority w:val="46"/>
    <w:rsid w:val="00C66F7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74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AF0238-A9F8-4238-A9DF-A14D1B781605}">
  <ds:schemaRefs>
    <ds:schemaRef ds:uri="http://schemas.microsoft.com/sharepoint/v3/contenttype/forms"/>
  </ds:schemaRefs>
</ds:datastoreItem>
</file>

<file path=customXml/itemProps2.xml><?xml version="1.0" encoding="utf-8"?>
<ds:datastoreItem xmlns:ds="http://schemas.openxmlformats.org/officeDocument/2006/customXml" ds:itemID="{41248A80-0947-49A6-8523-B0F288AD143D}">
  <ds:schemaRefs>
    <ds:schemaRef ds:uri="http://schemas.openxmlformats.org/officeDocument/2006/bibliography"/>
  </ds:schemaRefs>
</ds:datastoreItem>
</file>

<file path=customXml/itemProps3.xml><?xml version="1.0" encoding="utf-8"?>
<ds:datastoreItem xmlns:ds="http://schemas.openxmlformats.org/officeDocument/2006/customXml" ds:itemID="{661D02E2-5E7A-4BCB-812F-93DEE8B77B7B}"/>
</file>

<file path=customXml/itemProps4.xml><?xml version="1.0" encoding="utf-8"?>
<ds:datastoreItem xmlns:ds="http://schemas.openxmlformats.org/officeDocument/2006/customXml" ds:itemID="{976C7C26-559A-4920-8B10-5E35682DD6F4}">
  <ds:schemaRefs>
    <ds:schemaRef ds:uri="http://schemas.microsoft.com/office/2006/metadata/properties"/>
    <ds:schemaRef ds:uri="http://schemas.microsoft.com/office/infopath/2007/PartnerControls"/>
    <ds:schemaRef ds:uri="315842a7-4cff-4ca6-8fb0-a6562d7ae952"/>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1808</Words>
  <Characters>9947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BURGOS CAMACHO MARIA JOSE</dc:creator>
  <cp:keywords/>
  <dc:description/>
  <cp:lastModifiedBy>MORALES ROJAS ILIANA</cp:lastModifiedBy>
  <cp:revision>6</cp:revision>
  <dcterms:created xsi:type="dcterms:W3CDTF">2025-04-23T16:18:00Z</dcterms:created>
  <dcterms:modified xsi:type="dcterms:W3CDTF">2025-05-08T14:45:00Z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Uso Interno</vt:lpwstr>
  </property>
  <property fmtid="{D5CDD505-2E9C-101B-9397-08002B2CF9AE}" pid="5" name="MSIP_Label_b8b4be34-365a-4a68-b9fb-75c1b6874315_Enabled">
    <vt:lpwstr>true</vt:lpwstr>
  </property>
  <property fmtid="{D5CDD505-2E9C-101B-9397-08002B2CF9AE}" pid="6" name="MSIP_Label_b8b4be34-365a-4a68-b9fb-75c1b6874315_SetDate">
    <vt:lpwstr>2024-05-27T22:22:44Z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d075350b-3ed0-4104-b9fa-24a74e978ab2</vt:lpwstr>
  </property>
  <property fmtid="{D5CDD505-2E9C-101B-9397-08002B2CF9AE}" pid="11" name="MSIP_Label_b8b4be34-365a-4a68-b9fb-75c1b6874315_ContentBits">
    <vt:lpwstr>2</vt:lpwstr>
  </property>
  <property fmtid="{D5CDD505-2E9C-101B-9397-08002B2CF9AE}" pid="12" name="ContentTypeId">
    <vt:lpwstr>0x010100A1F83956CD40E44FA7C3C72C7933C58C</vt:lpwstr>
  </property>
  <property fmtid="{D5CDD505-2E9C-101B-9397-08002B2CF9AE}" pid="13" name="Order">
    <vt:r8>1121300</vt:r8>
  </property>
  <property fmtid="{D5CDD505-2E9C-101B-9397-08002B2CF9AE}" pid="14" name="xd_Signature">
    <vt:bool>false</vt:bool>
  </property>
  <property fmtid="{D5CDD505-2E9C-101B-9397-08002B2CF9AE}" pid="15" name="xd_ProgID">
    <vt:lpwstr/>
  </property>
  <property fmtid="{D5CDD505-2E9C-101B-9397-08002B2CF9AE}" pid="16" name="DocumentSetDescription">
    <vt:lpwstr/>
  </property>
  <property fmtid="{D5CDD505-2E9C-101B-9397-08002B2CF9AE}" pid="17" name="TriggerFlowInfo">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ies>
</file>