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AC6C3" w14:textId="13EF4A76" w:rsidR="00783D26" w:rsidRDefault="00FB154A" w:rsidP="003D300A">
      <w:pPr>
        <w:ind w:right="-193"/>
        <w:jc w:val="center"/>
        <w:rPr>
          <w:rFonts w:ascii="Roboto" w:eastAsiaTheme="minorHAnsi" w:hAnsi="Roboto" w:cs="Arial"/>
          <w:bCs/>
          <w:sz w:val="22"/>
          <w:szCs w:val="22"/>
          <w:lang w:val="es-CR" w:eastAsia="en-US"/>
        </w:rPr>
      </w:pPr>
      <w:r w:rsidRPr="0036129F">
        <w:rPr>
          <w:rFonts w:ascii="Roboto" w:eastAsiaTheme="minorHAnsi" w:hAnsi="Roboto" w:cs="Arial"/>
          <w:b/>
          <w:sz w:val="22"/>
          <w:szCs w:val="22"/>
          <w:lang w:val="es-CR" w:eastAsia="en-US"/>
        </w:rPr>
        <w:t xml:space="preserve">SGV-A-8-2026 </w:t>
      </w:r>
      <w:r w:rsidR="00783D26" w:rsidRPr="0036129F">
        <w:rPr>
          <w:rFonts w:ascii="Roboto" w:eastAsiaTheme="minorHAnsi" w:hAnsi="Roboto" w:cs="Arial"/>
          <w:b/>
          <w:sz w:val="22"/>
          <w:szCs w:val="22"/>
          <w:lang w:val="es-CR" w:eastAsia="en-US"/>
        </w:rPr>
        <w:t>PROCESO DE DESMATERIALIZACIÓN DE ACCIONES</w:t>
      </w:r>
      <w:r w:rsidR="006257DE">
        <w:rPr>
          <w:rFonts w:ascii="Roboto" w:eastAsiaTheme="minorHAnsi" w:hAnsi="Roboto" w:cs="Arial"/>
          <w:b/>
          <w:sz w:val="22"/>
          <w:szCs w:val="22"/>
          <w:lang w:val="es-CR" w:eastAsia="en-US"/>
        </w:rPr>
        <w:t xml:space="preserve"> </w:t>
      </w:r>
      <w:r w:rsidR="003D300A">
        <w:rPr>
          <w:rStyle w:val="Refdenotaalpie"/>
          <w:rFonts w:ascii="Roboto" w:eastAsiaTheme="minorHAnsi" w:hAnsi="Roboto" w:cs="Arial"/>
          <w:b/>
          <w:sz w:val="22"/>
          <w:szCs w:val="22"/>
          <w:lang w:val="es-CR" w:eastAsia="en-US"/>
        </w:rPr>
        <w:footnoteReference w:id="1"/>
      </w:r>
    </w:p>
    <w:p w14:paraId="3E084323" w14:textId="77777777" w:rsidR="003D300A" w:rsidRPr="0036129F" w:rsidRDefault="003D300A" w:rsidP="003D300A">
      <w:pPr>
        <w:ind w:right="-193"/>
        <w:jc w:val="center"/>
        <w:rPr>
          <w:rFonts w:ascii="Roboto" w:eastAsiaTheme="minorHAnsi" w:hAnsi="Roboto" w:cs="Arial"/>
          <w:bCs/>
          <w:sz w:val="22"/>
          <w:szCs w:val="22"/>
          <w:lang w:val="es-CR" w:eastAsia="en-US"/>
        </w:rPr>
      </w:pPr>
    </w:p>
    <w:p w14:paraId="05D811EB" w14:textId="77777777" w:rsidR="00783D26" w:rsidRPr="00783D26" w:rsidRDefault="00783D26" w:rsidP="00783D26">
      <w:pPr>
        <w:ind w:right="-193"/>
        <w:jc w:val="both"/>
        <w:rPr>
          <w:b/>
          <w:bCs/>
          <w:iCs/>
          <w:noProof/>
          <w:szCs w:val="24"/>
          <w:lang w:val="es-ES_tradnl"/>
        </w:rPr>
      </w:pPr>
    </w:p>
    <w:p w14:paraId="4D340736" w14:textId="77777777" w:rsidR="00783D26" w:rsidRPr="003D300A" w:rsidRDefault="00783D26" w:rsidP="0036129F">
      <w:pPr>
        <w:spacing w:after="160" w:line="276" w:lineRule="auto"/>
        <w:ind w:right="-193"/>
        <w:jc w:val="both"/>
        <w:rPr>
          <w:rFonts w:ascii="Roboto" w:eastAsiaTheme="minorHAnsi" w:hAnsi="Roboto" w:cs="Arial"/>
          <w:b/>
          <w:bCs/>
          <w:sz w:val="22"/>
          <w:szCs w:val="22"/>
          <w:lang w:val="es-CR" w:eastAsia="en-US"/>
        </w:rPr>
      </w:pPr>
      <w:r w:rsidRPr="003D300A">
        <w:rPr>
          <w:rFonts w:ascii="Roboto" w:eastAsiaTheme="minorHAnsi" w:hAnsi="Roboto" w:cs="Arial"/>
          <w:b/>
          <w:bCs/>
          <w:sz w:val="22"/>
          <w:szCs w:val="22"/>
          <w:lang w:val="es-CR" w:eastAsia="en-US"/>
        </w:rPr>
        <w:t>Considerando que:</w:t>
      </w:r>
    </w:p>
    <w:p w14:paraId="60058E36" w14:textId="77777777" w:rsidR="00783D26" w:rsidRPr="003D300A" w:rsidRDefault="00783D26" w:rsidP="00783D26">
      <w:pPr>
        <w:spacing w:line="276" w:lineRule="auto"/>
        <w:ind w:right="-193"/>
        <w:jc w:val="both"/>
        <w:rPr>
          <w:rFonts w:ascii="Roboto" w:hAnsi="Roboto"/>
          <w:b/>
          <w:bCs/>
          <w:sz w:val="22"/>
          <w:szCs w:val="22"/>
          <w:lang w:val="es-CR"/>
        </w:rPr>
      </w:pPr>
    </w:p>
    <w:p w14:paraId="502DA786" w14:textId="77777777" w:rsidR="00783D26" w:rsidRPr="003D300A" w:rsidRDefault="00783D26" w:rsidP="00606B24">
      <w:pPr>
        <w:spacing w:after="160" w:line="276" w:lineRule="auto"/>
        <w:ind w:right="-193"/>
        <w:jc w:val="both"/>
        <w:rPr>
          <w:rFonts w:ascii="Roboto" w:eastAsiaTheme="minorHAnsi" w:hAnsi="Roboto" w:cs="Arial"/>
          <w:b/>
          <w:bCs/>
          <w:sz w:val="22"/>
          <w:szCs w:val="22"/>
          <w:lang w:val="es-CR" w:eastAsia="en-US"/>
        </w:rPr>
      </w:pPr>
      <w:r w:rsidRPr="003D300A">
        <w:rPr>
          <w:rFonts w:ascii="Roboto" w:eastAsiaTheme="minorHAnsi" w:hAnsi="Roboto" w:cs="Arial"/>
          <w:b/>
          <w:bCs/>
          <w:sz w:val="22"/>
          <w:szCs w:val="22"/>
          <w:lang w:val="es-CR" w:eastAsia="en-US"/>
        </w:rPr>
        <w:t>Consideraciones de orden legal y reglamentario.</w:t>
      </w:r>
    </w:p>
    <w:p w14:paraId="0280ADD4" w14:textId="77777777" w:rsidR="00783D26"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 xml:space="preserve">El artículo 3 de la </w:t>
      </w:r>
      <w:r w:rsidRPr="003D300A">
        <w:rPr>
          <w:rFonts w:ascii="Roboto" w:eastAsia="Calibri" w:hAnsi="Roboto" w:cs="Arial"/>
          <w:bCs/>
          <w:i/>
          <w:iCs/>
          <w:sz w:val="22"/>
          <w:szCs w:val="22"/>
          <w:lang w:val="es-CR" w:eastAsia="en-US"/>
        </w:rPr>
        <w:t>Ley Reguladora del Mercado de Valores</w:t>
      </w:r>
      <w:r w:rsidRPr="003D300A">
        <w:rPr>
          <w:rFonts w:ascii="Roboto" w:eastAsia="Calibri" w:hAnsi="Roboto" w:cs="Arial"/>
          <w:bCs/>
          <w:sz w:val="22"/>
          <w:szCs w:val="22"/>
          <w:lang w:val="es-CR" w:eastAsia="en-US"/>
        </w:rPr>
        <w:t xml:space="preserve"> (Ley 7732, en adelante LRMV) establece que corresponde a la Superintendencia General de Valores (Sugeval) la potestad de regular, supervisar y fiscalizar los mercados de valores, la actividad de las personas físicas o jurídicas que intervengan directa o indirectamente en dichos mercados, así como los actos y contratos vinculados.</w:t>
      </w:r>
    </w:p>
    <w:p w14:paraId="47E210FF" w14:textId="77777777" w:rsidR="003D300A" w:rsidRPr="003D300A" w:rsidRDefault="003D300A" w:rsidP="003D300A">
      <w:pPr>
        <w:tabs>
          <w:tab w:val="left" w:pos="567"/>
        </w:tabs>
        <w:ind w:left="567" w:right="-193"/>
        <w:jc w:val="both"/>
        <w:rPr>
          <w:rFonts w:ascii="Roboto" w:eastAsia="Calibri" w:hAnsi="Roboto" w:cs="Arial"/>
          <w:bCs/>
          <w:sz w:val="22"/>
          <w:szCs w:val="22"/>
          <w:lang w:val="es-CR" w:eastAsia="en-US"/>
        </w:rPr>
      </w:pPr>
    </w:p>
    <w:p w14:paraId="1DE95FAD"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El artículo 8, inciso j), de la LRMV dispone que al Superintendente le corresponde adoptar acciones necesarias para el cumplimiento efectivo de las funciones de autorización, regulación, supervisión y fiscalización que ejerce la superintendencia según esa ley.</w:t>
      </w:r>
    </w:p>
    <w:p w14:paraId="1D082127" w14:textId="77777777" w:rsidR="00783D26" w:rsidRPr="003D300A" w:rsidRDefault="00783D26" w:rsidP="00606B24">
      <w:pPr>
        <w:tabs>
          <w:tab w:val="left" w:pos="567"/>
        </w:tabs>
        <w:ind w:left="567" w:right="-193"/>
        <w:jc w:val="both"/>
        <w:rPr>
          <w:rFonts w:ascii="Roboto" w:eastAsia="Calibri" w:hAnsi="Roboto" w:cs="Arial"/>
          <w:bCs/>
          <w:sz w:val="22"/>
          <w:szCs w:val="22"/>
          <w:lang w:val="es-CR" w:eastAsia="en-US"/>
        </w:rPr>
      </w:pPr>
    </w:p>
    <w:p w14:paraId="5BEC9C93"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El Conassif mediante artículo 8 del acta de la sesión 1792-2023, celebrada el 27 de marzo de 2023, aprobó la reforma al Transitorio k del Acuerdo Sugeval 7-06 Reglamento sobre Oferta Pública de Valores mediante el cual se dispuso de un plazo determinado para completar el proceso de desmaterialización total de las acciones físicas, el cual estaba previsto para el 31 de mayo del 2024.</w:t>
      </w:r>
    </w:p>
    <w:p w14:paraId="1F3F9137" w14:textId="77777777" w:rsidR="00783D26" w:rsidRPr="003D300A" w:rsidRDefault="00783D26" w:rsidP="00606B24">
      <w:pPr>
        <w:tabs>
          <w:tab w:val="left" w:pos="567"/>
        </w:tabs>
        <w:ind w:left="567" w:right="-193"/>
        <w:jc w:val="both"/>
        <w:rPr>
          <w:rFonts w:ascii="Roboto" w:eastAsia="Calibri" w:hAnsi="Roboto" w:cs="Arial"/>
          <w:bCs/>
          <w:sz w:val="22"/>
          <w:szCs w:val="22"/>
          <w:lang w:val="es-CR" w:eastAsia="en-US"/>
        </w:rPr>
      </w:pPr>
    </w:p>
    <w:p w14:paraId="64B2AE57"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 xml:space="preserve">Durante el proceso de implementación de la desmaterialización de los valores con representación física fue presentado un recurso de amparo seguido por el número de expediente judicial 23-007483-0007-CO y que fue el antecedente para la presentación de una acción de inconstitucionalidad contra los artículos 4 del Acuerdo Sugeval 17-15 Reglamento de Custodia, el Transitorio k) del Acuerdo Sugeval 7-06, </w:t>
      </w:r>
      <w:r w:rsidRPr="003D300A">
        <w:rPr>
          <w:rFonts w:ascii="Roboto" w:eastAsia="Calibri" w:hAnsi="Roboto" w:cs="Arial"/>
          <w:bCs/>
          <w:i/>
          <w:iCs/>
          <w:sz w:val="22"/>
          <w:szCs w:val="22"/>
          <w:lang w:val="es-CR" w:eastAsia="en-US"/>
        </w:rPr>
        <w:t>Reglamento sobre Oferta Pública de Valores</w:t>
      </w:r>
      <w:r w:rsidRPr="003D300A">
        <w:rPr>
          <w:rFonts w:ascii="Roboto" w:eastAsia="Calibri" w:hAnsi="Roboto" w:cs="Arial"/>
          <w:bCs/>
          <w:sz w:val="22"/>
          <w:szCs w:val="22"/>
          <w:lang w:val="es-CR" w:eastAsia="en-US"/>
        </w:rPr>
        <w:t xml:space="preserve"> y el Transitorio VIII de la </w:t>
      </w:r>
      <w:r w:rsidRPr="00983C7D">
        <w:rPr>
          <w:rFonts w:ascii="Roboto" w:eastAsia="Calibri" w:hAnsi="Roboto" w:cs="Arial"/>
          <w:bCs/>
          <w:i/>
          <w:iCs/>
          <w:sz w:val="22"/>
          <w:szCs w:val="22"/>
          <w:lang w:val="es-CR" w:eastAsia="en-US"/>
        </w:rPr>
        <w:t>Ley Reguladora del Mercado de Valores</w:t>
      </w:r>
      <w:r w:rsidRPr="003D300A">
        <w:rPr>
          <w:rFonts w:ascii="Roboto" w:eastAsia="Calibri" w:hAnsi="Roboto" w:cs="Arial"/>
          <w:bCs/>
          <w:sz w:val="22"/>
          <w:szCs w:val="22"/>
          <w:lang w:val="es-CR" w:eastAsia="en-US"/>
        </w:rPr>
        <w:t xml:space="preserve"> bajo el número de expediente judicial 23-016481-0007-CO.</w:t>
      </w:r>
    </w:p>
    <w:p w14:paraId="35D724C2" w14:textId="77777777" w:rsidR="00783D26" w:rsidRPr="003D300A" w:rsidRDefault="00783D26" w:rsidP="00606B24">
      <w:pPr>
        <w:tabs>
          <w:tab w:val="left" w:pos="567"/>
        </w:tabs>
        <w:ind w:left="567" w:right="-193"/>
        <w:jc w:val="both"/>
        <w:rPr>
          <w:rFonts w:ascii="Roboto" w:eastAsia="Calibri" w:hAnsi="Roboto" w:cs="Arial"/>
          <w:bCs/>
          <w:sz w:val="22"/>
          <w:szCs w:val="22"/>
          <w:lang w:val="es-CR" w:eastAsia="en-US"/>
        </w:rPr>
      </w:pPr>
    </w:p>
    <w:p w14:paraId="19AA088F"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La Sala Constitucional de la Corte Suprema de Justicia dio curso a la acción de inconstitucionalidad presentada y suspendió temporalmente los efectos de la aplicación de las normas, particularmente el transitorio k del Reglamento de Oferta Pública de Valores.</w:t>
      </w:r>
    </w:p>
    <w:p w14:paraId="2B1726E0" w14:textId="77777777" w:rsidR="00783D26" w:rsidRPr="003D300A" w:rsidRDefault="00783D26" w:rsidP="00606B24">
      <w:pPr>
        <w:tabs>
          <w:tab w:val="left" w:pos="567"/>
        </w:tabs>
        <w:ind w:left="567" w:right="-193"/>
        <w:jc w:val="both"/>
        <w:rPr>
          <w:rFonts w:ascii="Roboto" w:eastAsia="Calibri" w:hAnsi="Roboto" w:cs="Arial"/>
          <w:bCs/>
          <w:sz w:val="22"/>
          <w:szCs w:val="22"/>
          <w:lang w:val="es-CR" w:eastAsia="en-US"/>
        </w:rPr>
      </w:pPr>
    </w:p>
    <w:p w14:paraId="323B1972"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 xml:space="preserve">Mediante las resoluciones número 2025028307 y 2025034692, dictadas a las 11:50 horas del 3 de setiembre del 2025 y a las 9:20 horas del 24 de octubre del 2025, la Sala Constitucional rechazó de plano la acción de inconstitucionalidad y declaró sin lugar el recurso de amparo interpuestos en relación con el proceso de desmaterialización de acciones físicas, con lo cual se restableció la plena vigencia y aplicabilidad del marco </w:t>
      </w:r>
      <w:r w:rsidRPr="003D300A">
        <w:rPr>
          <w:rFonts w:ascii="Roboto" w:eastAsia="Calibri" w:hAnsi="Roboto" w:cs="Arial"/>
          <w:bCs/>
          <w:sz w:val="22"/>
          <w:szCs w:val="22"/>
          <w:lang w:val="es-CR" w:eastAsia="en-US"/>
        </w:rPr>
        <w:lastRenderedPageBreak/>
        <w:t>normativo impugnado, así como la exigibilidad del régimen de representación de valores mediante anotaciones electrónicas en cuenta previsto en la Ley Reguladora del Mercado de Valores, sin que se determinara una afectación inconstitucional al derecho de propiedad de los inversionistas.</w:t>
      </w:r>
    </w:p>
    <w:p w14:paraId="204BFB7D" w14:textId="77777777" w:rsidR="00783D26" w:rsidRPr="003D300A" w:rsidRDefault="00783D26" w:rsidP="00606B24">
      <w:pPr>
        <w:tabs>
          <w:tab w:val="left" w:pos="567"/>
        </w:tabs>
        <w:ind w:left="567" w:right="-193"/>
        <w:jc w:val="both"/>
        <w:rPr>
          <w:rFonts w:ascii="Roboto" w:eastAsia="Calibri" w:hAnsi="Roboto" w:cs="Arial"/>
          <w:bCs/>
          <w:sz w:val="22"/>
          <w:szCs w:val="22"/>
          <w:lang w:val="es-CR" w:eastAsia="en-US"/>
        </w:rPr>
      </w:pPr>
    </w:p>
    <w:p w14:paraId="1DFBB26B"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 xml:space="preserve">Con fundamento en las facultades que otorga la LRMV al Conassif este órgano aprobó, mediante el artículo 10 del acta de la sesión 1990-2025, celebrada el 15 de diciembre de 2025, una reforma al transitorio k del </w:t>
      </w:r>
      <w:r w:rsidRPr="003D300A">
        <w:rPr>
          <w:rFonts w:ascii="Roboto" w:eastAsia="Calibri" w:hAnsi="Roboto" w:cs="Arial"/>
          <w:bCs/>
          <w:i/>
          <w:iCs/>
          <w:sz w:val="22"/>
          <w:szCs w:val="22"/>
          <w:lang w:val="es-CR" w:eastAsia="en-US"/>
        </w:rPr>
        <w:t>Reglamento de Oferta Pública de Valores</w:t>
      </w:r>
      <w:r w:rsidRPr="003D300A">
        <w:rPr>
          <w:rFonts w:ascii="Roboto" w:eastAsia="Calibri" w:hAnsi="Roboto" w:cs="Arial"/>
          <w:bCs/>
          <w:sz w:val="22"/>
          <w:szCs w:val="22"/>
          <w:lang w:val="es-CR" w:eastAsia="en-US"/>
        </w:rPr>
        <w:t xml:space="preserve"> (Acuerdo Sugeval 7-06), para ajustar el plazo para completar el proceso de desmaterialización total de las acciones físicas hasta el 31 de agosto de 2026. </w:t>
      </w:r>
    </w:p>
    <w:p w14:paraId="5BF87BB3" w14:textId="77777777" w:rsidR="00783D26" w:rsidRPr="003D300A" w:rsidRDefault="00783D26" w:rsidP="00606B24">
      <w:pPr>
        <w:tabs>
          <w:tab w:val="left" w:pos="567"/>
        </w:tabs>
        <w:ind w:left="567" w:right="-193"/>
        <w:jc w:val="both"/>
        <w:rPr>
          <w:rFonts w:ascii="Roboto" w:eastAsia="Calibri" w:hAnsi="Roboto" w:cs="Arial"/>
          <w:bCs/>
          <w:sz w:val="22"/>
          <w:szCs w:val="22"/>
          <w:lang w:val="es-CR" w:eastAsia="en-US"/>
        </w:rPr>
      </w:pPr>
    </w:p>
    <w:p w14:paraId="66AE7125"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 xml:space="preserve">La Ley 7786, en su artículo 16 dispone que los sujetos obligados deben: “… </w:t>
      </w:r>
      <w:r w:rsidRPr="003D300A">
        <w:rPr>
          <w:rFonts w:ascii="Roboto" w:eastAsia="Calibri" w:hAnsi="Roboto" w:cs="Arial"/>
          <w:bCs/>
          <w:i/>
          <w:iCs/>
          <w:sz w:val="22"/>
          <w:szCs w:val="22"/>
          <w:lang w:val="es-CR" w:eastAsia="en-US"/>
        </w:rPr>
        <w:t>a) Obtener y conservar información acerca de la verdadera identidad de las personas en cuyo beneficio se abra una cuenta, (…) b) Mantener cuentas nominativas; no podrán mantener cuentas anónimas, cuentas cifradas ni cuentas bajo nombres ficticios o inexactos. (…) c) Registrar y verificar, por medios fehacientes, la identidad, la representación, el domicilio, la capacidad legal, la ocupación o el objeto social de la persona, la fuente u origen de los recursos que justifican las transacciones a realizarse, así como otros datos de su identidad, ya sean clientes ocasionales o habituales. Esta información debe constar en un formulario, el cual debe estar firmado por el cliente. No será necesaria la firma del formulario cuando se establezcan mediante reglamento a esta ley o normativa prudencial emitida por el Consejo Nacional de Supervisión del Sistema Financiero o la Dirección Nacional de Notariado, los mecanismos sustitutivos en aras de propiciar productos de bajo riesgo destinados a fomentar la inclusión financiera o simplificar trámites, según corresponda</w:t>
      </w:r>
      <w:r w:rsidRPr="003D300A">
        <w:rPr>
          <w:rFonts w:ascii="Roboto" w:eastAsia="Calibri" w:hAnsi="Roboto" w:cs="Arial"/>
          <w:bCs/>
          <w:sz w:val="22"/>
          <w:szCs w:val="22"/>
          <w:lang w:val="es-CR" w:eastAsia="en-US"/>
        </w:rPr>
        <w:t>…”.</w:t>
      </w:r>
    </w:p>
    <w:p w14:paraId="4D378097" w14:textId="77777777" w:rsidR="00783D26" w:rsidRPr="003D300A" w:rsidRDefault="00783D26" w:rsidP="00606B24">
      <w:pPr>
        <w:tabs>
          <w:tab w:val="left" w:pos="567"/>
        </w:tabs>
        <w:ind w:left="567" w:right="-193"/>
        <w:jc w:val="both"/>
        <w:rPr>
          <w:rFonts w:ascii="Roboto" w:eastAsia="Calibri" w:hAnsi="Roboto" w:cs="Arial"/>
          <w:bCs/>
          <w:sz w:val="22"/>
          <w:szCs w:val="22"/>
          <w:lang w:val="es-CR" w:eastAsia="en-US"/>
        </w:rPr>
      </w:pPr>
    </w:p>
    <w:p w14:paraId="654D0D20"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El Conassif mediante los Artículos 7 y 6 de las actas de las sesiones 1637-2020 y 1638-2020, celebradas el 18 de enero del 2021, aprobó el Acuerdo Conassif 12-21 “</w:t>
      </w:r>
      <w:r w:rsidRPr="00983C7D">
        <w:rPr>
          <w:rFonts w:ascii="Roboto" w:eastAsia="Calibri" w:hAnsi="Roboto" w:cs="Arial"/>
          <w:bCs/>
          <w:i/>
          <w:iCs/>
          <w:sz w:val="22"/>
          <w:szCs w:val="22"/>
          <w:lang w:val="es-CR" w:eastAsia="en-US"/>
        </w:rPr>
        <w:t>Reglamento para la prevención del riesgo de legitimación de capitales, financiamiento al terrorismo y financiamiento de la proliferación de armas de destrucción masiva, aplicable a los sujetos obligados por el artículo 14 de la Ley 7786”.</w:t>
      </w:r>
    </w:p>
    <w:p w14:paraId="57FD7085" w14:textId="77777777" w:rsidR="00783D26" w:rsidRPr="003D300A" w:rsidRDefault="00783D26" w:rsidP="00606B24">
      <w:pPr>
        <w:tabs>
          <w:tab w:val="left" w:pos="567"/>
        </w:tabs>
        <w:ind w:left="567" w:right="-193"/>
        <w:jc w:val="both"/>
        <w:rPr>
          <w:rFonts w:ascii="Roboto" w:eastAsia="Calibri" w:hAnsi="Roboto" w:cs="Arial"/>
          <w:bCs/>
          <w:sz w:val="22"/>
          <w:szCs w:val="22"/>
          <w:lang w:val="es-CR" w:eastAsia="en-US"/>
        </w:rPr>
      </w:pPr>
    </w:p>
    <w:p w14:paraId="30D28DBC"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El Acuerdo Conassif 12-21 en su artículo 4 habilita a la Superintendencia General de Valores a emitir Lineamientos específicos, de acuerdo con los riesgos de LC/FT/FPADM, estableciendo medidas de diligencia debida simplificada o reforzada. En el caso de los servicios de custodia la superintendencia podrá emitir lineamientos específicos para establecer las condiciones sobre el cumplimiento de lo regulado en este Acuerdo.</w:t>
      </w:r>
    </w:p>
    <w:p w14:paraId="189442F6" w14:textId="77777777" w:rsidR="00783D26" w:rsidRPr="003D300A" w:rsidRDefault="00783D26" w:rsidP="00606B24">
      <w:pPr>
        <w:tabs>
          <w:tab w:val="left" w:pos="567"/>
        </w:tabs>
        <w:ind w:left="567" w:right="-193"/>
        <w:jc w:val="both"/>
        <w:rPr>
          <w:rFonts w:ascii="Roboto" w:eastAsia="Calibri" w:hAnsi="Roboto" w:cs="Arial"/>
          <w:bCs/>
          <w:sz w:val="22"/>
          <w:szCs w:val="22"/>
          <w:lang w:val="es-CR" w:eastAsia="en-US"/>
        </w:rPr>
      </w:pPr>
    </w:p>
    <w:p w14:paraId="0AD98CCB"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El Conassif mediante el artículo 10 del acta de la sesión 1150-2015 celebrada el 23 de febrero del 2015 aprobó el Acuerdo Sugeval 17-15 Reglamento de Custodia, publicado en el Diario Oficial La Gaceta No. 47 del 9 de marzo del 2015, el cual regula la actividad de custodia de valores y del efectivo relacionado. Dicho reglamento dispone, entre otros elementos, las obligaciones en la prestación del servicio de custodia, incluido lo pertinente sobre el plazo (5 años) de conservación de la información de los registros y movimientos, así como la documentación probatoria pertinente sobre los valores en custodia.</w:t>
      </w:r>
    </w:p>
    <w:p w14:paraId="56FB0EC7" w14:textId="77777777" w:rsidR="00783D26" w:rsidRPr="003D300A" w:rsidRDefault="00783D26" w:rsidP="00606B24">
      <w:pPr>
        <w:tabs>
          <w:tab w:val="left" w:pos="567"/>
        </w:tabs>
        <w:ind w:left="567" w:right="-193"/>
        <w:jc w:val="both"/>
        <w:rPr>
          <w:rFonts w:ascii="Roboto" w:eastAsia="Calibri" w:hAnsi="Roboto" w:cs="Arial"/>
          <w:bCs/>
          <w:sz w:val="22"/>
          <w:szCs w:val="22"/>
          <w:lang w:val="es-CR" w:eastAsia="en-US"/>
        </w:rPr>
      </w:pPr>
    </w:p>
    <w:p w14:paraId="7872C99F"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lastRenderedPageBreak/>
        <w:t xml:space="preserve">El Acuerdo Sugeval 17-15 en su artículo 4 dispone que </w:t>
      </w:r>
      <w:r w:rsidRPr="00983C7D">
        <w:rPr>
          <w:rFonts w:ascii="Roboto" w:eastAsia="Calibri" w:hAnsi="Roboto" w:cs="Arial"/>
          <w:bCs/>
          <w:i/>
          <w:iCs/>
          <w:sz w:val="22"/>
          <w:szCs w:val="22"/>
          <w:lang w:val="es-CR" w:eastAsia="en-US"/>
        </w:rPr>
        <w:t>“… Las entidades de custodia, como parte de sus servicios, pueden abrir cuentas especiales de custodia para los emisores accionarios, con el fin único de registrar las acciones cuyos inversionistas titulares no se han apersonado ante el emisor para realizar el trámite de desmaterialización.  Estos valores se registran en estado inmovilizado, por lo que los titulares no pueden ejercer los derechos políticos ni patrimoniales, hasta tanto los sujetos legitimados para ello no realicen el trámite de desmaterialización ante el emisor. Hasta ese momento los derechos patrimoniales deben quedar registrados en una cuenta por pagar en los registros contables del emisor. (…) Una vez que el inversionista se ponga a derecho, se procederá a desmaterializar conforme el procedimiento que el emisor haya comunicado a la Superintendencia.</w:t>
      </w:r>
      <w:r w:rsidRPr="003D300A">
        <w:rPr>
          <w:rFonts w:ascii="Roboto" w:eastAsia="Calibri" w:hAnsi="Roboto" w:cs="Arial"/>
          <w:bCs/>
          <w:sz w:val="22"/>
          <w:szCs w:val="22"/>
          <w:lang w:val="es-CR" w:eastAsia="en-US"/>
        </w:rPr>
        <w:t>” Para lo anterior, el Acuerdo habilita a la Superintendencia General de Valores a emitir Lineamientos específicos con los detalles operativos de estas cuentas.</w:t>
      </w:r>
    </w:p>
    <w:p w14:paraId="66ADD717" w14:textId="77777777" w:rsidR="00783D26" w:rsidRPr="003D300A" w:rsidRDefault="00783D26" w:rsidP="00606B24">
      <w:pPr>
        <w:tabs>
          <w:tab w:val="left" w:pos="567"/>
        </w:tabs>
        <w:ind w:left="567" w:right="-193"/>
        <w:jc w:val="both"/>
        <w:rPr>
          <w:rFonts w:ascii="Roboto" w:eastAsia="Calibri" w:hAnsi="Roboto" w:cs="Arial"/>
          <w:bCs/>
          <w:sz w:val="22"/>
          <w:szCs w:val="22"/>
          <w:lang w:val="es-CR" w:eastAsia="en-US"/>
        </w:rPr>
      </w:pPr>
    </w:p>
    <w:p w14:paraId="362170C9"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La Sugeval aprobó el 4 de mayo del 2022 una Modificación al Acuerdo SGV-A-198 Acuerdo para la implantación del Reglamento de Custodia, introdujo el artículo 13 para regular las cuentas de custodia especial para emisores accionarios, que mantengan las entidades de custodia, para el registro de las acciones cuyos inversionistas titulares no se han apersonado ante el emisor para realizar el trámite de desmaterialización. Además, introdujo un acápite al artículo 10 sobre traspaso de valores, para regular los traslados de la cuenta especial a la cuenta de custodia del inversionista, cuando este último regularice su situación.</w:t>
      </w:r>
    </w:p>
    <w:p w14:paraId="1D9C783C" w14:textId="77777777" w:rsidR="00606B24" w:rsidRPr="003D300A" w:rsidRDefault="00606B24" w:rsidP="00606B24">
      <w:pPr>
        <w:pStyle w:val="Prrafodelista"/>
        <w:rPr>
          <w:rFonts w:ascii="Roboto" w:eastAsia="Calibri" w:hAnsi="Roboto" w:cs="Arial"/>
          <w:bCs/>
          <w:sz w:val="22"/>
          <w:szCs w:val="22"/>
          <w:lang w:val="es-CR" w:eastAsia="en-US"/>
        </w:rPr>
      </w:pPr>
    </w:p>
    <w:p w14:paraId="4BBC9B3E" w14:textId="77777777" w:rsidR="00606B24" w:rsidRPr="003D300A" w:rsidRDefault="00606B24" w:rsidP="00606B24">
      <w:pPr>
        <w:tabs>
          <w:tab w:val="left" w:pos="567"/>
        </w:tabs>
        <w:ind w:left="567" w:right="-193"/>
        <w:jc w:val="both"/>
        <w:rPr>
          <w:rFonts w:ascii="Roboto" w:eastAsia="Calibri" w:hAnsi="Roboto" w:cs="Arial"/>
          <w:bCs/>
          <w:sz w:val="22"/>
          <w:szCs w:val="22"/>
          <w:lang w:val="es-CR" w:eastAsia="en-US"/>
        </w:rPr>
      </w:pPr>
    </w:p>
    <w:p w14:paraId="3BF0AA48" w14:textId="77777777" w:rsidR="00783D26" w:rsidRPr="003D300A" w:rsidRDefault="00783D26" w:rsidP="00606B24">
      <w:pPr>
        <w:spacing w:after="160" w:line="276" w:lineRule="auto"/>
        <w:ind w:right="-193"/>
        <w:jc w:val="both"/>
        <w:rPr>
          <w:rFonts w:ascii="Roboto" w:eastAsiaTheme="minorHAnsi" w:hAnsi="Roboto" w:cs="Arial"/>
          <w:b/>
          <w:bCs/>
          <w:sz w:val="22"/>
          <w:szCs w:val="22"/>
          <w:lang w:val="es-CR" w:eastAsia="en-US"/>
        </w:rPr>
      </w:pPr>
      <w:r w:rsidRPr="003D300A">
        <w:rPr>
          <w:rFonts w:ascii="Roboto" w:eastAsiaTheme="minorHAnsi" w:hAnsi="Roboto" w:cs="Arial"/>
          <w:b/>
          <w:bCs/>
          <w:sz w:val="22"/>
          <w:szCs w:val="22"/>
          <w:lang w:val="es-CR" w:eastAsia="en-US"/>
        </w:rPr>
        <w:t>Consideraciones técnicas.</w:t>
      </w:r>
    </w:p>
    <w:p w14:paraId="1AC16F24"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Con el fin de analizar posibles alternativas, para identificar y seleccionar el instrumento más adecuado para dar una adecuada atención al proceso de desmaterialización, la Sugeval requirió información a los emisores de valores accionarios que realizaban oferta pública de sus acciones antes de la emisión de la Ley Reguladora del Mercado de Valores, con el fin de identificar la cantidad y porcentaje de acciones en soporte físico que se mantienen registradas en el Libro de Accionistas, la cantidad de acciones sobre las cuales el emisor no ha podido realizar el pago regular de los dividendos, así como la cantidad de inversionistas con acciones en soporte físico y que simultáneamente mantienen acciones desmaterializadas y anotadas en cuenta.</w:t>
      </w:r>
    </w:p>
    <w:p w14:paraId="09D16989" w14:textId="77777777" w:rsidR="00783D26" w:rsidRPr="003D300A" w:rsidRDefault="00783D26" w:rsidP="00606B24">
      <w:pPr>
        <w:tabs>
          <w:tab w:val="left" w:pos="567"/>
        </w:tabs>
        <w:ind w:left="567" w:right="-193"/>
        <w:jc w:val="both"/>
        <w:rPr>
          <w:rFonts w:ascii="Roboto" w:eastAsia="Calibri" w:hAnsi="Roboto" w:cs="Arial"/>
          <w:bCs/>
          <w:sz w:val="22"/>
          <w:szCs w:val="22"/>
          <w:lang w:val="es-CR" w:eastAsia="en-US"/>
        </w:rPr>
      </w:pPr>
    </w:p>
    <w:p w14:paraId="41CA5BC0"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En atención a las competencias señaladas en el artículo 7 de la LRMV, la Superintendencia inició una serie de reuniones con representantes de la Cámara Costarricense de Emisores de Títulos Valores e Interclear Central de Valores, para obtener su retroalimentación y recomendaciones de carácter no vinculante sobre las posibles alternativas a implementar que permitan garantizar la plena implementación del sistema de representación de valores mediante anotaciones electrónicas en cuenta.</w:t>
      </w:r>
    </w:p>
    <w:p w14:paraId="0B2EAA52" w14:textId="77777777" w:rsidR="00783D26" w:rsidRPr="003D300A" w:rsidRDefault="00783D26" w:rsidP="00606B24">
      <w:pPr>
        <w:tabs>
          <w:tab w:val="left" w:pos="567"/>
        </w:tabs>
        <w:ind w:left="567" w:right="-193"/>
        <w:jc w:val="both"/>
        <w:rPr>
          <w:rFonts w:ascii="Roboto" w:eastAsia="Calibri" w:hAnsi="Roboto" w:cs="Arial"/>
          <w:bCs/>
          <w:sz w:val="22"/>
          <w:szCs w:val="22"/>
          <w:lang w:val="es-CR" w:eastAsia="en-US"/>
        </w:rPr>
      </w:pPr>
    </w:p>
    <w:p w14:paraId="1848CFE7"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 xml:space="preserve">De los cuatro emisores accionarios que aún mantienen acciones en soporte físico, se determinó que corresponde a un total de 2990 accionistas, de los cuales 1391 (46,5%) corresponden a accionistas en donde el emisor no ha podido realizar el pago regular de los dividendos y, por consiguiente, no se cuenta con un mecanismo para su localización.  Adicionalmente, 1570 (52,5%) son accionistas a los que, si bien se les realiza el pago </w:t>
      </w:r>
      <w:r w:rsidRPr="003D300A">
        <w:rPr>
          <w:rFonts w:ascii="Roboto" w:eastAsia="Calibri" w:hAnsi="Roboto" w:cs="Arial"/>
          <w:bCs/>
          <w:sz w:val="22"/>
          <w:szCs w:val="22"/>
          <w:lang w:val="es-CR" w:eastAsia="en-US"/>
        </w:rPr>
        <w:lastRenderedPageBreak/>
        <w:t>regular de sus dividendos, son titulares de acciones cuyo valor de participación accionaria, considerando el precio de las últimas transacciones efectuadas en la Bolsa Nacional de Valores al momento de la emisión de este acuerdo, es igual o menor a ₡50 millones, aproximadamente US$100.000. Este monto corresponde al menor valor en el cual algunos custodios han externado estar en disposición de la apertura de una cuenta ordinaria para prestar sus servicios de custodia al público. Finalmente, solo 29 accionistas presentan una participación accionaria superior a ₡50 millones y reciben el pago regular de sus dividendos por parte del emisor, que en participación accionaria agregada acumulan un total de ₡237.393 millones.</w:t>
      </w:r>
    </w:p>
    <w:p w14:paraId="3C5C88AA" w14:textId="77777777" w:rsidR="00783D26" w:rsidRPr="003D300A" w:rsidRDefault="00783D26" w:rsidP="00606B24">
      <w:pPr>
        <w:tabs>
          <w:tab w:val="left" w:pos="567"/>
        </w:tabs>
        <w:ind w:left="567" w:right="-193"/>
        <w:jc w:val="both"/>
        <w:rPr>
          <w:rFonts w:ascii="Roboto" w:eastAsia="Calibri" w:hAnsi="Roboto" w:cs="Arial"/>
          <w:bCs/>
          <w:sz w:val="22"/>
          <w:szCs w:val="22"/>
          <w:lang w:val="es-CR" w:eastAsia="en-US"/>
        </w:rPr>
      </w:pPr>
    </w:p>
    <w:p w14:paraId="44F3C0FE"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 xml:space="preserve">Los resultados de la información recopilada por la Sugeval demuestran la necesidad de establecer condiciones especiales para la prestación del servicio de custodia bajo un enfoque basado en riesgo por el menor monto de la participación accionaria de valores en custodia, en particular para inversionistas en donde el costo del servicio regular puede representar una limitante para su contratación. </w:t>
      </w:r>
    </w:p>
    <w:p w14:paraId="563FA4F1" w14:textId="77777777" w:rsidR="00783D26" w:rsidRPr="003D300A" w:rsidRDefault="00783D26" w:rsidP="00606B24">
      <w:pPr>
        <w:tabs>
          <w:tab w:val="left" w:pos="567"/>
        </w:tabs>
        <w:ind w:left="567" w:right="-193"/>
        <w:jc w:val="both"/>
        <w:rPr>
          <w:rFonts w:ascii="Roboto" w:eastAsia="Calibri" w:hAnsi="Roboto" w:cs="Arial"/>
          <w:bCs/>
          <w:sz w:val="22"/>
          <w:szCs w:val="22"/>
          <w:lang w:val="es-CR" w:eastAsia="en-US"/>
        </w:rPr>
      </w:pPr>
    </w:p>
    <w:p w14:paraId="62A79521"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Se considera razonable que el servicio descrito en el punto anterior pueda ser provisto por una entidad de custodia que sea seleccionada por el emisor y cuyo costo sea asumido por éste, quien podrá trasladarlo a su discreción a los accionistas total o parcialmente, en donde se puedan incluir a los accionistas que se les realiza el pago regular de sus dividendos y poseen una participación accionaria valorada a precios de mercado igual o menor a ₡50 millones.  En estos casos, la entidad que presta el servicio de custodia aplicará una debida diligencia simplificada en los deberes dispuestos en el Acuerdo Conassif 12-21, procederá a gestionar y pagar a los accionistas los eventos corporativos del emisor (por ejemplo dividendos en efectivo o en acciones, desdoblamientos accionarios y cualquier otro beneficio patrimonial), suministrará al emisor la información de titularidad para que los accionistas puedan ejercer sus derechos en las asambleas de accionistas que se convoque, pero estas cuentas no podrán ser consideradas para los servicios previstos en el Acuerdo Sugeval 18-16 Reglamento de Intermediación y Actividades Complementarias, tales como el de ejecución de transacciones, asesoría, gestión de portafolios, entre otros. En el caso de que algún accionista desee recibir un servicio contemplado en el Acuerdo Sugeval 18-16, primero deberá contratar por su cuenta y costo, los servicios de su elección con el intermediario de valores que seleccione y gestionar el traslado de sus acciones a la nueva cuenta de valores. Estas medidas permiten la reducción del costo operativo para las entidades que presten el servicio de custodia que asumirá el emisor.</w:t>
      </w:r>
    </w:p>
    <w:p w14:paraId="5210FC30" w14:textId="77777777" w:rsidR="00783D26" w:rsidRPr="003D300A" w:rsidRDefault="00783D26" w:rsidP="00606B24">
      <w:pPr>
        <w:tabs>
          <w:tab w:val="left" w:pos="567"/>
        </w:tabs>
        <w:ind w:left="567" w:right="-193"/>
        <w:jc w:val="both"/>
        <w:rPr>
          <w:rFonts w:ascii="Roboto" w:eastAsia="Calibri" w:hAnsi="Roboto" w:cs="Arial"/>
          <w:bCs/>
          <w:sz w:val="22"/>
          <w:szCs w:val="22"/>
          <w:lang w:val="es-CR" w:eastAsia="en-US"/>
        </w:rPr>
      </w:pPr>
    </w:p>
    <w:p w14:paraId="70A7982C"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Para los accionistas en donde se presenta una imposibilidad material para localizarlos, corresponde completar el proceso de desmaterialización de sus acciones mediante el uso de la cuenta de custodia inmovilizada. En este caso, se considera necesario incorporar al marco normativo una excepción de la aplicación de los deberes del Acuerdo Conassif 12-21 sobre la identificación de los titulares, ya que la identificación se realizará con los registros que consten en el Libro de Accionistas del emisor que suministrará la información, sin que el custodio deba elaborar un “Formulario conozca a su cliente” para cada caso.</w:t>
      </w:r>
    </w:p>
    <w:p w14:paraId="6885CEE9" w14:textId="77777777" w:rsidR="00783D26" w:rsidRPr="003D300A" w:rsidRDefault="00783D26" w:rsidP="00606B24">
      <w:pPr>
        <w:tabs>
          <w:tab w:val="left" w:pos="567"/>
        </w:tabs>
        <w:ind w:left="567" w:right="-193"/>
        <w:jc w:val="both"/>
        <w:rPr>
          <w:rFonts w:ascii="Roboto" w:eastAsia="Calibri" w:hAnsi="Roboto" w:cs="Arial"/>
          <w:bCs/>
          <w:sz w:val="22"/>
          <w:szCs w:val="22"/>
          <w:lang w:val="es-CR" w:eastAsia="en-US"/>
        </w:rPr>
      </w:pPr>
    </w:p>
    <w:p w14:paraId="705FB575"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 xml:space="preserve">En el caso de los accionistas que hasta el momento se les ha realizado el pago regular de sus dividendos por parte del emisor y poseen una participación accionaria en </w:t>
      </w:r>
      <w:r w:rsidRPr="003D300A">
        <w:rPr>
          <w:rFonts w:ascii="Roboto" w:eastAsia="Calibri" w:hAnsi="Roboto" w:cs="Arial"/>
          <w:bCs/>
          <w:sz w:val="22"/>
          <w:szCs w:val="22"/>
          <w:lang w:val="es-CR" w:eastAsia="en-US"/>
        </w:rPr>
        <w:lastRenderedPageBreak/>
        <w:t xml:space="preserve">custodia valorado a precios de mercado mayor a ₡50 millones, lo que corresponde es que   seleccionen y contraten por su cuenta y costo, los servicios de   un intermediario de valores y gestionen el traslado de sus acciones a la nueva cuenta de valores. El intermediario contratado tratará a estos clientes con las políticas y procedimientos que ya tenga establecidas en su operativa habitual. </w:t>
      </w:r>
    </w:p>
    <w:p w14:paraId="22C12A2A" w14:textId="77777777" w:rsidR="00783D26" w:rsidRPr="003D300A" w:rsidRDefault="00783D26" w:rsidP="00606B24">
      <w:pPr>
        <w:tabs>
          <w:tab w:val="left" w:pos="567"/>
        </w:tabs>
        <w:ind w:left="567" w:right="-193"/>
        <w:jc w:val="both"/>
        <w:rPr>
          <w:rFonts w:ascii="Roboto" w:eastAsia="Calibri" w:hAnsi="Roboto" w:cs="Arial"/>
          <w:bCs/>
          <w:sz w:val="22"/>
          <w:szCs w:val="22"/>
          <w:lang w:val="es-CR" w:eastAsia="en-US"/>
        </w:rPr>
      </w:pPr>
    </w:p>
    <w:p w14:paraId="677B4D05"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Al 31 de agosto del 2026, según está previsto en el transitorio K al Acuerdo SUGEVAL 7-06, si prevalecen algunos accionistas que hasta el momento se les realiza el pago regular de sus dividendos por parte del emisor y poseen una participación accionaria valorado a precios de mercado mayor a ₡50 millones, pero no han realizado el trámite para la desmaterialización de sus acciones, el emisor procederá a incluir sus registros en la cuenta de custodia inmovilizada. A partir de ese momento estos valores se registran en estado inmovilizado, por lo que los titulares no pueden ejercer los derechos políticos ni patrimoniales hasta tanto no contraten por su cuenta y costo, los servicios de un intermediario   y gestionen el traslado de sus acciones a la nueva cuenta de valores.</w:t>
      </w:r>
    </w:p>
    <w:p w14:paraId="0046A8C3" w14:textId="77777777" w:rsidR="00783D26" w:rsidRPr="003D300A" w:rsidRDefault="00783D26" w:rsidP="00606B24">
      <w:pPr>
        <w:tabs>
          <w:tab w:val="left" w:pos="567"/>
        </w:tabs>
        <w:ind w:left="567" w:right="-193"/>
        <w:jc w:val="both"/>
        <w:rPr>
          <w:rFonts w:ascii="Roboto" w:eastAsia="Calibri" w:hAnsi="Roboto" w:cs="Arial"/>
          <w:bCs/>
          <w:sz w:val="22"/>
          <w:szCs w:val="22"/>
          <w:lang w:val="es-CR" w:eastAsia="en-US"/>
        </w:rPr>
      </w:pPr>
    </w:p>
    <w:p w14:paraId="31C5028E"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Para brindar seguridad jurídica e información a los accionistas sobre el proceso definido para la desmaterialización y anotación en cuenta de las acciones, es necesario que el emisor realice publicaciones y comunicados de hechos relevantes en donde se divulgue el proceso a seguir y se señale expresamente que una vez desmaterializados, el soporte en papel perderá toda eficacia y validez y no podrán ser objeto de endosos traslativos de dominio.</w:t>
      </w:r>
    </w:p>
    <w:p w14:paraId="6DFFC086" w14:textId="77777777" w:rsidR="00783D26" w:rsidRPr="003D300A" w:rsidRDefault="00783D26" w:rsidP="00606B24">
      <w:pPr>
        <w:tabs>
          <w:tab w:val="left" w:pos="567"/>
        </w:tabs>
        <w:ind w:left="567" w:right="-193"/>
        <w:jc w:val="both"/>
        <w:rPr>
          <w:rFonts w:ascii="Roboto" w:eastAsia="Calibri" w:hAnsi="Roboto" w:cs="Arial"/>
          <w:bCs/>
          <w:sz w:val="22"/>
          <w:szCs w:val="22"/>
          <w:lang w:val="es-CR" w:eastAsia="en-US"/>
        </w:rPr>
      </w:pPr>
    </w:p>
    <w:p w14:paraId="0789D316" w14:textId="77777777" w:rsidR="00783D26" w:rsidRPr="003D300A" w:rsidRDefault="00783D26" w:rsidP="00606B24">
      <w:pPr>
        <w:numPr>
          <w:ilvl w:val="0"/>
          <w:numId w:val="1"/>
        </w:numPr>
        <w:tabs>
          <w:tab w:val="left" w:pos="567"/>
        </w:tabs>
        <w:ind w:left="567" w:right="-193" w:hanging="567"/>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El presente Acuerdo fue sometido a consulta de conformidad con el Artículo 361 de la Ley General de Administración Pública. Al término de la consulta se hizo un análisis de los comentarios y las observaciones recibidas y se modificó el texto en lo que se consideró pertinente.</w:t>
      </w:r>
    </w:p>
    <w:p w14:paraId="765B782B" w14:textId="77777777" w:rsidR="00606B24" w:rsidRPr="003D300A" w:rsidRDefault="00606B24" w:rsidP="00606B24">
      <w:pPr>
        <w:tabs>
          <w:tab w:val="left" w:pos="567"/>
        </w:tabs>
        <w:ind w:right="-193"/>
        <w:jc w:val="both"/>
        <w:rPr>
          <w:rFonts w:ascii="Roboto" w:eastAsia="Calibri" w:hAnsi="Roboto" w:cs="Arial"/>
          <w:bCs/>
          <w:sz w:val="22"/>
          <w:szCs w:val="22"/>
          <w:lang w:val="es-CR" w:eastAsia="en-US"/>
        </w:rPr>
      </w:pPr>
    </w:p>
    <w:p w14:paraId="4A0F2CB9" w14:textId="77777777" w:rsidR="00606B24" w:rsidRPr="003D300A" w:rsidRDefault="00606B24" w:rsidP="00606B24">
      <w:pPr>
        <w:tabs>
          <w:tab w:val="left" w:pos="567"/>
        </w:tabs>
        <w:ind w:right="-193"/>
        <w:jc w:val="both"/>
        <w:rPr>
          <w:rFonts w:ascii="Roboto" w:eastAsia="Calibri" w:hAnsi="Roboto" w:cs="Arial"/>
          <w:bCs/>
          <w:sz w:val="22"/>
          <w:szCs w:val="22"/>
          <w:lang w:val="es-CR" w:eastAsia="en-US"/>
        </w:rPr>
      </w:pPr>
    </w:p>
    <w:p w14:paraId="5793D90A" w14:textId="286F1F44" w:rsidR="00783D26" w:rsidRPr="003D300A" w:rsidRDefault="00783D26" w:rsidP="00606B24">
      <w:pPr>
        <w:tabs>
          <w:tab w:val="left" w:pos="567"/>
        </w:tabs>
        <w:ind w:right="-193"/>
        <w:jc w:val="both"/>
        <w:rPr>
          <w:rFonts w:ascii="Roboto" w:eastAsia="Calibri" w:hAnsi="Roboto" w:cs="Arial"/>
          <w:bCs/>
          <w:sz w:val="22"/>
          <w:szCs w:val="22"/>
          <w:lang w:val="es-CR" w:eastAsia="en-US"/>
        </w:rPr>
      </w:pPr>
      <w:r w:rsidRPr="003D300A">
        <w:rPr>
          <w:rFonts w:ascii="Roboto" w:eastAsia="Calibri" w:hAnsi="Roboto" w:cs="Arial"/>
          <w:bCs/>
          <w:sz w:val="22"/>
          <w:szCs w:val="22"/>
          <w:lang w:val="es-CR" w:eastAsia="en-US"/>
        </w:rPr>
        <w:t>Por tanto, dispone el presente acuerdo:</w:t>
      </w:r>
    </w:p>
    <w:p w14:paraId="5DFA28A0" w14:textId="77777777" w:rsidR="00783D26" w:rsidRPr="003D300A" w:rsidRDefault="00783D26" w:rsidP="00783D26">
      <w:pPr>
        <w:jc w:val="both"/>
        <w:rPr>
          <w:rFonts w:ascii="Roboto" w:eastAsia="Calibri" w:hAnsi="Roboto"/>
          <w:sz w:val="22"/>
          <w:szCs w:val="22"/>
          <w:lang w:eastAsia="en-US"/>
        </w:rPr>
      </w:pPr>
    </w:p>
    <w:p w14:paraId="60F573B7" w14:textId="73F2E518" w:rsidR="00783D26" w:rsidRPr="003D300A" w:rsidRDefault="00D85037" w:rsidP="009A4177">
      <w:pPr>
        <w:spacing w:after="160" w:line="278" w:lineRule="auto"/>
        <w:jc w:val="center"/>
        <w:rPr>
          <w:rFonts w:ascii="Roboto" w:eastAsiaTheme="minorHAnsi" w:hAnsi="Roboto" w:cs="Arial"/>
          <w:b/>
          <w:sz w:val="22"/>
          <w:szCs w:val="22"/>
          <w:lang w:val="es-CR" w:eastAsia="en-US"/>
        </w:rPr>
      </w:pPr>
      <w:r>
        <w:rPr>
          <w:rFonts w:ascii="Roboto" w:eastAsiaTheme="minorHAnsi" w:hAnsi="Roboto" w:cs="Arial"/>
          <w:b/>
          <w:sz w:val="22"/>
          <w:szCs w:val="22"/>
          <w:lang w:val="es-CR" w:eastAsia="en-US"/>
        </w:rPr>
        <w:br w:type="page"/>
      </w:r>
      <w:r w:rsidR="00783D26" w:rsidRPr="003D300A">
        <w:rPr>
          <w:rFonts w:ascii="Roboto" w:eastAsiaTheme="minorHAnsi" w:hAnsi="Roboto" w:cs="Arial"/>
          <w:b/>
          <w:sz w:val="22"/>
          <w:szCs w:val="22"/>
          <w:lang w:val="es-CR" w:eastAsia="en-US"/>
        </w:rPr>
        <w:lastRenderedPageBreak/>
        <w:t>SGV-A-</w:t>
      </w:r>
      <w:sdt>
        <w:sdtPr>
          <w:rPr>
            <w:rFonts w:ascii="Roboto" w:eastAsiaTheme="minorHAnsi" w:hAnsi="Roboto" w:cs="Arial"/>
            <w:b/>
            <w:sz w:val="22"/>
            <w:szCs w:val="22"/>
            <w:lang w:val="es-CR" w:eastAsia="en-US"/>
          </w:rPr>
          <w:alias w:val="Consecutivo Interno"/>
          <w:tag w:val="ConsecutivoInterno"/>
          <w:id w:val="732668371"/>
          <w:placeholder>
            <w:docPart w:val="5C785882867C4F6E8F0A4144FE9F8032"/>
          </w:placeholder>
          <w:text/>
        </w:sdtPr>
        <w:sdtEndPr/>
        <w:sdtContent>
          <w:r w:rsidR="00783D26" w:rsidRPr="003D300A">
            <w:rPr>
              <w:rFonts w:ascii="Roboto" w:eastAsiaTheme="minorHAnsi" w:hAnsi="Roboto" w:cs="Arial"/>
              <w:b/>
              <w:sz w:val="22"/>
              <w:szCs w:val="22"/>
              <w:lang w:val="es-CR" w:eastAsia="en-US"/>
            </w:rPr>
            <w:t>8</w:t>
          </w:r>
        </w:sdtContent>
      </w:sdt>
      <w:r w:rsidR="00783D26" w:rsidRPr="003D300A">
        <w:rPr>
          <w:rFonts w:ascii="Roboto" w:eastAsiaTheme="minorHAnsi" w:hAnsi="Roboto" w:cs="Arial"/>
          <w:b/>
          <w:sz w:val="22"/>
          <w:szCs w:val="22"/>
          <w:lang w:val="es-CR" w:eastAsia="en-US"/>
        </w:rPr>
        <w:t>-</w:t>
      </w:r>
      <w:sdt>
        <w:sdtPr>
          <w:rPr>
            <w:rFonts w:ascii="Roboto" w:eastAsiaTheme="minorHAnsi" w:hAnsi="Roboto" w:cs="Arial"/>
            <w:b/>
            <w:sz w:val="22"/>
            <w:szCs w:val="22"/>
            <w:lang w:val="es-CR" w:eastAsia="en-US"/>
          </w:rPr>
          <w:alias w:val="Periodo"/>
          <w:tag w:val="Periodo"/>
          <w:id w:val="-1418706246"/>
          <w:placeholder>
            <w:docPart w:val="E9EA6B56177D4036B73D21572593AEEE"/>
          </w:placeholder>
          <w:text/>
        </w:sdtPr>
        <w:sdtEndPr/>
        <w:sdtContent>
          <w:r w:rsidR="00783D26" w:rsidRPr="003D300A">
            <w:rPr>
              <w:rFonts w:ascii="Roboto" w:eastAsiaTheme="minorHAnsi" w:hAnsi="Roboto" w:cs="Arial"/>
              <w:b/>
              <w:sz w:val="22"/>
              <w:szCs w:val="22"/>
              <w:lang w:val="es-CR" w:eastAsia="en-US"/>
            </w:rPr>
            <w:t>2026</w:t>
          </w:r>
        </w:sdtContent>
      </w:sdt>
      <w:r w:rsidR="00783D26" w:rsidRPr="003D300A">
        <w:rPr>
          <w:rFonts w:ascii="Roboto" w:eastAsiaTheme="minorHAnsi" w:hAnsi="Roboto" w:cs="Arial"/>
          <w:b/>
          <w:sz w:val="22"/>
          <w:szCs w:val="22"/>
          <w:lang w:val="es-CR" w:eastAsia="en-US"/>
        </w:rPr>
        <w:t>. PROCESO DE DESMATERIALIZACIÓN DE ACCIONES</w:t>
      </w:r>
    </w:p>
    <w:p w14:paraId="43651B68" w14:textId="77777777" w:rsidR="00783D26" w:rsidRPr="003D300A" w:rsidRDefault="00783D26" w:rsidP="00606B24">
      <w:pPr>
        <w:spacing w:after="160" w:line="259" w:lineRule="auto"/>
        <w:jc w:val="center"/>
        <w:rPr>
          <w:rFonts w:ascii="Roboto" w:eastAsiaTheme="minorHAnsi" w:hAnsi="Roboto" w:cs="Arial"/>
          <w:b/>
          <w:sz w:val="22"/>
          <w:szCs w:val="22"/>
          <w:lang w:val="es-CR" w:eastAsia="en-US"/>
        </w:rPr>
      </w:pPr>
      <w:r w:rsidRPr="003D300A">
        <w:rPr>
          <w:rFonts w:ascii="Roboto" w:eastAsiaTheme="minorHAnsi" w:hAnsi="Roboto" w:cs="Arial"/>
          <w:b/>
          <w:sz w:val="22"/>
          <w:szCs w:val="22"/>
          <w:lang w:val="es-CR" w:eastAsia="en-US"/>
        </w:rPr>
        <w:t xml:space="preserve">  </w:t>
      </w:r>
    </w:p>
    <w:p w14:paraId="18D93C26" w14:textId="77777777" w:rsidR="00783D26" w:rsidRPr="003D300A" w:rsidRDefault="00783D26" w:rsidP="00606B24">
      <w:pPr>
        <w:spacing w:after="160" w:line="259" w:lineRule="auto"/>
        <w:jc w:val="center"/>
        <w:rPr>
          <w:rFonts w:ascii="Roboto" w:eastAsiaTheme="minorHAnsi" w:hAnsi="Roboto" w:cs="Arial"/>
          <w:b/>
          <w:sz w:val="22"/>
          <w:szCs w:val="22"/>
          <w:lang w:val="es-CR" w:eastAsia="en-US"/>
        </w:rPr>
      </w:pPr>
      <w:r w:rsidRPr="003D300A">
        <w:rPr>
          <w:rFonts w:ascii="Roboto" w:eastAsiaTheme="minorHAnsi" w:hAnsi="Roboto" w:cs="Arial"/>
          <w:b/>
          <w:sz w:val="22"/>
          <w:szCs w:val="22"/>
          <w:lang w:val="es-CR" w:eastAsia="en-US"/>
        </w:rPr>
        <w:t>CAPÍTULO I</w:t>
      </w:r>
    </w:p>
    <w:p w14:paraId="60E54FB3" w14:textId="77777777" w:rsidR="00783D26" w:rsidRPr="003D300A" w:rsidRDefault="00783D26" w:rsidP="00606B24">
      <w:pPr>
        <w:spacing w:after="160" w:line="259" w:lineRule="auto"/>
        <w:jc w:val="center"/>
        <w:rPr>
          <w:rFonts w:ascii="Roboto" w:eastAsiaTheme="minorHAnsi" w:hAnsi="Roboto" w:cs="Arial"/>
          <w:b/>
          <w:sz w:val="22"/>
          <w:szCs w:val="22"/>
          <w:lang w:val="es-CR" w:eastAsia="en-US"/>
        </w:rPr>
      </w:pPr>
      <w:r w:rsidRPr="003D300A">
        <w:rPr>
          <w:rFonts w:ascii="Roboto" w:eastAsiaTheme="minorHAnsi" w:hAnsi="Roboto" w:cs="Arial"/>
          <w:b/>
          <w:sz w:val="22"/>
          <w:szCs w:val="22"/>
          <w:lang w:val="es-CR" w:eastAsia="en-US"/>
        </w:rPr>
        <w:t>DISPOSICIONES GENERALES</w:t>
      </w:r>
    </w:p>
    <w:p w14:paraId="582F7452" w14:textId="77777777" w:rsidR="00783D26" w:rsidRPr="003D300A" w:rsidRDefault="00783D26" w:rsidP="00783D26">
      <w:pPr>
        <w:spacing w:before="240" w:after="240" w:line="276" w:lineRule="auto"/>
        <w:jc w:val="both"/>
        <w:rPr>
          <w:rFonts w:ascii="Roboto" w:hAnsi="Roboto"/>
          <w:b/>
          <w:bCs/>
          <w:sz w:val="22"/>
          <w:szCs w:val="22"/>
        </w:rPr>
      </w:pPr>
    </w:p>
    <w:p w14:paraId="2F8E5604" w14:textId="77777777" w:rsidR="00783D26" w:rsidRPr="003D300A" w:rsidRDefault="00783D26" w:rsidP="00783D26">
      <w:pPr>
        <w:spacing w:before="240" w:after="240" w:line="276" w:lineRule="auto"/>
        <w:jc w:val="both"/>
        <w:rPr>
          <w:rFonts w:ascii="Roboto" w:hAnsi="Roboto"/>
          <w:b/>
          <w:bCs/>
          <w:sz w:val="22"/>
          <w:szCs w:val="22"/>
        </w:rPr>
      </w:pPr>
      <w:r w:rsidRPr="003D300A">
        <w:rPr>
          <w:rFonts w:ascii="Roboto" w:hAnsi="Roboto"/>
          <w:b/>
          <w:bCs/>
          <w:sz w:val="22"/>
          <w:szCs w:val="22"/>
        </w:rPr>
        <w:t>Artículo 1.</w:t>
      </w:r>
      <w:r w:rsidRPr="003D300A">
        <w:rPr>
          <w:rFonts w:ascii="Roboto" w:hAnsi="Roboto"/>
          <w:b/>
          <w:bCs/>
          <w:sz w:val="22"/>
          <w:szCs w:val="22"/>
        </w:rPr>
        <w:tab/>
        <w:t>Objeto y definición</w:t>
      </w:r>
    </w:p>
    <w:p w14:paraId="0286A455" w14:textId="77777777" w:rsidR="00783D26" w:rsidRPr="003D300A" w:rsidRDefault="00783D26" w:rsidP="00783D26">
      <w:pPr>
        <w:spacing w:before="240" w:after="240" w:line="276" w:lineRule="auto"/>
        <w:jc w:val="both"/>
        <w:rPr>
          <w:rFonts w:ascii="Roboto" w:hAnsi="Roboto"/>
          <w:sz w:val="22"/>
          <w:szCs w:val="22"/>
        </w:rPr>
      </w:pPr>
      <w:r w:rsidRPr="003D300A">
        <w:rPr>
          <w:rFonts w:ascii="Roboto" w:hAnsi="Roboto"/>
          <w:sz w:val="22"/>
          <w:szCs w:val="22"/>
        </w:rPr>
        <w:t>Este Acuerdo tiene por objeto establecer las condiciones operativas para completar el proceso de desmaterialización de las acciones representadas en soporte físico, emitidas por emisores de valores accionarios inscritos en el Registro Nacional de Valores e Intermediarios, mediante su representación por anotaciones electrónicas en cuenta, conforme a lo dispuesto en la Ley Reguladora del Mercado de Valores y en la normativa reglamentaria aplicable.</w:t>
      </w:r>
    </w:p>
    <w:p w14:paraId="025B124C" w14:textId="77777777" w:rsidR="00783D26" w:rsidRPr="003D300A" w:rsidRDefault="00783D26" w:rsidP="00783D26">
      <w:pPr>
        <w:spacing w:before="240" w:after="240" w:line="276" w:lineRule="auto"/>
        <w:jc w:val="both"/>
        <w:rPr>
          <w:rFonts w:ascii="Roboto" w:eastAsia="Calibri" w:hAnsi="Roboto"/>
          <w:sz w:val="22"/>
          <w:szCs w:val="22"/>
        </w:rPr>
      </w:pPr>
      <w:r w:rsidRPr="003D300A">
        <w:rPr>
          <w:rFonts w:ascii="Roboto" w:hAnsi="Roboto"/>
          <w:sz w:val="22"/>
          <w:szCs w:val="22"/>
        </w:rPr>
        <w:t>Para los efectos de este Acuerdo, se entenderá por:</w:t>
      </w:r>
    </w:p>
    <w:p w14:paraId="7AD990AD" w14:textId="77777777" w:rsidR="00783D26" w:rsidRPr="003D300A" w:rsidRDefault="00783D26" w:rsidP="00783D26">
      <w:pPr>
        <w:pStyle w:val="Prrafodelista"/>
        <w:numPr>
          <w:ilvl w:val="0"/>
          <w:numId w:val="3"/>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b/>
          <w:bCs/>
          <w:sz w:val="22"/>
          <w:szCs w:val="22"/>
          <w:lang w:val="es-CR"/>
        </w:rPr>
        <w:t>Custodia especial para la desmaterialización de acciones</w:t>
      </w:r>
      <w:r w:rsidRPr="003D300A">
        <w:rPr>
          <w:rFonts w:ascii="Roboto" w:hAnsi="Roboto"/>
          <w:sz w:val="22"/>
          <w:szCs w:val="22"/>
          <w:lang w:val="es-CR"/>
        </w:rPr>
        <w:t>: Servicio de custodia contratado por el emisor de valores accionarios con una entidad de custodia autorizada, destinado a la anotación en cuenta de acciones que previamente se encontraban representadas en soporte físico y cuyos titulares son inversionistas localizables que se apersonan al emisor para realizar la desmaterialización, cuyo monto de participación accionaria es igual o menor a ₡50 millones y no posean contratos activos del servicio de custodia de valores con alguna entidad autorizada. Esta custodia se gestiona bajo condiciones operativas diferenciadas, conforme a lo previsto en este Acuerdo.</w:t>
      </w:r>
    </w:p>
    <w:p w14:paraId="07902DFD" w14:textId="77777777" w:rsidR="00783D26" w:rsidRPr="003D300A" w:rsidRDefault="00783D26" w:rsidP="00783D26">
      <w:pPr>
        <w:pStyle w:val="Prrafodelista"/>
        <w:shd w:val="clear" w:color="auto" w:fill="FFFFFF" w:themeFill="background1"/>
        <w:spacing w:before="240" w:after="240"/>
        <w:jc w:val="both"/>
        <w:rPr>
          <w:rFonts w:ascii="Roboto" w:hAnsi="Roboto"/>
          <w:b/>
          <w:color w:val="000000"/>
          <w:sz w:val="22"/>
          <w:szCs w:val="22"/>
          <w:lang w:val="es-CR"/>
        </w:rPr>
      </w:pPr>
    </w:p>
    <w:p w14:paraId="4140F988" w14:textId="77777777" w:rsidR="00783D26" w:rsidRPr="003D300A" w:rsidRDefault="00783D26" w:rsidP="00783D26">
      <w:pPr>
        <w:pStyle w:val="Prrafodelista"/>
        <w:numPr>
          <w:ilvl w:val="0"/>
          <w:numId w:val="3"/>
        </w:numPr>
        <w:spacing w:before="240" w:after="240" w:line="276" w:lineRule="auto"/>
        <w:jc w:val="both"/>
        <w:rPr>
          <w:rFonts w:ascii="Roboto" w:hAnsi="Roboto"/>
          <w:sz w:val="22"/>
          <w:szCs w:val="22"/>
          <w:lang w:val="es-CR"/>
        </w:rPr>
      </w:pPr>
      <w:r w:rsidRPr="003D300A">
        <w:rPr>
          <w:rFonts w:ascii="Roboto" w:hAnsi="Roboto"/>
          <w:b/>
          <w:bCs/>
          <w:sz w:val="22"/>
          <w:szCs w:val="22"/>
          <w:lang w:val="es-CR"/>
        </w:rPr>
        <w:t>Custodia inmovilizada</w:t>
      </w:r>
      <w:r w:rsidRPr="003D300A">
        <w:rPr>
          <w:rFonts w:ascii="Roboto" w:hAnsi="Roboto"/>
          <w:sz w:val="22"/>
          <w:szCs w:val="22"/>
          <w:lang w:val="es-CR"/>
        </w:rPr>
        <w:t>: Servicio de custodia contratado por el emisor de valores accionarios con una entidad de custodia autorizada, destinada exclusivamente al registro en anotación en cuenta de acciones previamente representadas en soporte físico cuyos titulares no se han apersonado para completar el trámite de desmaterialización, en la cual los valores se mantienen en estado inmovilizado hasta que el inversionista regularice su situación conforme a lo previsto en este Acuerdo. También serán considerados dentro de esta custodia aquellos accionistas que no se encuentran localizables por parte del emisor.</w:t>
      </w:r>
    </w:p>
    <w:p w14:paraId="03B539A7" w14:textId="77777777" w:rsidR="00D85037" w:rsidRDefault="00D85037">
      <w:pPr>
        <w:spacing w:after="160" w:line="278" w:lineRule="auto"/>
        <w:rPr>
          <w:rFonts w:ascii="Roboto" w:hAnsi="Roboto"/>
          <w:b/>
          <w:bCs/>
          <w:sz w:val="22"/>
          <w:szCs w:val="22"/>
        </w:rPr>
      </w:pPr>
      <w:r>
        <w:rPr>
          <w:rFonts w:ascii="Roboto" w:hAnsi="Roboto"/>
          <w:b/>
          <w:bCs/>
          <w:sz w:val="22"/>
          <w:szCs w:val="22"/>
        </w:rPr>
        <w:br w:type="page"/>
      </w:r>
    </w:p>
    <w:p w14:paraId="74B1C034" w14:textId="356BCD71" w:rsidR="00783D26" w:rsidRPr="003D300A" w:rsidRDefault="00783D26" w:rsidP="00783D26">
      <w:pPr>
        <w:spacing w:before="240" w:after="240" w:line="276" w:lineRule="auto"/>
        <w:jc w:val="both"/>
        <w:rPr>
          <w:rFonts w:ascii="Roboto" w:hAnsi="Roboto"/>
          <w:b/>
          <w:bCs/>
          <w:sz w:val="22"/>
          <w:szCs w:val="22"/>
        </w:rPr>
      </w:pPr>
      <w:r w:rsidRPr="003D300A">
        <w:rPr>
          <w:rFonts w:ascii="Roboto" w:hAnsi="Roboto"/>
          <w:b/>
          <w:bCs/>
          <w:sz w:val="22"/>
          <w:szCs w:val="22"/>
        </w:rPr>
        <w:lastRenderedPageBreak/>
        <w:t>Artículo 2.</w:t>
      </w:r>
      <w:r w:rsidRPr="003D300A">
        <w:rPr>
          <w:rFonts w:ascii="Roboto" w:hAnsi="Roboto"/>
          <w:b/>
          <w:bCs/>
          <w:sz w:val="22"/>
          <w:szCs w:val="22"/>
        </w:rPr>
        <w:tab/>
        <w:t>Alcance</w:t>
      </w:r>
    </w:p>
    <w:p w14:paraId="62277703" w14:textId="77777777" w:rsidR="00783D26" w:rsidRPr="003D300A" w:rsidRDefault="00783D26" w:rsidP="00783D26">
      <w:pPr>
        <w:spacing w:before="240" w:after="240" w:line="276" w:lineRule="auto"/>
        <w:jc w:val="both"/>
        <w:rPr>
          <w:rFonts w:ascii="Roboto" w:hAnsi="Roboto"/>
          <w:sz w:val="22"/>
          <w:szCs w:val="22"/>
        </w:rPr>
      </w:pPr>
      <w:r w:rsidRPr="003D300A">
        <w:rPr>
          <w:rFonts w:ascii="Roboto" w:hAnsi="Roboto"/>
          <w:sz w:val="22"/>
          <w:szCs w:val="22"/>
        </w:rPr>
        <w:t>Las disposiciones incluidas en este Acuerdo son aplicables a:</w:t>
      </w:r>
    </w:p>
    <w:p w14:paraId="1F0D8C21" w14:textId="77777777" w:rsidR="00783D26" w:rsidRPr="003D300A" w:rsidRDefault="00783D26" w:rsidP="00783D26">
      <w:pPr>
        <w:pStyle w:val="Prrafodelista"/>
        <w:numPr>
          <w:ilvl w:val="0"/>
          <w:numId w:val="4"/>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Emisores de valores accionarios inscritos en el Registro Nacional de Valores e Intermediarios que aún posean inversionistas con acciones en soporte físico.</w:t>
      </w:r>
    </w:p>
    <w:p w14:paraId="65C57FE3" w14:textId="77777777" w:rsidR="00783D26" w:rsidRPr="003D300A" w:rsidRDefault="00783D26" w:rsidP="00783D26">
      <w:pPr>
        <w:pStyle w:val="Prrafodelista"/>
        <w:shd w:val="clear" w:color="auto" w:fill="FFFFFF" w:themeFill="background1"/>
        <w:spacing w:before="240" w:after="240"/>
        <w:jc w:val="both"/>
        <w:rPr>
          <w:rFonts w:ascii="Roboto" w:hAnsi="Roboto"/>
          <w:b/>
          <w:color w:val="000000"/>
          <w:sz w:val="22"/>
          <w:szCs w:val="22"/>
          <w:lang w:val="es-CR"/>
        </w:rPr>
      </w:pPr>
    </w:p>
    <w:p w14:paraId="64C8269E" w14:textId="77777777" w:rsidR="00783D26" w:rsidRPr="00D85037" w:rsidRDefault="00783D26" w:rsidP="00783D26">
      <w:pPr>
        <w:pStyle w:val="Prrafodelista"/>
        <w:numPr>
          <w:ilvl w:val="0"/>
          <w:numId w:val="4"/>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Entidades de custodia autorizadas por la Superintendencia General de Valores (SUGEVAL).</w:t>
      </w:r>
    </w:p>
    <w:p w14:paraId="18532EC0" w14:textId="77777777" w:rsidR="00D85037" w:rsidRPr="00D85037" w:rsidRDefault="00D85037" w:rsidP="00D85037">
      <w:pPr>
        <w:pStyle w:val="Prrafodelista"/>
        <w:rPr>
          <w:rFonts w:ascii="Roboto" w:hAnsi="Roboto"/>
          <w:b/>
          <w:color w:val="000000"/>
          <w:sz w:val="22"/>
          <w:szCs w:val="22"/>
          <w:lang w:val="es-CR"/>
        </w:rPr>
      </w:pPr>
    </w:p>
    <w:p w14:paraId="4BA51CEB" w14:textId="77777777" w:rsidR="00D85037" w:rsidRPr="003D300A" w:rsidRDefault="00D85037" w:rsidP="00783D26">
      <w:pPr>
        <w:pStyle w:val="Prrafodelista"/>
        <w:numPr>
          <w:ilvl w:val="0"/>
          <w:numId w:val="4"/>
        </w:numPr>
        <w:shd w:val="clear" w:color="auto" w:fill="FFFFFF" w:themeFill="background1"/>
        <w:spacing w:before="240" w:after="240" w:line="276" w:lineRule="auto"/>
        <w:jc w:val="both"/>
        <w:rPr>
          <w:rFonts w:ascii="Roboto" w:hAnsi="Roboto"/>
          <w:b/>
          <w:color w:val="000000"/>
          <w:sz w:val="22"/>
          <w:szCs w:val="22"/>
          <w:lang w:val="es-CR"/>
        </w:rPr>
      </w:pPr>
    </w:p>
    <w:p w14:paraId="6D7E5E9A" w14:textId="77777777" w:rsidR="00783D26" w:rsidRPr="003D300A" w:rsidRDefault="00783D26" w:rsidP="00783D26">
      <w:pPr>
        <w:spacing w:before="240" w:after="240" w:line="276" w:lineRule="auto"/>
        <w:contextualSpacing/>
        <w:jc w:val="center"/>
        <w:rPr>
          <w:rFonts w:ascii="Roboto" w:hAnsi="Roboto"/>
          <w:b/>
          <w:bCs/>
          <w:sz w:val="22"/>
          <w:szCs w:val="22"/>
        </w:rPr>
      </w:pPr>
      <w:r w:rsidRPr="003D300A">
        <w:rPr>
          <w:rFonts w:ascii="Roboto" w:hAnsi="Roboto"/>
          <w:b/>
          <w:bCs/>
          <w:sz w:val="22"/>
          <w:szCs w:val="22"/>
        </w:rPr>
        <w:t>CAPÍTULO II</w:t>
      </w:r>
    </w:p>
    <w:p w14:paraId="240026AB" w14:textId="77777777" w:rsidR="00783D26" w:rsidRPr="003D300A" w:rsidRDefault="00783D26" w:rsidP="00783D26">
      <w:pPr>
        <w:spacing w:before="240" w:after="240" w:line="276" w:lineRule="auto"/>
        <w:contextualSpacing/>
        <w:jc w:val="center"/>
        <w:rPr>
          <w:rFonts w:ascii="Roboto" w:hAnsi="Roboto"/>
          <w:b/>
          <w:bCs/>
          <w:sz w:val="22"/>
          <w:szCs w:val="22"/>
        </w:rPr>
      </w:pPr>
      <w:r w:rsidRPr="003D300A">
        <w:rPr>
          <w:rFonts w:ascii="Roboto" w:hAnsi="Roboto"/>
          <w:b/>
          <w:bCs/>
          <w:sz w:val="22"/>
          <w:szCs w:val="22"/>
        </w:rPr>
        <w:t>CUSTODIA ESPECIAL PARA</w:t>
      </w:r>
    </w:p>
    <w:p w14:paraId="34D8372D" w14:textId="77777777" w:rsidR="00783D26" w:rsidRPr="003D300A" w:rsidRDefault="00783D26" w:rsidP="00783D26">
      <w:pPr>
        <w:spacing w:before="240" w:after="240" w:line="276" w:lineRule="auto"/>
        <w:contextualSpacing/>
        <w:jc w:val="center"/>
        <w:rPr>
          <w:rFonts w:ascii="Roboto" w:hAnsi="Roboto"/>
          <w:b/>
          <w:bCs/>
          <w:sz w:val="22"/>
          <w:szCs w:val="22"/>
        </w:rPr>
      </w:pPr>
      <w:r w:rsidRPr="003D300A">
        <w:rPr>
          <w:rFonts w:ascii="Roboto" w:hAnsi="Roboto"/>
          <w:b/>
          <w:bCs/>
          <w:sz w:val="22"/>
          <w:szCs w:val="22"/>
        </w:rPr>
        <w:t>LA DESMATERIALIZACIÓN DE ACCIONES</w:t>
      </w:r>
    </w:p>
    <w:p w14:paraId="65C99702" w14:textId="77777777" w:rsidR="00783D26" w:rsidRPr="003D300A" w:rsidRDefault="00783D26" w:rsidP="00783D26">
      <w:pPr>
        <w:spacing w:before="240" w:after="240" w:line="276" w:lineRule="auto"/>
        <w:contextualSpacing/>
        <w:jc w:val="both"/>
        <w:rPr>
          <w:rFonts w:ascii="Roboto" w:hAnsi="Roboto"/>
          <w:b/>
          <w:bCs/>
          <w:sz w:val="22"/>
          <w:szCs w:val="22"/>
        </w:rPr>
      </w:pPr>
    </w:p>
    <w:p w14:paraId="01B30385" w14:textId="77777777" w:rsidR="00783D26" w:rsidRPr="003D300A" w:rsidRDefault="00783D26" w:rsidP="00783D26">
      <w:pPr>
        <w:spacing w:before="240" w:after="240" w:line="276" w:lineRule="auto"/>
        <w:contextualSpacing/>
        <w:jc w:val="both"/>
        <w:rPr>
          <w:rFonts w:ascii="Roboto" w:hAnsi="Roboto"/>
          <w:b/>
          <w:bCs/>
          <w:sz w:val="22"/>
          <w:szCs w:val="22"/>
        </w:rPr>
      </w:pPr>
      <w:r w:rsidRPr="003D300A">
        <w:rPr>
          <w:rFonts w:ascii="Roboto" w:hAnsi="Roboto"/>
          <w:b/>
          <w:bCs/>
          <w:sz w:val="22"/>
          <w:szCs w:val="22"/>
        </w:rPr>
        <w:t>Artículo 3.</w:t>
      </w:r>
      <w:r w:rsidRPr="003D300A">
        <w:rPr>
          <w:rFonts w:ascii="Roboto" w:hAnsi="Roboto"/>
          <w:b/>
          <w:bCs/>
          <w:sz w:val="22"/>
          <w:szCs w:val="22"/>
        </w:rPr>
        <w:tab/>
        <w:t xml:space="preserve">Custodia especial para la desmaterialización de acciones </w:t>
      </w:r>
    </w:p>
    <w:p w14:paraId="4B9AA5FC" w14:textId="77777777" w:rsidR="00783D26" w:rsidRPr="003D300A" w:rsidRDefault="00783D26" w:rsidP="00783D26">
      <w:pPr>
        <w:spacing w:before="240" w:after="240" w:line="276" w:lineRule="auto"/>
        <w:contextualSpacing/>
        <w:jc w:val="both"/>
        <w:rPr>
          <w:rFonts w:ascii="Roboto" w:hAnsi="Roboto"/>
          <w:sz w:val="22"/>
          <w:szCs w:val="22"/>
        </w:rPr>
      </w:pPr>
    </w:p>
    <w:p w14:paraId="06DE95E3" w14:textId="77777777" w:rsidR="00783D26" w:rsidRPr="003D300A" w:rsidRDefault="00783D26" w:rsidP="00783D26">
      <w:pPr>
        <w:spacing w:before="240" w:after="240" w:line="276" w:lineRule="auto"/>
        <w:contextualSpacing/>
        <w:jc w:val="both"/>
        <w:rPr>
          <w:rFonts w:ascii="Roboto" w:hAnsi="Roboto"/>
          <w:sz w:val="22"/>
          <w:szCs w:val="22"/>
        </w:rPr>
      </w:pPr>
      <w:r w:rsidRPr="003D300A">
        <w:rPr>
          <w:rFonts w:ascii="Roboto" w:hAnsi="Roboto"/>
          <w:sz w:val="22"/>
          <w:szCs w:val="22"/>
        </w:rPr>
        <w:t>Los emisores de valores deben contratar a entidades autorizadas para ejercer la actividad de custodia de valores un servicio especial de custodia para atender a inversionistas titulares de valores accionarios inscritos en el Registro Nacional de Valores e Intermediarios que realizan el proceso de desmaterialización, cuyo monto de participación accionaria es igual o menor a ₡50 millones y no posean contratos activos del servicio de custodia de valores con alguna entidad autorizada.</w:t>
      </w:r>
    </w:p>
    <w:p w14:paraId="2428C7B6" w14:textId="77777777" w:rsidR="00783D26" w:rsidRPr="003D300A" w:rsidRDefault="00783D26" w:rsidP="00783D26">
      <w:pPr>
        <w:shd w:val="clear" w:color="auto" w:fill="FFFFFF" w:themeFill="background1"/>
        <w:spacing w:before="240" w:after="240" w:line="276" w:lineRule="auto"/>
        <w:jc w:val="both"/>
        <w:rPr>
          <w:rFonts w:ascii="Roboto" w:hAnsi="Roboto"/>
          <w:sz w:val="22"/>
          <w:szCs w:val="22"/>
        </w:rPr>
      </w:pPr>
    </w:p>
    <w:p w14:paraId="4B8244F8" w14:textId="77777777" w:rsidR="00783D26" w:rsidRPr="003D300A" w:rsidRDefault="00783D26" w:rsidP="00783D26">
      <w:pPr>
        <w:spacing w:before="240" w:after="240" w:line="276" w:lineRule="auto"/>
        <w:contextualSpacing/>
        <w:jc w:val="both"/>
        <w:rPr>
          <w:rFonts w:ascii="Roboto" w:hAnsi="Roboto"/>
          <w:sz w:val="22"/>
          <w:szCs w:val="22"/>
        </w:rPr>
      </w:pPr>
      <w:r w:rsidRPr="003D300A">
        <w:rPr>
          <w:rFonts w:ascii="Roboto" w:hAnsi="Roboto"/>
          <w:sz w:val="22"/>
          <w:szCs w:val="22"/>
        </w:rPr>
        <w:t xml:space="preserve">El monto de la participación accionaria se calcula utilizando el precio de la última transacción de </w:t>
      </w:r>
      <w:proofErr w:type="gramStart"/>
      <w:r w:rsidRPr="003D300A">
        <w:rPr>
          <w:rFonts w:ascii="Roboto" w:hAnsi="Roboto"/>
          <w:sz w:val="22"/>
          <w:szCs w:val="22"/>
        </w:rPr>
        <w:t>compra venta</w:t>
      </w:r>
      <w:proofErr w:type="gramEnd"/>
      <w:r w:rsidRPr="003D300A">
        <w:rPr>
          <w:rFonts w:ascii="Roboto" w:hAnsi="Roboto"/>
          <w:sz w:val="22"/>
          <w:szCs w:val="22"/>
        </w:rPr>
        <w:t xml:space="preserve"> celebrada en la Bolsa Nacional de Valores de Costa Rica, antes del 31 de mayo del 2026. </w:t>
      </w:r>
    </w:p>
    <w:p w14:paraId="5F9CAC3E" w14:textId="77777777" w:rsidR="00783D26" w:rsidRPr="003D300A" w:rsidRDefault="00783D26" w:rsidP="00783D26">
      <w:pPr>
        <w:spacing w:before="240" w:after="240" w:line="276" w:lineRule="auto"/>
        <w:contextualSpacing/>
        <w:jc w:val="both"/>
        <w:rPr>
          <w:rFonts w:ascii="Roboto" w:hAnsi="Roboto"/>
          <w:sz w:val="22"/>
          <w:szCs w:val="22"/>
        </w:rPr>
      </w:pPr>
    </w:p>
    <w:p w14:paraId="1888B1AC" w14:textId="77777777" w:rsidR="00783D26" w:rsidRPr="003D300A" w:rsidRDefault="00783D26" w:rsidP="00783D26">
      <w:pPr>
        <w:spacing w:before="240" w:after="240" w:line="276" w:lineRule="auto"/>
        <w:contextualSpacing/>
        <w:jc w:val="both"/>
        <w:rPr>
          <w:rFonts w:ascii="Roboto" w:hAnsi="Roboto"/>
          <w:b/>
          <w:bCs/>
          <w:sz w:val="22"/>
          <w:szCs w:val="22"/>
        </w:rPr>
      </w:pPr>
      <w:r w:rsidRPr="003D300A">
        <w:rPr>
          <w:rFonts w:ascii="Roboto" w:hAnsi="Roboto"/>
          <w:sz w:val="22"/>
          <w:szCs w:val="22"/>
        </w:rPr>
        <w:t>Para lo anterior, los emisores deben:</w:t>
      </w:r>
    </w:p>
    <w:p w14:paraId="4F14E395" w14:textId="77777777" w:rsidR="00783D26" w:rsidRPr="003D300A" w:rsidRDefault="00783D26" w:rsidP="00783D26">
      <w:pPr>
        <w:pStyle w:val="Prrafodelista"/>
        <w:numPr>
          <w:ilvl w:val="0"/>
          <w:numId w:val="5"/>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 xml:space="preserve">Suscribir un contrato con una entidad de custodia autorizada por la Superintendencia General de Valores, para facilitar el proceso de desmaterialización de las acciones que aún posean inversionistas en soporte físico, si el monto de la participación accionaria del accionista es igual o menor a ₡50 millones y no posean contratos activos del servicio de custodia de valores con alguna entidad autorizada. </w:t>
      </w:r>
    </w:p>
    <w:p w14:paraId="6F6BABA2" w14:textId="77777777" w:rsidR="00783D26" w:rsidRPr="003D300A" w:rsidRDefault="00783D26" w:rsidP="00783D26">
      <w:pPr>
        <w:pStyle w:val="Prrafodelista"/>
        <w:shd w:val="clear" w:color="auto" w:fill="FFFFFF" w:themeFill="background1"/>
        <w:spacing w:before="240" w:after="240"/>
        <w:jc w:val="both"/>
        <w:rPr>
          <w:rFonts w:ascii="Roboto" w:hAnsi="Roboto"/>
          <w:sz w:val="22"/>
          <w:szCs w:val="22"/>
          <w:lang w:val="es-CR"/>
        </w:rPr>
      </w:pPr>
    </w:p>
    <w:p w14:paraId="10A46442" w14:textId="77777777" w:rsidR="00783D26" w:rsidRPr="003D300A" w:rsidRDefault="00783D26" w:rsidP="00783D26">
      <w:pPr>
        <w:pStyle w:val="Prrafodelista"/>
        <w:numPr>
          <w:ilvl w:val="0"/>
          <w:numId w:val="5"/>
        </w:numPr>
        <w:shd w:val="clear" w:color="auto" w:fill="FFFFFF" w:themeFill="background1"/>
        <w:spacing w:before="240" w:after="240" w:line="276" w:lineRule="auto"/>
        <w:jc w:val="both"/>
        <w:rPr>
          <w:rFonts w:ascii="Roboto" w:hAnsi="Roboto"/>
          <w:sz w:val="22"/>
          <w:szCs w:val="22"/>
          <w:lang w:val="es-CR"/>
        </w:rPr>
      </w:pPr>
      <w:r w:rsidRPr="003D300A">
        <w:rPr>
          <w:rFonts w:ascii="Roboto" w:hAnsi="Roboto"/>
          <w:sz w:val="22"/>
          <w:szCs w:val="22"/>
          <w:lang w:val="es-CR"/>
        </w:rPr>
        <w:t xml:space="preserve">Realizar por lo menos dos (2) publicaciones, una en un periódico de circulación nacional y otra en el diario oficial La Gaceta, en donde se informe del proceso definido para desmaterialización y la anotación en cuenta de las acciones que aún poseen inversionistas en soporte físico y, por consiguiente, señalar expresamente que tales títulos emitidos en soporte físico serán desmaterializados y, por </w:t>
      </w:r>
      <w:r w:rsidRPr="003D300A">
        <w:rPr>
          <w:rFonts w:ascii="Roboto" w:hAnsi="Roboto"/>
          <w:sz w:val="22"/>
          <w:szCs w:val="22"/>
          <w:lang w:val="es-CR"/>
        </w:rPr>
        <w:lastRenderedPageBreak/>
        <w:t>consiguiente, el soporte en papel perderá toda eficacia y validez y no podrán ser objeto de endosos traslativos de dominio. Estas publicaciones deben realizarse a más tardar el 10 de mayo del 2026. En el caso de la publicación en el diario oficial La Gaceta la fecha señalada corresponde a la de contratación del servicio.</w:t>
      </w:r>
    </w:p>
    <w:p w14:paraId="0DA6FBF1" w14:textId="77777777" w:rsidR="00783D26" w:rsidRPr="003D300A" w:rsidRDefault="00783D26" w:rsidP="00783D26">
      <w:pPr>
        <w:pStyle w:val="Prrafodelista"/>
        <w:shd w:val="clear" w:color="auto" w:fill="FFFFFF" w:themeFill="background1"/>
        <w:spacing w:before="240" w:after="240"/>
        <w:jc w:val="both"/>
        <w:rPr>
          <w:rFonts w:ascii="Roboto" w:hAnsi="Roboto"/>
          <w:b/>
          <w:color w:val="000000"/>
          <w:sz w:val="22"/>
          <w:szCs w:val="22"/>
          <w:lang w:val="es-CR"/>
        </w:rPr>
      </w:pPr>
    </w:p>
    <w:p w14:paraId="5A1BF65C" w14:textId="77777777" w:rsidR="00783D26" w:rsidRPr="003D300A" w:rsidRDefault="00783D26" w:rsidP="00783D26">
      <w:pPr>
        <w:pStyle w:val="Prrafodelista"/>
        <w:numPr>
          <w:ilvl w:val="0"/>
          <w:numId w:val="5"/>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Custodiar el título en soporte físico que entregue el accionista para su archivo con el fin de evitar su circulación. Asimismo, consignar en el documento físico que este ha sido desmaterializado. Los emisores deben mantener la documentación señalada por un plazo mínimo de cinco años a partir de la anotación en cuenta, y podrá contratar el servicio de conservación de los soportes físicos al custodio que ha seleccionado.</w:t>
      </w:r>
    </w:p>
    <w:p w14:paraId="7DC70EE5" w14:textId="77777777" w:rsidR="00783D26" w:rsidRPr="003D300A" w:rsidRDefault="00783D26" w:rsidP="00783D26">
      <w:pPr>
        <w:pStyle w:val="Prrafodelista"/>
        <w:shd w:val="clear" w:color="auto" w:fill="FFFFFF" w:themeFill="background1"/>
        <w:spacing w:before="240" w:after="240"/>
        <w:jc w:val="both"/>
        <w:rPr>
          <w:rFonts w:ascii="Roboto" w:hAnsi="Roboto"/>
          <w:b/>
          <w:color w:val="000000"/>
          <w:sz w:val="22"/>
          <w:szCs w:val="22"/>
          <w:lang w:val="es-CR"/>
        </w:rPr>
      </w:pPr>
    </w:p>
    <w:p w14:paraId="58936179" w14:textId="77777777" w:rsidR="00783D26" w:rsidRPr="003D300A" w:rsidRDefault="00783D26" w:rsidP="00783D26">
      <w:pPr>
        <w:pStyle w:val="Prrafodelista"/>
        <w:numPr>
          <w:ilvl w:val="0"/>
          <w:numId w:val="5"/>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Suspender temporalmente los trámites de traslados de titularidad no onerosos que reciben de inversionistas al menos dos días hábiles antes de suministrar la información al custodio contratado.</w:t>
      </w:r>
    </w:p>
    <w:p w14:paraId="290F4995" w14:textId="77777777" w:rsidR="00783D26" w:rsidRPr="003D300A" w:rsidRDefault="00783D26" w:rsidP="00783D26">
      <w:pPr>
        <w:pStyle w:val="Prrafodelista"/>
        <w:shd w:val="clear" w:color="auto" w:fill="FFFFFF" w:themeFill="background1"/>
        <w:spacing w:before="240" w:after="240"/>
        <w:jc w:val="both"/>
        <w:rPr>
          <w:rFonts w:ascii="Roboto" w:hAnsi="Roboto"/>
          <w:b/>
          <w:color w:val="000000"/>
          <w:sz w:val="22"/>
          <w:szCs w:val="22"/>
          <w:lang w:val="es-CR"/>
        </w:rPr>
      </w:pPr>
    </w:p>
    <w:p w14:paraId="4A869ED0" w14:textId="77777777" w:rsidR="00783D26" w:rsidRPr="003D300A" w:rsidRDefault="00783D26" w:rsidP="00783D26">
      <w:pPr>
        <w:pStyle w:val="Prrafodelista"/>
        <w:numPr>
          <w:ilvl w:val="0"/>
          <w:numId w:val="5"/>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Suministrar a la entidad de custodia el nombre de los inversionistas titulares de dichas acciones, a partir de los registros del Libro de Accionistas actualizado al 1 de junio del 2026, para que se proceda con su anotación en cuenta.</w:t>
      </w:r>
    </w:p>
    <w:p w14:paraId="2987688E" w14:textId="77777777" w:rsidR="00783D26" w:rsidRPr="003D300A" w:rsidRDefault="00783D26" w:rsidP="00783D26">
      <w:pPr>
        <w:pStyle w:val="Prrafodelista"/>
        <w:shd w:val="clear" w:color="auto" w:fill="FFFFFF" w:themeFill="background1"/>
        <w:spacing w:before="240" w:after="240"/>
        <w:jc w:val="both"/>
        <w:rPr>
          <w:rFonts w:ascii="Roboto" w:hAnsi="Roboto"/>
          <w:b/>
          <w:color w:val="000000"/>
          <w:sz w:val="22"/>
          <w:szCs w:val="22"/>
          <w:lang w:val="es-CR"/>
        </w:rPr>
      </w:pPr>
    </w:p>
    <w:p w14:paraId="4AC2E501" w14:textId="77777777" w:rsidR="00783D26" w:rsidRPr="003D300A" w:rsidRDefault="00783D26" w:rsidP="00783D26">
      <w:pPr>
        <w:pStyle w:val="Prrafodelista"/>
        <w:numPr>
          <w:ilvl w:val="0"/>
          <w:numId w:val="5"/>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 xml:space="preserve">Informar mediante un Comunicado de Hecho Relevante al día hábil siguiente de que la entidad de custodia contratada confirma que realizó la anotación de las acciones que se encontraban en soporte físico de los inversionistas reportados por el emisor contratante. En este comunicado, se debe señalar expresamente que los títulos emitidos en soporte físico fueron desmaterializados, </w:t>
      </w:r>
      <w:proofErr w:type="gramStart"/>
      <w:r w:rsidRPr="003D300A">
        <w:rPr>
          <w:rFonts w:ascii="Roboto" w:hAnsi="Roboto"/>
          <w:sz w:val="22"/>
          <w:szCs w:val="22"/>
          <w:lang w:val="es-CR"/>
        </w:rPr>
        <w:t>y</w:t>
      </w:r>
      <w:proofErr w:type="gramEnd"/>
      <w:r w:rsidRPr="003D300A">
        <w:rPr>
          <w:rFonts w:ascii="Roboto" w:hAnsi="Roboto"/>
          <w:sz w:val="22"/>
          <w:szCs w:val="22"/>
          <w:lang w:val="es-CR"/>
        </w:rPr>
        <w:t xml:space="preserve"> por consiguiente, el soporte en papel perdió toda eficacia y validez y no podrán ser objeto de endosos traslativos de dominio.</w:t>
      </w:r>
    </w:p>
    <w:p w14:paraId="31D833E7" w14:textId="77777777" w:rsidR="00783D26" w:rsidRPr="003D300A" w:rsidRDefault="00783D26" w:rsidP="00783D26">
      <w:pPr>
        <w:pStyle w:val="Prrafodelista"/>
        <w:shd w:val="clear" w:color="auto" w:fill="FFFFFF" w:themeFill="background1"/>
        <w:spacing w:before="240" w:after="240"/>
        <w:jc w:val="both"/>
        <w:rPr>
          <w:rFonts w:ascii="Roboto" w:hAnsi="Roboto"/>
          <w:sz w:val="22"/>
          <w:szCs w:val="22"/>
          <w:lang w:val="es-CR"/>
        </w:rPr>
      </w:pPr>
    </w:p>
    <w:p w14:paraId="4E4BE4E8" w14:textId="77777777" w:rsidR="00783D26" w:rsidRPr="003D300A" w:rsidRDefault="00783D26" w:rsidP="00783D26">
      <w:pPr>
        <w:pStyle w:val="Prrafodelista"/>
        <w:numPr>
          <w:ilvl w:val="0"/>
          <w:numId w:val="5"/>
        </w:numPr>
        <w:shd w:val="clear" w:color="auto" w:fill="FFFFFF" w:themeFill="background1"/>
        <w:spacing w:before="240" w:after="240" w:line="276" w:lineRule="auto"/>
        <w:jc w:val="both"/>
        <w:rPr>
          <w:rFonts w:ascii="Roboto" w:hAnsi="Roboto"/>
          <w:sz w:val="22"/>
          <w:szCs w:val="22"/>
          <w:lang w:val="es-CR"/>
        </w:rPr>
      </w:pPr>
      <w:r w:rsidRPr="003D300A">
        <w:rPr>
          <w:rFonts w:ascii="Roboto" w:hAnsi="Roboto"/>
          <w:sz w:val="22"/>
          <w:szCs w:val="22"/>
          <w:lang w:val="es-CR"/>
        </w:rPr>
        <w:t>Conservar la información que permita reconstruir la identificación de los inversionistas y el saldo de las acciones en soporte físico desde que se incorporaron en el Libro de Accionistas y hasta el día en que se realiza la anotación en cuenta de las acciones.  Los emisores deben mantener la documentación señalada por un plazo mínimo de cinco años a partir de la anotación en cuenta.</w:t>
      </w:r>
    </w:p>
    <w:p w14:paraId="509976C4" w14:textId="77777777" w:rsidR="00783D26" w:rsidRPr="003D300A" w:rsidRDefault="00783D26" w:rsidP="00783D26">
      <w:pPr>
        <w:spacing w:before="240" w:after="240" w:line="276" w:lineRule="auto"/>
        <w:jc w:val="both"/>
        <w:rPr>
          <w:rFonts w:ascii="Roboto" w:hAnsi="Roboto"/>
          <w:b/>
          <w:bCs/>
          <w:sz w:val="22"/>
          <w:szCs w:val="22"/>
        </w:rPr>
      </w:pPr>
    </w:p>
    <w:p w14:paraId="2A6E18EB" w14:textId="77777777" w:rsidR="00783D26" w:rsidRPr="003D300A" w:rsidRDefault="00783D26" w:rsidP="00783D26">
      <w:pPr>
        <w:spacing w:before="240" w:after="240" w:line="276" w:lineRule="auto"/>
        <w:jc w:val="both"/>
        <w:rPr>
          <w:rFonts w:ascii="Roboto" w:hAnsi="Roboto"/>
          <w:b/>
          <w:bCs/>
          <w:sz w:val="22"/>
          <w:szCs w:val="22"/>
        </w:rPr>
      </w:pPr>
      <w:r w:rsidRPr="003D300A">
        <w:rPr>
          <w:rFonts w:ascii="Roboto" w:hAnsi="Roboto"/>
          <w:b/>
          <w:bCs/>
          <w:sz w:val="22"/>
          <w:szCs w:val="22"/>
        </w:rPr>
        <w:t>Artículo 4.</w:t>
      </w:r>
      <w:r w:rsidRPr="003D300A">
        <w:rPr>
          <w:rFonts w:ascii="Roboto" w:hAnsi="Roboto"/>
          <w:b/>
          <w:bCs/>
          <w:sz w:val="22"/>
          <w:szCs w:val="22"/>
        </w:rPr>
        <w:tab/>
        <w:t>Obligaciones de las entidades de custodia</w:t>
      </w:r>
    </w:p>
    <w:p w14:paraId="5CBEAF6F" w14:textId="77777777" w:rsidR="00783D26" w:rsidRPr="003D300A" w:rsidRDefault="00783D26" w:rsidP="00783D26">
      <w:pPr>
        <w:shd w:val="clear" w:color="auto" w:fill="FFFFFF" w:themeFill="background1"/>
        <w:spacing w:before="240" w:after="240" w:line="276" w:lineRule="auto"/>
        <w:jc w:val="both"/>
        <w:rPr>
          <w:rFonts w:ascii="Roboto" w:hAnsi="Roboto"/>
          <w:b/>
          <w:color w:val="000000"/>
          <w:sz w:val="22"/>
          <w:szCs w:val="22"/>
        </w:rPr>
      </w:pPr>
      <w:r w:rsidRPr="003D300A">
        <w:rPr>
          <w:rFonts w:ascii="Roboto" w:hAnsi="Roboto"/>
          <w:sz w:val="22"/>
          <w:szCs w:val="22"/>
        </w:rPr>
        <w:t>Las entidades autorizadas para prestar el servicio de custodia que, en atención a lo señalado el artículo anterior, brinden una custodia especial para la desmaterialización de acciones deben acogerse a las siguientes condiciones y exenciones de las obligaciones regulatorias:</w:t>
      </w:r>
    </w:p>
    <w:p w14:paraId="1A5D1AC8" w14:textId="77777777" w:rsidR="00783D26" w:rsidRPr="003D300A" w:rsidRDefault="00783D26" w:rsidP="00783D26">
      <w:pPr>
        <w:pStyle w:val="Prrafodelista"/>
        <w:numPr>
          <w:ilvl w:val="0"/>
          <w:numId w:val="2"/>
        </w:numPr>
        <w:spacing w:before="240" w:after="240" w:line="276" w:lineRule="auto"/>
        <w:ind w:left="567" w:hanging="535"/>
        <w:jc w:val="both"/>
        <w:rPr>
          <w:rFonts w:ascii="Roboto" w:hAnsi="Roboto"/>
          <w:sz w:val="22"/>
          <w:szCs w:val="22"/>
          <w:lang w:val="es-CR"/>
        </w:rPr>
      </w:pPr>
      <w:r w:rsidRPr="003D300A">
        <w:rPr>
          <w:rFonts w:ascii="Roboto" w:hAnsi="Roboto"/>
          <w:sz w:val="22"/>
          <w:szCs w:val="22"/>
          <w:lang w:val="es-CR"/>
        </w:rPr>
        <w:lastRenderedPageBreak/>
        <w:t>Gestión de deberes en materia de Ley sobre estupefacientes, sustancias psicotrópicas, drogas de uso No Autorizado, actividades Conexas, legitimación de capitales y financiamiento al terrorismo, Ley 7786:</w:t>
      </w:r>
    </w:p>
    <w:p w14:paraId="00D91BE3" w14:textId="77777777" w:rsidR="00783D26" w:rsidRPr="003D300A" w:rsidRDefault="00783D26" w:rsidP="00783D26">
      <w:pPr>
        <w:pStyle w:val="Prrafodelista"/>
        <w:spacing w:before="240" w:after="240"/>
        <w:ind w:left="32"/>
        <w:jc w:val="both"/>
        <w:rPr>
          <w:rFonts w:ascii="Roboto" w:hAnsi="Roboto"/>
          <w:sz w:val="22"/>
          <w:szCs w:val="22"/>
          <w:lang w:val="es-CR"/>
        </w:rPr>
      </w:pPr>
    </w:p>
    <w:p w14:paraId="240F93E8" w14:textId="77777777" w:rsidR="00783D26" w:rsidRPr="003D300A" w:rsidRDefault="00783D26" w:rsidP="00783D26">
      <w:pPr>
        <w:pStyle w:val="Prrafodelista"/>
        <w:numPr>
          <w:ilvl w:val="0"/>
          <w:numId w:val="6"/>
        </w:numPr>
        <w:spacing w:before="240" w:after="240" w:line="276" w:lineRule="auto"/>
        <w:contextualSpacing w:val="0"/>
        <w:jc w:val="both"/>
        <w:rPr>
          <w:rFonts w:ascii="Roboto" w:hAnsi="Roboto"/>
          <w:sz w:val="22"/>
          <w:szCs w:val="22"/>
          <w:lang w:val="es-CR"/>
        </w:rPr>
      </w:pPr>
      <w:r w:rsidRPr="003D300A">
        <w:rPr>
          <w:rFonts w:ascii="Roboto" w:hAnsi="Roboto"/>
          <w:sz w:val="22"/>
          <w:szCs w:val="22"/>
          <w:lang w:val="es-CR"/>
        </w:rPr>
        <w:t>Para la política conozca a su cliente, se debe aplicar un régimen de documentación y debida diligencia simplificados, de manera que la información requerida del titular de la cuenta de custodia corresponderá únicamente al nombre completo, número y tipo de documento de identificación, y dirección de correo electrónico cuando se disponga.</w:t>
      </w:r>
      <w:r w:rsidRPr="003D300A">
        <w:rPr>
          <w:rFonts w:ascii="Roboto" w:hAnsi="Roboto"/>
          <w:b/>
          <w:bCs/>
          <w:color w:val="0070C0"/>
          <w:sz w:val="22"/>
          <w:szCs w:val="22"/>
          <w:lang w:val="es-CR"/>
        </w:rPr>
        <w:t xml:space="preserve"> </w:t>
      </w:r>
      <w:r w:rsidRPr="003D300A">
        <w:rPr>
          <w:rFonts w:ascii="Roboto" w:hAnsi="Roboto"/>
          <w:sz w:val="22"/>
          <w:szCs w:val="22"/>
          <w:lang w:val="es-CR"/>
        </w:rPr>
        <w:t>El registro electrónico de estos datos sustituye el Formulario Conozca a su Cliente.</w:t>
      </w:r>
    </w:p>
    <w:p w14:paraId="04A9E6DB" w14:textId="77777777" w:rsidR="00783D26" w:rsidRPr="003D300A" w:rsidRDefault="00783D26" w:rsidP="00783D26">
      <w:pPr>
        <w:pStyle w:val="Prrafodelista"/>
        <w:numPr>
          <w:ilvl w:val="0"/>
          <w:numId w:val="6"/>
        </w:numPr>
        <w:spacing w:before="240" w:after="240"/>
        <w:jc w:val="both"/>
        <w:rPr>
          <w:rFonts w:ascii="Roboto" w:hAnsi="Roboto"/>
          <w:sz w:val="22"/>
          <w:szCs w:val="22"/>
          <w:lang w:val="es-CR"/>
        </w:rPr>
      </w:pPr>
      <w:r w:rsidRPr="003D300A">
        <w:rPr>
          <w:rFonts w:ascii="Roboto" w:hAnsi="Roboto"/>
          <w:sz w:val="22"/>
          <w:szCs w:val="22"/>
          <w:lang w:val="es-CR"/>
        </w:rPr>
        <w:t xml:space="preserve">La entidad de custodia debe definir un monitoreo simplificado que aplicará a las cuentas de custodia. Como mínimo, se deben atender las obligaciones de reporte y congelamiento previstas en el artículo 86 de la Ley 7786, cuando reciban aviso formal de las autoridades competentes. </w:t>
      </w:r>
    </w:p>
    <w:p w14:paraId="050A07B0" w14:textId="77777777" w:rsidR="00783D26" w:rsidRPr="003D300A" w:rsidRDefault="00783D26" w:rsidP="00783D26">
      <w:pPr>
        <w:pStyle w:val="Prrafodelista"/>
        <w:spacing w:before="240" w:after="240"/>
        <w:ind w:left="567"/>
        <w:jc w:val="both"/>
        <w:rPr>
          <w:rFonts w:ascii="Roboto" w:hAnsi="Roboto"/>
          <w:sz w:val="22"/>
          <w:szCs w:val="22"/>
          <w:lang w:val="es-CR"/>
        </w:rPr>
      </w:pPr>
    </w:p>
    <w:p w14:paraId="6CD59588" w14:textId="77777777" w:rsidR="00783D26" w:rsidRPr="003D300A" w:rsidRDefault="00783D26" w:rsidP="00783D26">
      <w:pPr>
        <w:pStyle w:val="Prrafodelista"/>
        <w:numPr>
          <w:ilvl w:val="0"/>
          <w:numId w:val="2"/>
        </w:numPr>
        <w:spacing w:before="240" w:after="240"/>
        <w:ind w:left="567" w:hanging="535"/>
        <w:jc w:val="both"/>
        <w:rPr>
          <w:rFonts w:ascii="Roboto" w:hAnsi="Roboto"/>
          <w:sz w:val="22"/>
          <w:szCs w:val="22"/>
          <w:lang w:val="es-CR"/>
        </w:rPr>
      </w:pPr>
      <w:r w:rsidRPr="003D300A">
        <w:rPr>
          <w:rFonts w:ascii="Roboto" w:hAnsi="Roboto"/>
          <w:sz w:val="22"/>
          <w:szCs w:val="22"/>
          <w:lang w:val="es-CR"/>
        </w:rPr>
        <w:t>Gestión de deberes del Acuerdo SUGEVAL 17-15 Reglamento de Custodia:</w:t>
      </w:r>
    </w:p>
    <w:p w14:paraId="58D67981" w14:textId="77777777" w:rsidR="00783D26" w:rsidRPr="003D300A" w:rsidRDefault="00783D26" w:rsidP="00783D26">
      <w:pPr>
        <w:pStyle w:val="Prrafodelista"/>
        <w:spacing w:before="240" w:after="240"/>
        <w:ind w:left="567"/>
        <w:jc w:val="both"/>
        <w:rPr>
          <w:rFonts w:ascii="Roboto" w:hAnsi="Roboto"/>
          <w:sz w:val="22"/>
          <w:szCs w:val="22"/>
          <w:lang w:val="es-CR"/>
        </w:rPr>
      </w:pPr>
    </w:p>
    <w:p w14:paraId="37002C18" w14:textId="77777777" w:rsidR="00783D26" w:rsidRPr="003D300A" w:rsidRDefault="00783D26" w:rsidP="00783D26">
      <w:pPr>
        <w:pStyle w:val="Prrafodelista"/>
        <w:numPr>
          <w:ilvl w:val="0"/>
          <w:numId w:val="7"/>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Realizar la anotación en cuenta de las acciones que se encuentren en soporte físico de los inversionistas reportados por el emisor contratante, a más tardar en el plazo de cinco días hábiles posteriores al recibido de la información. Dicha anotación debe hacerse a nombre del emisor seguido por el nombre o identificación del inversionista. Para tal efecto, la entidad de custodia considerará la información que le suministre la empresa emisora con respecto de quiénes son los inversionistas titulares de dichas acciones.</w:t>
      </w:r>
    </w:p>
    <w:p w14:paraId="1CA87395" w14:textId="77777777" w:rsidR="00783D26" w:rsidRPr="003D300A" w:rsidRDefault="00783D26" w:rsidP="00783D26">
      <w:pPr>
        <w:pStyle w:val="Prrafodelista"/>
        <w:shd w:val="clear" w:color="auto" w:fill="FFFFFF" w:themeFill="background1"/>
        <w:spacing w:before="240" w:after="240"/>
        <w:jc w:val="both"/>
        <w:rPr>
          <w:rFonts w:ascii="Roboto" w:hAnsi="Roboto"/>
          <w:bCs/>
          <w:color w:val="000000"/>
          <w:sz w:val="22"/>
          <w:szCs w:val="22"/>
          <w:lang w:val="es-CR"/>
        </w:rPr>
      </w:pPr>
    </w:p>
    <w:p w14:paraId="0566CCF6" w14:textId="77777777" w:rsidR="00783D26" w:rsidRPr="003D300A" w:rsidRDefault="00783D26" w:rsidP="00783D26">
      <w:pPr>
        <w:pStyle w:val="Prrafodelista"/>
        <w:numPr>
          <w:ilvl w:val="0"/>
          <w:numId w:val="7"/>
        </w:numPr>
        <w:shd w:val="clear" w:color="auto" w:fill="FFFFFF" w:themeFill="background1"/>
        <w:spacing w:before="240" w:after="240" w:line="276" w:lineRule="auto"/>
        <w:jc w:val="both"/>
        <w:rPr>
          <w:rFonts w:ascii="Roboto" w:hAnsi="Roboto"/>
          <w:bCs/>
          <w:color w:val="000000"/>
          <w:sz w:val="22"/>
          <w:szCs w:val="22"/>
          <w:lang w:val="es-CR"/>
        </w:rPr>
      </w:pPr>
      <w:r w:rsidRPr="003D300A">
        <w:rPr>
          <w:rFonts w:ascii="Roboto" w:hAnsi="Roboto"/>
          <w:bCs/>
          <w:color w:val="000000"/>
          <w:sz w:val="22"/>
          <w:szCs w:val="22"/>
          <w:lang w:val="es-CR"/>
        </w:rPr>
        <w:t>Informar al emisor, previo a la celebración de asambleas o reuniones, los registros de titulares y cantidad de acciones que aún se encuentran bajo las disposiciones del contrato que al efecto suscribieron. Esta información debe corresponder con la fecha máxima de negociación de los títulos, según el ciclo de liquidación establecido por la Bolsa Nacional de Valores, por lo tanto, la fecha de corte deberá ser debidamente consignada en el hecho relevante de convocatoria por parte del emisor.</w:t>
      </w:r>
    </w:p>
    <w:p w14:paraId="53D1A4D3" w14:textId="77777777" w:rsidR="00783D26" w:rsidRPr="003D300A" w:rsidRDefault="00783D26" w:rsidP="00783D26">
      <w:pPr>
        <w:pStyle w:val="Prrafodelista"/>
        <w:shd w:val="clear" w:color="auto" w:fill="FFFFFF" w:themeFill="background1"/>
        <w:spacing w:before="240" w:after="240"/>
        <w:jc w:val="both"/>
        <w:rPr>
          <w:rFonts w:ascii="Roboto" w:hAnsi="Roboto"/>
          <w:bCs/>
          <w:color w:val="000000"/>
          <w:sz w:val="22"/>
          <w:szCs w:val="22"/>
          <w:lang w:val="es-CR"/>
        </w:rPr>
      </w:pPr>
    </w:p>
    <w:p w14:paraId="2CAD19FB" w14:textId="77777777" w:rsidR="00783D26" w:rsidRPr="003D300A" w:rsidRDefault="00783D26" w:rsidP="00783D26">
      <w:pPr>
        <w:pStyle w:val="Prrafodelista"/>
        <w:numPr>
          <w:ilvl w:val="0"/>
          <w:numId w:val="7"/>
        </w:numPr>
        <w:shd w:val="clear" w:color="auto" w:fill="FFFFFF" w:themeFill="background1"/>
        <w:spacing w:before="240" w:after="240" w:line="276" w:lineRule="auto"/>
        <w:jc w:val="both"/>
        <w:rPr>
          <w:rFonts w:ascii="Roboto" w:hAnsi="Roboto"/>
          <w:bCs/>
          <w:color w:val="000000"/>
          <w:sz w:val="22"/>
          <w:szCs w:val="22"/>
          <w:lang w:val="es-CR"/>
        </w:rPr>
      </w:pPr>
      <w:r w:rsidRPr="003D300A">
        <w:rPr>
          <w:rFonts w:ascii="Roboto" w:hAnsi="Roboto"/>
          <w:bCs/>
          <w:color w:val="000000"/>
          <w:sz w:val="22"/>
          <w:szCs w:val="22"/>
          <w:lang w:val="es-CR"/>
        </w:rPr>
        <w:t>Emitir estados de cuenta o constancias de custodia por los valores que se mantienen según el contrato, ante solicitud expresa del accionista o del emisor contratante. Dichas constancias deberán indicar si se encuentran en una custodia inmovilizada y las limitaciones que esto implica.</w:t>
      </w:r>
    </w:p>
    <w:p w14:paraId="07CA782C" w14:textId="77777777" w:rsidR="00783D26" w:rsidRPr="003D300A" w:rsidRDefault="00783D26" w:rsidP="00783D26">
      <w:pPr>
        <w:pStyle w:val="Prrafodelista"/>
        <w:shd w:val="clear" w:color="auto" w:fill="FFFFFF" w:themeFill="background1"/>
        <w:spacing w:before="240" w:after="240"/>
        <w:jc w:val="both"/>
        <w:rPr>
          <w:rFonts w:ascii="Roboto" w:hAnsi="Roboto"/>
          <w:sz w:val="22"/>
          <w:szCs w:val="22"/>
          <w:lang w:val="es-CR"/>
        </w:rPr>
      </w:pPr>
    </w:p>
    <w:p w14:paraId="7D70D61F" w14:textId="77777777" w:rsidR="00783D26" w:rsidRPr="003D300A" w:rsidRDefault="00783D26" w:rsidP="00783D26">
      <w:pPr>
        <w:pStyle w:val="Prrafodelista"/>
        <w:numPr>
          <w:ilvl w:val="0"/>
          <w:numId w:val="7"/>
        </w:numPr>
        <w:shd w:val="clear" w:color="auto" w:fill="FFFFFF" w:themeFill="background1"/>
        <w:spacing w:before="240" w:after="240" w:line="276" w:lineRule="auto"/>
        <w:jc w:val="both"/>
        <w:rPr>
          <w:rFonts w:ascii="Roboto" w:hAnsi="Roboto"/>
          <w:sz w:val="22"/>
          <w:szCs w:val="22"/>
          <w:lang w:val="es-CR"/>
        </w:rPr>
      </w:pPr>
      <w:r w:rsidRPr="003D300A">
        <w:rPr>
          <w:rFonts w:ascii="Roboto" w:hAnsi="Roboto"/>
          <w:sz w:val="22"/>
          <w:szCs w:val="22"/>
          <w:lang w:val="es-CR"/>
        </w:rPr>
        <w:t xml:space="preserve">Conservar la información que permita reconstruir la identificación de los inversionistas y el saldo de las acciones desde que se realiza la anotación en cuenta de las acciones previamente en soporte físico y hasta el día en que se realiza el traslado hacia nuevas cuentas de valores. La información se mantiene por el plazo </w:t>
      </w:r>
      <w:r w:rsidRPr="003D300A">
        <w:rPr>
          <w:rFonts w:ascii="Roboto" w:hAnsi="Roboto"/>
          <w:sz w:val="22"/>
          <w:szCs w:val="22"/>
          <w:lang w:val="es-CR"/>
        </w:rPr>
        <w:lastRenderedPageBreak/>
        <w:t>dispuesto en la normativa que regula la conservación de información para los custodios autorizados.</w:t>
      </w:r>
      <w:r w:rsidRPr="003D300A">
        <w:rPr>
          <w:rFonts w:ascii="Roboto" w:hAnsi="Roboto"/>
          <w:b/>
          <w:bCs/>
          <w:color w:val="0070C0"/>
          <w:sz w:val="22"/>
          <w:szCs w:val="22"/>
          <w:lang w:val="es-CR"/>
        </w:rPr>
        <w:t xml:space="preserve"> </w:t>
      </w:r>
    </w:p>
    <w:p w14:paraId="6CD34E8E" w14:textId="77777777" w:rsidR="00783D26" w:rsidRPr="003D300A" w:rsidRDefault="00783D26" w:rsidP="00783D26">
      <w:pPr>
        <w:pStyle w:val="Prrafodelista"/>
        <w:shd w:val="clear" w:color="auto" w:fill="FFFFFF" w:themeFill="background1"/>
        <w:spacing w:before="240" w:after="240"/>
        <w:jc w:val="both"/>
        <w:rPr>
          <w:rFonts w:ascii="Roboto" w:hAnsi="Roboto"/>
          <w:b/>
          <w:color w:val="000000"/>
          <w:sz w:val="22"/>
          <w:szCs w:val="22"/>
          <w:lang w:val="es-CR"/>
        </w:rPr>
      </w:pPr>
    </w:p>
    <w:p w14:paraId="0179A1FD" w14:textId="77777777" w:rsidR="00783D26" w:rsidRPr="003D300A" w:rsidRDefault="00783D26" w:rsidP="00783D26">
      <w:pPr>
        <w:pStyle w:val="Prrafodelista"/>
        <w:numPr>
          <w:ilvl w:val="0"/>
          <w:numId w:val="7"/>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 xml:space="preserve">Atender sin demora el pago al inversionista de dividendos en efectivo o en acciones, desdoblamientos accionarios y cualquier otro beneficio patrimonial que realice el emisor. </w:t>
      </w:r>
    </w:p>
    <w:p w14:paraId="324818E3" w14:textId="77777777" w:rsidR="00783D26" w:rsidRPr="003D300A" w:rsidRDefault="00783D26" w:rsidP="00783D26">
      <w:pPr>
        <w:pStyle w:val="Prrafodelista"/>
        <w:shd w:val="clear" w:color="auto" w:fill="FFFFFF" w:themeFill="background1"/>
        <w:spacing w:before="240" w:after="240"/>
        <w:jc w:val="both"/>
        <w:rPr>
          <w:rFonts w:ascii="Roboto" w:hAnsi="Roboto"/>
          <w:b/>
          <w:color w:val="000000"/>
          <w:sz w:val="22"/>
          <w:szCs w:val="22"/>
          <w:lang w:val="es-CR"/>
        </w:rPr>
      </w:pPr>
    </w:p>
    <w:p w14:paraId="12EF9C3A" w14:textId="77777777" w:rsidR="00783D26" w:rsidRPr="003D300A" w:rsidRDefault="00783D26" w:rsidP="00783D26">
      <w:pPr>
        <w:pStyle w:val="Prrafodelista"/>
        <w:numPr>
          <w:ilvl w:val="0"/>
          <w:numId w:val="7"/>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 xml:space="preserve">Atender sin demora las órdenes necesarias para realizar los traslados de custodia de valores, cuando los inversionistas cuyas acciones se encontraban previamente en soporte físico, se apersonen y de manera expresa soliciten el movimiento de sus valores hacia otro custodio directamente contratado por el accionista. Para efecto de los traslados de valores, el custodio destino de los valores deben atender sus obligaciones en la prestación de este tipo de servicios. </w:t>
      </w:r>
    </w:p>
    <w:p w14:paraId="0D49214C" w14:textId="77777777" w:rsidR="00783D26" w:rsidRPr="003D300A" w:rsidRDefault="00783D26" w:rsidP="00783D26">
      <w:pPr>
        <w:pStyle w:val="Prrafodelista"/>
        <w:spacing w:before="240" w:after="240"/>
        <w:ind w:left="567"/>
        <w:jc w:val="both"/>
        <w:rPr>
          <w:rFonts w:ascii="Roboto" w:hAnsi="Roboto"/>
          <w:sz w:val="22"/>
          <w:szCs w:val="22"/>
          <w:lang w:val="es-CR"/>
        </w:rPr>
      </w:pPr>
    </w:p>
    <w:p w14:paraId="498F0FA0" w14:textId="77777777" w:rsidR="00783D26" w:rsidRDefault="00783D26" w:rsidP="00783D26">
      <w:pPr>
        <w:pStyle w:val="Prrafodelista"/>
        <w:numPr>
          <w:ilvl w:val="0"/>
          <w:numId w:val="2"/>
        </w:numPr>
        <w:spacing w:before="240" w:after="240" w:line="276" w:lineRule="auto"/>
        <w:ind w:left="567" w:hanging="535"/>
        <w:jc w:val="both"/>
        <w:rPr>
          <w:rFonts w:ascii="Roboto" w:hAnsi="Roboto"/>
          <w:sz w:val="22"/>
          <w:szCs w:val="22"/>
          <w:lang w:val="es-CR"/>
        </w:rPr>
      </w:pPr>
      <w:r w:rsidRPr="003D300A">
        <w:rPr>
          <w:rFonts w:ascii="Roboto" w:hAnsi="Roboto"/>
          <w:sz w:val="22"/>
          <w:szCs w:val="22"/>
          <w:lang w:val="es-CR"/>
        </w:rPr>
        <w:t>Gestión de deberes del Acuerdo SUGEVAL 18-16 Reglamento de Intermediación y Actividades Complementarias:</w:t>
      </w:r>
    </w:p>
    <w:p w14:paraId="19F2308C" w14:textId="77777777" w:rsidR="00D85037" w:rsidRPr="003D300A" w:rsidRDefault="00D85037" w:rsidP="00D85037">
      <w:pPr>
        <w:pStyle w:val="Prrafodelista"/>
        <w:spacing w:before="240" w:after="240" w:line="276" w:lineRule="auto"/>
        <w:ind w:left="567"/>
        <w:jc w:val="both"/>
        <w:rPr>
          <w:rFonts w:ascii="Roboto" w:hAnsi="Roboto"/>
          <w:sz w:val="22"/>
          <w:szCs w:val="22"/>
          <w:lang w:val="es-CR"/>
        </w:rPr>
      </w:pPr>
    </w:p>
    <w:p w14:paraId="1057595D" w14:textId="2DF2D103" w:rsidR="00783D26" w:rsidRPr="00D85037" w:rsidRDefault="00783D26" w:rsidP="00D85037">
      <w:pPr>
        <w:pStyle w:val="Prrafodelista"/>
        <w:numPr>
          <w:ilvl w:val="0"/>
          <w:numId w:val="10"/>
        </w:numPr>
        <w:shd w:val="clear" w:color="auto" w:fill="FFFFFF" w:themeFill="background1"/>
        <w:spacing w:before="240" w:after="240" w:line="276" w:lineRule="auto"/>
        <w:jc w:val="both"/>
        <w:rPr>
          <w:rFonts w:ascii="Roboto" w:hAnsi="Roboto"/>
          <w:sz w:val="22"/>
          <w:szCs w:val="22"/>
          <w:lang w:val="es-CR"/>
        </w:rPr>
      </w:pPr>
      <w:r w:rsidRPr="00D85037">
        <w:rPr>
          <w:rFonts w:ascii="Roboto" w:hAnsi="Roboto"/>
          <w:sz w:val="22"/>
          <w:szCs w:val="22"/>
          <w:lang w:val="es-CR"/>
        </w:rPr>
        <w:t>Las entidades de custodia que a su vez se rijan por las disposiciones del Acuerdo SUGEVAL 18-16 no podrán prestar otros servicios contemplados en este Acuerdo para los inversionistas que posean valores que formen parte de la custodia especial para la desmaterialización de acciones, mientras estos inversionistas se mantengan en esta condición.</w:t>
      </w:r>
    </w:p>
    <w:p w14:paraId="020BF3B2" w14:textId="77777777" w:rsidR="00783D26" w:rsidRPr="003D300A" w:rsidRDefault="00783D26" w:rsidP="00783D26">
      <w:pPr>
        <w:spacing w:before="240" w:after="240" w:line="276" w:lineRule="auto"/>
        <w:jc w:val="both"/>
        <w:rPr>
          <w:rFonts w:ascii="Roboto" w:hAnsi="Roboto"/>
          <w:b/>
          <w:bCs/>
          <w:sz w:val="22"/>
          <w:szCs w:val="22"/>
        </w:rPr>
      </w:pPr>
    </w:p>
    <w:p w14:paraId="1F909BE7" w14:textId="77777777" w:rsidR="00783D26" w:rsidRPr="003D300A" w:rsidRDefault="00783D26" w:rsidP="00783D26">
      <w:pPr>
        <w:spacing w:before="240" w:after="240" w:line="276" w:lineRule="auto"/>
        <w:jc w:val="both"/>
        <w:rPr>
          <w:rFonts w:ascii="Roboto" w:hAnsi="Roboto"/>
          <w:b/>
          <w:bCs/>
          <w:sz w:val="22"/>
          <w:szCs w:val="22"/>
        </w:rPr>
      </w:pPr>
      <w:r w:rsidRPr="003D300A">
        <w:rPr>
          <w:rFonts w:ascii="Roboto" w:hAnsi="Roboto"/>
          <w:b/>
          <w:bCs/>
          <w:sz w:val="22"/>
          <w:szCs w:val="22"/>
        </w:rPr>
        <w:t>Artículo 5.</w:t>
      </w:r>
      <w:r w:rsidRPr="003D300A">
        <w:rPr>
          <w:rFonts w:ascii="Roboto" w:hAnsi="Roboto"/>
          <w:b/>
          <w:bCs/>
          <w:sz w:val="22"/>
          <w:szCs w:val="22"/>
        </w:rPr>
        <w:tab/>
        <w:t xml:space="preserve">Pérdida de condición de una custodia especial para la desmaterialización de acciones </w:t>
      </w:r>
    </w:p>
    <w:p w14:paraId="09B9B528" w14:textId="77777777" w:rsidR="00783D26" w:rsidRPr="003D300A" w:rsidRDefault="00783D26" w:rsidP="00783D26">
      <w:pPr>
        <w:spacing w:before="240" w:after="240" w:line="276" w:lineRule="auto"/>
        <w:jc w:val="both"/>
        <w:rPr>
          <w:rFonts w:ascii="Roboto" w:hAnsi="Roboto"/>
          <w:sz w:val="22"/>
          <w:szCs w:val="22"/>
        </w:rPr>
      </w:pPr>
      <w:r w:rsidRPr="003D300A">
        <w:rPr>
          <w:rFonts w:ascii="Roboto" w:hAnsi="Roboto"/>
          <w:sz w:val="22"/>
          <w:szCs w:val="22"/>
        </w:rPr>
        <w:t xml:space="preserve">Las custodias especiales para la desmaterialización de acciones solo pueden ser utilizadas para la custodia de acciones de emisores de valores inscritos en el Registro Nacional de Valores e Intermediarios, que previamente se encontraban en soporte físicos, por lo tanto, no es posible en estas cuentas de valores la incorporación de nuevas acciones que se deriven por operaciones de </w:t>
      </w:r>
      <w:proofErr w:type="gramStart"/>
      <w:r w:rsidRPr="003D300A">
        <w:rPr>
          <w:rFonts w:ascii="Roboto" w:hAnsi="Roboto"/>
          <w:sz w:val="22"/>
          <w:szCs w:val="22"/>
        </w:rPr>
        <w:t>compra venta</w:t>
      </w:r>
      <w:proofErr w:type="gramEnd"/>
      <w:r w:rsidRPr="003D300A">
        <w:rPr>
          <w:rFonts w:ascii="Roboto" w:hAnsi="Roboto"/>
          <w:sz w:val="22"/>
          <w:szCs w:val="22"/>
        </w:rPr>
        <w:t xml:space="preserve"> o de reporto de valores en el mercado secundario, ni la incorporación de valores de otros emisores.  </w:t>
      </w:r>
    </w:p>
    <w:p w14:paraId="3467678B" w14:textId="77777777" w:rsidR="00783D26" w:rsidRPr="003D300A" w:rsidRDefault="00783D26" w:rsidP="00783D26">
      <w:pPr>
        <w:spacing w:before="240" w:after="240" w:line="276" w:lineRule="auto"/>
        <w:jc w:val="both"/>
        <w:rPr>
          <w:rFonts w:ascii="Roboto" w:hAnsi="Roboto"/>
          <w:sz w:val="22"/>
          <w:szCs w:val="22"/>
        </w:rPr>
      </w:pPr>
      <w:r w:rsidRPr="003D300A">
        <w:rPr>
          <w:rFonts w:ascii="Roboto" w:hAnsi="Roboto"/>
          <w:sz w:val="22"/>
          <w:szCs w:val="22"/>
        </w:rPr>
        <w:t>Tampoco son objeto de este servicio a aquellos inversionistas que posean acciones de diversos emisores que previamente se encontraban en soporte físico, pero que en conjunto poseen una participación accionaria agregada superior a ₡50 millones.</w:t>
      </w:r>
    </w:p>
    <w:p w14:paraId="7DFC192F" w14:textId="77777777" w:rsidR="00783D26" w:rsidRPr="003D300A" w:rsidRDefault="00783D26" w:rsidP="00783D26">
      <w:pPr>
        <w:spacing w:before="240" w:after="240" w:line="276" w:lineRule="auto"/>
        <w:jc w:val="both"/>
        <w:rPr>
          <w:rFonts w:ascii="Roboto" w:hAnsi="Roboto"/>
          <w:sz w:val="22"/>
          <w:szCs w:val="22"/>
        </w:rPr>
      </w:pPr>
      <w:r w:rsidRPr="003D300A">
        <w:rPr>
          <w:rFonts w:ascii="Roboto" w:hAnsi="Roboto"/>
          <w:sz w:val="22"/>
          <w:szCs w:val="22"/>
        </w:rPr>
        <w:t>No se permitirá el traslado parcial de títulos accionarios por parte del accionista a otra cuenta de custodia.</w:t>
      </w:r>
    </w:p>
    <w:p w14:paraId="4B5F0A2C" w14:textId="77777777" w:rsidR="00783D26" w:rsidRDefault="00783D26" w:rsidP="00783D26">
      <w:pPr>
        <w:spacing w:before="240" w:after="240" w:line="276" w:lineRule="auto"/>
        <w:jc w:val="both"/>
        <w:rPr>
          <w:rFonts w:ascii="Roboto" w:hAnsi="Roboto"/>
          <w:sz w:val="22"/>
          <w:szCs w:val="22"/>
        </w:rPr>
      </w:pPr>
      <w:r w:rsidRPr="003D300A">
        <w:rPr>
          <w:rFonts w:ascii="Roboto" w:hAnsi="Roboto"/>
          <w:sz w:val="22"/>
          <w:szCs w:val="22"/>
        </w:rPr>
        <w:lastRenderedPageBreak/>
        <w:t xml:space="preserve">Si un inversionista solicita de manera expresa mantener una relación comercial para la recepción de otros servicios dispuestos en el Acuerdo SUGEVAL 18-16, o solicite la incorporación a la custodia de otros valores distintos a los del proceso de desmaterialización, el inversionista previamente deberá suscribir un contrato con el intermediario de su elección y solicitar los traslados de custodia a la nueva cuenta de custodia de valores. </w:t>
      </w:r>
    </w:p>
    <w:p w14:paraId="77116940" w14:textId="77777777" w:rsidR="00D85037" w:rsidRPr="003D300A" w:rsidRDefault="00D85037" w:rsidP="00783D26">
      <w:pPr>
        <w:spacing w:before="240" w:after="240" w:line="276" w:lineRule="auto"/>
        <w:jc w:val="both"/>
        <w:rPr>
          <w:rFonts w:ascii="Roboto" w:hAnsi="Roboto"/>
          <w:b/>
          <w:bCs/>
          <w:sz w:val="22"/>
          <w:szCs w:val="22"/>
        </w:rPr>
      </w:pPr>
    </w:p>
    <w:p w14:paraId="18161B9E" w14:textId="77777777" w:rsidR="00783D26" w:rsidRPr="003D300A" w:rsidRDefault="00783D26" w:rsidP="00783D26">
      <w:pPr>
        <w:spacing w:before="240" w:after="240" w:line="276" w:lineRule="auto"/>
        <w:contextualSpacing/>
        <w:jc w:val="center"/>
        <w:rPr>
          <w:rFonts w:ascii="Roboto" w:hAnsi="Roboto"/>
          <w:b/>
          <w:bCs/>
          <w:sz w:val="22"/>
          <w:szCs w:val="22"/>
        </w:rPr>
      </w:pPr>
      <w:r w:rsidRPr="003D300A">
        <w:rPr>
          <w:rFonts w:ascii="Roboto" w:hAnsi="Roboto"/>
          <w:b/>
          <w:bCs/>
          <w:sz w:val="22"/>
          <w:szCs w:val="22"/>
        </w:rPr>
        <w:t>CAPÍTULO III</w:t>
      </w:r>
    </w:p>
    <w:p w14:paraId="232E49E0" w14:textId="77777777" w:rsidR="00783D26" w:rsidRPr="003D300A" w:rsidRDefault="00783D26" w:rsidP="00783D26">
      <w:pPr>
        <w:spacing w:before="240" w:after="240" w:line="276" w:lineRule="auto"/>
        <w:contextualSpacing/>
        <w:jc w:val="center"/>
        <w:rPr>
          <w:rFonts w:ascii="Roboto" w:hAnsi="Roboto"/>
          <w:b/>
          <w:bCs/>
          <w:sz w:val="22"/>
          <w:szCs w:val="22"/>
        </w:rPr>
      </w:pPr>
      <w:r w:rsidRPr="003D300A">
        <w:rPr>
          <w:rFonts w:ascii="Roboto" w:hAnsi="Roboto"/>
          <w:b/>
          <w:bCs/>
          <w:sz w:val="22"/>
          <w:szCs w:val="22"/>
        </w:rPr>
        <w:t>CUSTODIA INMOVILIZADA</w:t>
      </w:r>
    </w:p>
    <w:p w14:paraId="41D4E92C" w14:textId="77777777" w:rsidR="00783D26" w:rsidRPr="003D300A" w:rsidRDefault="00783D26" w:rsidP="00783D26">
      <w:pPr>
        <w:spacing w:before="240" w:after="240" w:line="276" w:lineRule="auto"/>
        <w:contextualSpacing/>
        <w:jc w:val="center"/>
        <w:rPr>
          <w:rFonts w:ascii="Roboto" w:hAnsi="Roboto"/>
          <w:b/>
          <w:bCs/>
          <w:sz w:val="22"/>
          <w:szCs w:val="22"/>
        </w:rPr>
      </w:pPr>
      <w:r w:rsidRPr="003D300A">
        <w:rPr>
          <w:rFonts w:ascii="Roboto" w:hAnsi="Roboto"/>
          <w:b/>
          <w:bCs/>
          <w:sz w:val="22"/>
          <w:szCs w:val="22"/>
        </w:rPr>
        <w:t>PARA ACCIONISTAS QUE NO SE HAN APERSONADO</w:t>
      </w:r>
    </w:p>
    <w:p w14:paraId="20020BD0" w14:textId="77777777" w:rsidR="00783D26" w:rsidRPr="003D300A" w:rsidRDefault="00783D26" w:rsidP="00783D26">
      <w:pPr>
        <w:spacing w:before="240" w:after="240" w:line="276" w:lineRule="auto"/>
        <w:jc w:val="both"/>
        <w:rPr>
          <w:rFonts w:ascii="Roboto" w:hAnsi="Roboto"/>
          <w:b/>
          <w:bCs/>
          <w:sz w:val="22"/>
          <w:szCs w:val="22"/>
        </w:rPr>
      </w:pPr>
    </w:p>
    <w:p w14:paraId="098BE157" w14:textId="77777777" w:rsidR="00783D26" w:rsidRPr="003D300A" w:rsidRDefault="00783D26" w:rsidP="00783D26">
      <w:pPr>
        <w:spacing w:before="240" w:after="240" w:line="276" w:lineRule="auto"/>
        <w:jc w:val="both"/>
        <w:rPr>
          <w:rFonts w:ascii="Roboto" w:hAnsi="Roboto"/>
          <w:b/>
          <w:bCs/>
          <w:sz w:val="22"/>
          <w:szCs w:val="22"/>
        </w:rPr>
      </w:pPr>
      <w:r w:rsidRPr="003D300A">
        <w:rPr>
          <w:rFonts w:ascii="Roboto" w:hAnsi="Roboto"/>
          <w:b/>
          <w:bCs/>
          <w:sz w:val="22"/>
          <w:szCs w:val="22"/>
        </w:rPr>
        <w:t>Artículo 6.</w:t>
      </w:r>
      <w:r w:rsidRPr="003D300A">
        <w:rPr>
          <w:rFonts w:ascii="Roboto" w:hAnsi="Roboto"/>
          <w:b/>
          <w:bCs/>
          <w:sz w:val="22"/>
          <w:szCs w:val="22"/>
        </w:rPr>
        <w:tab/>
        <w:t>Obligaciones de los emisores de valores accionarios</w:t>
      </w:r>
    </w:p>
    <w:p w14:paraId="5650719D" w14:textId="77777777" w:rsidR="00783D26" w:rsidRPr="003D300A" w:rsidRDefault="00783D26" w:rsidP="00783D26">
      <w:pPr>
        <w:spacing w:before="240" w:after="240" w:line="276" w:lineRule="auto"/>
        <w:jc w:val="both"/>
        <w:rPr>
          <w:rFonts w:ascii="Roboto" w:hAnsi="Roboto"/>
          <w:b/>
          <w:bCs/>
          <w:sz w:val="22"/>
          <w:szCs w:val="22"/>
        </w:rPr>
      </w:pPr>
      <w:r w:rsidRPr="003D300A">
        <w:rPr>
          <w:rFonts w:ascii="Roboto" w:hAnsi="Roboto"/>
          <w:sz w:val="22"/>
          <w:szCs w:val="22"/>
        </w:rPr>
        <w:t>Los emisores de valores deben contratar a entidades autorizadas para ejercer la actividad de custodia de valores un servicio de custodia inmovilizada para atender a inversionistas titulares de valores accionarios inscritos en el Registro Nacional de Valores e Intermediarios, que aún posean acciones en soporte físico y que no se han apersonado para realizar el trámite de desmaterialización al 31 de agosto del 2026.</w:t>
      </w:r>
    </w:p>
    <w:p w14:paraId="672377EA" w14:textId="77777777" w:rsidR="00783D26" w:rsidRPr="003D300A" w:rsidRDefault="00783D26" w:rsidP="00783D26">
      <w:pPr>
        <w:spacing w:before="240" w:after="240" w:line="276" w:lineRule="auto"/>
        <w:jc w:val="both"/>
        <w:rPr>
          <w:rFonts w:ascii="Roboto" w:hAnsi="Roboto"/>
          <w:sz w:val="22"/>
          <w:szCs w:val="22"/>
        </w:rPr>
      </w:pPr>
      <w:r w:rsidRPr="003D300A">
        <w:rPr>
          <w:rFonts w:ascii="Roboto" w:hAnsi="Roboto"/>
          <w:sz w:val="22"/>
          <w:szCs w:val="22"/>
        </w:rPr>
        <w:t>Para lo anterior, los emisores deben:</w:t>
      </w:r>
    </w:p>
    <w:p w14:paraId="56BC2AB7" w14:textId="77777777" w:rsidR="00783D26" w:rsidRPr="003D300A" w:rsidRDefault="00783D26" w:rsidP="00783D26">
      <w:pPr>
        <w:pStyle w:val="Prrafodelista"/>
        <w:numPr>
          <w:ilvl w:val="0"/>
          <w:numId w:val="8"/>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Suscribir un contrato para la custodia inmovilizada con una entidad de custodia autorizada por la Superintendencia General de Valores, para dar atención a la obligatoriedad de la representación de valores por medio de anotaciones electrónicas en cuenta requerida en el artículo 115 de la LRMV.</w:t>
      </w:r>
    </w:p>
    <w:p w14:paraId="0BBF9F1A" w14:textId="77777777" w:rsidR="00783D26" w:rsidRPr="003D300A" w:rsidRDefault="00783D26" w:rsidP="00783D26">
      <w:pPr>
        <w:pStyle w:val="Prrafodelista"/>
        <w:shd w:val="clear" w:color="auto" w:fill="FFFFFF" w:themeFill="background1"/>
        <w:spacing w:before="240" w:after="240"/>
        <w:jc w:val="both"/>
        <w:rPr>
          <w:rFonts w:ascii="Roboto" w:hAnsi="Roboto"/>
          <w:b/>
          <w:color w:val="000000"/>
          <w:sz w:val="22"/>
          <w:szCs w:val="22"/>
          <w:lang w:val="es-CR"/>
        </w:rPr>
      </w:pPr>
    </w:p>
    <w:p w14:paraId="51475C25" w14:textId="77777777" w:rsidR="00783D26" w:rsidRPr="003D300A" w:rsidRDefault="00783D26" w:rsidP="00783D26">
      <w:pPr>
        <w:pStyle w:val="Prrafodelista"/>
        <w:numPr>
          <w:ilvl w:val="0"/>
          <w:numId w:val="8"/>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Suspender temporalmente los trámites de traslados de titularidad no onerosos que reciben de inversionistas al menos dos días hábiles antes de suministrar la información al custodio contratado.</w:t>
      </w:r>
    </w:p>
    <w:p w14:paraId="39A6DE05" w14:textId="77777777" w:rsidR="00783D26" w:rsidRPr="003D300A" w:rsidRDefault="00783D26" w:rsidP="00783D26">
      <w:pPr>
        <w:pStyle w:val="Prrafodelista"/>
        <w:shd w:val="clear" w:color="auto" w:fill="FFFFFF" w:themeFill="background1"/>
        <w:spacing w:before="240" w:after="240"/>
        <w:jc w:val="both"/>
        <w:rPr>
          <w:rFonts w:ascii="Roboto" w:hAnsi="Roboto"/>
          <w:b/>
          <w:color w:val="000000"/>
          <w:sz w:val="22"/>
          <w:szCs w:val="22"/>
          <w:lang w:val="es-CR"/>
        </w:rPr>
      </w:pPr>
    </w:p>
    <w:p w14:paraId="51A032D8" w14:textId="77777777" w:rsidR="00783D26" w:rsidRPr="003D300A" w:rsidRDefault="00783D26" w:rsidP="00783D26">
      <w:pPr>
        <w:pStyle w:val="Prrafodelista"/>
        <w:numPr>
          <w:ilvl w:val="0"/>
          <w:numId w:val="8"/>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Suministrar el 1ero de setiembre del 2026 a la entidad de custodia el nombre de los inversionistas titulares de dichas acciones, a partir de los registros del Libro de Accionistas actualizado al 31 de agosto del 2026, para que se proceda con su anotación en cuenta.</w:t>
      </w:r>
    </w:p>
    <w:p w14:paraId="09CB57D2" w14:textId="77777777" w:rsidR="00783D26" w:rsidRPr="003D300A" w:rsidRDefault="00783D26" w:rsidP="00783D26">
      <w:pPr>
        <w:pStyle w:val="Prrafodelista"/>
        <w:shd w:val="clear" w:color="auto" w:fill="FFFFFF" w:themeFill="background1"/>
        <w:spacing w:before="240" w:after="240"/>
        <w:jc w:val="both"/>
        <w:rPr>
          <w:rFonts w:ascii="Roboto" w:hAnsi="Roboto"/>
          <w:bCs/>
          <w:color w:val="000000"/>
          <w:sz w:val="22"/>
          <w:szCs w:val="22"/>
          <w:lang w:val="es-CR"/>
        </w:rPr>
      </w:pPr>
    </w:p>
    <w:p w14:paraId="58F4D47A" w14:textId="77777777" w:rsidR="00783D26" w:rsidRPr="003D300A" w:rsidRDefault="00783D26" w:rsidP="00783D26">
      <w:pPr>
        <w:pStyle w:val="Prrafodelista"/>
        <w:numPr>
          <w:ilvl w:val="0"/>
          <w:numId w:val="8"/>
        </w:numPr>
        <w:shd w:val="clear" w:color="auto" w:fill="FFFFFF" w:themeFill="background1"/>
        <w:spacing w:before="240" w:after="240" w:line="276" w:lineRule="auto"/>
        <w:jc w:val="both"/>
        <w:rPr>
          <w:rFonts w:ascii="Roboto" w:hAnsi="Roboto"/>
          <w:bCs/>
          <w:color w:val="000000"/>
          <w:sz w:val="22"/>
          <w:szCs w:val="22"/>
          <w:lang w:val="es-CR"/>
        </w:rPr>
      </w:pPr>
      <w:r w:rsidRPr="003D300A">
        <w:rPr>
          <w:rFonts w:ascii="Roboto" w:hAnsi="Roboto"/>
          <w:bCs/>
          <w:color w:val="000000"/>
          <w:sz w:val="22"/>
          <w:szCs w:val="22"/>
          <w:lang w:val="es-CR"/>
        </w:rPr>
        <w:t xml:space="preserve">Informar mediante un Comunicado de Hecho Relevante y realizar la modificación al prospecto, una vez se haya concluido la anotación en cuenta de la totalidad de las acciones. Esta obligación se debe realizar a más tardar el 14 de setiembre del 2026 o antes si la entidad de custodia contratada confirma que realizó la anotación de las </w:t>
      </w:r>
      <w:r w:rsidRPr="003D300A">
        <w:rPr>
          <w:rFonts w:ascii="Roboto" w:hAnsi="Roboto"/>
          <w:bCs/>
          <w:color w:val="000000"/>
          <w:sz w:val="22"/>
          <w:szCs w:val="22"/>
          <w:lang w:val="es-CR"/>
        </w:rPr>
        <w:lastRenderedPageBreak/>
        <w:t xml:space="preserve">acciones que se encontraban en soporte físico de los inversionistas reportados por el emisor contratante. </w:t>
      </w:r>
    </w:p>
    <w:p w14:paraId="43882735" w14:textId="77777777" w:rsidR="00783D26" w:rsidRPr="003D300A" w:rsidRDefault="00783D26" w:rsidP="00783D26">
      <w:pPr>
        <w:pStyle w:val="Prrafodelista"/>
        <w:shd w:val="clear" w:color="auto" w:fill="FFFFFF" w:themeFill="background1"/>
        <w:spacing w:before="240" w:after="240"/>
        <w:jc w:val="both"/>
        <w:rPr>
          <w:rFonts w:ascii="Roboto" w:hAnsi="Roboto"/>
          <w:b/>
          <w:color w:val="000000"/>
          <w:sz w:val="22"/>
          <w:szCs w:val="22"/>
          <w:lang w:val="es-CR"/>
        </w:rPr>
      </w:pPr>
    </w:p>
    <w:p w14:paraId="595502C1" w14:textId="77777777" w:rsidR="00783D26" w:rsidRPr="003D300A" w:rsidRDefault="00783D26" w:rsidP="00783D26">
      <w:pPr>
        <w:pStyle w:val="Prrafodelista"/>
        <w:numPr>
          <w:ilvl w:val="0"/>
          <w:numId w:val="8"/>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Conservar la información que permita reconstruir la identificación de los inversionistas y el saldo de las acciones en soporte físico desde que se incorporaron en el Libro de Accionistas y hasta el día en que se realiza la anotación en cuenta de las acciones.  Este deber se mantiene hasta que se finiquite el contrato con el custodio.</w:t>
      </w:r>
    </w:p>
    <w:p w14:paraId="2D579289" w14:textId="77777777" w:rsidR="00783D26" w:rsidRPr="003D300A" w:rsidRDefault="00783D26" w:rsidP="00783D26">
      <w:pPr>
        <w:pStyle w:val="Prrafodelista"/>
        <w:shd w:val="clear" w:color="auto" w:fill="FFFFFF" w:themeFill="background1"/>
        <w:spacing w:before="240" w:after="240"/>
        <w:jc w:val="both"/>
        <w:rPr>
          <w:rFonts w:ascii="Roboto" w:hAnsi="Roboto"/>
          <w:sz w:val="22"/>
          <w:szCs w:val="22"/>
          <w:lang w:val="es-CR"/>
        </w:rPr>
      </w:pPr>
    </w:p>
    <w:p w14:paraId="139D653E" w14:textId="77777777" w:rsidR="00783D26" w:rsidRPr="003D300A" w:rsidRDefault="00783D26" w:rsidP="00783D26">
      <w:pPr>
        <w:pStyle w:val="Prrafodelista"/>
        <w:numPr>
          <w:ilvl w:val="0"/>
          <w:numId w:val="8"/>
        </w:numPr>
        <w:shd w:val="clear" w:color="auto" w:fill="FFFFFF" w:themeFill="background1"/>
        <w:spacing w:before="240" w:after="240" w:line="276" w:lineRule="auto"/>
        <w:jc w:val="both"/>
        <w:rPr>
          <w:rFonts w:ascii="Roboto" w:hAnsi="Roboto"/>
          <w:sz w:val="22"/>
          <w:szCs w:val="22"/>
          <w:lang w:val="es-CR"/>
        </w:rPr>
      </w:pPr>
      <w:r w:rsidRPr="003D300A">
        <w:rPr>
          <w:rFonts w:ascii="Roboto" w:hAnsi="Roboto"/>
          <w:bCs/>
          <w:color w:val="000000"/>
          <w:sz w:val="22"/>
          <w:szCs w:val="22"/>
          <w:lang w:val="es-CR"/>
        </w:rPr>
        <w:t>Cancelar sin demora (un día hábil) el pago de los dividendos u otros beneficios patrimoniales cuando el accionista se apersone en forma posterior al 31 de agosto de 2026 a solicitar el traslado de custodia de valores hacia otra cuenta de custodia directamente contratada por el accionista.</w:t>
      </w:r>
      <w:r w:rsidRPr="003D300A">
        <w:rPr>
          <w:rFonts w:ascii="Roboto" w:hAnsi="Roboto"/>
          <w:sz w:val="22"/>
          <w:szCs w:val="22"/>
          <w:lang w:val="es-CR"/>
        </w:rPr>
        <w:t xml:space="preserve"> Si este inversionista es titular de una participación accionaria agregada superior a ₡50 millones, el emisor correspondiente podrá deducir el costo que ha asumido por el servicio de custodia inmovilizada desde el 1 de setiembre del 2026 y hasta el momento en que se ejecuta el traslado. Si se considera necesario, el emisor podrá aplicar las disposiciones vigentes sobre prescripción según lo establecido en el ordenamiento jurídico.</w:t>
      </w:r>
    </w:p>
    <w:p w14:paraId="1841BC57" w14:textId="77777777" w:rsidR="00783D26" w:rsidRPr="003D300A" w:rsidRDefault="00783D26" w:rsidP="00783D26">
      <w:pPr>
        <w:pStyle w:val="Prrafodelista"/>
        <w:shd w:val="clear" w:color="auto" w:fill="FFFFFF" w:themeFill="background1"/>
        <w:spacing w:before="240" w:after="240"/>
        <w:jc w:val="both"/>
        <w:rPr>
          <w:rFonts w:ascii="Roboto" w:hAnsi="Roboto"/>
          <w:sz w:val="22"/>
          <w:szCs w:val="22"/>
          <w:lang w:val="es-CR"/>
        </w:rPr>
      </w:pPr>
    </w:p>
    <w:p w14:paraId="2CE30DA7" w14:textId="77777777" w:rsidR="00783D26" w:rsidRPr="003D300A" w:rsidRDefault="00783D26" w:rsidP="00783D26">
      <w:pPr>
        <w:pStyle w:val="Prrafodelista"/>
        <w:numPr>
          <w:ilvl w:val="0"/>
          <w:numId w:val="8"/>
        </w:numPr>
        <w:shd w:val="clear" w:color="auto" w:fill="FFFFFF" w:themeFill="background1"/>
        <w:spacing w:before="240" w:after="240" w:line="276" w:lineRule="auto"/>
        <w:jc w:val="both"/>
        <w:rPr>
          <w:rFonts w:ascii="Roboto" w:hAnsi="Roboto"/>
          <w:sz w:val="22"/>
          <w:szCs w:val="22"/>
          <w:lang w:val="es-CR"/>
        </w:rPr>
      </w:pPr>
      <w:r w:rsidRPr="003D300A">
        <w:rPr>
          <w:rFonts w:ascii="Roboto" w:hAnsi="Roboto"/>
          <w:sz w:val="22"/>
          <w:szCs w:val="22"/>
          <w:lang w:val="es-CR"/>
        </w:rPr>
        <w:t>Coordinar con la entidad de custodia contratada la salida de accionistas cuyas acciones se encuentran en la custodia inmovilizada para ser trasladadas a una custodia propia o a la custodia especial según corresponda, cuando estos se apersonen a regularizar su situación.</w:t>
      </w:r>
    </w:p>
    <w:p w14:paraId="1D8F946A" w14:textId="77777777" w:rsidR="00783D26" w:rsidRPr="003D300A" w:rsidRDefault="00783D26" w:rsidP="00783D26">
      <w:pPr>
        <w:pStyle w:val="Prrafodelista"/>
        <w:shd w:val="clear" w:color="auto" w:fill="FFFFFF" w:themeFill="background1"/>
        <w:spacing w:before="240" w:after="240"/>
        <w:ind w:left="0" w:firstLine="21"/>
        <w:jc w:val="both"/>
        <w:rPr>
          <w:rFonts w:ascii="Roboto" w:hAnsi="Roboto"/>
          <w:b/>
          <w:bCs/>
          <w:color w:val="0070C0"/>
          <w:sz w:val="22"/>
          <w:szCs w:val="22"/>
          <w:lang w:val="es-CR"/>
        </w:rPr>
      </w:pPr>
    </w:p>
    <w:p w14:paraId="283D6AB2" w14:textId="77777777" w:rsidR="00783D26" w:rsidRPr="003D300A" w:rsidRDefault="00783D26" w:rsidP="00783D26">
      <w:pPr>
        <w:spacing w:before="240" w:after="240" w:line="276" w:lineRule="auto"/>
        <w:jc w:val="both"/>
        <w:rPr>
          <w:rFonts w:ascii="Roboto" w:hAnsi="Roboto"/>
          <w:b/>
          <w:bCs/>
          <w:sz w:val="22"/>
          <w:szCs w:val="22"/>
        </w:rPr>
      </w:pPr>
      <w:r w:rsidRPr="003D300A">
        <w:rPr>
          <w:rFonts w:ascii="Roboto" w:hAnsi="Roboto"/>
          <w:b/>
          <w:bCs/>
          <w:sz w:val="22"/>
          <w:szCs w:val="22"/>
        </w:rPr>
        <w:t>Artículo 7.</w:t>
      </w:r>
      <w:r w:rsidRPr="003D300A">
        <w:rPr>
          <w:rFonts w:ascii="Roboto" w:hAnsi="Roboto"/>
          <w:b/>
          <w:bCs/>
          <w:sz w:val="22"/>
          <w:szCs w:val="22"/>
        </w:rPr>
        <w:tab/>
        <w:t xml:space="preserve">Obligaciones del custodio de valores contratado </w:t>
      </w:r>
    </w:p>
    <w:p w14:paraId="5732ED61" w14:textId="77777777" w:rsidR="00783D26" w:rsidRPr="003D300A" w:rsidRDefault="00783D26" w:rsidP="00783D26">
      <w:pPr>
        <w:shd w:val="clear" w:color="auto" w:fill="FFFFFF" w:themeFill="background1"/>
        <w:spacing w:before="240" w:after="240" w:line="276" w:lineRule="auto"/>
        <w:jc w:val="both"/>
        <w:rPr>
          <w:rFonts w:ascii="Roboto" w:hAnsi="Roboto"/>
          <w:b/>
          <w:color w:val="000000"/>
          <w:sz w:val="22"/>
          <w:szCs w:val="22"/>
        </w:rPr>
      </w:pPr>
      <w:r w:rsidRPr="003D300A">
        <w:rPr>
          <w:rFonts w:ascii="Roboto" w:hAnsi="Roboto"/>
          <w:sz w:val="22"/>
          <w:szCs w:val="22"/>
        </w:rPr>
        <w:t>Las entidades autorizadas para ejercer la actividad de custodia de valores que sean contratadas por los emisores en atención a lo dispuesto en el presente acuerdo pueden prestar el servicio de una cuenta de custodia inmovilizada para el registro de las acciones cuyos inversionistas titulares no se han apersonado para realizar el trámite de desmaterialización.</w:t>
      </w:r>
    </w:p>
    <w:p w14:paraId="57C97D5A" w14:textId="77777777" w:rsidR="00783D26" w:rsidRPr="003D300A" w:rsidRDefault="00783D26" w:rsidP="00783D26">
      <w:pPr>
        <w:spacing w:before="240" w:after="240" w:line="276" w:lineRule="auto"/>
        <w:jc w:val="both"/>
        <w:rPr>
          <w:rFonts w:ascii="Roboto" w:hAnsi="Roboto"/>
          <w:sz w:val="22"/>
          <w:szCs w:val="22"/>
        </w:rPr>
      </w:pPr>
      <w:r w:rsidRPr="003D300A">
        <w:rPr>
          <w:rFonts w:ascii="Roboto" w:hAnsi="Roboto"/>
          <w:sz w:val="22"/>
          <w:szCs w:val="22"/>
        </w:rPr>
        <w:t>Como parte de este servicio, la entidad de custodia debe observar las siguientes obligaciones:</w:t>
      </w:r>
    </w:p>
    <w:p w14:paraId="67DABABD" w14:textId="77777777" w:rsidR="00783D26" w:rsidRPr="003D300A" w:rsidRDefault="00783D26" w:rsidP="00783D26">
      <w:pPr>
        <w:pStyle w:val="Prrafodelista"/>
        <w:numPr>
          <w:ilvl w:val="0"/>
          <w:numId w:val="9"/>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 xml:space="preserve">Realizar la anotación en cuenta de las acciones que se encuentren en soporte físico de los inversionistas reportados por el emisor contratante, a más tardar en el plazo de cinco días hábiles posteriores al recibido de la información. Dicha anotación debe hacerse a nombre del emisor seguido por el nombre o identificación del inversionista. Para tal efecto, la entidad de custodia considerará la información que le suministre la empresa emisora con respecto de quiénes son los inversionistas titulares de dichas acciones. </w:t>
      </w:r>
    </w:p>
    <w:p w14:paraId="4D3AC4B8" w14:textId="77777777" w:rsidR="00783D26" w:rsidRPr="003D300A" w:rsidRDefault="00783D26" w:rsidP="00783D26">
      <w:pPr>
        <w:pStyle w:val="Prrafodelista"/>
        <w:shd w:val="clear" w:color="auto" w:fill="FFFFFF" w:themeFill="background1"/>
        <w:spacing w:before="240" w:after="240"/>
        <w:jc w:val="both"/>
        <w:rPr>
          <w:rFonts w:ascii="Roboto" w:hAnsi="Roboto"/>
          <w:b/>
          <w:color w:val="000000"/>
          <w:sz w:val="22"/>
          <w:szCs w:val="22"/>
          <w:lang w:val="es-CR"/>
        </w:rPr>
      </w:pPr>
    </w:p>
    <w:p w14:paraId="62999B70" w14:textId="77777777" w:rsidR="00783D26" w:rsidRPr="003D300A" w:rsidRDefault="00783D26" w:rsidP="00783D26">
      <w:pPr>
        <w:pStyle w:val="Prrafodelista"/>
        <w:numPr>
          <w:ilvl w:val="0"/>
          <w:numId w:val="9"/>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Identificar a los inversionistas con la información suministrada por el emisor, en el tanto los accionistas no hayan solicitado de manera expresa el traslado a una nueva cuenta de valores. Para las cuentas de valores que se mantengan en esta situación, la entidad contratada no está obligada a documentar la identidad de las personas en cuyo beneficio se abre la cuenta, según lo dispuesto en el artículo 16 de la Ley sobre estupefacientes, sustancias psicotrópicas, drogas de uso No Autorizado, actividades Conexas, legitimación de capitales y financiamiento al terrorismo, Ley 7786.</w:t>
      </w:r>
    </w:p>
    <w:p w14:paraId="39ECF44D" w14:textId="77777777" w:rsidR="00783D26" w:rsidRPr="003D300A" w:rsidRDefault="00783D26" w:rsidP="00783D26">
      <w:pPr>
        <w:pStyle w:val="Prrafodelista"/>
        <w:shd w:val="clear" w:color="auto" w:fill="FFFFFF" w:themeFill="background1"/>
        <w:spacing w:before="240" w:after="240"/>
        <w:jc w:val="both"/>
        <w:rPr>
          <w:rFonts w:ascii="Roboto" w:hAnsi="Roboto"/>
          <w:b/>
          <w:color w:val="000000"/>
          <w:sz w:val="22"/>
          <w:szCs w:val="22"/>
          <w:lang w:val="es-CR"/>
        </w:rPr>
      </w:pPr>
    </w:p>
    <w:p w14:paraId="5264F4EE" w14:textId="77777777" w:rsidR="00783D26" w:rsidRPr="003D300A" w:rsidRDefault="00783D26" w:rsidP="00783D26">
      <w:pPr>
        <w:pStyle w:val="Prrafodelista"/>
        <w:numPr>
          <w:ilvl w:val="0"/>
          <w:numId w:val="9"/>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 xml:space="preserve">Los valores recibidos se deben registrar en estado inmovilizado, por lo tanto, no se podrá realizar ninguna gestión activa sobre dichas acciones ni ejercer los derechos políticos inherentes. </w:t>
      </w:r>
    </w:p>
    <w:p w14:paraId="061528D4" w14:textId="77777777" w:rsidR="00783D26" w:rsidRPr="003D300A" w:rsidRDefault="00783D26" w:rsidP="00783D26">
      <w:pPr>
        <w:pStyle w:val="Prrafodelista"/>
        <w:shd w:val="clear" w:color="auto" w:fill="FFFFFF" w:themeFill="background1"/>
        <w:spacing w:before="240" w:after="240"/>
        <w:jc w:val="both"/>
        <w:rPr>
          <w:rFonts w:ascii="Roboto" w:hAnsi="Roboto"/>
          <w:b/>
          <w:color w:val="000000"/>
          <w:sz w:val="22"/>
          <w:szCs w:val="22"/>
          <w:lang w:val="es-CR"/>
        </w:rPr>
      </w:pPr>
    </w:p>
    <w:p w14:paraId="74CC02BC" w14:textId="77777777" w:rsidR="00783D26" w:rsidRPr="003D300A" w:rsidRDefault="00783D26" w:rsidP="00783D26">
      <w:pPr>
        <w:pStyle w:val="Prrafodelista"/>
        <w:numPr>
          <w:ilvl w:val="0"/>
          <w:numId w:val="9"/>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Informar al emisor, previo a la celebración de asambleas o reuniones, la cantidad total de acciones que aún se encuentran bajo las disposiciones del contrato que al efecto suscribieron. Esta información debe corresponder con la fecha máxima de negociación de los títulos, según el ciclo de liquidación establecido por la Bolsa Nacional de Valores.</w:t>
      </w:r>
    </w:p>
    <w:p w14:paraId="5191EF91" w14:textId="77777777" w:rsidR="00783D26" w:rsidRPr="003D300A" w:rsidRDefault="00783D26" w:rsidP="00783D26">
      <w:pPr>
        <w:pStyle w:val="Prrafodelista"/>
        <w:shd w:val="clear" w:color="auto" w:fill="FFFFFF" w:themeFill="background1"/>
        <w:spacing w:before="240" w:after="240"/>
        <w:jc w:val="both"/>
        <w:rPr>
          <w:rFonts w:ascii="Roboto" w:hAnsi="Roboto"/>
          <w:b/>
          <w:color w:val="000000"/>
          <w:sz w:val="22"/>
          <w:szCs w:val="22"/>
          <w:lang w:val="es-CR"/>
        </w:rPr>
      </w:pPr>
    </w:p>
    <w:p w14:paraId="66A05E85" w14:textId="77777777" w:rsidR="00783D26" w:rsidRPr="003D300A" w:rsidRDefault="00783D26" w:rsidP="00783D26">
      <w:pPr>
        <w:pStyle w:val="Prrafodelista"/>
        <w:numPr>
          <w:ilvl w:val="0"/>
          <w:numId w:val="9"/>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 xml:space="preserve">No emitir estados de cuenta o constancias de custodia por los valores que, según el contrato con el emisor, los inversionistas aún no hayan solicitado de manera expresa el traslado a una nueva cuenta de valores contratada por estos. </w:t>
      </w:r>
    </w:p>
    <w:p w14:paraId="31571425" w14:textId="77777777" w:rsidR="00783D26" w:rsidRPr="003D300A" w:rsidRDefault="00783D26" w:rsidP="00783D26">
      <w:pPr>
        <w:pStyle w:val="Prrafodelista"/>
        <w:shd w:val="clear" w:color="auto" w:fill="FFFFFF" w:themeFill="background1"/>
        <w:spacing w:before="240" w:after="240"/>
        <w:jc w:val="both"/>
        <w:rPr>
          <w:rFonts w:ascii="Roboto" w:hAnsi="Roboto"/>
          <w:b/>
          <w:color w:val="000000"/>
          <w:sz w:val="22"/>
          <w:szCs w:val="22"/>
          <w:lang w:val="es-CR"/>
        </w:rPr>
      </w:pPr>
    </w:p>
    <w:p w14:paraId="74ACA4A2" w14:textId="77777777" w:rsidR="00783D26" w:rsidRPr="003D300A" w:rsidRDefault="00783D26" w:rsidP="00783D26">
      <w:pPr>
        <w:pStyle w:val="Prrafodelista"/>
        <w:numPr>
          <w:ilvl w:val="0"/>
          <w:numId w:val="9"/>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Conservar la información que permita reconstruir la identificación de los inversionistas y el saldo de las acciones desde que se realiza la anotación en cuenta de las acciones previamente en soporte físico y hasta el día en que se realiza el traslado hacia nuevas cuentas de valores.  Este deber se mantiene hasta que se finiquite el contrato con el custodio.</w:t>
      </w:r>
    </w:p>
    <w:p w14:paraId="1E34C8D9" w14:textId="77777777" w:rsidR="00783D26" w:rsidRPr="003D300A" w:rsidRDefault="00783D26" w:rsidP="00783D26">
      <w:pPr>
        <w:pStyle w:val="Prrafodelista"/>
        <w:shd w:val="clear" w:color="auto" w:fill="FFFFFF" w:themeFill="background1"/>
        <w:spacing w:before="240" w:after="240"/>
        <w:jc w:val="both"/>
        <w:rPr>
          <w:rFonts w:ascii="Roboto" w:hAnsi="Roboto"/>
          <w:b/>
          <w:color w:val="000000"/>
          <w:sz w:val="22"/>
          <w:szCs w:val="22"/>
          <w:lang w:val="es-CR"/>
        </w:rPr>
      </w:pPr>
    </w:p>
    <w:p w14:paraId="6A09F92F" w14:textId="77777777" w:rsidR="00783D26" w:rsidRPr="003D300A" w:rsidRDefault="00783D26" w:rsidP="00783D26">
      <w:pPr>
        <w:pStyle w:val="Prrafodelista"/>
        <w:numPr>
          <w:ilvl w:val="0"/>
          <w:numId w:val="9"/>
        </w:numPr>
        <w:shd w:val="clear" w:color="auto" w:fill="FFFFFF" w:themeFill="background1"/>
        <w:spacing w:before="240" w:after="240" w:line="276" w:lineRule="auto"/>
        <w:jc w:val="both"/>
        <w:rPr>
          <w:rFonts w:ascii="Roboto" w:hAnsi="Roboto"/>
          <w:b/>
          <w:color w:val="000000"/>
          <w:sz w:val="22"/>
          <w:szCs w:val="22"/>
          <w:lang w:val="es-CR"/>
        </w:rPr>
      </w:pPr>
      <w:r w:rsidRPr="003D300A">
        <w:rPr>
          <w:rFonts w:ascii="Roboto" w:hAnsi="Roboto"/>
          <w:sz w:val="22"/>
          <w:szCs w:val="22"/>
          <w:lang w:val="es-CR"/>
        </w:rPr>
        <w:t xml:space="preserve">Atender sin demora (un día hábil) las órdenes necesarias para realizar los traslados de custodia de valores, cuando los inversionistas cuyas acciones se encontraban previamente en soporte físico, se apersonen y de manera expresa soliciten el movimiento de sus valores hacia otra cuenta de custodio directamente contratada por el accionista. Para efecto de los traslados de valores, el custodio destino de los valores debe atender sus obligaciones en la prestación de este tipo de servicios. </w:t>
      </w:r>
    </w:p>
    <w:p w14:paraId="797210F5" w14:textId="77777777" w:rsidR="00D85037" w:rsidRDefault="00D85037" w:rsidP="00783D26">
      <w:pPr>
        <w:spacing w:before="240" w:after="240" w:line="276" w:lineRule="auto"/>
        <w:contextualSpacing/>
        <w:jc w:val="center"/>
        <w:rPr>
          <w:rFonts w:ascii="Roboto" w:hAnsi="Roboto"/>
          <w:b/>
          <w:bCs/>
          <w:sz w:val="22"/>
          <w:szCs w:val="22"/>
        </w:rPr>
      </w:pPr>
    </w:p>
    <w:p w14:paraId="59F278F0" w14:textId="77777777" w:rsidR="00D85037" w:rsidRDefault="00D85037" w:rsidP="00783D26">
      <w:pPr>
        <w:spacing w:before="240" w:after="240" w:line="276" w:lineRule="auto"/>
        <w:contextualSpacing/>
        <w:jc w:val="center"/>
        <w:rPr>
          <w:rFonts w:ascii="Roboto" w:hAnsi="Roboto"/>
          <w:b/>
          <w:bCs/>
          <w:sz w:val="22"/>
          <w:szCs w:val="22"/>
        </w:rPr>
      </w:pPr>
    </w:p>
    <w:p w14:paraId="63D3AE35" w14:textId="77777777" w:rsidR="00D85037" w:rsidRDefault="00D85037">
      <w:pPr>
        <w:spacing w:after="160" w:line="278" w:lineRule="auto"/>
        <w:rPr>
          <w:rFonts w:ascii="Roboto" w:hAnsi="Roboto"/>
          <w:b/>
          <w:bCs/>
          <w:sz w:val="22"/>
          <w:szCs w:val="22"/>
        </w:rPr>
      </w:pPr>
      <w:r>
        <w:rPr>
          <w:rFonts w:ascii="Roboto" w:hAnsi="Roboto"/>
          <w:b/>
          <w:bCs/>
          <w:sz w:val="22"/>
          <w:szCs w:val="22"/>
        </w:rPr>
        <w:br w:type="page"/>
      </w:r>
    </w:p>
    <w:p w14:paraId="1BA95D70" w14:textId="461662A8" w:rsidR="00783D26" w:rsidRPr="003D300A" w:rsidRDefault="00783D26" w:rsidP="00783D26">
      <w:pPr>
        <w:spacing w:before="240" w:after="240" w:line="276" w:lineRule="auto"/>
        <w:contextualSpacing/>
        <w:jc w:val="center"/>
        <w:rPr>
          <w:rFonts w:ascii="Roboto" w:hAnsi="Roboto"/>
          <w:b/>
          <w:bCs/>
          <w:sz w:val="22"/>
          <w:szCs w:val="22"/>
        </w:rPr>
      </w:pPr>
      <w:r w:rsidRPr="003D300A">
        <w:rPr>
          <w:rFonts w:ascii="Roboto" w:hAnsi="Roboto"/>
          <w:b/>
          <w:bCs/>
          <w:sz w:val="22"/>
          <w:szCs w:val="22"/>
        </w:rPr>
        <w:lastRenderedPageBreak/>
        <w:t>CAPÍTULO IV</w:t>
      </w:r>
    </w:p>
    <w:p w14:paraId="4B72519A" w14:textId="77777777" w:rsidR="00783D26" w:rsidRPr="003D300A" w:rsidRDefault="00783D26" w:rsidP="00783D26">
      <w:pPr>
        <w:spacing w:before="240" w:after="240" w:line="276" w:lineRule="auto"/>
        <w:contextualSpacing/>
        <w:jc w:val="center"/>
        <w:rPr>
          <w:rFonts w:ascii="Roboto" w:hAnsi="Roboto"/>
          <w:b/>
          <w:bCs/>
          <w:sz w:val="22"/>
          <w:szCs w:val="22"/>
        </w:rPr>
      </w:pPr>
      <w:r w:rsidRPr="003D300A">
        <w:rPr>
          <w:rFonts w:ascii="Roboto" w:hAnsi="Roboto"/>
          <w:b/>
          <w:bCs/>
          <w:sz w:val="22"/>
          <w:szCs w:val="22"/>
        </w:rPr>
        <w:t>DISPOSICIONES FINALES</w:t>
      </w:r>
    </w:p>
    <w:p w14:paraId="7BB15875" w14:textId="77777777" w:rsidR="00783D26" w:rsidRPr="003D300A" w:rsidRDefault="00783D26" w:rsidP="00783D26">
      <w:pPr>
        <w:spacing w:before="240" w:after="240" w:line="276" w:lineRule="auto"/>
        <w:jc w:val="both"/>
        <w:rPr>
          <w:rFonts w:ascii="Roboto" w:hAnsi="Roboto"/>
          <w:b/>
          <w:bCs/>
          <w:sz w:val="22"/>
          <w:szCs w:val="22"/>
        </w:rPr>
      </w:pPr>
    </w:p>
    <w:p w14:paraId="5D9B86B3" w14:textId="77777777" w:rsidR="00783D26" w:rsidRPr="003D300A" w:rsidRDefault="00783D26" w:rsidP="00783D26">
      <w:pPr>
        <w:spacing w:before="240" w:after="240" w:line="276" w:lineRule="auto"/>
        <w:jc w:val="both"/>
        <w:rPr>
          <w:rFonts w:ascii="Roboto" w:hAnsi="Roboto"/>
          <w:b/>
          <w:bCs/>
          <w:sz w:val="22"/>
          <w:szCs w:val="22"/>
        </w:rPr>
      </w:pPr>
      <w:r w:rsidRPr="003D300A">
        <w:rPr>
          <w:rFonts w:ascii="Roboto" w:hAnsi="Roboto"/>
          <w:b/>
          <w:bCs/>
          <w:sz w:val="22"/>
          <w:szCs w:val="22"/>
        </w:rPr>
        <w:t>Artículo 8.</w:t>
      </w:r>
      <w:r w:rsidRPr="003D300A">
        <w:rPr>
          <w:rFonts w:ascii="Roboto" w:hAnsi="Roboto"/>
          <w:b/>
          <w:bCs/>
          <w:sz w:val="22"/>
          <w:szCs w:val="22"/>
        </w:rPr>
        <w:tab/>
        <w:t>Costos y comisiones</w:t>
      </w:r>
    </w:p>
    <w:p w14:paraId="328B6728" w14:textId="77777777" w:rsidR="00783D26" w:rsidRPr="003D300A" w:rsidRDefault="00783D26" w:rsidP="00783D26">
      <w:pPr>
        <w:shd w:val="clear" w:color="auto" w:fill="FFFFFF" w:themeFill="background1"/>
        <w:spacing w:before="240" w:after="240" w:line="276" w:lineRule="auto"/>
        <w:jc w:val="both"/>
        <w:rPr>
          <w:rFonts w:ascii="Roboto" w:hAnsi="Roboto"/>
          <w:b/>
          <w:color w:val="000000"/>
          <w:sz w:val="22"/>
          <w:szCs w:val="22"/>
        </w:rPr>
      </w:pPr>
      <w:r w:rsidRPr="003D300A">
        <w:rPr>
          <w:rFonts w:ascii="Roboto" w:hAnsi="Roboto"/>
          <w:sz w:val="22"/>
          <w:szCs w:val="22"/>
        </w:rPr>
        <w:t>Las empresas emisoras y las entidades autorizadas para ejercer la actividad de custodia de valores deben definir los costos o comisiones por la prestación del servicio al que se refiere este Acuerdo, en procura del mejor interés de los titulares y debe ser cubierto por el emisor.</w:t>
      </w:r>
    </w:p>
    <w:p w14:paraId="2901331D" w14:textId="77777777" w:rsidR="00783D26" w:rsidRPr="003D300A" w:rsidRDefault="00783D26" w:rsidP="00783D26">
      <w:pPr>
        <w:spacing w:before="240" w:after="240" w:line="276" w:lineRule="auto"/>
        <w:jc w:val="both"/>
        <w:rPr>
          <w:rFonts w:ascii="Roboto" w:hAnsi="Roboto"/>
          <w:b/>
          <w:bCs/>
          <w:sz w:val="22"/>
          <w:szCs w:val="22"/>
        </w:rPr>
      </w:pPr>
      <w:r w:rsidRPr="003D300A">
        <w:rPr>
          <w:rFonts w:ascii="Roboto" w:hAnsi="Roboto"/>
          <w:b/>
          <w:bCs/>
          <w:sz w:val="22"/>
          <w:szCs w:val="22"/>
        </w:rPr>
        <w:t>Artículo 9.</w:t>
      </w:r>
      <w:r w:rsidRPr="003D300A">
        <w:rPr>
          <w:rFonts w:ascii="Roboto" w:hAnsi="Roboto"/>
          <w:b/>
          <w:bCs/>
          <w:sz w:val="22"/>
          <w:szCs w:val="22"/>
        </w:rPr>
        <w:tab/>
        <w:t>Plazo del contrato</w:t>
      </w:r>
    </w:p>
    <w:p w14:paraId="2E12A140" w14:textId="77777777" w:rsidR="00783D26" w:rsidRPr="003D300A" w:rsidRDefault="00783D26" w:rsidP="00783D26">
      <w:pPr>
        <w:spacing w:before="240" w:after="240" w:line="276" w:lineRule="auto"/>
        <w:jc w:val="both"/>
        <w:rPr>
          <w:rFonts w:ascii="Roboto" w:hAnsi="Roboto"/>
          <w:sz w:val="22"/>
          <w:szCs w:val="22"/>
        </w:rPr>
      </w:pPr>
      <w:r w:rsidRPr="003D300A">
        <w:rPr>
          <w:rFonts w:ascii="Roboto" w:hAnsi="Roboto"/>
          <w:sz w:val="22"/>
          <w:szCs w:val="22"/>
        </w:rPr>
        <w:t>El plazo y condiciones del contrato entre las empresas emisoras y las entidades autorizadas para ejercer la actividad de custodia de valores al cual se refiere este Acuerdo se mantiene mientras persistan accionistas que no hayan solicitado de manera expresa el traslado a una nueva cuenta de valores a otra entidad autorizada.</w:t>
      </w:r>
    </w:p>
    <w:p w14:paraId="1BC0D331" w14:textId="77777777" w:rsidR="00783D26" w:rsidRPr="003D300A" w:rsidRDefault="00783D26" w:rsidP="00783D26">
      <w:pPr>
        <w:spacing w:before="240" w:after="240" w:line="276" w:lineRule="auto"/>
        <w:jc w:val="both"/>
        <w:rPr>
          <w:rFonts w:ascii="Roboto" w:hAnsi="Roboto"/>
          <w:sz w:val="22"/>
          <w:szCs w:val="22"/>
        </w:rPr>
      </w:pPr>
      <w:r w:rsidRPr="003D300A">
        <w:rPr>
          <w:rFonts w:ascii="Roboto" w:hAnsi="Roboto"/>
          <w:sz w:val="22"/>
          <w:szCs w:val="22"/>
        </w:rPr>
        <w:t xml:space="preserve">Ante el caso de una </w:t>
      </w:r>
      <w:proofErr w:type="spellStart"/>
      <w:r w:rsidRPr="003D300A">
        <w:rPr>
          <w:rFonts w:ascii="Roboto" w:hAnsi="Roboto"/>
          <w:sz w:val="22"/>
          <w:szCs w:val="22"/>
        </w:rPr>
        <w:t>desinscripción</w:t>
      </w:r>
      <w:proofErr w:type="spellEnd"/>
      <w:r w:rsidRPr="003D300A">
        <w:rPr>
          <w:rFonts w:ascii="Roboto" w:hAnsi="Roboto"/>
          <w:sz w:val="22"/>
          <w:szCs w:val="22"/>
        </w:rPr>
        <w:t xml:space="preserve"> de la entidad de custodia, el contrato puede ser cedido a otra entidad de custodia como mecanismo para dar continuidad al servicio, lo cual debe se realizado previo a que la SUGEVAL emita la autorización de </w:t>
      </w:r>
      <w:proofErr w:type="spellStart"/>
      <w:r w:rsidRPr="003D300A">
        <w:rPr>
          <w:rFonts w:ascii="Roboto" w:hAnsi="Roboto"/>
          <w:sz w:val="22"/>
          <w:szCs w:val="22"/>
        </w:rPr>
        <w:t>desinscripción</w:t>
      </w:r>
      <w:proofErr w:type="spellEnd"/>
      <w:r w:rsidRPr="003D300A">
        <w:rPr>
          <w:rFonts w:ascii="Roboto" w:hAnsi="Roboto"/>
          <w:sz w:val="22"/>
          <w:szCs w:val="22"/>
        </w:rPr>
        <w:t xml:space="preserve"> correspondiente.</w:t>
      </w:r>
    </w:p>
    <w:p w14:paraId="4F72C874" w14:textId="77777777" w:rsidR="00783D26" w:rsidRPr="003D300A" w:rsidRDefault="00783D26" w:rsidP="00783D26">
      <w:pPr>
        <w:spacing w:before="240" w:after="240" w:line="276" w:lineRule="auto"/>
        <w:jc w:val="both"/>
        <w:rPr>
          <w:rFonts w:ascii="Roboto" w:hAnsi="Roboto"/>
          <w:sz w:val="22"/>
          <w:szCs w:val="22"/>
        </w:rPr>
      </w:pPr>
      <w:r w:rsidRPr="003D300A">
        <w:rPr>
          <w:rFonts w:ascii="Roboto" w:hAnsi="Roboto"/>
          <w:sz w:val="22"/>
          <w:szCs w:val="22"/>
        </w:rPr>
        <w:t>De ser necesario realizar modificaciones al contrato, las partes deben previamente informar a la SUGEVAL sobre los cambios pretendidos, su motivación o necesidad y los posibles efectos que tienen los cambios sobre los inversionistas. La SUGEVAL puede realizar las observaciones que estime pertinentes para que sean atendidas por las partes antes de que se suscriba la modificación.</w:t>
      </w:r>
    </w:p>
    <w:p w14:paraId="0180F930" w14:textId="77777777" w:rsidR="00783D26" w:rsidRPr="003D300A" w:rsidRDefault="00783D26" w:rsidP="00783D26">
      <w:pPr>
        <w:shd w:val="clear" w:color="auto" w:fill="FFFFFF" w:themeFill="background1"/>
        <w:spacing w:before="240" w:after="240" w:line="276" w:lineRule="auto"/>
        <w:jc w:val="both"/>
        <w:rPr>
          <w:rFonts w:ascii="Roboto" w:hAnsi="Roboto"/>
          <w:b/>
          <w:color w:val="000000"/>
          <w:sz w:val="22"/>
          <w:szCs w:val="22"/>
        </w:rPr>
      </w:pPr>
      <w:r w:rsidRPr="003D300A">
        <w:rPr>
          <w:rFonts w:ascii="Roboto" w:hAnsi="Roboto"/>
          <w:sz w:val="22"/>
          <w:szCs w:val="22"/>
        </w:rPr>
        <w:t xml:space="preserve">Una vez que todos los inversionistas hayan sido trasladados a nuevas cuentas de valores, el emisor y el custodio deben </w:t>
      </w:r>
      <w:proofErr w:type="gramStart"/>
      <w:r w:rsidRPr="003D300A">
        <w:rPr>
          <w:rFonts w:ascii="Roboto" w:hAnsi="Roboto"/>
          <w:sz w:val="22"/>
          <w:szCs w:val="22"/>
        </w:rPr>
        <w:t>proceder a finiquitar</w:t>
      </w:r>
      <w:proofErr w:type="gramEnd"/>
      <w:r w:rsidRPr="003D300A">
        <w:rPr>
          <w:rFonts w:ascii="Roboto" w:hAnsi="Roboto"/>
          <w:sz w:val="22"/>
          <w:szCs w:val="22"/>
        </w:rPr>
        <w:t xml:space="preserve"> el contrato, lo cual debe ser informado a la SUGEVAL en el plazo máximo de los siguientes veinte días hábiles. </w:t>
      </w:r>
    </w:p>
    <w:p w14:paraId="4BE46141" w14:textId="77777777" w:rsidR="00783D26" w:rsidRPr="003D300A" w:rsidRDefault="00783D26" w:rsidP="00783D26">
      <w:pPr>
        <w:spacing w:before="240" w:after="240" w:line="276" w:lineRule="auto"/>
        <w:jc w:val="both"/>
        <w:rPr>
          <w:rFonts w:ascii="Roboto" w:hAnsi="Roboto"/>
          <w:b/>
          <w:bCs/>
          <w:sz w:val="22"/>
          <w:szCs w:val="22"/>
        </w:rPr>
      </w:pPr>
      <w:r w:rsidRPr="003D300A">
        <w:rPr>
          <w:rFonts w:ascii="Roboto" w:hAnsi="Roboto"/>
          <w:b/>
          <w:bCs/>
          <w:sz w:val="22"/>
          <w:szCs w:val="22"/>
        </w:rPr>
        <w:t>Artículo 10.</w:t>
      </w:r>
      <w:r w:rsidRPr="003D300A">
        <w:rPr>
          <w:rFonts w:ascii="Roboto" w:hAnsi="Roboto"/>
          <w:b/>
          <w:bCs/>
          <w:sz w:val="22"/>
          <w:szCs w:val="22"/>
        </w:rPr>
        <w:tab/>
        <w:t>Derogatorias</w:t>
      </w:r>
    </w:p>
    <w:p w14:paraId="1373EB03" w14:textId="77777777" w:rsidR="00783D26" w:rsidRPr="003D300A" w:rsidRDefault="00783D26" w:rsidP="00783D26">
      <w:pPr>
        <w:shd w:val="clear" w:color="auto" w:fill="FFFFFF" w:themeFill="background1"/>
        <w:spacing w:before="240" w:after="240" w:line="276" w:lineRule="auto"/>
        <w:jc w:val="both"/>
        <w:rPr>
          <w:rFonts w:ascii="Roboto" w:hAnsi="Roboto"/>
          <w:b/>
          <w:color w:val="000000"/>
          <w:sz w:val="22"/>
          <w:szCs w:val="22"/>
        </w:rPr>
      </w:pPr>
      <w:r w:rsidRPr="003D300A">
        <w:rPr>
          <w:rFonts w:ascii="Roboto" w:hAnsi="Roboto"/>
          <w:sz w:val="22"/>
          <w:szCs w:val="22"/>
        </w:rPr>
        <w:t>Se deroga el Artículo 13 Cuentas de custodia especial para emisores accionarios del Acuerdo SGV-A-198 Acuerdo para la implantación del Reglamento de Custodia.</w:t>
      </w:r>
    </w:p>
    <w:p w14:paraId="610B7C59" w14:textId="77777777" w:rsidR="00783D26" w:rsidRPr="003D300A" w:rsidRDefault="00783D26" w:rsidP="00783D26">
      <w:pPr>
        <w:spacing w:before="240" w:after="240" w:line="276" w:lineRule="auto"/>
        <w:jc w:val="both"/>
        <w:rPr>
          <w:rFonts w:ascii="Roboto" w:hAnsi="Roboto"/>
          <w:b/>
          <w:bCs/>
          <w:sz w:val="22"/>
          <w:szCs w:val="22"/>
        </w:rPr>
      </w:pPr>
      <w:r w:rsidRPr="003D300A">
        <w:rPr>
          <w:rFonts w:ascii="Roboto" w:hAnsi="Roboto"/>
          <w:b/>
          <w:bCs/>
          <w:sz w:val="22"/>
          <w:szCs w:val="22"/>
        </w:rPr>
        <w:t>Artículo 11.</w:t>
      </w:r>
      <w:r w:rsidRPr="003D300A">
        <w:rPr>
          <w:rFonts w:ascii="Roboto" w:hAnsi="Roboto"/>
          <w:b/>
          <w:bCs/>
          <w:sz w:val="22"/>
          <w:szCs w:val="22"/>
        </w:rPr>
        <w:tab/>
        <w:t>Vigencia.</w:t>
      </w:r>
    </w:p>
    <w:p w14:paraId="10AE4D42" w14:textId="1306FD1A" w:rsidR="00783D26" w:rsidRPr="003D300A" w:rsidRDefault="00783D26" w:rsidP="00783D26">
      <w:pPr>
        <w:shd w:val="clear" w:color="auto" w:fill="FFFFFF" w:themeFill="background1"/>
        <w:spacing w:before="240" w:after="240" w:line="276" w:lineRule="auto"/>
        <w:jc w:val="both"/>
        <w:rPr>
          <w:rFonts w:ascii="Roboto" w:hAnsi="Roboto"/>
          <w:b/>
          <w:color w:val="000000"/>
          <w:sz w:val="22"/>
          <w:szCs w:val="22"/>
        </w:rPr>
      </w:pPr>
      <w:r w:rsidRPr="003D300A">
        <w:rPr>
          <w:rFonts w:ascii="Roboto" w:hAnsi="Roboto"/>
          <w:sz w:val="22"/>
          <w:szCs w:val="22"/>
        </w:rPr>
        <w:t>Rige a partir de su publicación.</w:t>
      </w:r>
      <w:r w:rsidR="00872820">
        <w:rPr>
          <w:rStyle w:val="Refdenotaalpie"/>
          <w:rFonts w:ascii="Roboto" w:hAnsi="Roboto"/>
          <w:sz w:val="22"/>
          <w:szCs w:val="22"/>
        </w:rPr>
        <w:footnoteReference w:id="2"/>
      </w:r>
    </w:p>
    <w:p w14:paraId="5DA236AA" w14:textId="6CB9ECF8" w:rsidR="00FB154A" w:rsidRPr="003D300A" w:rsidRDefault="00FB154A">
      <w:pPr>
        <w:rPr>
          <w:rFonts w:ascii="Roboto" w:hAnsi="Roboto"/>
          <w:sz w:val="22"/>
          <w:szCs w:val="22"/>
        </w:rPr>
      </w:pPr>
    </w:p>
    <w:sectPr w:rsidR="00FB154A" w:rsidRPr="003D300A" w:rsidSect="0036129F">
      <w:headerReference w:type="default" r:id="rId11"/>
      <w:footerReference w:type="even" r:id="rId12"/>
      <w:footerReference w:type="default" r:id="rId13"/>
      <w:footerReference w:type="first" r:id="rId14"/>
      <w:pgSz w:w="12240" w:h="15840"/>
      <w:pgMar w:top="1417" w:right="1701" w:bottom="1417" w:left="1701"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ED4C1" w14:textId="77777777" w:rsidR="006C6B01" w:rsidRDefault="006C6B01" w:rsidP="00783D26">
      <w:r>
        <w:separator/>
      </w:r>
    </w:p>
  </w:endnote>
  <w:endnote w:type="continuationSeparator" w:id="0">
    <w:p w14:paraId="69F44647" w14:textId="77777777" w:rsidR="006C6B01" w:rsidRDefault="006C6B01" w:rsidP="00783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A23B7" w14:textId="235759A8" w:rsidR="00783D26" w:rsidRDefault="00783D26">
    <w:pPr>
      <w:pStyle w:val="Piedepgina"/>
    </w:pPr>
    <w:r>
      <w:rPr>
        <w:noProof/>
        <w14:ligatures w14:val="standardContextual"/>
      </w:rPr>
      <mc:AlternateContent>
        <mc:Choice Requires="wps">
          <w:drawing>
            <wp:anchor distT="0" distB="0" distL="0" distR="0" simplePos="0" relativeHeight="251659264" behindDoc="0" locked="0" layoutInCell="1" allowOverlap="1" wp14:anchorId="69174D68" wp14:editId="0B1E8C1F">
              <wp:simplePos x="635" y="635"/>
              <wp:positionH relativeFrom="page">
                <wp:align>center</wp:align>
              </wp:positionH>
              <wp:positionV relativeFrom="page">
                <wp:align>bottom</wp:align>
              </wp:positionV>
              <wp:extent cx="1083945" cy="345440"/>
              <wp:effectExtent l="0" t="0" r="1905" b="0"/>
              <wp:wrapNone/>
              <wp:docPr id="35945038"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53ACC7D2" w14:textId="267AAA8B" w:rsidR="00783D26" w:rsidRPr="00783D26" w:rsidRDefault="00783D26" w:rsidP="00783D26">
                          <w:pPr>
                            <w:rPr>
                              <w:rFonts w:ascii="Aptos" w:eastAsia="Aptos" w:hAnsi="Aptos" w:cs="Aptos"/>
                              <w:noProof/>
                              <w:color w:val="000000"/>
                              <w:sz w:val="20"/>
                            </w:rPr>
                          </w:pPr>
                          <w:r w:rsidRPr="00783D26">
                            <w:rPr>
                              <w:rFonts w:ascii="Aptos" w:eastAsia="Aptos" w:hAnsi="Aptos" w:cs="Aptos"/>
                              <w:noProof/>
                              <w:color w:val="000000"/>
                              <w:sz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174D68" id="_x0000_t202" coordsize="21600,21600" o:spt="202" path="m,l,21600r21600,l21600,xe">
              <v:stroke joinstyle="miter"/>
              <v:path gradientshapeok="t" o:connecttype="rect"/>
            </v:shapetype>
            <v:shape id="Cuadro de texto 2" o:spid="_x0000_s1026" type="#_x0000_t202" alt="Uso Interno estricto" style="position:absolute;margin-left:0;margin-top:0;width:85.3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" filled="f" stroked="f">
              <v:textbox style="mso-fit-shape-to-text:t" inset="0,0,0,15pt">
                <w:txbxContent>
                  <w:p w14:paraId="53ACC7D2" w14:textId="267AAA8B" w:rsidR="00783D26" w:rsidRPr="00783D26" w:rsidRDefault="00783D26" w:rsidP="00783D26">
                    <w:pPr>
                      <w:rPr>
                        <w:rFonts w:ascii="Aptos" w:eastAsia="Aptos" w:hAnsi="Aptos" w:cs="Aptos"/>
                        <w:noProof/>
                        <w:color w:val="000000"/>
                        <w:sz w:val="20"/>
                      </w:rPr>
                    </w:pPr>
                    <w:r w:rsidRPr="00783D26">
                      <w:rPr>
                        <w:rFonts w:ascii="Aptos" w:eastAsia="Aptos" w:hAnsi="Aptos" w:cs="Aptos"/>
                        <w:noProof/>
                        <w:color w:val="000000"/>
                        <w:sz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77874" w14:textId="3E291BFD" w:rsidR="00783D26" w:rsidRDefault="00783D26">
    <w:pPr>
      <w:pStyle w:val="Piedepgina"/>
    </w:pPr>
    <w:r>
      <w:rPr>
        <w:noProof/>
        <w14:ligatures w14:val="standardContextual"/>
      </w:rPr>
      <mc:AlternateContent>
        <mc:Choice Requires="wps">
          <w:drawing>
            <wp:anchor distT="0" distB="0" distL="0" distR="0" simplePos="0" relativeHeight="251660288" behindDoc="0" locked="0" layoutInCell="1" allowOverlap="1" wp14:anchorId="4A239EE3" wp14:editId="2B97C8AD">
              <wp:simplePos x="1078173" y="9437427"/>
              <wp:positionH relativeFrom="page">
                <wp:align>center</wp:align>
              </wp:positionH>
              <wp:positionV relativeFrom="page">
                <wp:align>bottom</wp:align>
              </wp:positionV>
              <wp:extent cx="1083945" cy="345440"/>
              <wp:effectExtent l="0" t="0" r="1905" b="0"/>
              <wp:wrapNone/>
              <wp:docPr id="1507728283"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1E0FDA33" w14:textId="25E20183" w:rsidR="00783D26" w:rsidRPr="00783D26" w:rsidRDefault="00783D26" w:rsidP="00783D26">
                          <w:pPr>
                            <w:rPr>
                              <w:rFonts w:ascii="Aptos" w:eastAsia="Aptos" w:hAnsi="Aptos" w:cs="Aptos"/>
                              <w:noProof/>
                              <w:color w:val="000000"/>
                              <w:sz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239EE3" id="_x0000_t202" coordsize="21600,21600" o:spt="202" path="m,l,21600r21600,l21600,xe">
              <v:stroke joinstyle="miter"/>
              <v:path gradientshapeok="t" o:connecttype="rect"/>
            </v:shapetype>
            <v:shape id="Cuadro de texto 3" o:spid="_x0000_s1027" type="#_x0000_t202" alt="Uso Interno estricto" style="position:absolute;margin-left:0;margin-top:0;width:85.35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" filled="f" stroked="f">
              <v:textbox style="mso-fit-shape-to-text:t" inset="0,0,0,15pt">
                <w:txbxContent>
                  <w:p w14:paraId="1E0FDA33" w14:textId="25E20183" w:rsidR="00783D26" w:rsidRPr="00783D26" w:rsidRDefault="00783D26" w:rsidP="00783D26">
                    <w:pPr>
                      <w:rPr>
                        <w:rFonts w:ascii="Aptos" w:eastAsia="Aptos" w:hAnsi="Aptos" w:cs="Aptos"/>
                        <w:noProof/>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B028A" w14:textId="5D14EA4E" w:rsidR="00783D26" w:rsidRDefault="00783D26">
    <w:pPr>
      <w:pStyle w:val="Piedepgina"/>
    </w:pPr>
    <w:r>
      <w:rPr>
        <w:noProof/>
        <w14:ligatures w14:val="standardContextual"/>
      </w:rPr>
      <mc:AlternateContent>
        <mc:Choice Requires="wps">
          <w:drawing>
            <wp:anchor distT="0" distB="0" distL="0" distR="0" simplePos="0" relativeHeight="251658240" behindDoc="0" locked="0" layoutInCell="1" allowOverlap="1" wp14:anchorId="066DA189" wp14:editId="5D242AFA">
              <wp:simplePos x="635" y="635"/>
              <wp:positionH relativeFrom="page">
                <wp:align>center</wp:align>
              </wp:positionH>
              <wp:positionV relativeFrom="page">
                <wp:align>bottom</wp:align>
              </wp:positionV>
              <wp:extent cx="1083945" cy="345440"/>
              <wp:effectExtent l="0" t="0" r="1905" b="0"/>
              <wp:wrapNone/>
              <wp:docPr id="696364023"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5CE06A44" w14:textId="28599EAD" w:rsidR="00783D26" w:rsidRPr="00783D26" w:rsidRDefault="00783D26" w:rsidP="00783D26">
                          <w:pPr>
                            <w:rPr>
                              <w:rFonts w:ascii="Aptos" w:eastAsia="Aptos" w:hAnsi="Aptos" w:cs="Aptos"/>
                              <w:noProof/>
                              <w:color w:val="000000"/>
                              <w:sz w:val="20"/>
                            </w:rPr>
                          </w:pPr>
                          <w:r w:rsidRPr="00783D26">
                            <w:rPr>
                              <w:rFonts w:ascii="Aptos" w:eastAsia="Aptos" w:hAnsi="Aptos" w:cs="Aptos"/>
                              <w:noProof/>
                              <w:color w:val="000000"/>
                              <w:sz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6DA189" id="_x0000_t202" coordsize="21600,21600" o:spt="202" path="m,l,21600r21600,l21600,xe">
              <v:stroke joinstyle="miter"/>
              <v:path gradientshapeok="t" o:connecttype="rect"/>
            </v:shapetype>
            <v:shape id="Cuadro de texto 1" o:spid="_x0000_s1028" type="#_x0000_t202" alt="Uso Interno estricto" style="position:absolute;margin-left:0;margin-top:0;width:85.3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EjSCB8QAgAA&#10;HQQAAA4AAAAAAAAAAAAAAAAALgIAAGRycy9lMm9Eb2MueG1sUEsBAi0AFAAGAAgAAAAhAEoOkxna&#10;AAAABAEAAA8AAAAAAAAAAAAAAAAAagQAAGRycy9kb3ducmV2LnhtbFBLBQYAAAAABAAEAPMAAABx&#10;BQAAAAA=&#10;" filled="f" stroked="f">
              <v:textbox style="mso-fit-shape-to-text:t" inset="0,0,0,15pt">
                <w:txbxContent>
                  <w:p w14:paraId="5CE06A44" w14:textId="28599EAD" w:rsidR="00783D26" w:rsidRPr="00783D26" w:rsidRDefault="00783D26" w:rsidP="00783D26">
                    <w:pPr>
                      <w:rPr>
                        <w:rFonts w:ascii="Aptos" w:eastAsia="Aptos" w:hAnsi="Aptos" w:cs="Aptos"/>
                        <w:noProof/>
                        <w:color w:val="000000"/>
                        <w:sz w:val="20"/>
                      </w:rPr>
                    </w:pPr>
                    <w:r w:rsidRPr="00783D26">
                      <w:rPr>
                        <w:rFonts w:ascii="Aptos" w:eastAsia="Aptos" w:hAnsi="Aptos" w:cs="Aptos"/>
                        <w:noProof/>
                        <w:color w:val="000000"/>
                        <w:sz w:val="20"/>
                      </w:rPr>
                      <w:t>Uso Interno estricto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66ECB" w14:textId="77777777" w:rsidR="006C6B01" w:rsidRDefault="006C6B01" w:rsidP="00783D26">
      <w:r>
        <w:separator/>
      </w:r>
    </w:p>
  </w:footnote>
  <w:footnote w:type="continuationSeparator" w:id="0">
    <w:p w14:paraId="4A06673F" w14:textId="77777777" w:rsidR="006C6B01" w:rsidRDefault="006C6B01" w:rsidP="00783D26">
      <w:r>
        <w:continuationSeparator/>
      </w:r>
    </w:p>
  </w:footnote>
  <w:footnote w:id="1">
    <w:p w14:paraId="3DF13804" w14:textId="6D3D9BF1" w:rsidR="003D300A" w:rsidRPr="0036129F" w:rsidRDefault="003D300A" w:rsidP="003D300A">
      <w:pPr>
        <w:ind w:right="-193"/>
        <w:jc w:val="both"/>
        <w:rPr>
          <w:rFonts w:ascii="Roboto" w:eastAsiaTheme="minorHAnsi" w:hAnsi="Roboto" w:cs="Arial"/>
          <w:bCs/>
          <w:sz w:val="22"/>
          <w:szCs w:val="22"/>
          <w:lang w:val="es-CR" w:eastAsia="en-US"/>
        </w:rPr>
      </w:pPr>
      <w:r w:rsidRPr="004B2DA8">
        <w:rPr>
          <w:rStyle w:val="Refdenotaalpie"/>
        </w:rPr>
        <w:footnoteRef/>
      </w:r>
      <w:r w:rsidRPr="004B2DA8">
        <w:t xml:space="preserve"> </w:t>
      </w:r>
      <w:r w:rsidRPr="004B2DA8">
        <w:rPr>
          <w:rFonts w:ascii="Roboto" w:eastAsiaTheme="minorHAnsi" w:hAnsi="Roboto" w:cs="Arial"/>
          <w:bCs/>
          <w:sz w:val="22"/>
          <w:szCs w:val="22"/>
          <w:lang w:val="es-CR" w:eastAsia="en-US"/>
        </w:rPr>
        <w:t xml:space="preserve">Superintendencia General de Valores. Despacho del Superintendente. A las diecisiete horas </w:t>
      </w:r>
      <w:r w:rsidRPr="009861E4">
        <w:rPr>
          <w:rFonts w:ascii="Roboto" w:eastAsiaTheme="minorHAnsi" w:hAnsi="Roboto" w:cs="Arial"/>
          <w:bCs/>
          <w:sz w:val="22"/>
          <w:szCs w:val="22"/>
          <w:lang w:val="es-CR" w:eastAsia="en-US"/>
        </w:rPr>
        <w:t xml:space="preserve">del veinticinco de marzo del dos mil </w:t>
      </w:r>
      <w:r w:rsidR="005F2F5C" w:rsidRPr="009861E4">
        <w:rPr>
          <w:rFonts w:ascii="Roboto" w:eastAsiaTheme="minorHAnsi" w:hAnsi="Roboto" w:cs="Arial"/>
          <w:bCs/>
          <w:sz w:val="22"/>
          <w:szCs w:val="22"/>
          <w:lang w:val="es-CR" w:eastAsia="en-US"/>
        </w:rPr>
        <w:t>veintiséis</w:t>
      </w:r>
      <w:r w:rsidRPr="009861E4">
        <w:rPr>
          <w:rFonts w:ascii="Roboto" w:eastAsiaTheme="minorHAnsi" w:hAnsi="Roboto" w:cs="Arial"/>
          <w:bCs/>
          <w:sz w:val="22"/>
          <w:szCs w:val="22"/>
          <w:lang w:val="es-CR" w:eastAsia="en-US"/>
        </w:rPr>
        <w:t>.</w:t>
      </w:r>
      <w:r w:rsidR="006257DE" w:rsidRPr="009861E4">
        <w:rPr>
          <w:rFonts w:ascii="Roboto" w:eastAsiaTheme="minorHAnsi" w:hAnsi="Roboto" w:cs="Arial"/>
          <w:bCs/>
          <w:sz w:val="22"/>
          <w:szCs w:val="22"/>
          <w:lang w:val="es-CR" w:eastAsia="en-US"/>
        </w:rPr>
        <w:t xml:space="preserve"> Rige a partir de su publicación en La Gaceta. </w:t>
      </w:r>
      <w:r w:rsidR="00F635B3" w:rsidRPr="009861E4">
        <w:rPr>
          <w:rFonts w:ascii="Roboto" w:eastAsiaTheme="minorHAnsi" w:hAnsi="Roboto" w:cs="Arial"/>
          <w:bCs/>
          <w:sz w:val="22"/>
          <w:szCs w:val="22"/>
          <w:lang w:val="es-CR" w:eastAsia="en-US"/>
        </w:rPr>
        <w:t xml:space="preserve">Publicado en </w:t>
      </w:r>
      <w:r w:rsidR="00872820" w:rsidRPr="009861E4">
        <w:rPr>
          <w:rFonts w:ascii="Roboto" w:eastAsiaTheme="minorHAnsi" w:hAnsi="Roboto" w:cs="Arial"/>
          <w:bCs/>
          <w:sz w:val="22"/>
          <w:szCs w:val="22"/>
          <w:lang w:val="es-CR" w:eastAsia="en-US"/>
        </w:rPr>
        <w:t xml:space="preserve">La Gaceta No 88, </w:t>
      </w:r>
      <w:r w:rsidR="006F66EE" w:rsidRPr="009861E4">
        <w:rPr>
          <w:rFonts w:ascii="Roboto" w:eastAsiaTheme="minorHAnsi" w:hAnsi="Roboto" w:cs="Arial"/>
          <w:bCs/>
          <w:sz w:val="22"/>
          <w:szCs w:val="22"/>
          <w:lang w:val="es-CR" w:eastAsia="en-US"/>
        </w:rPr>
        <w:t>Alcance Digital</w:t>
      </w:r>
      <w:r w:rsidR="00ED4CF7" w:rsidRPr="009861E4">
        <w:rPr>
          <w:rFonts w:ascii="Roboto" w:eastAsiaTheme="minorHAnsi" w:hAnsi="Roboto" w:cs="Arial"/>
          <w:bCs/>
          <w:sz w:val="22"/>
          <w:szCs w:val="22"/>
          <w:lang w:val="es-CR" w:eastAsia="en-US"/>
        </w:rPr>
        <w:t xml:space="preserve"> </w:t>
      </w:r>
      <w:r w:rsidR="001E117A" w:rsidRPr="009861E4">
        <w:rPr>
          <w:rFonts w:ascii="Roboto" w:eastAsiaTheme="minorHAnsi" w:hAnsi="Roboto" w:cs="Arial"/>
          <w:bCs/>
          <w:sz w:val="22"/>
          <w:szCs w:val="22"/>
          <w:lang w:val="es-CR" w:eastAsia="en-US"/>
        </w:rPr>
        <w:t>No. 57 del 15 de mayo del 2026.</w:t>
      </w:r>
    </w:p>
    <w:p w14:paraId="475D0505" w14:textId="69FEC24C" w:rsidR="003D300A" w:rsidRPr="003D300A" w:rsidRDefault="003D300A">
      <w:pPr>
        <w:pStyle w:val="Textonotapie"/>
        <w:rPr>
          <w:lang w:val="es-CR"/>
        </w:rPr>
      </w:pPr>
    </w:p>
  </w:footnote>
  <w:footnote w:id="2">
    <w:p w14:paraId="0E289D0C" w14:textId="6F9458F8" w:rsidR="00872820" w:rsidRPr="00872820" w:rsidRDefault="00872820">
      <w:pPr>
        <w:pStyle w:val="Textonotapie"/>
        <w:rPr>
          <w:lang w:val="es-CR"/>
        </w:rPr>
      </w:pPr>
      <w:r w:rsidRPr="009861E4">
        <w:rPr>
          <w:rStyle w:val="Refdenotaalpie"/>
        </w:rPr>
        <w:footnoteRef/>
      </w:r>
      <w:r w:rsidRPr="009861E4">
        <w:t xml:space="preserve"> </w:t>
      </w:r>
      <w:r w:rsidRPr="009861E4">
        <w:rPr>
          <w:rFonts w:ascii="Roboto" w:eastAsiaTheme="minorHAnsi" w:hAnsi="Roboto" w:cs="Arial"/>
          <w:bCs/>
          <w:sz w:val="22"/>
          <w:szCs w:val="22"/>
          <w:lang w:val="es-CR" w:eastAsia="en-US"/>
        </w:rPr>
        <w:t>Publicado en La Gaceta No 88, Alcance Digital No. 57 del 15 de mayo del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8A722" w14:textId="10CFE030" w:rsidR="0036129F" w:rsidRDefault="0036129F" w:rsidP="0036129F">
    <w:pPr>
      <w:pStyle w:val="Encabezado"/>
      <w:ind w:left="-1701"/>
    </w:pPr>
    <w:r>
      <w:rPr>
        <w:noProof/>
        <w14:ligatures w14:val="standardContextual"/>
      </w:rPr>
      <w:drawing>
        <wp:inline distT="0" distB="0" distL="0" distR="0" wp14:anchorId="11D83E2C" wp14:editId="225DC26B">
          <wp:extent cx="7876540" cy="1063217"/>
          <wp:effectExtent l="0" t="0" r="0" b="3810"/>
          <wp:docPr id="1261659959"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Diagrama&#10;&#10;Descripción generada automáticamente"/>
                  <pic:cNvPicPr>
                    <a:picLocks noChangeAspect="1"/>
                  </pic:cNvPicPr>
                </pic:nvPicPr>
                <pic:blipFill rotWithShape="1">
                  <a:blip r:embed="rId1">
                    <a:extLst>
                      <a:ext uri="{28A0092B-C50C-407E-A947-70E740481C1C}">
                        <a14:useLocalDpi xmlns:a14="http://schemas.microsoft.com/office/drawing/2010/main" val="0"/>
                      </a:ext>
                    </a:extLst>
                  </a:blip>
                  <a:srcRect b="90448"/>
                  <a:stretch/>
                </pic:blipFill>
                <pic:spPr bwMode="auto">
                  <a:xfrm>
                    <a:off x="0" y="0"/>
                    <a:ext cx="7964694" cy="107511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563"/>
    <w:multiLevelType w:val="hybridMultilevel"/>
    <w:tmpl w:val="926E21D0"/>
    <w:lvl w:ilvl="0" w:tplc="931644D0">
      <w:start w:val="1"/>
      <w:numFmt w:val="lowerLetter"/>
      <w:lvlText w:val="%1."/>
      <w:lvlJc w:val="left"/>
      <w:pPr>
        <w:ind w:left="720" w:hanging="360"/>
      </w:pPr>
      <w:rPr>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41C3C67"/>
    <w:multiLevelType w:val="hybridMultilevel"/>
    <w:tmpl w:val="014041FE"/>
    <w:lvl w:ilvl="0" w:tplc="066EE6C4">
      <w:start w:val="1"/>
      <w:numFmt w:val="lowerLetter"/>
      <w:lvlText w:val="%1."/>
      <w:lvlJc w:val="left"/>
      <w:pPr>
        <w:ind w:left="720" w:hanging="360"/>
      </w:pPr>
      <w:rPr>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324523B"/>
    <w:multiLevelType w:val="hybridMultilevel"/>
    <w:tmpl w:val="BA62F90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78D648C"/>
    <w:multiLevelType w:val="hybridMultilevel"/>
    <w:tmpl w:val="D72A1698"/>
    <w:lvl w:ilvl="0" w:tplc="1C347F88">
      <w:start w:val="1"/>
      <w:numFmt w:val="lowerLetter"/>
      <w:lvlText w:val="%1."/>
      <w:lvlJc w:val="left"/>
      <w:pPr>
        <w:ind w:left="720" w:hanging="360"/>
      </w:pPr>
      <w:rPr>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C890543"/>
    <w:multiLevelType w:val="hybridMultilevel"/>
    <w:tmpl w:val="1E7E30B6"/>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1C10DFB"/>
    <w:multiLevelType w:val="hybridMultilevel"/>
    <w:tmpl w:val="7D500910"/>
    <w:lvl w:ilvl="0" w:tplc="2B060B9A">
      <w:start w:val="1"/>
      <w:numFmt w:val="upperRoman"/>
      <w:lvlText w:val="%1."/>
      <w:lvlJc w:val="right"/>
      <w:pPr>
        <w:ind w:left="720" w:hanging="360"/>
      </w:pPr>
      <w:rPr>
        <w:b w:val="0"/>
        <w:bCs w:val="0"/>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3FE7F0C"/>
    <w:multiLevelType w:val="hybridMultilevel"/>
    <w:tmpl w:val="AF36610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62855483"/>
    <w:multiLevelType w:val="hybridMultilevel"/>
    <w:tmpl w:val="1E7E30B6"/>
    <w:lvl w:ilvl="0" w:tplc="0DEEA736">
      <w:start w:val="1"/>
      <w:numFmt w:val="lowerLetter"/>
      <w:lvlText w:val="%1."/>
      <w:lvlJc w:val="left"/>
      <w:pPr>
        <w:ind w:left="720" w:hanging="360"/>
      </w:pPr>
      <w:rPr>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66A1079C"/>
    <w:multiLevelType w:val="hybridMultilevel"/>
    <w:tmpl w:val="9EF0C8C6"/>
    <w:lvl w:ilvl="0" w:tplc="07B05A5C">
      <w:start w:val="1"/>
      <w:numFmt w:val="lowerLetter"/>
      <w:lvlText w:val="%1."/>
      <w:lvlJc w:val="left"/>
      <w:pPr>
        <w:ind w:left="720" w:hanging="360"/>
      </w:pPr>
      <w:rPr>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78E1212B"/>
    <w:multiLevelType w:val="hybridMultilevel"/>
    <w:tmpl w:val="D7CE9F92"/>
    <w:lvl w:ilvl="0" w:tplc="4C62A208">
      <w:start w:val="1"/>
      <w:numFmt w:val="lowerLetter"/>
      <w:lvlText w:val="%1."/>
      <w:lvlJc w:val="left"/>
      <w:pPr>
        <w:ind w:left="720" w:hanging="360"/>
      </w:pPr>
      <w:rPr>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317391223">
    <w:abstractNumId w:val="5"/>
  </w:num>
  <w:num w:numId="2" w16cid:durableId="661932782">
    <w:abstractNumId w:val="6"/>
  </w:num>
  <w:num w:numId="3" w16cid:durableId="2078432518">
    <w:abstractNumId w:val="9"/>
  </w:num>
  <w:num w:numId="4" w16cid:durableId="1591890154">
    <w:abstractNumId w:val="8"/>
  </w:num>
  <w:num w:numId="5" w16cid:durableId="797257521">
    <w:abstractNumId w:val="3"/>
  </w:num>
  <w:num w:numId="6" w16cid:durableId="1160998596">
    <w:abstractNumId w:val="2"/>
  </w:num>
  <w:num w:numId="7" w16cid:durableId="738333842">
    <w:abstractNumId w:val="7"/>
  </w:num>
  <w:num w:numId="8" w16cid:durableId="1769811520">
    <w:abstractNumId w:val="1"/>
  </w:num>
  <w:num w:numId="9" w16cid:durableId="1745756178">
    <w:abstractNumId w:val="0"/>
  </w:num>
  <w:num w:numId="10" w16cid:durableId="380146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D26"/>
    <w:rsid w:val="0004565F"/>
    <w:rsid w:val="001E117A"/>
    <w:rsid w:val="001F20D8"/>
    <w:rsid w:val="00224221"/>
    <w:rsid w:val="002265CE"/>
    <w:rsid w:val="0036129F"/>
    <w:rsid w:val="003D300A"/>
    <w:rsid w:val="00482A59"/>
    <w:rsid w:val="004B2DA8"/>
    <w:rsid w:val="004B305B"/>
    <w:rsid w:val="004B47FE"/>
    <w:rsid w:val="00546D3F"/>
    <w:rsid w:val="0059418D"/>
    <w:rsid w:val="005F2F5C"/>
    <w:rsid w:val="00606B24"/>
    <w:rsid w:val="006257DE"/>
    <w:rsid w:val="00625D02"/>
    <w:rsid w:val="006C6B01"/>
    <w:rsid w:val="006F66EE"/>
    <w:rsid w:val="00707016"/>
    <w:rsid w:val="00764216"/>
    <w:rsid w:val="00775B78"/>
    <w:rsid w:val="00783D26"/>
    <w:rsid w:val="00794519"/>
    <w:rsid w:val="00841AD5"/>
    <w:rsid w:val="00872820"/>
    <w:rsid w:val="008A5C4C"/>
    <w:rsid w:val="00983C7D"/>
    <w:rsid w:val="009861E4"/>
    <w:rsid w:val="009A4177"/>
    <w:rsid w:val="00A62D57"/>
    <w:rsid w:val="00B64980"/>
    <w:rsid w:val="00BE57E0"/>
    <w:rsid w:val="00BE7D35"/>
    <w:rsid w:val="00C01001"/>
    <w:rsid w:val="00C2406E"/>
    <w:rsid w:val="00C47757"/>
    <w:rsid w:val="00C60BEF"/>
    <w:rsid w:val="00CB2337"/>
    <w:rsid w:val="00D54C86"/>
    <w:rsid w:val="00D601D7"/>
    <w:rsid w:val="00D85037"/>
    <w:rsid w:val="00E174B9"/>
    <w:rsid w:val="00EC203E"/>
    <w:rsid w:val="00ED4CF7"/>
    <w:rsid w:val="00F47149"/>
    <w:rsid w:val="00F635B3"/>
    <w:rsid w:val="00FB154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D3DE8"/>
  <w15:chartTrackingRefBased/>
  <w15:docId w15:val="{5C99ADCE-CDB5-4889-8706-AC4A9192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D26"/>
    <w:pPr>
      <w:spacing w:after="0" w:line="240" w:lineRule="auto"/>
    </w:pPr>
    <w:rPr>
      <w:rFonts w:ascii="Times New Roman" w:eastAsia="Times New Roman" w:hAnsi="Times New Roman" w:cs="Times New Roman"/>
      <w:kern w:val="0"/>
      <w:szCs w:val="20"/>
      <w:lang w:val="es-ES" w:eastAsia="es-ES"/>
      <w14:ligatures w14:val="none"/>
    </w:rPr>
  </w:style>
  <w:style w:type="paragraph" w:styleId="Ttulo1">
    <w:name w:val="heading 1"/>
    <w:basedOn w:val="Normal"/>
    <w:next w:val="Normal"/>
    <w:link w:val="Ttulo1Car"/>
    <w:uiPriority w:val="9"/>
    <w:qFormat/>
    <w:rsid w:val="00783D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83D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83D2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83D2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83D2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83D2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83D2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83D2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83D26"/>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3D2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83D2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83D2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83D2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83D2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83D2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83D2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83D2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83D26"/>
    <w:rPr>
      <w:rFonts w:eastAsiaTheme="majorEastAsia" w:cstheme="majorBidi"/>
      <w:color w:val="272727" w:themeColor="text1" w:themeTint="D8"/>
    </w:rPr>
  </w:style>
  <w:style w:type="paragraph" w:styleId="Ttulo">
    <w:name w:val="Title"/>
    <w:basedOn w:val="Normal"/>
    <w:next w:val="Normal"/>
    <w:link w:val="TtuloCar"/>
    <w:uiPriority w:val="10"/>
    <w:qFormat/>
    <w:rsid w:val="00783D2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83D2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83D2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83D2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83D26"/>
    <w:pPr>
      <w:spacing w:before="160"/>
      <w:jc w:val="center"/>
    </w:pPr>
    <w:rPr>
      <w:i/>
      <w:iCs/>
      <w:color w:val="404040" w:themeColor="text1" w:themeTint="BF"/>
    </w:rPr>
  </w:style>
  <w:style w:type="character" w:customStyle="1" w:styleId="CitaCar">
    <w:name w:val="Cita Car"/>
    <w:basedOn w:val="Fuentedeprrafopredeter"/>
    <w:link w:val="Cita"/>
    <w:uiPriority w:val="29"/>
    <w:rsid w:val="00783D26"/>
    <w:rPr>
      <w:i/>
      <w:iCs/>
      <w:color w:val="404040" w:themeColor="text1" w:themeTint="BF"/>
    </w:rPr>
  </w:style>
  <w:style w:type="paragraph" w:styleId="Prrafodelista">
    <w:name w:val="List Paragraph"/>
    <w:aliases w:val="Titulo 2,Párrafo de Informe de Auditoría,Informe,Con viñetas,Normal con viñetas,3,Use Case List Paragraph,Bullet 1,List Paragraph 1,Numbered List Paragraph,Main numbered paragraph,Bullets,List Paragraph (numbered (a)),Akapit z listą BS"/>
    <w:basedOn w:val="Normal"/>
    <w:link w:val="PrrafodelistaCar"/>
    <w:uiPriority w:val="34"/>
    <w:qFormat/>
    <w:rsid w:val="00783D26"/>
    <w:pPr>
      <w:ind w:left="720"/>
      <w:contextualSpacing/>
    </w:pPr>
  </w:style>
  <w:style w:type="character" w:styleId="nfasisintenso">
    <w:name w:val="Intense Emphasis"/>
    <w:basedOn w:val="Fuentedeprrafopredeter"/>
    <w:uiPriority w:val="21"/>
    <w:qFormat/>
    <w:rsid w:val="00783D26"/>
    <w:rPr>
      <w:i/>
      <w:iCs/>
      <w:color w:val="0F4761" w:themeColor="accent1" w:themeShade="BF"/>
    </w:rPr>
  </w:style>
  <w:style w:type="paragraph" w:styleId="Citadestacada">
    <w:name w:val="Intense Quote"/>
    <w:basedOn w:val="Normal"/>
    <w:next w:val="Normal"/>
    <w:link w:val="CitadestacadaCar"/>
    <w:uiPriority w:val="30"/>
    <w:qFormat/>
    <w:rsid w:val="00783D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83D26"/>
    <w:rPr>
      <w:i/>
      <w:iCs/>
      <w:color w:val="0F4761" w:themeColor="accent1" w:themeShade="BF"/>
    </w:rPr>
  </w:style>
  <w:style w:type="character" w:styleId="Referenciaintensa">
    <w:name w:val="Intense Reference"/>
    <w:basedOn w:val="Fuentedeprrafopredeter"/>
    <w:uiPriority w:val="32"/>
    <w:qFormat/>
    <w:rsid w:val="00783D26"/>
    <w:rPr>
      <w:b/>
      <w:bCs/>
      <w:smallCaps/>
      <w:color w:val="0F4761" w:themeColor="accent1" w:themeShade="BF"/>
      <w:spacing w:val="5"/>
    </w:rPr>
  </w:style>
  <w:style w:type="character" w:customStyle="1" w:styleId="PrrafodelistaCar">
    <w:name w:val="Párrafo de lista Car"/>
    <w:aliases w:val="Titulo 2 Car,Párrafo de Informe de Auditoría Car,Informe Car,Con viñetas Car,Normal con viñetas Car,3 Car,Use Case List Paragraph Car,Bullet 1 Car,List Paragraph 1 Car,Numbered List Paragraph Car,Main numbered paragraph Car"/>
    <w:link w:val="Prrafodelista"/>
    <w:uiPriority w:val="34"/>
    <w:qFormat/>
    <w:locked/>
    <w:rsid w:val="00783D26"/>
  </w:style>
  <w:style w:type="character" w:styleId="Textodelmarcadordeposicin">
    <w:name w:val="Placeholder Text"/>
    <w:basedOn w:val="Fuentedeprrafopredeter"/>
    <w:uiPriority w:val="99"/>
    <w:semiHidden/>
    <w:rsid w:val="00783D26"/>
    <w:rPr>
      <w:color w:val="666666"/>
    </w:rPr>
  </w:style>
  <w:style w:type="paragraph" w:styleId="Piedepgina">
    <w:name w:val="footer"/>
    <w:basedOn w:val="Normal"/>
    <w:link w:val="PiedepginaCar"/>
    <w:uiPriority w:val="99"/>
    <w:unhideWhenUsed/>
    <w:rsid w:val="00783D26"/>
    <w:pPr>
      <w:tabs>
        <w:tab w:val="center" w:pos="4419"/>
        <w:tab w:val="right" w:pos="8838"/>
      </w:tabs>
    </w:pPr>
  </w:style>
  <w:style w:type="character" w:customStyle="1" w:styleId="PiedepginaCar">
    <w:name w:val="Pie de página Car"/>
    <w:basedOn w:val="Fuentedeprrafopredeter"/>
    <w:link w:val="Piedepgina"/>
    <w:uiPriority w:val="99"/>
    <w:rsid w:val="00783D26"/>
    <w:rPr>
      <w:rFonts w:ascii="Times New Roman" w:eastAsia="Times New Roman" w:hAnsi="Times New Roman" w:cs="Times New Roman"/>
      <w:kern w:val="0"/>
      <w:szCs w:val="20"/>
      <w:lang w:val="es-ES" w:eastAsia="es-ES"/>
      <w14:ligatures w14:val="none"/>
    </w:rPr>
  </w:style>
  <w:style w:type="paragraph" w:styleId="Encabezado">
    <w:name w:val="header"/>
    <w:basedOn w:val="Normal"/>
    <w:link w:val="EncabezadoCar"/>
    <w:uiPriority w:val="99"/>
    <w:unhideWhenUsed/>
    <w:rsid w:val="0036129F"/>
    <w:pPr>
      <w:tabs>
        <w:tab w:val="center" w:pos="4419"/>
        <w:tab w:val="right" w:pos="8838"/>
      </w:tabs>
    </w:pPr>
  </w:style>
  <w:style w:type="character" w:customStyle="1" w:styleId="EncabezadoCar">
    <w:name w:val="Encabezado Car"/>
    <w:basedOn w:val="Fuentedeprrafopredeter"/>
    <w:link w:val="Encabezado"/>
    <w:uiPriority w:val="99"/>
    <w:rsid w:val="0036129F"/>
    <w:rPr>
      <w:rFonts w:ascii="Times New Roman" w:eastAsia="Times New Roman" w:hAnsi="Times New Roman" w:cs="Times New Roman"/>
      <w:kern w:val="0"/>
      <w:szCs w:val="20"/>
      <w:lang w:val="es-ES" w:eastAsia="es-ES"/>
      <w14:ligatures w14:val="none"/>
    </w:rPr>
  </w:style>
  <w:style w:type="paragraph" w:styleId="Textonotapie">
    <w:name w:val="footnote text"/>
    <w:basedOn w:val="Normal"/>
    <w:link w:val="TextonotapieCar"/>
    <w:uiPriority w:val="99"/>
    <w:semiHidden/>
    <w:unhideWhenUsed/>
    <w:rsid w:val="003D300A"/>
    <w:rPr>
      <w:sz w:val="20"/>
    </w:rPr>
  </w:style>
  <w:style w:type="character" w:customStyle="1" w:styleId="TextonotapieCar">
    <w:name w:val="Texto nota pie Car"/>
    <w:basedOn w:val="Fuentedeprrafopredeter"/>
    <w:link w:val="Textonotapie"/>
    <w:uiPriority w:val="99"/>
    <w:semiHidden/>
    <w:rsid w:val="003D300A"/>
    <w:rPr>
      <w:rFonts w:ascii="Times New Roman" w:eastAsia="Times New Roman" w:hAnsi="Times New Roman" w:cs="Times New Roman"/>
      <w:kern w:val="0"/>
      <w:sz w:val="20"/>
      <w:szCs w:val="20"/>
      <w:lang w:val="es-ES" w:eastAsia="es-ES"/>
      <w14:ligatures w14:val="none"/>
    </w:rPr>
  </w:style>
  <w:style w:type="character" w:styleId="Refdenotaalpie">
    <w:name w:val="footnote reference"/>
    <w:basedOn w:val="Fuentedeprrafopredeter"/>
    <w:uiPriority w:val="99"/>
    <w:semiHidden/>
    <w:unhideWhenUsed/>
    <w:rsid w:val="003D30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785882867C4F6E8F0A4144FE9F8032"/>
        <w:category>
          <w:name w:val="General"/>
          <w:gallery w:val="placeholder"/>
        </w:category>
        <w:types>
          <w:type w:val="bbPlcHdr"/>
        </w:types>
        <w:behaviors>
          <w:behavior w:val="content"/>
        </w:behaviors>
        <w:guid w:val="{E475306B-D479-4407-9AD8-7B568957C30A}"/>
      </w:docPartPr>
      <w:docPartBody>
        <w:p w:rsidR="007133B2" w:rsidRDefault="007133B2" w:rsidP="007133B2">
          <w:pPr>
            <w:pStyle w:val="5C785882867C4F6E8F0A4144FE9F8032"/>
          </w:pPr>
          <w:r w:rsidRPr="00C17DF1">
            <w:rPr>
              <w:rStyle w:val="Textodelmarcadordeposicin"/>
            </w:rPr>
            <w:t>[Consecutivo Interno]</w:t>
          </w:r>
        </w:p>
      </w:docPartBody>
    </w:docPart>
    <w:docPart>
      <w:docPartPr>
        <w:name w:val="E9EA6B56177D4036B73D21572593AEEE"/>
        <w:category>
          <w:name w:val="General"/>
          <w:gallery w:val="placeholder"/>
        </w:category>
        <w:types>
          <w:type w:val="bbPlcHdr"/>
        </w:types>
        <w:behaviors>
          <w:behavior w:val="content"/>
        </w:behaviors>
        <w:guid w:val="{D91C4380-9646-4FAB-A523-0AE0245CA46E}"/>
      </w:docPartPr>
      <w:docPartBody>
        <w:p w:rsidR="007133B2" w:rsidRDefault="007133B2" w:rsidP="007133B2">
          <w:pPr>
            <w:pStyle w:val="E9EA6B56177D4036B73D21572593AEEE"/>
          </w:pPr>
          <w:r w:rsidRPr="00C17DF1">
            <w:rPr>
              <w:rStyle w:val="Textodelmarcadordeposicin"/>
            </w:rPr>
            <w:t>[Periodo]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2"/>
    <w:rsid w:val="00482A59"/>
    <w:rsid w:val="004B47FE"/>
    <w:rsid w:val="005804EB"/>
    <w:rsid w:val="00581E3E"/>
    <w:rsid w:val="0059418D"/>
    <w:rsid w:val="007133B2"/>
    <w:rsid w:val="0071364E"/>
    <w:rsid w:val="00764216"/>
    <w:rsid w:val="00794519"/>
    <w:rsid w:val="00841AD5"/>
    <w:rsid w:val="00970A39"/>
    <w:rsid w:val="00A62D57"/>
    <w:rsid w:val="00B809F3"/>
    <w:rsid w:val="00BE7D35"/>
    <w:rsid w:val="00BF10BC"/>
    <w:rsid w:val="00C01001"/>
    <w:rsid w:val="00E174B9"/>
    <w:rsid w:val="00F4714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133B2"/>
    <w:rPr>
      <w:color w:val="666666"/>
    </w:rPr>
  </w:style>
  <w:style w:type="paragraph" w:customStyle="1" w:styleId="5C785882867C4F6E8F0A4144FE9F8032">
    <w:name w:val="5C785882867C4F6E8F0A4144FE9F8032"/>
    <w:rsid w:val="007133B2"/>
  </w:style>
  <w:style w:type="paragraph" w:customStyle="1" w:styleId="E9EA6B56177D4036B73D21572593AEEE">
    <w:name w:val="E9EA6B56177D4036B73D21572593AEEE"/>
    <w:rsid w:val="007133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66477CF232ACD46B93353E93693837C" ma:contentTypeVersion="22" ma:contentTypeDescription="Crear nuevo documento." ma:contentTypeScope="" ma:versionID="771b5d109343a25d4f006d1cf9f2dd89">
  <xsd:schema xmlns:xsd="http://www.w3.org/2001/XMLSchema" xmlns:xs="http://www.w3.org/2001/XMLSchema" xmlns:p="http://schemas.microsoft.com/office/2006/metadata/properties" xmlns:ns2="315842a7-4cff-4ca6-8fb0-a6562d7ae952" xmlns:ns3="fc66ef79-2d66-4fa3-90bd-e4f186d8d369" targetNamespace="http://schemas.microsoft.com/office/2006/metadata/properties" ma:root="true" ma:fieldsID="92001fb5b952c810e9fd9ed66f8f92f8" ns2:_="" ns3:_="">
    <xsd:import namespace="315842a7-4cff-4ca6-8fb0-a6562d7ae952"/>
    <xsd:import namespace="fc66ef79-2d66-4fa3-90bd-e4f186d8d369"/>
    <xsd:element name="properties">
      <xsd:complexType>
        <xsd:sequence>
          <xsd:element name="documentManagement">
            <xsd:complexType>
              <xsd:all>
                <xsd:element ref="ns2:Estado" minOccurs="0"/>
                <xsd:element ref="ns2:Derogado_x0020_por_x003a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842a7-4cff-4ca6-8fb0-a6562d7ae952" elementFormDefault="qualified">
    <xsd:import namespace="http://schemas.microsoft.com/office/2006/documentManagement/types"/>
    <xsd:import namespace="http://schemas.microsoft.com/office/infopath/2007/PartnerControls"/>
    <xsd:element name="Estado" ma:index="8" nillable="true" ma:displayName="Estado" ma:default="Consulta" ma:format="Dropdown" ma:internalName="Estado">
      <xsd:simpleType>
        <xsd:restriction base="dms:Choice">
          <xsd:enumeration value="Consulta"/>
          <xsd:enumeration value="Derogado"/>
          <xsd:enumeration value="Vigente"/>
        </xsd:restriction>
      </xsd:simpleType>
    </xsd:element>
    <xsd:element name="Derogado_x0020_por_x003a_" ma:index="9" nillable="true" ma:displayName="Derogado por:" ma:internalName="Derogado_x0020_por_x003a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66ef79-2d66-4fa3-90bd-e4f186d8d369" elementFormDefault="qualified">
    <xsd:import namespace="http://schemas.microsoft.com/office/2006/documentManagement/types"/>
    <xsd:import namespace="http://schemas.microsoft.com/office/infopath/2007/PartnerControls"/>
    <xsd:element name="SharedWithUsers" ma:index="10"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Nombre Acuerd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stado xmlns="315842a7-4cff-4ca6-8fb0-a6562d7ae952">Consulta</Estado>
    <Derogado_x0020_por_x003a_ xmlns="315842a7-4cff-4ca6-8fb0-a6562d7ae95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2AC1F-E86E-47F3-AC96-8201FF5F1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842a7-4cff-4ca6-8fb0-a6562d7ae952"/>
    <ds:schemaRef ds:uri="fc66ef79-2d66-4fa3-90bd-e4f186d8d3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FFBC51-BDA2-4470-8C38-29529B193E9A}">
  <ds:schemaRefs>
    <ds:schemaRef ds:uri="http://schemas.microsoft.com/office/2006/metadata/properties"/>
    <ds:schemaRef ds:uri="http://schemas.microsoft.com/office/infopath/2007/PartnerControls"/>
    <ds:schemaRef ds:uri="315842a7-4cff-4ca6-8fb0-a6562d7ae952"/>
  </ds:schemaRefs>
</ds:datastoreItem>
</file>

<file path=customXml/itemProps3.xml><?xml version="1.0" encoding="utf-8"?>
<ds:datastoreItem xmlns:ds="http://schemas.openxmlformats.org/officeDocument/2006/customXml" ds:itemID="{B2BF3833-BD5E-41C6-ACC6-1BF8A4053EA5}">
  <ds:schemaRefs>
    <ds:schemaRef ds:uri="http://schemas.microsoft.com/sharepoint/v3/contenttype/forms"/>
  </ds:schemaRefs>
</ds:datastoreItem>
</file>

<file path=customXml/itemProps4.xml><?xml version="1.0" encoding="utf-8"?>
<ds:datastoreItem xmlns:ds="http://schemas.openxmlformats.org/officeDocument/2006/customXml" ds:itemID="{650C1F62-0BD2-4A4D-B86B-DDCAE0BDC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5346</Words>
  <Characters>29150</Characters>
  <Application>Microsoft Office Word</Application>
  <DocSecurity>0</DocSecurity>
  <Lines>547</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MORALES ROJAS ILIANA</dc:creator>
  <cp:keywords/>
  <dc:description/>
  <cp:lastModifiedBy>MORALES ROJAS ILIANA</cp:lastModifiedBy>
  <cp:revision>5</cp:revision>
  <dcterms:created xsi:type="dcterms:W3CDTF">2026-05-19T22:39:00Z</dcterms:created>
  <dcterms:modified xsi:type="dcterms:W3CDTF">2026-05-20T02:21:00Z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2981abf7,2247a4e,59de1b9b</vt:lpwstr>
  </property>
  <property fmtid="{D5CDD505-2E9C-101B-9397-08002B2CF9AE}" pid="3" name="ClassificationContentMarkingFooterFontProps">
    <vt:lpwstr>#000000,10,Aptos</vt:lpwstr>
  </property>
  <property fmtid="{D5CDD505-2E9C-101B-9397-08002B2CF9AE}" pid="4" name="ClassificationContentMarkingFooterText">
    <vt:lpwstr>Uso Interno estricto</vt:lpwstr>
  </property>
  <property fmtid="{D5CDD505-2E9C-101B-9397-08002B2CF9AE}" pid="5" name="MSIP_Label_b8b4be34-365a-4a68-b9fb-75c1b6874315_Enabled">
    <vt:lpwstr>true</vt:lpwstr>
  </property>
  <property fmtid="{D5CDD505-2E9C-101B-9397-08002B2CF9AE}" pid="6" name="MSIP_Label_b8b4be34-365a-4a68-b9fb-75c1b6874315_SetDate">
    <vt:lpwstr>2026-03-26T17:07:34Z</vt:lpwstr>
  </property>
  <property fmtid="{D5CDD505-2E9C-101B-9397-08002B2CF9AE}" pid="7" name="MSIP_Label_b8b4be34-365a-4a68-b9fb-75c1b6874315_Method">
    <vt:lpwstr>Standard</vt:lpwstr>
  </property>
  <property fmtid="{D5CDD505-2E9C-101B-9397-08002B2CF9AE}" pid="8" name="MSIP_Label_b8b4be34-365a-4a68-b9fb-75c1b6874315_Name">
    <vt:lpwstr>b8b4be34-365a-4a68-b9fb-75c1b6874315</vt:lpwstr>
  </property>
  <property fmtid="{D5CDD505-2E9C-101B-9397-08002B2CF9AE}" pid="9" name="MSIP_Label_b8b4be34-365a-4a68-b9fb-75c1b6874315_SiteId">
    <vt:lpwstr>618d0a45-25a6-4618-9f80-8f70a435ee52</vt:lpwstr>
  </property>
  <property fmtid="{D5CDD505-2E9C-101B-9397-08002B2CF9AE}" pid="10" name="MSIP_Label_b8b4be34-365a-4a68-b9fb-75c1b6874315_ActionId">
    <vt:lpwstr>e6e1b2e2-9342-4685-89ec-c9c375a5cea5</vt:lpwstr>
  </property>
  <property fmtid="{D5CDD505-2E9C-101B-9397-08002B2CF9AE}" pid="11" name="MSIP_Label_b8b4be34-365a-4a68-b9fb-75c1b6874315_ContentBits">
    <vt:lpwstr>2</vt:lpwstr>
  </property>
  <property fmtid="{D5CDD505-2E9C-101B-9397-08002B2CF9AE}" pid="12" name="MSIP_Label_b8b4be34-365a-4a68-b9fb-75c1b6874315_Tag">
    <vt:lpwstr>10, 3, 0, 1</vt:lpwstr>
  </property>
  <property fmtid="{D5CDD505-2E9C-101B-9397-08002B2CF9AE}" pid="13" name="ContentTypeId">
    <vt:lpwstr>0x010100C66477CF232ACD46B93353E93693837C</vt:lpwstr>
  </property>
</Properties>
</file>