
<file path=[Content_Types].xml><?xml version="1.0" encoding="utf-8"?>
<Types xmlns="http://schemas.openxmlformats.org/package/2006/content-types">
  <Default Extension="rels" ContentType="application/vnd.openxmlformats-package.relationships+xml"/>
  <Default Extension="sigs" ContentType="application/vnd.openxmlformats-package.digital-signature-origin"/>
  <Default Extension="xml" ContentType="application/xml"/>
  <Override PartName="/_xmlsignatures/sig1.xml" ContentType="application/vnd.openxmlformats-package.digital-signature-xmlsignatur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digital-signature/origin" Target="/_xmlsignatures/origin.sigs"/>
  <Relationship Id="rId3" Type="http://schemas.openxmlformats.org/package/2006/relationships/metadata/core-properties" Target="/docProps/core.xml"/>
  <Relationship Id="rId4" Type="http://schemas.openxmlformats.org/officeDocument/2006/relationships/extended-properties" Target="/docProps/app.xml"/>
  <Relationship Id="rId5"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3DFF" w:rsidRDefault="00CC3DFF" w:rsidP="00CC3DFF">
      <w:pPr>
        <w:spacing w:after="0"/>
      </w:pPr>
      <w:bookmarkStart w:id="0" w:name="_GoBack"/>
      <w:bookmarkEnd w:id="0"/>
      <w:r>
        <w:t>Sr. Carlos Arias Poveda</w:t>
      </w:r>
    </w:p>
    <w:p w:rsidR="00CC3DFF" w:rsidRDefault="00CC3DFF" w:rsidP="00CC3DFF">
      <w:pPr>
        <w:spacing w:after="0"/>
      </w:pPr>
      <w:r>
        <w:t>Superintendente</w:t>
      </w:r>
    </w:p>
    <w:p w:rsidR="00CC3DFF" w:rsidRDefault="00CC3DFF" w:rsidP="00CC3DFF">
      <w:pPr>
        <w:spacing w:after="0"/>
      </w:pPr>
      <w:r>
        <w:t>Sugeval</w:t>
      </w:r>
    </w:p>
    <w:p w:rsidR="00CC3DFF" w:rsidRDefault="00CC3DFF" w:rsidP="00CC3DFF">
      <w:pPr>
        <w:spacing w:after="0"/>
      </w:pPr>
    </w:p>
    <w:p w:rsidR="00CC3DFF" w:rsidRDefault="00CC3DFF" w:rsidP="00CC3DFF">
      <w:pPr>
        <w:spacing w:after="0"/>
      </w:pPr>
    </w:p>
    <w:p w:rsidR="00CC3DFF" w:rsidRPr="002D1FF4" w:rsidRDefault="00CC3DFF" w:rsidP="00CC3DFF">
      <w:pPr>
        <w:spacing w:after="0"/>
        <w:rPr>
          <w:b/>
          <w:sz w:val="28"/>
          <w:szCs w:val="28"/>
        </w:rPr>
      </w:pPr>
      <w:r w:rsidRPr="002D1FF4">
        <w:rPr>
          <w:b/>
          <w:sz w:val="28"/>
          <w:szCs w:val="28"/>
        </w:rPr>
        <w:t>Informe de Gestión</w:t>
      </w:r>
    </w:p>
    <w:p w:rsidR="002D1FF4" w:rsidRDefault="00CC3DFF" w:rsidP="00CC3DFF">
      <w:pPr>
        <w:spacing w:after="0"/>
      </w:pPr>
      <w:r>
        <w:t>M.Sc. Manfred Esquivel Monge.</w:t>
      </w:r>
    </w:p>
    <w:p w:rsidR="002D1FF4" w:rsidRDefault="002D1FF4" w:rsidP="00CC3DFF">
      <w:pPr>
        <w:spacing w:after="0"/>
      </w:pPr>
    </w:p>
    <w:p w:rsidR="002D1FF4" w:rsidRDefault="002D1FF4" w:rsidP="00CC3DFF">
      <w:pPr>
        <w:spacing w:after="0"/>
      </w:pPr>
    </w:p>
    <w:p w:rsidR="002D1FF4" w:rsidRDefault="002D1FF4" w:rsidP="00CC3DFF">
      <w:pPr>
        <w:spacing w:after="0"/>
      </w:pPr>
    </w:p>
    <w:p w:rsidR="002D1FF4" w:rsidRDefault="002D1FF4" w:rsidP="00CC3DFF">
      <w:pPr>
        <w:spacing w:after="0"/>
      </w:pPr>
    </w:p>
    <w:p w:rsidR="002D1FF4" w:rsidRDefault="002D1FF4" w:rsidP="00CC3DFF">
      <w:pPr>
        <w:spacing w:after="0"/>
      </w:pPr>
    </w:p>
    <w:p w:rsidR="002D1FF4" w:rsidRDefault="002D1FF4" w:rsidP="00CC3DFF">
      <w:pPr>
        <w:spacing w:after="0"/>
      </w:pPr>
    </w:p>
    <w:p w:rsidR="002D1FF4" w:rsidRDefault="002D1FF4" w:rsidP="00CC3DFF">
      <w:pPr>
        <w:spacing w:after="0"/>
      </w:pPr>
    </w:p>
    <w:p w:rsidR="002D1FF4" w:rsidRDefault="002D1FF4" w:rsidP="00CC3DFF">
      <w:pPr>
        <w:spacing w:after="0"/>
      </w:pPr>
    </w:p>
    <w:p w:rsidR="002D1FF4" w:rsidRDefault="002D1FF4" w:rsidP="00CC3DFF">
      <w:pPr>
        <w:spacing w:after="0"/>
      </w:pPr>
    </w:p>
    <w:p w:rsidR="002D1FF4" w:rsidRDefault="002D1FF4" w:rsidP="00CC3DFF">
      <w:pPr>
        <w:spacing w:after="0"/>
      </w:pPr>
    </w:p>
    <w:p w:rsidR="002D1FF4" w:rsidRDefault="002D1FF4" w:rsidP="00CC3DFF">
      <w:pPr>
        <w:spacing w:after="0"/>
      </w:pPr>
    </w:p>
    <w:p w:rsidR="002D1FF4" w:rsidRDefault="002D1FF4" w:rsidP="00CC3DFF">
      <w:pPr>
        <w:spacing w:after="0"/>
      </w:pPr>
    </w:p>
    <w:p w:rsidR="002D1FF4" w:rsidRDefault="002D1FF4" w:rsidP="00CC3DFF">
      <w:pPr>
        <w:spacing w:after="0"/>
      </w:pPr>
    </w:p>
    <w:p w:rsidR="002D1FF4" w:rsidRDefault="002D1FF4" w:rsidP="00CC3DFF">
      <w:pPr>
        <w:spacing w:after="0"/>
      </w:pPr>
    </w:p>
    <w:p w:rsidR="002D1FF4" w:rsidRDefault="002D1FF4" w:rsidP="00CC3DFF">
      <w:pPr>
        <w:spacing w:after="0"/>
      </w:pPr>
    </w:p>
    <w:p w:rsidR="002D1FF4" w:rsidRDefault="002D1FF4" w:rsidP="00CC3DFF">
      <w:pPr>
        <w:spacing w:after="0"/>
      </w:pPr>
    </w:p>
    <w:p w:rsidR="002D1FF4" w:rsidRDefault="002D1FF4" w:rsidP="00CC3DFF">
      <w:pPr>
        <w:spacing w:after="0"/>
      </w:pPr>
    </w:p>
    <w:p w:rsidR="002D1FF4" w:rsidRDefault="002D1FF4" w:rsidP="00CC3DFF">
      <w:pPr>
        <w:spacing w:after="0"/>
      </w:pPr>
    </w:p>
    <w:p w:rsidR="002D1FF4" w:rsidRDefault="002D1FF4" w:rsidP="00CC3DFF">
      <w:pPr>
        <w:spacing w:after="0"/>
      </w:pPr>
    </w:p>
    <w:p w:rsidR="002D1FF4" w:rsidRDefault="002D1FF4" w:rsidP="00CC3DFF">
      <w:pPr>
        <w:spacing w:after="0"/>
      </w:pPr>
    </w:p>
    <w:p w:rsidR="002D1FF4" w:rsidRDefault="002D1FF4" w:rsidP="00CC3DFF">
      <w:pPr>
        <w:spacing w:after="0"/>
      </w:pPr>
    </w:p>
    <w:p w:rsidR="002D1FF4" w:rsidRDefault="002D1FF4" w:rsidP="00CC3DFF">
      <w:pPr>
        <w:spacing w:after="0"/>
      </w:pPr>
    </w:p>
    <w:p w:rsidR="002D1FF4" w:rsidRDefault="002D1FF4" w:rsidP="00CC3DFF">
      <w:pPr>
        <w:spacing w:after="0"/>
      </w:pPr>
    </w:p>
    <w:p w:rsidR="002D1FF4" w:rsidRDefault="002D1FF4" w:rsidP="00CC3DFF">
      <w:pPr>
        <w:spacing w:after="0"/>
      </w:pPr>
    </w:p>
    <w:p w:rsidR="002D1FF4" w:rsidRDefault="002D1FF4" w:rsidP="00CC3DFF">
      <w:pPr>
        <w:spacing w:after="0"/>
      </w:pPr>
    </w:p>
    <w:p w:rsidR="002D1FF4" w:rsidRDefault="002D1FF4" w:rsidP="00CC3DFF">
      <w:pPr>
        <w:spacing w:after="0"/>
      </w:pPr>
    </w:p>
    <w:p w:rsidR="002D1FF4" w:rsidRDefault="002D1FF4" w:rsidP="00CC3DFF">
      <w:pPr>
        <w:spacing w:after="0"/>
      </w:pPr>
    </w:p>
    <w:p w:rsidR="002D1FF4" w:rsidRDefault="002D1FF4" w:rsidP="00CC3DFF">
      <w:pPr>
        <w:spacing w:after="0"/>
      </w:pPr>
    </w:p>
    <w:p w:rsidR="002D1FF4" w:rsidRDefault="002D1FF4" w:rsidP="00CC3DFF">
      <w:pPr>
        <w:spacing w:after="0"/>
      </w:pPr>
    </w:p>
    <w:p w:rsidR="002D1FF4" w:rsidRDefault="002D1FF4" w:rsidP="00CC3DFF">
      <w:pPr>
        <w:spacing w:after="0"/>
      </w:pPr>
    </w:p>
    <w:p w:rsidR="002D1FF4" w:rsidRDefault="002D1FF4" w:rsidP="00CC3DFF">
      <w:pPr>
        <w:spacing w:after="0"/>
      </w:pPr>
    </w:p>
    <w:p w:rsidR="002D1FF4" w:rsidRDefault="002D1FF4" w:rsidP="00CC3DFF">
      <w:pPr>
        <w:spacing w:after="0"/>
      </w:pPr>
    </w:p>
    <w:p w:rsidR="002D1FF4" w:rsidRDefault="002D1FF4" w:rsidP="00CC3DFF">
      <w:pPr>
        <w:spacing w:after="0"/>
      </w:pPr>
      <w:r>
        <w:t>26/06/2015</w:t>
      </w:r>
    </w:p>
    <w:p w:rsidR="00591352" w:rsidRDefault="00591352" w:rsidP="00CC3DFF">
      <w:pPr>
        <w:spacing w:after="0"/>
      </w:pPr>
      <w:r>
        <w:br w:type="page"/>
      </w:r>
    </w:p>
    <w:p w:rsidR="00EF7088" w:rsidRDefault="00026460" w:rsidP="00026460">
      <w:pPr>
        <w:pStyle w:val="Heading1"/>
        <w:numPr>
          <w:ilvl w:val="0"/>
          <w:numId w:val="1"/>
        </w:numPr>
      </w:pPr>
      <w:r>
        <w:lastRenderedPageBreak/>
        <w:t>Presentación</w:t>
      </w:r>
    </w:p>
    <w:p w:rsidR="00026460" w:rsidRDefault="001339C6" w:rsidP="001339C6">
      <w:pPr>
        <w:jc w:val="both"/>
      </w:pPr>
      <w:r>
        <w:t>En respuesta al oficio DAD-GFH-AAP-132-2015  del 16 de junio de 2015, d</w:t>
      </w:r>
      <w:r w:rsidR="00B263E6">
        <w:t>e conformidad con lo dispuesto en el artículo 12, inciso e) de la Ley General de Control Interno Nº8292 y con motivo de haber dejado el puesto de Director del Departamento de Gestión de Investigación y Normativa de la Superintendencia General de Valores, el presenta informe constituye una rendición de cuentas de la gestión que llevé a cabo en esa posición entre mayo de 2010 y junio de 2015.  En este</w:t>
      </w:r>
      <w:r w:rsidR="009B6E4A">
        <w:t xml:space="preserve"> documento informo sobre</w:t>
      </w:r>
      <w:r w:rsidR="00B263E6">
        <w:t xml:space="preserve"> de las labores sustantivas que se llevaron a cabo, los cambios en el entorno que influyeron a lo largo de esa gestión, los aspectos relevantes de control interno, los logros alcanzados según la planificación institucional, los proyectos relevantes pendientes y sobre la administración de recursos financieros de la unidad a cargo.</w:t>
      </w:r>
    </w:p>
    <w:p w:rsidR="00B263E6" w:rsidRDefault="00B263E6" w:rsidP="00B263E6">
      <w:pPr>
        <w:jc w:val="both"/>
      </w:pPr>
      <w:r>
        <w:t xml:space="preserve">Debe señalarse en primera instancia que debido a las particularidades </w:t>
      </w:r>
      <w:r w:rsidR="00CC3DFF">
        <w:t>acaecidas en razón del cambio en</w:t>
      </w:r>
      <w:r>
        <w:t xml:space="preserve"> la jerarquía administrativa de la Sugeval </w:t>
      </w:r>
      <w:r w:rsidR="009B6E4A">
        <w:t>a partir del</w:t>
      </w:r>
      <w:r>
        <w:t xml:space="preserve"> 4 de julio </w:t>
      </w:r>
      <w:r w:rsidRPr="005F4A2D">
        <w:t>de 2012</w:t>
      </w:r>
      <w:r w:rsidR="00AE611B">
        <w:t xml:space="preserve"> (las que se irán señalando a lo largo de este documento)</w:t>
      </w:r>
      <w:r>
        <w:t>,</w:t>
      </w:r>
      <w:r w:rsidR="00AE611B">
        <w:t xml:space="preserve"> </w:t>
      </w:r>
      <w:r>
        <w:t xml:space="preserve"> el presente informe hace la distinción entre la gestión que pu</w:t>
      </w:r>
      <w:r w:rsidR="00CC3DFF">
        <w:t xml:space="preserve">do realizarse hasta antes de esa fecha </w:t>
      </w:r>
      <w:r>
        <w:t>y la que pudo efectuarse después.</w:t>
      </w:r>
    </w:p>
    <w:p w:rsidR="00B263E6" w:rsidRDefault="00B263E6" w:rsidP="00B263E6">
      <w:pPr>
        <w:jc w:val="both"/>
      </w:pPr>
      <w:r>
        <w:t>Durante la gestión del Sr. Superintendente Juan José Flores Sittenfeld,</w:t>
      </w:r>
      <w:r w:rsidR="00AE611B">
        <w:t xml:space="preserve"> que concluyó en julio de 2012,</w:t>
      </w:r>
      <w:r>
        <w:t xml:space="preserve"> </w:t>
      </w:r>
      <w:r w:rsidR="00AE611B">
        <w:t xml:space="preserve">la División de </w:t>
      </w:r>
      <w:r>
        <w:t xml:space="preserve">Investigación y Normativa tuvo a cargo dos procesos sustantivos: Elaboración de propuestas normativas para el mercado de valores y elaboración de investigación económica relevante para el mercado de valores costarricense.  </w:t>
      </w:r>
      <w:r w:rsidR="00AE611B">
        <w:t>Mi llegada a la S</w:t>
      </w:r>
      <w:r>
        <w:t>uperintendencia t</w:t>
      </w:r>
      <w:r w:rsidR="00AE611B">
        <w:t xml:space="preserve">uvo </w:t>
      </w:r>
      <w:r>
        <w:t>como objetivo asumir la coordinación del proceso de investigación económica. De esta forma, el grueso del contenido de este informe se relaciona con los resultados obtenidos en e</w:t>
      </w:r>
      <w:r w:rsidR="00AE611B">
        <w:t>se</w:t>
      </w:r>
      <w:r>
        <w:t xml:space="preserve"> proceso.  La coordinación del proceso de elaboración de propuestas normativas estuvo a cargo del Director de la División de Investigación y Normativa.  A partir de la entrada del Sr. Carlos Arias Poveda como Superintendente el 4 de julio </w:t>
      </w:r>
      <w:r w:rsidRPr="005F4A2D">
        <w:t>de 2012</w:t>
      </w:r>
      <w:r>
        <w:t xml:space="preserve"> y</w:t>
      </w:r>
      <w:r w:rsidR="00BF3DDC">
        <w:t>,</w:t>
      </w:r>
      <w:r>
        <w:t xml:space="preserve"> por razones que </w:t>
      </w:r>
      <w:r w:rsidR="00AE611B">
        <w:t xml:space="preserve">no son claras para </w:t>
      </w:r>
      <w:r w:rsidR="00BF3DDC">
        <w:t>mí</w:t>
      </w:r>
      <w:r>
        <w:t>, el proceso de normativa dejó de estar a cargo de la División de Investigación y Normativa</w:t>
      </w:r>
      <w:r w:rsidR="00CC3DFF">
        <w:t xml:space="preserve"> sin que se asignaran otras labores a la dependencia</w:t>
      </w:r>
      <w:r>
        <w:t>.</w:t>
      </w:r>
    </w:p>
    <w:p w:rsidR="00B263E6" w:rsidRDefault="00AE611B" w:rsidP="00B263E6">
      <w:pPr>
        <w:jc w:val="both"/>
      </w:pPr>
      <w:r>
        <w:t>En el ámb</w:t>
      </w:r>
      <w:r w:rsidR="00CC3DFF">
        <w:t>ito meramente de investigación s</w:t>
      </w:r>
      <w:r>
        <w:t xml:space="preserve">e elaboraron 10 documentos de investigación con un alto contenido técnico y cuyas conclusiones constituyen valiosas referencias para el mercado de valores costarricense.  Los temas investigados se orientaron a coadyuvar en la búsqueda de soluciones a los principales problemas que enfrenta este mercado, a saber: crónica iliquidez </w:t>
      </w:r>
      <w:r w:rsidR="00CC3DFF">
        <w:t>de</w:t>
      </w:r>
      <w:r>
        <w:t xml:space="preserve"> los valores que se negocian, ausencia de integración de los mercados de dinero, </w:t>
      </w:r>
      <w:r w:rsidR="009B6E4A">
        <w:t xml:space="preserve">razones para la </w:t>
      </w:r>
      <w:r>
        <w:t>inexistencia de un mercado de coberturas cambiarias, evaluación del funcionamiento del mercado mayorista de contado de divisas</w:t>
      </w:r>
      <w:r w:rsidR="00CC3DFF">
        <w:t>, entre otros</w:t>
      </w:r>
      <w:r w:rsidR="009B6E4A">
        <w:t>.  Durante la gestión del Sr. Superintendente Juan José Flores Sittenfeld se le dio gran importancia algunos de estos documentos de investigación, sin embargo esto cambió radicalmente con la llegada a la institución del Sr. Carlos Arias Poveda</w:t>
      </w:r>
      <w:r w:rsidR="00BF3DDC">
        <w:t>,</w:t>
      </w:r>
      <w:r w:rsidR="009B6E4A">
        <w:t xml:space="preserve"> tal y como se explicará a lo largo del documento.</w:t>
      </w:r>
    </w:p>
    <w:p w:rsidR="00026460" w:rsidRDefault="00026460" w:rsidP="00026460"/>
    <w:p w:rsidR="00026460" w:rsidRDefault="00026460" w:rsidP="00026460"/>
    <w:p w:rsidR="00026460" w:rsidRDefault="00026460" w:rsidP="00026460">
      <w:pPr>
        <w:pStyle w:val="Heading1"/>
        <w:numPr>
          <w:ilvl w:val="0"/>
          <w:numId w:val="1"/>
        </w:numPr>
      </w:pPr>
      <w:r>
        <w:lastRenderedPageBreak/>
        <w:t>Resultados de la gestión</w:t>
      </w:r>
    </w:p>
    <w:p w:rsidR="00026460" w:rsidRDefault="00026460" w:rsidP="00026460">
      <w:pPr>
        <w:pStyle w:val="Heading1"/>
        <w:numPr>
          <w:ilvl w:val="1"/>
          <w:numId w:val="1"/>
        </w:numPr>
      </w:pPr>
      <w:r>
        <w:t>Labores sustantivas</w:t>
      </w:r>
    </w:p>
    <w:p w:rsidR="003F0C0C" w:rsidRDefault="00691FDB" w:rsidP="001E433B">
      <w:pPr>
        <w:jc w:val="both"/>
      </w:pPr>
      <w:r>
        <w:t xml:space="preserve">Asumí la coordinación </w:t>
      </w:r>
      <w:r w:rsidR="00D465AB">
        <w:t xml:space="preserve">del proceso de investigación económica en </w:t>
      </w:r>
      <w:r>
        <w:t xml:space="preserve">mayo de 2010 y </w:t>
      </w:r>
      <w:r w:rsidR="00D465AB">
        <w:t xml:space="preserve">mi equipo de trabajo se completó en febrero de 2011.  </w:t>
      </w:r>
      <w:r w:rsidR="00F226CD">
        <w:t xml:space="preserve">Entre </w:t>
      </w:r>
      <w:r w:rsidR="00E102BF">
        <w:t xml:space="preserve">mayo de 2010 </w:t>
      </w:r>
      <w:r w:rsidR="00D465AB">
        <w:t xml:space="preserve">y </w:t>
      </w:r>
      <w:r w:rsidR="005F4A2D">
        <w:t xml:space="preserve">julio </w:t>
      </w:r>
      <w:r w:rsidR="005F4A2D" w:rsidRPr="005F4A2D">
        <w:t>de 2012</w:t>
      </w:r>
      <w:r w:rsidR="00D465AB">
        <w:t xml:space="preserve"> </w:t>
      </w:r>
      <w:r>
        <w:t>se inici</w:t>
      </w:r>
      <w:r w:rsidR="00E50071">
        <w:t xml:space="preserve">aron </w:t>
      </w:r>
      <w:r w:rsidR="00D465AB">
        <w:t xml:space="preserve">los </w:t>
      </w:r>
      <w:r w:rsidR="00E50071">
        <w:t xml:space="preserve">proyectos de </w:t>
      </w:r>
      <w:r w:rsidR="00D465AB">
        <w:t>investigación</w:t>
      </w:r>
      <w:r w:rsidR="00E50071">
        <w:t xml:space="preserve"> que se enumeran a continuación junto con </w:t>
      </w:r>
      <w:r w:rsidR="00F226CD">
        <w:t xml:space="preserve">su objetivo principal y </w:t>
      </w:r>
      <w:r w:rsidR="00E50071">
        <w:t xml:space="preserve">un resumen de </w:t>
      </w:r>
      <w:r w:rsidR="00F226CD">
        <w:t>las</w:t>
      </w:r>
      <w:r w:rsidR="00E50071">
        <w:t xml:space="preserve"> principales conclusiones:</w:t>
      </w:r>
    </w:p>
    <w:p w:rsidR="00D465AB" w:rsidRPr="00D465AB" w:rsidRDefault="00D465AB" w:rsidP="00F226CD">
      <w:pPr>
        <w:pStyle w:val="ListParagraph"/>
        <w:numPr>
          <w:ilvl w:val="0"/>
          <w:numId w:val="3"/>
        </w:numPr>
        <w:spacing w:after="120"/>
        <w:ind w:left="426" w:hanging="357"/>
        <w:contextualSpacing w:val="0"/>
        <w:jc w:val="both"/>
        <w:rPr>
          <w:rFonts w:asciiTheme="minorHAnsi" w:hAnsiTheme="minorHAnsi"/>
          <w:sz w:val="22"/>
          <w:szCs w:val="22"/>
          <w:lang w:val="es-CR"/>
        </w:rPr>
      </w:pPr>
      <w:r w:rsidRPr="001E433B">
        <w:rPr>
          <w:rFonts w:asciiTheme="minorHAnsi" w:hAnsiTheme="minorHAnsi"/>
          <w:i/>
          <w:sz w:val="22"/>
          <w:szCs w:val="22"/>
          <w:lang w:val="es-CR"/>
        </w:rPr>
        <w:t xml:space="preserve">Coberturas cambiaras en Costa Rica. </w:t>
      </w:r>
      <w:r w:rsidR="001E433B" w:rsidRPr="0058406B">
        <w:rPr>
          <w:rFonts w:asciiTheme="minorHAnsi" w:hAnsiTheme="minorHAnsi"/>
          <w:i/>
          <w:sz w:val="22"/>
          <w:szCs w:val="22"/>
          <w:lang w:val="es-CR"/>
        </w:rPr>
        <w:t>Diagnóstico y recomendaciones</w:t>
      </w:r>
      <w:r w:rsidRPr="0058406B">
        <w:rPr>
          <w:rFonts w:asciiTheme="minorHAnsi" w:hAnsiTheme="minorHAnsi"/>
          <w:sz w:val="22"/>
          <w:szCs w:val="22"/>
          <w:lang w:val="es-CR"/>
        </w:rPr>
        <w:t xml:space="preserve">.  </w:t>
      </w:r>
      <w:r w:rsidRPr="00D465AB">
        <w:rPr>
          <w:rFonts w:asciiTheme="minorHAnsi" w:hAnsiTheme="minorHAnsi"/>
          <w:sz w:val="22"/>
          <w:szCs w:val="22"/>
          <w:lang w:val="es-CR"/>
        </w:rPr>
        <w:t>Esta investigación fue solicitada por el anterior Superintendente General de Valores, señor Juan José Flores</w:t>
      </w:r>
      <w:r>
        <w:rPr>
          <w:rFonts w:asciiTheme="minorHAnsi" w:hAnsiTheme="minorHAnsi"/>
          <w:sz w:val="22"/>
          <w:szCs w:val="22"/>
          <w:lang w:val="es-CR"/>
        </w:rPr>
        <w:t xml:space="preserve"> </w:t>
      </w:r>
      <w:r w:rsidRPr="00D465AB">
        <w:rPr>
          <w:rFonts w:asciiTheme="minorHAnsi" w:hAnsiTheme="minorHAnsi"/>
          <w:sz w:val="22"/>
          <w:szCs w:val="22"/>
          <w:lang w:val="es-CR"/>
        </w:rPr>
        <w:t>Sittenfeld</w:t>
      </w:r>
      <w:r w:rsidR="00E5510E">
        <w:rPr>
          <w:rFonts w:asciiTheme="minorHAnsi" w:hAnsiTheme="minorHAnsi"/>
          <w:sz w:val="22"/>
          <w:szCs w:val="22"/>
          <w:lang w:val="es-CR"/>
        </w:rPr>
        <w:t>,</w:t>
      </w:r>
      <w:r>
        <w:rPr>
          <w:rFonts w:asciiTheme="minorHAnsi" w:hAnsiTheme="minorHAnsi"/>
          <w:sz w:val="22"/>
          <w:szCs w:val="22"/>
          <w:lang w:val="es-CR"/>
        </w:rPr>
        <w:t xml:space="preserve"> </w:t>
      </w:r>
      <w:r w:rsidRPr="00D465AB">
        <w:rPr>
          <w:rFonts w:asciiTheme="minorHAnsi" w:hAnsiTheme="minorHAnsi"/>
          <w:sz w:val="22"/>
          <w:szCs w:val="22"/>
          <w:lang w:val="es-CR"/>
        </w:rPr>
        <w:t xml:space="preserve">para apoyar </w:t>
      </w:r>
      <w:r w:rsidR="00E5510E">
        <w:rPr>
          <w:rFonts w:asciiTheme="minorHAnsi" w:hAnsiTheme="minorHAnsi"/>
          <w:sz w:val="22"/>
          <w:szCs w:val="22"/>
          <w:lang w:val="es-CR"/>
        </w:rPr>
        <w:t xml:space="preserve">la </w:t>
      </w:r>
      <w:r w:rsidRPr="00D465AB">
        <w:rPr>
          <w:rFonts w:asciiTheme="minorHAnsi" w:hAnsiTheme="minorHAnsi"/>
          <w:sz w:val="22"/>
          <w:szCs w:val="22"/>
          <w:lang w:val="es-CR"/>
        </w:rPr>
        <w:t xml:space="preserve">gestión de riesgo de tipo de cambio. </w:t>
      </w:r>
      <w:r w:rsidR="00F300E2">
        <w:rPr>
          <w:rFonts w:asciiTheme="minorHAnsi" w:hAnsiTheme="minorHAnsi"/>
          <w:sz w:val="22"/>
          <w:szCs w:val="22"/>
          <w:lang w:val="es-CR"/>
        </w:rPr>
        <w:t xml:space="preserve">La investigación </w:t>
      </w:r>
      <w:r w:rsidRPr="00D465AB">
        <w:rPr>
          <w:rFonts w:asciiTheme="minorHAnsi" w:hAnsiTheme="minorHAnsi"/>
          <w:sz w:val="22"/>
          <w:szCs w:val="22"/>
          <w:lang w:val="es-CR"/>
        </w:rPr>
        <w:t>finalizó en agosto de 2010.</w:t>
      </w:r>
      <w:r w:rsidR="00C23D06">
        <w:rPr>
          <w:rFonts w:asciiTheme="minorHAnsi" w:hAnsiTheme="minorHAnsi"/>
          <w:sz w:val="22"/>
          <w:szCs w:val="22"/>
          <w:lang w:val="es-CR"/>
        </w:rPr>
        <w:t xml:space="preserve"> </w:t>
      </w:r>
      <w:r w:rsidR="00F300E2">
        <w:rPr>
          <w:rFonts w:asciiTheme="minorHAnsi" w:hAnsiTheme="minorHAnsi"/>
          <w:sz w:val="22"/>
          <w:szCs w:val="22"/>
          <w:lang w:val="es-CR"/>
        </w:rPr>
        <w:t xml:space="preserve">La investigación, junto con una secuencia de documentos que se elaboraron posteriormente tenía por objeto indagar </w:t>
      </w:r>
      <w:r w:rsidR="00F300E2" w:rsidRPr="00F300E2">
        <w:rPr>
          <w:rFonts w:asciiTheme="minorHAnsi" w:hAnsiTheme="minorHAnsi"/>
          <w:sz w:val="22"/>
          <w:szCs w:val="22"/>
          <w:lang w:val="es-CR"/>
        </w:rPr>
        <w:t xml:space="preserve">por qué, aún cuando se considera que existe la necesidad de </w:t>
      </w:r>
      <w:r w:rsidR="00F300E2">
        <w:rPr>
          <w:rFonts w:asciiTheme="minorHAnsi" w:hAnsiTheme="minorHAnsi"/>
          <w:sz w:val="22"/>
          <w:szCs w:val="22"/>
          <w:lang w:val="es-CR"/>
        </w:rPr>
        <w:t>derivados cambiarios</w:t>
      </w:r>
      <w:r w:rsidR="00F300E2" w:rsidRPr="00F300E2">
        <w:rPr>
          <w:rFonts w:asciiTheme="minorHAnsi" w:hAnsiTheme="minorHAnsi"/>
          <w:sz w:val="22"/>
          <w:szCs w:val="22"/>
          <w:lang w:val="es-CR"/>
        </w:rPr>
        <w:t>, se ha</w:t>
      </w:r>
      <w:r w:rsidR="00F300E2">
        <w:rPr>
          <w:rFonts w:asciiTheme="minorHAnsi" w:hAnsiTheme="minorHAnsi"/>
          <w:sz w:val="22"/>
          <w:szCs w:val="22"/>
          <w:lang w:val="es-CR"/>
        </w:rPr>
        <w:t>bía</w:t>
      </w:r>
      <w:r w:rsidR="00F300E2" w:rsidRPr="00F300E2">
        <w:rPr>
          <w:rFonts w:asciiTheme="minorHAnsi" w:hAnsiTheme="minorHAnsi"/>
          <w:sz w:val="22"/>
          <w:szCs w:val="22"/>
          <w:lang w:val="es-CR"/>
        </w:rPr>
        <w:t xml:space="preserve"> presentado tan escasa actividad en el mercado</w:t>
      </w:r>
      <w:r w:rsidR="00F300E2">
        <w:rPr>
          <w:rFonts w:asciiTheme="minorHAnsi" w:hAnsiTheme="minorHAnsi"/>
          <w:sz w:val="22"/>
          <w:szCs w:val="22"/>
          <w:lang w:val="es-CR"/>
        </w:rPr>
        <w:t>.</w:t>
      </w:r>
      <w:r w:rsidR="00C23D06">
        <w:rPr>
          <w:rFonts w:asciiTheme="minorHAnsi" w:hAnsiTheme="minorHAnsi"/>
          <w:sz w:val="22"/>
          <w:szCs w:val="22"/>
          <w:lang w:val="es-CR"/>
        </w:rPr>
        <w:t xml:space="preserve"> Entre las conclusiones importantes de este informe destacan </w:t>
      </w:r>
      <w:r w:rsidR="00BD244C">
        <w:rPr>
          <w:rFonts w:asciiTheme="minorHAnsi" w:hAnsiTheme="minorHAnsi"/>
          <w:sz w:val="22"/>
          <w:szCs w:val="22"/>
          <w:lang w:val="es-CR"/>
        </w:rPr>
        <w:t xml:space="preserve">la identificación de los siguientes elementos como obstáculos para el desarrollo del mercado de coberturas cambiarias: Los tipos de contrato impulsados (no estandarizados) no son óptimos para el mercado costarricense; </w:t>
      </w:r>
      <w:r w:rsidR="00BD244C" w:rsidRPr="00BD244C">
        <w:rPr>
          <w:rFonts w:asciiTheme="minorHAnsi" w:hAnsiTheme="minorHAnsi"/>
          <w:sz w:val="22"/>
          <w:szCs w:val="22"/>
          <w:lang w:val="es-CR"/>
        </w:rPr>
        <w:t xml:space="preserve">los puestos de bolsa autorizados han adoptado la política de cerrar </w:t>
      </w:r>
      <w:r w:rsidR="00BD244C">
        <w:rPr>
          <w:rFonts w:asciiTheme="minorHAnsi" w:hAnsiTheme="minorHAnsi"/>
          <w:sz w:val="22"/>
          <w:szCs w:val="22"/>
          <w:lang w:val="es-CR"/>
        </w:rPr>
        <w:t xml:space="preserve">contratos </w:t>
      </w:r>
      <w:r w:rsidR="00BD244C" w:rsidRPr="00BD244C">
        <w:rPr>
          <w:rFonts w:asciiTheme="minorHAnsi" w:hAnsiTheme="minorHAnsi"/>
          <w:sz w:val="22"/>
          <w:szCs w:val="22"/>
          <w:lang w:val="es-CR"/>
        </w:rPr>
        <w:t>únicamente cuando emp</w:t>
      </w:r>
      <w:r w:rsidR="00BD244C">
        <w:rPr>
          <w:rFonts w:asciiTheme="minorHAnsi" w:hAnsiTheme="minorHAnsi"/>
          <w:sz w:val="22"/>
          <w:szCs w:val="22"/>
          <w:lang w:val="es-CR"/>
        </w:rPr>
        <w:t xml:space="preserve">aten las dos puntas del negocio; los intermediarios no </w:t>
      </w:r>
      <w:r w:rsidR="00BD244C" w:rsidRPr="00BD244C">
        <w:rPr>
          <w:rFonts w:asciiTheme="minorHAnsi" w:hAnsiTheme="minorHAnsi"/>
          <w:sz w:val="22"/>
          <w:szCs w:val="22"/>
          <w:lang w:val="es-CR"/>
        </w:rPr>
        <w:t>tienen claridad en cuando a que la regulación les permite asumir una de las posiciones</w:t>
      </w:r>
      <w:r w:rsidR="00BD244C">
        <w:rPr>
          <w:rFonts w:asciiTheme="minorHAnsi" w:hAnsiTheme="minorHAnsi"/>
          <w:sz w:val="22"/>
          <w:szCs w:val="22"/>
          <w:lang w:val="es-CR"/>
        </w:rPr>
        <w:t xml:space="preserve"> del derivado ni el mecanismo de cobertura de la operación mediante derivados sintéticos; en el país existe escasa </w:t>
      </w:r>
      <w:r w:rsidR="00BD244C" w:rsidRPr="00BD244C">
        <w:rPr>
          <w:rFonts w:asciiTheme="minorHAnsi" w:hAnsiTheme="minorHAnsi"/>
          <w:sz w:val="22"/>
          <w:szCs w:val="22"/>
          <w:lang w:val="es-CR"/>
        </w:rPr>
        <w:t>experiencia con operaciones OTC</w:t>
      </w:r>
      <w:r w:rsidR="00BD244C">
        <w:rPr>
          <w:rFonts w:asciiTheme="minorHAnsi" w:hAnsiTheme="minorHAnsi"/>
          <w:sz w:val="22"/>
          <w:szCs w:val="22"/>
          <w:lang w:val="es-CR"/>
        </w:rPr>
        <w:t xml:space="preserve">; la fluctuación del tipo de cambio no ha sido suficientemente grande como para motivar una escala de demanda adecuada.  Con base en estos hallazgos se hicieron las siguientes recomendaciones: </w:t>
      </w:r>
      <w:r w:rsidR="00BD244C" w:rsidRPr="00BD244C">
        <w:rPr>
          <w:rFonts w:asciiTheme="minorHAnsi" w:hAnsiTheme="minorHAnsi"/>
          <w:sz w:val="22"/>
          <w:szCs w:val="22"/>
          <w:lang w:val="es-CR"/>
        </w:rPr>
        <w:t>Impulsar un mercado de coberturas cambiarias con instrumentos estandarizados, específicamente futuros</w:t>
      </w:r>
      <w:r w:rsidR="00BD244C">
        <w:rPr>
          <w:rFonts w:asciiTheme="minorHAnsi" w:hAnsiTheme="minorHAnsi"/>
          <w:sz w:val="22"/>
          <w:szCs w:val="22"/>
          <w:lang w:val="es-CR"/>
        </w:rPr>
        <w:t>; p</w:t>
      </w:r>
      <w:r w:rsidR="00BD244C" w:rsidRPr="00BD244C">
        <w:rPr>
          <w:rFonts w:asciiTheme="minorHAnsi" w:hAnsiTheme="minorHAnsi"/>
          <w:sz w:val="22"/>
          <w:szCs w:val="22"/>
          <w:lang w:val="es-CR"/>
        </w:rPr>
        <w:t xml:space="preserve">ermitir el desarrollo paralelo de un mercado de contratos a plazo ejecutado por las instituciones bancarias; </w:t>
      </w:r>
      <w:r w:rsidR="00BD244C">
        <w:rPr>
          <w:rFonts w:asciiTheme="minorHAnsi" w:hAnsiTheme="minorHAnsi"/>
          <w:sz w:val="22"/>
          <w:szCs w:val="22"/>
          <w:lang w:val="es-CR"/>
        </w:rPr>
        <w:t>d</w:t>
      </w:r>
      <w:r w:rsidR="00BD244C" w:rsidRPr="00BD244C">
        <w:rPr>
          <w:rFonts w:asciiTheme="minorHAnsi" w:hAnsiTheme="minorHAnsi"/>
          <w:sz w:val="22"/>
          <w:szCs w:val="22"/>
          <w:lang w:val="es-CR"/>
        </w:rPr>
        <w:t>escartar el denominado contrat</w:t>
      </w:r>
      <w:r w:rsidR="00BD244C">
        <w:rPr>
          <w:rFonts w:asciiTheme="minorHAnsi" w:hAnsiTheme="minorHAnsi"/>
          <w:sz w:val="22"/>
          <w:szCs w:val="22"/>
          <w:lang w:val="es-CR"/>
        </w:rPr>
        <w:t xml:space="preserve">o de diferencia tal y como estaba concebido en ese momento.  El documento fue </w:t>
      </w:r>
      <w:r w:rsidR="00FB4278">
        <w:rPr>
          <w:rFonts w:asciiTheme="minorHAnsi" w:hAnsiTheme="minorHAnsi"/>
          <w:sz w:val="22"/>
          <w:szCs w:val="22"/>
          <w:lang w:val="es-CR"/>
        </w:rPr>
        <w:t xml:space="preserve">remitido al Superintendente Flores </w:t>
      </w:r>
      <w:r w:rsidR="00FB4278" w:rsidRPr="00D465AB">
        <w:rPr>
          <w:rFonts w:asciiTheme="minorHAnsi" w:hAnsiTheme="minorHAnsi"/>
          <w:sz w:val="22"/>
          <w:szCs w:val="22"/>
          <w:lang w:val="es-CR"/>
        </w:rPr>
        <w:t>Sittenfeld</w:t>
      </w:r>
      <w:r w:rsidR="00FB4278">
        <w:rPr>
          <w:rFonts w:asciiTheme="minorHAnsi" w:hAnsiTheme="minorHAnsi"/>
          <w:sz w:val="22"/>
          <w:szCs w:val="22"/>
          <w:lang w:val="es-CR"/>
        </w:rPr>
        <w:t xml:space="preserve"> quien promovió su discusión y retroalimentación impulsando la presentación de sus resultados a los mandos medios de la Superintendencia.</w:t>
      </w:r>
    </w:p>
    <w:p w:rsidR="00D465AB" w:rsidRPr="00F300E2" w:rsidRDefault="00D465AB" w:rsidP="00F226CD">
      <w:pPr>
        <w:pStyle w:val="ListParagraph"/>
        <w:numPr>
          <w:ilvl w:val="0"/>
          <w:numId w:val="3"/>
        </w:numPr>
        <w:spacing w:after="120"/>
        <w:ind w:left="426" w:hanging="357"/>
        <w:contextualSpacing w:val="0"/>
        <w:jc w:val="both"/>
        <w:rPr>
          <w:rFonts w:asciiTheme="minorHAnsi" w:hAnsiTheme="minorHAnsi"/>
          <w:sz w:val="22"/>
          <w:szCs w:val="22"/>
          <w:lang w:val="es-CR"/>
        </w:rPr>
      </w:pPr>
      <w:r w:rsidRPr="00E5510E">
        <w:rPr>
          <w:rFonts w:asciiTheme="minorHAnsi" w:hAnsiTheme="minorHAnsi"/>
          <w:i/>
          <w:sz w:val="22"/>
          <w:szCs w:val="22"/>
          <w:lang w:val="es-CR"/>
        </w:rPr>
        <w:t>Uso de coberturas cambiarias a nivel mundial y su potencial uso en Costa Rica</w:t>
      </w:r>
      <w:r w:rsidRPr="00F300E2">
        <w:rPr>
          <w:rFonts w:asciiTheme="minorHAnsi" w:hAnsiTheme="minorHAnsi"/>
          <w:sz w:val="22"/>
          <w:szCs w:val="22"/>
          <w:lang w:val="es-CR"/>
        </w:rPr>
        <w:t xml:space="preserve">. </w:t>
      </w:r>
      <w:r w:rsidR="00E102BF" w:rsidRPr="00F300E2">
        <w:rPr>
          <w:rFonts w:asciiTheme="minorHAnsi" w:hAnsiTheme="minorHAnsi"/>
          <w:sz w:val="22"/>
          <w:szCs w:val="22"/>
          <w:lang w:val="es-CR"/>
        </w:rPr>
        <w:t>Esta i</w:t>
      </w:r>
      <w:r w:rsidRPr="00F300E2">
        <w:rPr>
          <w:rFonts w:asciiTheme="minorHAnsi" w:hAnsiTheme="minorHAnsi"/>
          <w:sz w:val="22"/>
          <w:szCs w:val="22"/>
          <w:lang w:val="es-CR"/>
        </w:rPr>
        <w:t>nvestigación</w:t>
      </w:r>
      <w:r w:rsidR="00E102BF" w:rsidRPr="00F300E2">
        <w:rPr>
          <w:rFonts w:asciiTheme="minorHAnsi" w:hAnsiTheme="minorHAnsi"/>
          <w:sz w:val="22"/>
          <w:szCs w:val="22"/>
          <w:lang w:val="es-CR"/>
        </w:rPr>
        <w:t xml:space="preserve"> fue </w:t>
      </w:r>
      <w:r w:rsidRPr="00F300E2">
        <w:rPr>
          <w:rFonts w:asciiTheme="minorHAnsi" w:hAnsiTheme="minorHAnsi"/>
          <w:sz w:val="22"/>
          <w:szCs w:val="22"/>
          <w:lang w:val="es-CR"/>
        </w:rPr>
        <w:t xml:space="preserve">solicitada por el anterior Superintendente General de Valores,  señor Juan José Flores </w:t>
      </w:r>
      <w:r w:rsidR="00E102BF" w:rsidRPr="00F300E2">
        <w:rPr>
          <w:rFonts w:asciiTheme="minorHAnsi" w:hAnsiTheme="minorHAnsi"/>
          <w:sz w:val="22"/>
          <w:szCs w:val="22"/>
          <w:lang w:val="es-CR"/>
        </w:rPr>
        <w:t xml:space="preserve">Sittenfeld, </w:t>
      </w:r>
      <w:r w:rsidRPr="00F300E2">
        <w:rPr>
          <w:rFonts w:asciiTheme="minorHAnsi" w:hAnsiTheme="minorHAnsi"/>
          <w:sz w:val="22"/>
          <w:szCs w:val="22"/>
          <w:lang w:val="es-CR"/>
        </w:rPr>
        <w:t>para apoyar</w:t>
      </w:r>
      <w:r w:rsidR="00E102BF" w:rsidRPr="00F300E2">
        <w:rPr>
          <w:rFonts w:asciiTheme="minorHAnsi" w:hAnsiTheme="minorHAnsi"/>
          <w:sz w:val="22"/>
          <w:szCs w:val="22"/>
          <w:lang w:val="es-CR"/>
        </w:rPr>
        <w:t xml:space="preserve"> la</w:t>
      </w:r>
      <w:r w:rsidRPr="00F300E2">
        <w:rPr>
          <w:rFonts w:asciiTheme="minorHAnsi" w:hAnsiTheme="minorHAnsi"/>
          <w:sz w:val="22"/>
          <w:szCs w:val="22"/>
          <w:lang w:val="es-CR"/>
        </w:rPr>
        <w:t xml:space="preserve"> gestión de riesgo de tipo de cambio.  E</w:t>
      </w:r>
      <w:r w:rsidR="00F300E2" w:rsidRPr="00F300E2">
        <w:rPr>
          <w:rFonts w:asciiTheme="minorHAnsi" w:hAnsiTheme="minorHAnsi"/>
          <w:sz w:val="22"/>
          <w:szCs w:val="22"/>
          <w:lang w:val="es-CR"/>
        </w:rPr>
        <w:t>l documento final se remitió al Despacho del Superintendente en febrero</w:t>
      </w:r>
      <w:r w:rsidRPr="00F300E2">
        <w:rPr>
          <w:rFonts w:asciiTheme="minorHAnsi" w:hAnsiTheme="minorHAnsi"/>
          <w:sz w:val="22"/>
          <w:szCs w:val="22"/>
          <w:lang w:val="es-CR"/>
        </w:rPr>
        <w:t xml:space="preserve"> de 2011.</w:t>
      </w:r>
      <w:r w:rsidR="00FB4278" w:rsidRPr="00F300E2">
        <w:rPr>
          <w:rFonts w:asciiTheme="minorHAnsi" w:hAnsiTheme="minorHAnsi"/>
          <w:sz w:val="22"/>
          <w:szCs w:val="22"/>
          <w:lang w:val="es-CR"/>
        </w:rPr>
        <w:t xml:space="preserve"> </w:t>
      </w:r>
      <w:r w:rsidR="00F300E2" w:rsidRPr="00F300E2">
        <w:rPr>
          <w:rFonts w:asciiTheme="minorHAnsi" w:hAnsiTheme="minorHAnsi"/>
          <w:sz w:val="22"/>
          <w:szCs w:val="22"/>
          <w:lang w:val="es-CR"/>
        </w:rPr>
        <w:t xml:space="preserve">La investigación tuvo por objeto respaldar la recomendación de impulsar un mercado de coberturas cambiarias estandarizadas en contraposición a uno de coberturas OTC emitida en el informe </w:t>
      </w:r>
      <w:r w:rsidR="00F300E2" w:rsidRPr="00F300E2">
        <w:rPr>
          <w:rFonts w:asciiTheme="minorHAnsi" w:hAnsiTheme="minorHAnsi"/>
          <w:i/>
          <w:sz w:val="22"/>
          <w:szCs w:val="22"/>
          <w:lang w:val="es-CR"/>
        </w:rPr>
        <w:t>Coberturas cambiaras en Costa Rica. Diagnóstico y recomendaciones</w:t>
      </w:r>
      <w:r w:rsidR="00E5510E">
        <w:rPr>
          <w:rFonts w:asciiTheme="minorHAnsi" w:hAnsiTheme="minorHAnsi"/>
          <w:sz w:val="22"/>
          <w:szCs w:val="22"/>
          <w:lang w:val="es-CR"/>
        </w:rPr>
        <w:t>.  S</w:t>
      </w:r>
      <w:r w:rsidR="00F300E2" w:rsidRPr="00F300E2">
        <w:rPr>
          <w:rFonts w:asciiTheme="minorHAnsi" w:hAnsiTheme="minorHAnsi"/>
          <w:sz w:val="22"/>
          <w:szCs w:val="22"/>
          <w:lang w:val="es-CR"/>
        </w:rPr>
        <w:t>e profundizó el tema analizando con más detalle por qué a nivel mundial las coberturas OTC dominan sobre las estandarizadas</w:t>
      </w:r>
      <w:r w:rsidR="00E5510E">
        <w:rPr>
          <w:rFonts w:asciiTheme="minorHAnsi" w:hAnsiTheme="minorHAnsi"/>
          <w:sz w:val="22"/>
          <w:szCs w:val="22"/>
          <w:lang w:val="es-CR"/>
        </w:rPr>
        <w:t>.</w:t>
      </w:r>
      <w:r w:rsidR="00F300E2" w:rsidRPr="00F300E2">
        <w:rPr>
          <w:rFonts w:asciiTheme="minorHAnsi" w:hAnsiTheme="minorHAnsi"/>
          <w:sz w:val="22"/>
          <w:szCs w:val="22"/>
          <w:lang w:val="es-CR"/>
        </w:rPr>
        <w:t xml:space="preserve">  </w:t>
      </w:r>
      <w:r w:rsidR="00FB4278" w:rsidRPr="00F300E2">
        <w:rPr>
          <w:rFonts w:asciiTheme="minorHAnsi" w:hAnsiTheme="minorHAnsi"/>
          <w:sz w:val="22"/>
          <w:szCs w:val="22"/>
          <w:lang w:val="es-CR"/>
        </w:rPr>
        <w:t xml:space="preserve"> Entre las conclusiones importantes de este informe destacan que a nivel mundial y en términos de valor negociado total, las coberturas cambiarias OTC dominan abrumadoramente sobre las estandarizadas; existen economías de escala en la adquisición de este tipo de instrumentos; en América Latina las coberturas estandarizadas son utilizadas más intensivamente que en economías más grandes; la principal razón para la dominancia de las coberturas OTC a nivel mundial es que estas son efectuadas en contratos por montos muy elevados y principalmente por empresas grandes; en Costa Rica el segmento de clientes </w:t>
      </w:r>
      <w:r w:rsidR="00FB4278" w:rsidRPr="00F300E2">
        <w:rPr>
          <w:rFonts w:asciiTheme="minorHAnsi" w:hAnsiTheme="minorHAnsi"/>
          <w:sz w:val="22"/>
          <w:szCs w:val="22"/>
          <w:lang w:val="es-CR"/>
        </w:rPr>
        <w:lastRenderedPageBreak/>
        <w:t xml:space="preserve">potenciales en un mercado de coberturas cambiarias asociado al comercio internacional está dominado, en número, por empresas pequeñas y medianas de las cuales a lo sumo el 1% (exportadores) o el 0.2% (importadores) tendrían escala de ventas suficiente como para hacer contratos </w:t>
      </w:r>
      <w:r w:rsidR="00FB4278" w:rsidRPr="00E5510E">
        <w:rPr>
          <w:rFonts w:asciiTheme="minorHAnsi" w:hAnsiTheme="minorHAnsi"/>
          <w:i/>
          <w:sz w:val="22"/>
          <w:szCs w:val="22"/>
          <w:lang w:val="es-CR"/>
        </w:rPr>
        <w:t>forward</w:t>
      </w:r>
      <w:r w:rsidR="00FB4278" w:rsidRPr="00F300E2">
        <w:rPr>
          <w:rFonts w:asciiTheme="minorHAnsi" w:hAnsiTheme="minorHAnsi"/>
          <w:sz w:val="22"/>
          <w:szCs w:val="22"/>
          <w:lang w:val="es-CR"/>
        </w:rPr>
        <w:t xml:space="preserve"> en la escala típica en que se efectúan a nivel internacional.  El documento de investigación fue remitido al anterior Superintendente Flores Sittenfeld quien promovió su distribución entre funcionarios de la superintendencia</w:t>
      </w:r>
      <w:r w:rsidR="009A3360" w:rsidRPr="00F300E2">
        <w:rPr>
          <w:rFonts w:asciiTheme="minorHAnsi" w:hAnsiTheme="minorHAnsi"/>
          <w:sz w:val="22"/>
          <w:szCs w:val="22"/>
          <w:lang w:val="es-CR"/>
        </w:rPr>
        <w:t>.</w:t>
      </w:r>
    </w:p>
    <w:p w:rsidR="00D465AB" w:rsidRPr="00BF3DDC" w:rsidRDefault="00D465AB" w:rsidP="00BF3DDC">
      <w:pPr>
        <w:pStyle w:val="Bullet"/>
        <w:ind w:left="426"/>
        <w:rPr>
          <w:rFonts w:asciiTheme="minorHAnsi" w:hAnsiTheme="minorHAnsi"/>
        </w:rPr>
      </w:pPr>
      <w:r w:rsidRPr="00BF3DDC">
        <w:rPr>
          <w:rFonts w:asciiTheme="minorHAnsi" w:hAnsiTheme="minorHAnsi"/>
          <w:i/>
        </w:rPr>
        <w:t>Liquidez de</w:t>
      </w:r>
      <w:r w:rsidR="00E5510E" w:rsidRPr="00BF3DDC">
        <w:rPr>
          <w:rFonts w:asciiTheme="minorHAnsi" w:hAnsiTheme="minorHAnsi"/>
          <w:i/>
        </w:rPr>
        <w:t>l mercado de monedas extranjeras (</w:t>
      </w:r>
      <w:r w:rsidRPr="00BF3DDC">
        <w:rPr>
          <w:rFonts w:asciiTheme="minorHAnsi" w:hAnsiTheme="minorHAnsi"/>
          <w:i/>
        </w:rPr>
        <w:t>M</w:t>
      </w:r>
      <w:r w:rsidR="00E5510E" w:rsidRPr="00BF3DDC">
        <w:rPr>
          <w:rFonts w:asciiTheme="minorHAnsi" w:hAnsiTheme="minorHAnsi"/>
          <w:i/>
        </w:rPr>
        <w:t>onex) en Costa Rica</w:t>
      </w:r>
      <w:r w:rsidRPr="00BF3DDC">
        <w:rPr>
          <w:rFonts w:asciiTheme="minorHAnsi" w:hAnsiTheme="minorHAnsi"/>
        </w:rPr>
        <w:t xml:space="preserve">. </w:t>
      </w:r>
      <w:r w:rsidR="00E102BF" w:rsidRPr="00BF3DDC">
        <w:rPr>
          <w:rFonts w:asciiTheme="minorHAnsi" w:hAnsiTheme="minorHAnsi"/>
        </w:rPr>
        <w:t xml:space="preserve">Esta investigación fue </w:t>
      </w:r>
      <w:r w:rsidRPr="00BF3DDC">
        <w:rPr>
          <w:rFonts w:asciiTheme="minorHAnsi" w:hAnsiTheme="minorHAnsi"/>
        </w:rPr>
        <w:t>realizad</w:t>
      </w:r>
      <w:r w:rsidR="00E102BF" w:rsidRPr="00BF3DDC">
        <w:rPr>
          <w:rFonts w:asciiTheme="minorHAnsi" w:hAnsiTheme="minorHAnsi"/>
        </w:rPr>
        <w:t>a</w:t>
      </w:r>
      <w:r w:rsidRPr="00BF3DDC">
        <w:rPr>
          <w:rFonts w:asciiTheme="minorHAnsi" w:hAnsiTheme="minorHAnsi"/>
        </w:rPr>
        <w:t xml:space="preserve"> de oficio como c</w:t>
      </w:r>
      <w:r w:rsidR="00E102BF" w:rsidRPr="00BF3DDC">
        <w:rPr>
          <w:rFonts w:asciiTheme="minorHAnsi" w:hAnsiTheme="minorHAnsi"/>
        </w:rPr>
        <w:t>omplemento a los Informes 1 y 2 y se</w:t>
      </w:r>
      <w:r w:rsidRPr="00BF3DDC">
        <w:rPr>
          <w:rFonts w:asciiTheme="minorHAnsi" w:hAnsiTheme="minorHAnsi"/>
        </w:rPr>
        <w:t xml:space="preserve"> finalizó en junio de 2012.</w:t>
      </w:r>
      <w:r w:rsidR="00390BAC" w:rsidRPr="00BF3DDC">
        <w:rPr>
          <w:rFonts w:asciiTheme="minorHAnsi" w:hAnsiTheme="minorHAnsi"/>
        </w:rPr>
        <w:t xml:space="preserve">  </w:t>
      </w:r>
      <w:r w:rsidR="00974638" w:rsidRPr="00BF3DDC">
        <w:rPr>
          <w:rFonts w:asciiTheme="minorHAnsi" w:hAnsiTheme="minorHAnsi"/>
        </w:rPr>
        <w:t xml:space="preserve">El estudio tuvo como objetivo analizar si el nivel de liquidez del mercado de contado de divisas en Costa Rica constituye un impedimento para la implementación de un mercado organizado de futuros cambiarios.  </w:t>
      </w:r>
      <w:r w:rsidR="00390BAC" w:rsidRPr="00BF3DDC">
        <w:rPr>
          <w:rFonts w:asciiTheme="minorHAnsi" w:hAnsiTheme="minorHAnsi"/>
        </w:rPr>
        <w:t xml:space="preserve">Entre las conclusiones importantes de este informe destacan: El Mercado de monedas extranjeras (Monex) del Banco Central presenta un nivel de liquidez (medida de tres formas: diferencia media entre mejores posturas de compra y venta, impacto sobre el precio de choques sobre el flujo de órdenes y sobrereacción que presenta el retorno del tipo de cambio ante un determinado cambio en el flujo de órdenes)  comparable con el de plazas electrónicas de negociación internacionales donde se negocian los pares de monedas más importantes; </w:t>
      </w:r>
      <w:r w:rsidR="00E5510E" w:rsidRPr="00BF3DDC">
        <w:rPr>
          <w:rFonts w:asciiTheme="minorHAnsi" w:hAnsiTheme="minorHAnsi"/>
        </w:rPr>
        <w:t>de esta</w:t>
      </w:r>
      <w:r w:rsidR="00390BAC" w:rsidRPr="00BF3DDC">
        <w:rPr>
          <w:rFonts w:asciiTheme="minorHAnsi" w:hAnsiTheme="minorHAnsi"/>
        </w:rPr>
        <w:t xml:space="preserve"> manera el argumento de que la liquidez del Monex constituye un impedimento para el desarrollo de derivados cambiarios en Costa Rica debe ser descartado; la liquidez que presenta el Monex es apta para desarrollar sobre su base un mercado organizado de coberturas cambiarias en Costa Rica.  La finalización de este documento se dio entre la salida del Superintendente Flores Sittenfeld y la entrada del </w:t>
      </w:r>
      <w:r w:rsidR="0031378C" w:rsidRPr="00BF3DDC">
        <w:rPr>
          <w:rFonts w:asciiTheme="minorHAnsi" w:hAnsiTheme="minorHAnsi"/>
        </w:rPr>
        <w:t>Sr. Arias Poveda, así que le fue remitido a este último sin que</w:t>
      </w:r>
      <w:r w:rsidR="00BF3DDC">
        <w:rPr>
          <w:rFonts w:asciiTheme="minorHAnsi" w:hAnsiTheme="minorHAnsi"/>
        </w:rPr>
        <w:t>,</w:t>
      </w:r>
      <w:r w:rsidR="0031378C" w:rsidRPr="00BF3DDC">
        <w:rPr>
          <w:rFonts w:asciiTheme="minorHAnsi" w:hAnsiTheme="minorHAnsi"/>
        </w:rPr>
        <w:t xml:space="preserve"> hasta la fecha de mi salida de la </w:t>
      </w:r>
      <w:r w:rsidR="00E5510E" w:rsidRPr="00BF3DDC">
        <w:rPr>
          <w:rFonts w:asciiTheme="minorHAnsi" w:hAnsiTheme="minorHAnsi"/>
        </w:rPr>
        <w:t>superintendencia</w:t>
      </w:r>
      <w:r w:rsidR="00BF3DDC">
        <w:rPr>
          <w:rFonts w:asciiTheme="minorHAnsi" w:hAnsiTheme="minorHAnsi"/>
        </w:rPr>
        <w:t>,</w:t>
      </w:r>
      <w:r w:rsidR="0031378C" w:rsidRPr="00BF3DDC">
        <w:rPr>
          <w:rFonts w:asciiTheme="minorHAnsi" w:hAnsiTheme="minorHAnsi"/>
        </w:rPr>
        <w:t xml:space="preserve"> se recibiera algún comentario</w:t>
      </w:r>
      <w:r w:rsidR="00E5510E" w:rsidRPr="00BF3DDC">
        <w:rPr>
          <w:rFonts w:asciiTheme="minorHAnsi" w:hAnsiTheme="minorHAnsi"/>
        </w:rPr>
        <w:t xml:space="preserve">, </w:t>
      </w:r>
      <w:r w:rsidR="0031378C" w:rsidRPr="00BF3DDC">
        <w:rPr>
          <w:rFonts w:asciiTheme="minorHAnsi" w:hAnsiTheme="minorHAnsi"/>
        </w:rPr>
        <w:t>retroalimentación</w:t>
      </w:r>
      <w:r w:rsidR="00E5510E" w:rsidRPr="00BF3DDC">
        <w:rPr>
          <w:rFonts w:asciiTheme="minorHAnsi" w:hAnsiTheme="minorHAnsi"/>
        </w:rPr>
        <w:t xml:space="preserve"> o se impulsara su discusión a algún nivel</w:t>
      </w:r>
      <w:r w:rsidR="0031378C" w:rsidRPr="00BF3DDC">
        <w:rPr>
          <w:rFonts w:asciiTheme="minorHAnsi" w:hAnsiTheme="minorHAnsi"/>
        </w:rPr>
        <w:t xml:space="preserve">.  En vista de esto, </w:t>
      </w:r>
      <w:r w:rsidR="00E5510E" w:rsidRPr="00BF3DDC">
        <w:rPr>
          <w:rFonts w:asciiTheme="minorHAnsi" w:hAnsiTheme="minorHAnsi"/>
        </w:rPr>
        <w:t xml:space="preserve">y </w:t>
      </w:r>
      <w:r w:rsidR="0031378C" w:rsidRPr="00BF3DDC">
        <w:rPr>
          <w:rFonts w:asciiTheme="minorHAnsi" w:hAnsiTheme="minorHAnsi"/>
        </w:rPr>
        <w:t>apoyad</w:t>
      </w:r>
      <w:r w:rsidR="00E5510E" w:rsidRPr="00BF3DDC">
        <w:rPr>
          <w:rFonts w:asciiTheme="minorHAnsi" w:hAnsiTheme="minorHAnsi"/>
        </w:rPr>
        <w:t>o</w:t>
      </w:r>
      <w:r w:rsidR="0031378C" w:rsidRPr="00BF3DDC">
        <w:rPr>
          <w:rFonts w:asciiTheme="minorHAnsi" w:hAnsiTheme="minorHAnsi"/>
        </w:rPr>
        <w:t xml:space="preserve"> por la Dirección de la División de Investigación y Normativa,  promov</w:t>
      </w:r>
      <w:r w:rsidR="00E5510E" w:rsidRPr="00BF3DDC">
        <w:rPr>
          <w:rFonts w:asciiTheme="minorHAnsi" w:hAnsiTheme="minorHAnsi"/>
        </w:rPr>
        <w:t xml:space="preserve">í </w:t>
      </w:r>
      <w:r w:rsidR="0031378C" w:rsidRPr="00BF3DDC">
        <w:rPr>
          <w:rFonts w:asciiTheme="minorHAnsi" w:hAnsiTheme="minorHAnsi"/>
        </w:rPr>
        <w:t>la presentación del documento en el Banco Central donde fue discutido, se recibieron</w:t>
      </w:r>
      <w:r w:rsidR="00E5510E" w:rsidRPr="00BF3DDC">
        <w:rPr>
          <w:rFonts w:asciiTheme="minorHAnsi" w:hAnsiTheme="minorHAnsi"/>
        </w:rPr>
        <w:t xml:space="preserve"> valiosos aporte y se informó sobre</w:t>
      </w:r>
      <w:r w:rsidR="0031378C" w:rsidRPr="00BF3DDC">
        <w:rPr>
          <w:rFonts w:asciiTheme="minorHAnsi" w:hAnsiTheme="minorHAnsi"/>
        </w:rPr>
        <w:t xml:space="preserve"> los hallazgos. </w:t>
      </w:r>
    </w:p>
    <w:p w:rsidR="006C4DE6" w:rsidRPr="00F15705" w:rsidRDefault="00D465AB" w:rsidP="00F226CD">
      <w:pPr>
        <w:pStyle w:val="Bullet"/>
        <w:ind w:left="426"/>
      </w:pPr>
      <w:r w:rsidRPr="001E433B">
        <w:rPr>
          <w:rFonts w:asciiTheme="minorHAnsi" w:hAnsiTheme="minorHAnsi"/>
          <w:i/>
        </w:rPr>
        <w:t>Derivados cambiarios – obstáculos regulatorios para su desarrollo</w:t>
      </w:r>
      <w:r w:rsidRPr="00E102BF">
        <w:rPr>
          <w:rFonts w:asciiTheme="minorHAnsi" w:hAnsiTheme="minorHAnsi"/>
        </w:rPr>
        <w:t xml:space="preserve">. </w:t>
      </w:r>
      <w:r w:rsidR="00E102BF">
        <w:rPr>
          <w:rFonts w:asciiTheme="minorHAnsi" w:hAnsiTheme="minorHAnsi"/>
        </w:rPr>
        <w:t>Esta investigación se</w:t>
      </w:r>
      <w:r w:rsidRPr="00E102BF">
        <w:rPr>
          <w:rFonts w:asciiTheme="minorHAnsi" w:hAnsiTheme="minorHAnsi"/>
        </w:rPr>
        <w:t xml:space="preserve"> realiz</w:t>
      </w:r>
      <w:r w:rsidR="00E102BF">
        <w:rPr>
          <w:rFonts w:asciiTheme="minorHAnsi" w:hAnsiTheme="minorHAnsi"/>
        </w:rPr>
        <w:t>ó</w:t>
      </w:r>
      <w:r w:rsidRPr="00E102BF">
        <w:rPr>
          <w:rFonts w:asciiTheme="minorHAnsi" w:hAnsiTheme="minorHAnsi"/>
        </w:rPr>
        <w:t xml:space="preserve"> de oficio para apoyar gest</w:t>
      </w:r>
      <w:r w:rsidR="00E102BF">
        <w:rPr>
          <w:rFonts w:asciiTheme="minorHAnsi" w:hAnsiTheme="minorHAnsi"/>
        </w:rPr>
        <w:t xml:space="preserve">ión de riesgo de tipo de cambio y </w:t>
      </w:r>
      <w:r w:rsidRPr="00E102BF">
        <w:rPr>
          <w:rFonts w:asciiTheme="minorHAnsi" w:hAnsiTheme="minorHAnsi"/>
        </w:rPr>
        <w:t>finalizó en agosto de 2012.</w:t>
      </w:r>
      <w:r w:rsidR="0031378C">
        <w:rPr>
          <w:rFonts w:asciiTheme="minorHAnsi" w:hAnsiTheme="minorHAnsi"/>
        </w:rPr>
        <w:t xml:space="preserve"> </w:t>
      </w:r>
      <w:r w:rsidR="00974638">
        <w:rPr>
          <w:rFonts w:asciiTheme="minorHAnsi" w:hAnsiTheme="minorHAnsi"/>
        </w:rPr>
        <w:t xml:space="preserve">El objetivo de la investigación fue </w:t>
      </w:r>
      <w:r w:rsidR="00974638" w:rsidRPr="00974638">
        <w:rPr>
          <w:rFonts w:asciiTheme="minorHAnsi" w:hAnsiTheme="minorHAnsi"/>
        </w:rPr>
        <w:t>determinar la existencia de obstáculos al desarrollo de las operaciones con forwards, contratos de diferencia y futuros cambiarios dado el escaso número de operaciones que a la fecha se regist</w:t>
      </w:r>
      <w:r w:rsidR="00974638">
        <w:rPr>
          <w:rFonts w:asciiTheme="minorHAnsi" w:hAnsiTheme="minorHAnsi"/>
        </w:rPr>
        <w:t xml:space="preserve">raban.  </w:t>
      </w:r>
      <w:r w:rsidR="0031378C">
        <w:rPr>
          <w:rFonts w:asciiTheme="minorHAnsi" w:hAnsiTheme="minorHAnsi"/>
        </w:rPr>
        <w:t xml:space="preserve">Entre las principales conclusiones de la investigación destacan: </w:t>
      </w:r>
      <w:r w:rsidR="0031378C" w:rsidRPr="00060DA6">
        <w:rPr>
          <w:rFonts w:asciiTheme="minorHAnsi" w:hAnsiTheme="minorHAnsi"/>
        </w:rPr>
        <w:t>A pesar de que desde el año 2008 se emitió el “Reglamento para operaciones con derivados cambiarios”, para la fecha de conclusión del documento no se contaba con guías contables para el registro de estas operaciones; el esquema contable propuesto por el entonces denominado  “Comité de Derivados Cambiarios”</w:t>
      </w:r>
      <w:r w:rsidR="00060DA6" w:rsidRPr="00060DA6">
        <w:rPr>
          <w:rFonts w:asciiTheme="minorHAnsi" w:hAnsiTheme="minorHAnsi"/>
        </w:rPr>
        <w:t xml:space="preserve"> puede simplificarse sustancialmente; se replanteó el esquema de contabilización de los derivados cambiarios poniendo énfasis en la moneda de las cuentas y los montos que deben ser registradas (cuestiones básicas ausentes en la propuesta del “Comité de Derivados Cambiarios”) para que la regulación prudencial y normativa fiscal sea de fácil aplicación a los instrumentos derivados</w:t>
      </w:r>
      <w:r w:rsidR="00060DA6">
        <w:rPr>
          <w:rFonts w:asciiTheme="minorHAnsi" w:hAnsiTheme="minorHAnsi"/>
        </w:rPr>
        <w:t>; e</w:t>
      </w:r>
      <w:r w:rsidR="00060DA6" w:rsidRPr="006C4DE6">
        <w:rPr>
          <w:rFonts w:asciiTheme="minorHAnsi" w:hAnsiTheme="minorHAnsi"/>
        </w:rPr>
        <w:t xml:space="preserve">l límite a la variación diaria de la posición propia de divisas (±4% del patrimonio), cuyo objetivo es limitar la volatilidad del tipo de cambio en el mercado de </w:t>
      </w:r>
      <w:r w:rsidR="00060DA6" w:rsidRPr="006C4DE6">
        <w:rPr>
          <w:rFonts w:asciiTheme="minorHAnsi" w:hAnsiTheme="minorHAnsi"/>
        </w:rPr>
        <w:lastRenderedPageBreak/>
        <w:t>contado, constituye un obstáculo regulatorio al desarrollo del mercado de coberturas cambiarias toda vez que dentro de ese indicador se incluyen las operaciones con derivados</w:t>
      </w:r>
      <w:r w:rsidR="006C4DE6" w:rsidRPr="006C4DE6">
        <w:rPr>
          <w:rFonts w:asciiTheme="minorHAnsi" w:hAnsiTheme="minorHAnsi"/>
        </w:rPr>
        <w:t xml:space="preserve"> y éstas no generan volatilidad en el mercado de contado; se considera que el art. 14 del “Reglamento para operaciones cambiarias de contado”, donde el Banco Central limita la posición propia de los regulados de Sugeval y Sugef al ±100% de su patrimonio es </w:t>
      </w:r>
      <w:r w:rsidR="00840BB5">
        <w:rPr>
          <w:rFonts w:asciiTheme="minorHAnsi" w:hAnsiTheme="minorHAnsi"/>
        </w:rPr>
        <w:t xml:space="preserve">una </w:t>
      </w:r>
      <w:r w:rsidR="006C4DE6" w:rsidRPr="006C4DE6">
        <w:rPr>
          <w:rFonts w:asciiTheme="minorHAnsi" w:hAnsiTheme="minorHAnsi"/>
        </w:rPr>
        <w:t xml:space="preserve">medida prudencial y no corresponde al objetivo de limitar la volatilidad del tipo de cambio de contado, por lo que debería ser </w:t>
      </w:r>
      <w:r w:rsidR="006C4DE6">
        <w:rPr>
          <w:rFonts w:asciiTheme="minorHAnsi" w:hAnsiTheme="minorHAnsi"/>
        </w:rPr>
        <w:t xml:space="preserve">eliminada; las limitaciones que impone la regulación de Sugeval </w:t>
      </w:r>
      <w:r w:rsidR="006C4DE6" w:rsidRPr="006C4DE6">
        <w:rPr>
          <w:rFonts w:asciiTheme="minorHAnsi" w:hAnsiTheme="minorHAnsi"/>
        </w:rPr>
        <w:t xml:space="preserve">(“Reglamento para la gestión de riesgos”, art. 15 inciso b) a la posición neta en derivados cambiarios debería ser impuesta en relación a un indicador global de riesgo de tipo de cambio, no solo a la posición en derivados y además debería formularse en términos de requerimiento de capital </w:t>
      </w:r>
      <w:r w:rsidR="006C4DE6">
        <w:rPr>
          <w:rFonts w:asciiTheme="minorHAnsi" w:hAnsiTheme="minorHAnsi"/>
        </w:rPr>
        <w:t>(igual que la reglamentación de riesgo de crédito, mercado y operativo) y no como límite; se recomienda modificar el cálculo de la p</w:t>
      </w:r>
      <w:r w:rsidR="006C4DE6" w:rsidRPr="006C4DE6">
        <w:rPr>
          <w:rFonts w:asciiTheme="minorHAnsi" w:hAnsiTheme="minorHAnsi"/>
        </w:rPr>
        <w:t xml:space="preserve">osición neta en derivados cambiarios para incluir todas las operaciones por cuenta propia excepto las contabilizadas como coberturas de flujos de efectivo y el porcentaje de requerimiento de capital que </w:t>
      </w:r>
      <w:r w:rsidR="006C4DE6" w:rsidRPr="00AB7E5E">
        <w:rPr>
          <w:rFonts w:asciiTheme="minorHAnsi" w:hAnsiTheme="minorHAnsi"/>
        </w:rPr>
        <w:t>se</w:t>
      </w:r>
      <w:r w:rsidR="006C4DE6" w:rsidRPr="006C4DE6">
        <w:rPr>
          <w:rFonts w:asciiTheme="minorHAnsi" w:hAnsiTheme="minorHAnsi"/>
        </w:rPr>
        <w:t xml:space="preserve"> imponga a la posición propia en divisas debe tener como referencia la volatilidad histórica del TC</w:t>
      </w:r>
      <w:r w:rsidR="006C4DE6">
        <w:rPr>
          <w:rFonts w:asciiTheme="minorHAnsi" w:hAnsiTheme="minorHAnsi"/>
        </w:rPr>
        <w:t>; s</w:t>
      </w:r>
      <w:r w:rsidR="006C4DE6" w:rsidRPr="006C4DE6">
        <w:rPr>
          <w:rFonts w:asciiTheme="minorHAnsi" w:hAnsiTheme="minorHAnsi"/>
        </w:rPr>
        <w:t>e sugiere que la Sugef adopte una regulación del riesgo de tipo de cambio con las mismas características y que elimine el límite global a la posición propia de los intermediarios financieros del ±100% de su</w:t>
      </w:r>
      <w:r w:rsidR="006C4DE6">
        <w:rPr>
          <w:rFonts w:asciiTheme="minorHAnsi" w:hAnsiTheme="minorHAnsi"/>
        </w:rPr>
        <w:t xml:space="preserve"> patrimonio pues esto </w:t>
      </w:r>
      <w:r w:rsidR="006C4DE6" w:rsidRPr="006C4DE6">
        <w:rPr>
          <w:rFonts w:asciiTheme="minorHAnsi" w:hAnsiTheme="minorHAnsi"/>
        </w:rPr>
        <w:t>se considera una limitación inadecuada a las operaciones con forwards</w:t>
      </w:r>
      <w:r w:rsidR="006C4DE6">
        <w:rPr>
          <w:rFonts w:asciiTheme="minorHAnsi" w:hAnsiTheme="minorHAnsi"/>
        </w:rPr>
        <w:t>; l</w:t>
      </w:r>
      <w:r w:rsidR="006C4DE6" w:rsidRPr="006C4DE6">
        <w:rPr>
          <w:rFonts w:asciiTheme="minorHAnsi" w:hAnsiTheme="minorHAnsi"/>
        </w:rPr>
        <w:t xml:space="preserve">a regulación actual de Sugeval, </w:t>
      </w:r>
      <w:r w:rsidR="006C4DE6">
        <w:rPr>
          <w:rFonts w:asciiTheme="minorHAnsi" w:hAnsiTheme="minorHAnsi"/>
        </w:rPr>
        <w:t>que</w:t>
      </w:r>
      <w:r w:rsidR="006C4DE6" w:rsidRPr="006C4DE6">
        <w:rPr>
          <w:rFonts w:asciiTheme="minorHAnsi" w:hAnsiTheme="minorHAnsi"/>
        </w:rPr>
        <w:t xml:space="preserve"> impone un límite a la posición bruta en divisas, sobrestima el riesgo de contraparte por cuanto éste se da solo en los contratos en que la contraparte acumula pérdida.</w:t>
      </w:r>
      <w:r w:rsidR="006C4DE6" w:rsidRPr="00AB7E5E">
        <w:rPr>
          <w:rFonts w:asciiTheme="minorHAnsi" w:hAnsiTheme="minorHAnsi"/>
        </w:rPr>
        <w:t> </w:t>
      </w:r>
      <w:r w:rsidR="00AB7E5E" w:rsidRPr="00AB7E5E">
        <w:rPr>
          <w:rFonts w:asciiTheme="minorHAnsi" w:hAnsiTheme="minorHAnsi"/>
        </w:rPr>
        <w:t xml:space="preserve"> Este</w:t>
      </w:r>
      <w:r w:rsidR="00AB7E5E">
        <w:rPr>
          <w:rFonts w:asciiTheme="minorHAnsi" w:hAnsiTheme="minorHAnsi"/>
        </w:rPr>
        <w:t xml:space="preserve"> documento de investigación se remitió al Despacho del Superintendente Arias Poveda sin que</w:t>
      </w:r>
      <w:r w:rsidR="00BF3DDC">
        <w:rPr>
          <w:rFonts w:asciiTheme="minorHAnsi" w:hAnsiTheme="minorHAnsi"/>
        </w:rPr>
        <w:t>,</w:t>
      </w:r>
      <w:r w:rsidR="00AB7E5E">
        <w:rPr>
          <w:rFonts w:asciiTheme="minorHAnsi" w:hAnsiTheme="minorHAnsi"/>
        </w:rPr>
        <w:t xml:space="preserve"> a la fecha de mi salida de la superintendencia</w:t>
      </w:r>
      <w:r w:rsidR="00BF3DDC">
        <w:rPr>
          <w:rFonts w:asciiTheme="minorHAnsi" w:hAnsiTheme="minorHAnsi"/>
        </w:rPr>
        <w:t>,</w:t>
      </w:r>
      <w:r w:rsidR="00AB7E5E">
        <w:rPr>
          <w:rFonts w:asciiTheme="minorHAnsi" w:hAnsiTheme="minorHAnsi"/>
        </w:rPr>
        <w:t xml:space="preserve"> se recibiera algún comentario, retroalimentación</w:t>
      </w:r>
      <w:r w:rsidR="00840BB5">
        <w:rPr>
          <w:rFonts w:asciiTheme="minorHAnsi" w:hAnsiTheme="minorHAnsi"/>
        </w:rPr>
        <w:t xml:space="preserve">, </w:t>
      </w:r>
      <w:r w:rsidR="00AB7E5E">
        <w:rPr>
          <w:rFonts w:asciiTheme="minorHAnsi" w:hAnsiTheme="minorHAnsi"/>
        </w:rPr>
        <w:t>se adoptar</w:t>
      </w:r>
      <w:r w:rsidR="00840BB5">
        <w:rPr>
          <w:rFonts w:asciiTheme="minorHAnsi" w:hAnsiTheme="minorHAnsi"/>
        </w:rPr>
        <w:t>a alguna de sus recomendaciones o si quiera se promoviera su discusión.</w:t>
      </w:r>
    </w:p>
    <w:p w:rsidR="001E433B" w:rsidRPr="00043921" w:rsidRDefault="001E433B" w:rsidP="00F226CD">
      <w:pPr>
        <w:pStyle w:val="Bullet"/>
        <w:ind w:left="426"/>
      </w:pPr>
      <w:r w:rsidRPr="00043921">
        <w:rPr>
          <w:rFonts w:asciiTheme="minorHAnsi" w:hAnsiTheme="minorHAnsi" w:cs="Times New Roman"/>
          <w:i/>
        </w:rPr>
        <w:t>Integración económica de los mercados de liquidez MIL y MEDI</w:t>
      </w:r>
      <w:r w:rsidRPr="00043921">
        <w:rPr>
          <w:rFonts w:asciiTheme="minorHAnsi" w:hAnsiTheme="minorHAnsi" w:cs="Times New Roman"/>
        </w:rPr>
        <w:t xml:space="preserve">. </w:t>
      </w:r>
      <w:r w:rsidRPr="00043921">
        <w:rPr>
          <w:rFonts w:asciiTheme="minorHAnsi" w:hAnsiTheme="minorHAnsi"/>
        </w:rPr>
        <w:t>Esta i</w:t>
      </w:r>
      <w:r w:rsidRPr="00043921">
        <w:rPr>
          <w:rFonts w:asciiTheme="minorHAnsi" w:hAnsiTheme="minorHAnsi" w:cs="Times New Roman"/>
        </w:rPr>
        <w:t xml:space="preserve">nvestigación </w:t>
      </w:r>
      <w:r w:rsidRPr="00043921">
        <w:rPr>
          <w:rFonts w:asciiTheme="minorHAnsi" w:hAnsiTheme="minorHAnsi"/>
        </w:rPr>
        <w:t xml:space="preserve">fue </w:t>
      </w:r>
      <w:r w:rsidRPr="00043921">
        <w:rPr>
          <w:rFonts w:asciiTheme="minorHAnsi" w:hAnsiTheme="minorHAnsi" w:cs="Times New Roman"/>
        </w:rPr>
        <w:t>solicitada por el anterior Superintendente General de Valores, señor Juan José Flores</w:t>
      </w:r>
      <w:r w:rsidRPr="00043921">
        <w:rPr>
          <w:rFonts w:asciiTheme="minorHAnsi" w:hAnsiTheme="minorHAnsi"/>
        </w:rPr>
        <w:t xml:space="preserve"> Sittenfeld</w:t>
      </w:r>
      <w:r w:rsidRPr="00043921">
        <w:rPr>
          <w:rFonts w:asciiTheme="minorHAnsi" w:hAnsiTheme="minorHAnsi" w:cs="Times New Roman"/>
        </w:rPr>
        <w:t>, para apoyar la gestión del riesgo de liquidez en el mercado bursátil</w:t>
      </w:r>
      <w:r w:rsidRPr="00043921">
        <w:rPr>
          <w:rFonts w:asciiTheme="minorHAnsi" w:hAnsiTheme="minorHAnsi"/>
        </w:rPr>
        <w:t xml:space="preserve"> y</w:t>
      </w:r>
      <w:r w:rsidRPr="00043921">
        <w:rPr>
          <w:rFonts w:asciiTheme="minorHAnsi" w:hAnsiTheme="minorHAnsi" w:cs="Times New Roman"/>
        </w:rPr>
        <w:t xml:space="preserve"> fue finalizada en octubre de 2013.</w:t>
      </w:r>
      <w:r w:rsidR="00F764D5" w:rsidRPr="00974638">
        <w:rPr>
          <w:rFonts w:asciiTheme="minorHAnsi" w:hAnsiTheme="minorHAnsi" w:cs="Times New Roman"/>
        </w:rPr>
        <w:t xml:space="preserve"> </w:t>
      </w:r>
      <w:r w:rsidR="00974638" w:rsidRPr="00974638">
        <w:rPr>
          <w:rFonts w:asciiTheme="minorHAnsi" w:hAnsiTheme="minorHAnsi" w:cs="Times New Roman"/>
        </w:rPr>
        <w:t>El objetivo principal de la investigación fue determinar si los mercado</w:t>
      </w:r>
      <w:r w:rsidR="00840BB5">
        <w:rPr>
          <w:rFonts w:asciiTheme="minorHAnsi" w:hAnsiTheme="minorHAnsi" w:cs="Times New Roman"/>
        </w:rPr>
        <w:t xml:space="preserve">s </w:t>
      </w:r>
      <w:r w:rsidR="00974638" w:rsidRPr="00974638">
        <w:rPr>
          <w:rFonts w:asciiTheme="minorHAnsi" w:hAnsiTheme="minorHAnsi" w:cs="Times New Roman"/>
        </w:rPr>
        <w:t>de liquidez de la Bolsa Nacional de Valores (MEDI) y del Banco Central de Costa Rica (MIL) están integrados y en caso de que no lo estén, identificar las causales y su posible solución.</w:t>
      </w:r>
      <w:r w:rsidR="00F764D5" w:rsidRPr="00974638">
        <w:rPr>
          <w:rFonts w:asciiTheme="minorHAnsi" w:hAnsiTheme="minorHAnsi" w:cs="Times New Roman"/>
        </w:rPr>
        <w:t xml:space="preserve"> Entre las principales conclusiones de la investigación </w:t>
      </w:r>
      <w:r w:rsidR="00F764D5" w:rsidRPr="00043921">
        <w:rPr>
          <w:rFonts w:asciiTheme="minorHAnsi" w:hAnsiTheme="minorHAnsi" w:cs="Times New Roman"/>
        </w:rPr>
        <w:t xml:space="preserve">destacan: Los dos mercados de liquidez (MIL y MEDI) son equivalentes para los acreedores que tienen acceso a ambos mercados, </w:t>
      </w:r>
      <w:r w:rsidR="00840BB5">
        <w:rPr>
          <w:rFonts w:asciiTheme="minorHAnsi" w:hAnsiTheme="minorHAnsi" w:cs="Times New Roman"/>
        </w:rPr>
        <w:t xml:space="preserve">es decir </w:t>
      </w:r>
      <w:r w:rsidR="00F764D5" w:rsidRPr="00043921">
        <w:rPr>
          <w:rFonts w:asciiTheme="minorHAnsi" w:hAnsiTheme="minorHAnsi" w:cs="Times New Roman"/>
        </w:rPr>
        <w:t xml:space="preserve">los puestos de bolsa.  Debido a que éstos son los únicos acreedores del MEDI, esta equivalencia asegura que la tasa del MEDI no se ubique por debajo de la tasa de interés de la facilidad permanente de depósito </w:t>
      </w:r>
      <w:r w:rsidR="00BF3DDC">
        <w:rPr>
          <w:rFonts w:asciiTheme="minorHAnsi" w:hAnsiTheme="minorHAnsi" w:cs="Times New Roman"/>
        </w:rPr>
        <w:t>que ofrece el BCCR en el MIL;  l</w:t>
      </w:r>
      <w:r w:rsidR="00F764D5" w:rsidRPr="00043921">
        <w:rPr>
          <w:rFonts w:asciiTheme="minorHAnsi" w:hAnsiTheme="minorHAnsi" w:cs="Times New Roman"/>
        </w:rPr>
        <w:t xml:space="preserve">os dos mercados de liquidez no son equivalentes para los deudores que tienen acceso a ambos mercados, también solo los puestos de bolsa. Estos tienen una preferencia por el MEDI debido a que: ahí pueden realizar renovaciones consecutivas que reducen el riesgo de liquidez, no les es posible trasladar en tiempo real las garantías entre los fideicomisos de ambos mercados; estos elementos hacen que la tasa del MEDI pueda superar la tasa de interés de la facilidad permanente de crédito </w:t>
      </w:r>
      <w:r w:rsidR="00F764D5" w:rsidRPr="00043921">
        <w:rPr>
          <w:rFonts w:asciiTheme="minorHAnsi" w:hAnsiTheme="minorHAnsi" w:cs="Times New Roman"/>
        </w:rPr>
        <w:lastRenderedPageBreak/>
        <w:t xml:space="preserve">que ofrece el BCCR; los puestos de bolsa acreedores no pueden arbitrar del MIL (posición deudora) al MEDI (posición acreedora) debido a que la liquidación de vencimientos en el MIL se realiza a las 11:00am y la del MEDI a las 2:30pm. No obstante, aunque el MIL liquidara vencimientos después que el MEDI, no hay certeza de que los activos a disposición de los puestos sean suficientes en todos los casos para que estos puedan asumir una posición deudora en el MIL de la magnitud necesaria para evitar que la tasa del MEDI supere la de la </w:t>
      </w:r>
      <w:r w:rsidR="00840BB5">
        <w:rPr>
          <w:rFonts w:asciiTheme="minorHAnsi" w:hAnsiTheme="minorHAnsi" w:cs="Times New Roman"/>
        </w:rPr>
        <w:t>facilidad permanente del BCCR; a</w:t>
      </w:r>
      <w:r w:rsidR="00F764D5" w:rsidRPr="00043921">
        <w:rPr>
          <w:rFonts w:asciiTheme="minorHAnsi" w:hAnsiTheme="minorHAnsi" w:cs="Times New Roman"/>
        </w:rPr>
        <w:t>segurar la oferta de liquidez en la magnitud necesaria para poner un techo a la tasa en el MEDI es posible solamente si un banco y un puesto de bolsa se coordinan para arbitrar (banco con posición deudora en el MIL y el puesto con posición acreedora en el MEDI). Sin embargo, el hecho de que la tasa del MEDI supere por mucho y habitualmente a la del MIL es muestra de que esta coordinación entre un banco y un puesto no se ha dado o no se ha dado en el volumen necesario para integrar ambos mercados; una posible causa de lo anterior es que los bancos enfrentan importantes desincentivos a nivel regulatorio para entrar en el mecanismo conjunto de arbitraje pues tanto el cálculo del calce de plazos como el de la suficiencia patrimonial de los bancos incluyen reglas que castigan</w:t>
      </w:r>
      <w:r w:rsidR="00840BB5">
        <w:rPr>
          <w:rFonts w:asciiTheme="minorHAnsi" w:hAnsiTheme="minorHAnsi" w:cs="Times New Roman"/>
        </w:rPr>
        <w:t>,</w:t>
      </w:r>
      <w:r w:rsidR="00F764D5" w:rsidRPr="00043921">
        <w:rPr>
          <w:rFonts w:asciiTheme="minorHAnsi" w:hAnsiTheme="minorHAnsi" w:cs="Times New Roman"/>
        </w:rPr>
        <w:t xml:space="preserve"> sin fundamento alguno</w:t>
      </w:r>
      <w:r w:rsidR="00840BB5">
        <w:rPr>
          <w:rFonts w:asciiTheme="minorHAnsi" w:hAnsiTheme="minorHAnsi" w:cs="Times New Roman"/>
        </w:rPr>
        <w:t>,</w:t>
      </w:r>
      <w:r w:rsidR="00F764D5" w:rsidRPr="00043921">
        <w:rPr>
          <w:rFonts w:asciiTheme="minorHAnsi" w:hAnsiTheme="minorHAnsi" w:cs="Times New Roman"/>
        </w:rPr>
        <w:t xml:space="preserve"> ambos indicadores cuando el banco toma una posición deudora en el MIL y traslada el importe al puesto de bolsa para que este a su vez tome la posición acreedora en el MEDI.  Con base en estas conclusiones se recomiendan dos tipos de medidas, unas que generan equivalencia de mercados para los deudores y otras que aumentan la oferta de fondos en el MEDI hasta satisfacer la demanda a las tasas que imperan en el MIL.  Entre las primeras la investigación sugiere: </w:t>
      </w:r>
      <w:r w:rsidR="00AD2BA3" w:rsidRPr="00043921">
        <w:rPr>
          <w:rFonts w:asciiTheme="minorHAnsi" w:hAnsiTheme="minorHAnsi" w:cs="Times New Roman"/>
        </w:rPr>
        <w:t>Implementar el traspaso de las garantías en tiempo real entre los fideicomisos del MIL y el MEDI y uniformar las condiciones en ambos mercados con respecto a la renovación consecutiva para los puestos de bolsa, ya sea restringiendo la renovación consecutiva de la posición deudora en el MEDI o permitiéndola en el MIL.  Entre el segundo grupo de medidas que se recomienda están: Permitir el arbitraje a los puestos de bolsa: coordinar la hora de liquidación de vencimientos, de manera que el MIL liquide después del MEDI; facilitar el arbitraje a los asocios banco-puesto: reformar la reglamentación de la SUGEF para incluir los valores restringidos en el fideicomiso del MIL como líquidos en el cálculo del calce de plazos; permitir el arbitraje a los bancos: permitir a los bancos asumir posició</w:t>
      </w:r>
      <w:r w:rsidR="00840BB5">
        <w:rPr>
          <w:rFonts w:asciiTheme="minorHAnsi" w:hAnsiTheme="minorHAnsi" w:cs="Times New Roman"/>
        </w:rPr>
        <w:t>n acreedora en el MEDI; d</w:t>
      </w:r>
      <w:r w:rsidR="00AD2BA3" w:rsidRPr="00043921">
        <w:rPr>
          <w:rFonts w:asciiTheme="minorHAnsi" w:hAnsiTheme="minorHAnsi" w:cs="Times New Roman"/>
        </w:rPr>
        <w:t>esignar a un banco público (Banco Nacional o Banco de Costa Rica) como prestador de última instancia en el MEDI o que el BCCR asuma directamente esta función.</w:t>
      </w:r>
      <w:r w:rsidR="002F608D">
        <w:rPr>
          <w:rFonts w:asciiTheme="minorHAnsi" w:hAnsiTheme="minorHAnsi" w:cs="Times New Roman"/>
        </w:rPr>
        <w:t xml:space="preserve">  </w:t>
      </w:r>
      <w:r w:rsidR="002F608D" w:rsidRPr="00AB7E5E">
        <w:rPr>
          <w:rFonts w:asciiTheme="minorHAnsi" w:hAnsiTheme="minorHAnsi"/>
        </w:rPr>
        <w:t>Este</w:t>
      </w:r>
      <w:r w:rsidR="002F608D">
        <w:rPr>
          <w:rFonts w:asciiTheme="minorHAnsi" w:hAnsiTheme="minorHAnsi"/>
        </w:rPr>
        <w:t xml:space="preserve"> documento de investigación se remitió al Despacho del Superintendente Arias Poveda sin que</w:t>
      </w:r>
      <w:r w:rsidR="00BF3DDC">
        <w:rPr>
          <w:rFonts w:asciiTheme="minorHAnsi" w:hAnsiTheme="minorHAnsi"/>
        </w:rPr>
        <w:t>,</w:t>
      </w:r>
      <w:r w:rsidR="002F608D">
        <w:rPr>
          <w:rFonts w:asciiTheme="minorHAnsi" w:hAnsiTheme="minorHAnsi"/>
        </w:rPr>
        <w:t xml:space="preserve"> a la fecha de mi salida de la superintendencia</w:t>
      </w:r>
      <w:r w:rsidR="00BF3DDC">
        <w:rPr>
          <w:rFonts w:asciiTheme="minorHAnsi" w:hAnsiTheme="minorHAnsi"/>
        </w:rPr>
        <w:t>,</w:t>
      </w:r>
      <w:r w:rsidR="002F608D">
        <w:rPr>
          <w:rFonts w:asciiTheme="minorHAnsi" w:hAnsiTheme="minorHAnsi"/>
        </w:rPr>
        <w:t xml:space="preserve"> se recibiera algún comentario, retroalimentación</w:t>
      </w:r>
      <w:r w:rsidR="00840BB5">
        <w:rPr>
          <w:rFonts w:asciiTheme="minorHAnsi" w:hAnsiTheme="minorHAnsi"/>
        </w:rPr>
        <w:t xml:space="preserve">, </w:t>
      </w:r>
      <w:r w:rsidR="002F608D">
        <w:rPr>
          <w:rFonts w:asciiTheme="minorHAnsi" w:hAnsiTheme="minorHAnsi"/>
        </w:rPr>
        <w:t>se adoptar</w:t>
      </w:r>
      <w:r w:rsidR="00840BB5">
        <w:rPr>
          <w:rFonts w:asciiTheme="minorHAnsi" w:hAnsiTheme="minorHAnsi"/>
        </w:rPr>
        <w:t>a alguna de sus recomendaciones o si quiera se promoviera su discusión.</w:t>
      </w:r>
    </w:p>
    <w:p w:rsidR="001E433B" w:rsidRPr="00B37F9D" w:rsidRDefault="001E433B" w:rsidP="00B37F9D">
      <w:pPr>
        <w:pStyle w:val="Bullet"/>
        <w:ind w:left="426"/>
        <w:rPr>
          <w:rFonts w:asciiTheme="minorHAnsi" w:hAnsiTheme="minorHAnsi" w:cs="Times New Roman"/>
        </w:rPr>
      </w:pPr>
      <w:r w:rsidRPr="00B37F9D">
        <w:rPr>
          <w:rFonts w:asciiTheme="minorHAnsi" w:hAnsiTheme="minorHAnsi" w:cs="Times New Roman"/>
          <w:i/>
        </w:rPr>
        <w:t>Efecto de reportos tripartitos sobre liquidez</w:t>
      </w:r>
      <w:r w:rsidRPr="00B37F9D">
        <w:rPr>
          <w:rFonts w:asciiTheme="minorHAnsi" w:hAnsiTheme="minorHAnsi" w:cs="Times New Roman"/>
        </w:rPr>
        <w:t>. Esta investigación se realizó de oficio para apoyar la mejora de la liquidez en el mercado de valores costarricense y se finalizó en noviembre de 2013.</w:t>
      </w:r>
      <w:r w:rsidR="002F608D" w:rsidRPr="00B37F9D">
        <w:rPr>
          <w:rFonts w:asciiTheme="minorHAnsi" w:hAnsiTheme="minorHAnsi" w:cs="Times New Roman"/>
        </w:rPr>
        <w:t xml:space="preserve">  </w:t>
      </w:r>
      <w:r w:rsidR="0011751A" w:rsidRPr="00B37F9D">
        <w:rPr>
          <w:rFonts w:asciiTheme="minorHAnsi" w:hAnsiTheme="minorHAnsi" w:cs="Times New Roman"/>
        </w:rPr>
        <w:t xml:space="preserve">Con su elaboración se sometió a prueba la hipótesis de que la utilización del reporto tripartito bajo la modalidad de préstamo garantizado de efectivo, y en donde el título subyacente queda inhabilitado para generar nuevas transacciones durante el periodo de vigencia de la operación, reduce la liquidez del mercado de valores.  </w:t>
      </w:r>
      <w:r w:rsidR="002F608D" w:rsidRPr="00B37F9D">
        <w:rPr>
          <w:rFonts w:asciiTheme="minorHAnsi" w:hAnsiTheme="minorHAnsi" w:cs="Times New Roman"/>
        </w:rPr>
        <w:t xml:space="preserve">Entre las principales </w:t>
      </w:r>
      <w:r w:rsidR="002F608D" w:rsidRPr="00B37F9D">
        <w:rPr>
          <w:rFonts w:asciiTheme="minorHAnsi" w:hAnsiTheme="minorHAnsi" w:cs="Times New Roman"/>
        </w:rPr>
        <w:lastRenderedPageBreak/>
        <w:t>conclusiones de la investigación destacan el no haber encontrado evidencia estadística de que una mayor proporción del saldo de una emisión que esté congelado en el fideicomiso de la Bolsa Nacional de Valores perjudique el nivel de liquidez de esa emisión.  Este documento de investigación se remitió al Despacho del Superintendente Arias Poveda sin que</w:t>
      </w:r>
      <w:r w:rsidR="00BF3DDC">
        <w:rPr>
          <w:rFonts w:asciiTheme="minorHAnsi" w:hAnsiTheme="minorHAnsi" w:cs="Times New Roman"/>
        </w:rPr>
        <w:t>,</w:t>
      </w:r>
      <w:r w:rsidR="002F608D" w:rsidRPr="00B37F9D">
        <w:rPr>
          <w:rFonts w:asciiTheme="minorHAnsi" w:hAnsiTheme="minorHAnsi" w:cs="Times New Roman"/>
        </w:rPr>
        <w:t xml:space="preserve"> a la fecha de mi salida de la superintendencia</w:t>
      </w:r>
      <w:r w:rsidR="00BF3DDC">
        <w:rPr>
          <w:rFonts w:asciiTheme="minorHAnsi" w:hAnsiTheme="minorHAnsi" w:cs="Times New Roman"/>
        </w:rPr>
        <w:t>,</w:t>
      </w:r>
      <w:r w:rsidR="002F608D" w:rsidRPr="00B37F9D">
        <w:rPr>
          <w:rFonts w:asciiTheme="minorHAnsi" w:hAnsiTheme="minorHAnsi" w:cs="Times New Roman"/>
        </w:rPr>
        <w:t xml:space="preserve"> se recibiera algún comentario</w:t>
      </w:r>
      <w:r w:rsidR="00840BB5" w:rsidRPr="00B37F9D">
        <w:rPr>
          <w:rFonts w:asciiTheme="minorHAnsi" w:hAnsiTheme="minorHAnsi" w:cs="Times New Roman"/>
        </w:rPr>
        <w:t>,</w:t>
      </w:r>
      <w:r w:rsidR="002F608D" w:rsidRPr="00B37F9D">
        <w:rPr>
          <w:rFonts w:asciiTheme="minorHAnsi" w:hAnsiTheme="minorHAnsi" w:cs="Times New Roman"/>
        </w:rPr>
        <w:t xml:space="preserve"> </w:t>
      </w:r>
      <w:r w:rsidR="00840BB5" w:rsidRPr="00B37F9D">
        <w:rPr>
          <w:rFonts w:asciiTheme="minorHAnsi" w:hAnsiTheme="minorHAnsi" w:cs="Times New Roman"/>
        </w:rPr>
        <w:t>retroalimentación, se adoptara alguna de sus recomendaciones o si quiera se promoviera su discusión.</w:t>
      </w:r>
    </w:p>
    <w:p w:rsidR="0093154F" w:rsidRDefault="00226E77" w:rsidP="00226E77">
      <w:pPr>
        <w:spacing w:after="120"/>
        <w:jc w:val="both"/>
        <w:rPr>
          <w:rFonts w:cs="Arial"/>
          <w:lang w:val="es-ES_tradnl"/>
        </w:rPr>
      </w:pPr>
      <w:r w:rsidRPr="00226E77">
        <w:t xml:space="preserve">Desde </w:t>
      </w:r>
      <w:r w:rsidR="005F4A2D" w:rsidRPr="00226E77">
        <w:t xml:space="preserve">la llegada del Sr. Arias Poveda a la Superintendencia </w:t>
      </w:r>
      <w:r w:rsidR="001E433B" w:rsidRPr="00226E77">
        <w:t xml:space="preserve">y </w:t>
      </w:r>
      <w:r w:rsidR="005F4A2D" w:rsidRPr="00226E77">
        <w:t xml:space="preserve">hasta mi salida de la institución el pasado 12 de junio de 2015, es decir durante un periodo de </w:t>
      </w:r>
      <w:r w:rsidR="002B7C25" w:rsidRPr="00226E77">
        <w:t xml:space="preserve">dos años y once meses, el Despacho de la Superintendencia solicitó solamente una investigación.  Esta se desarrolló bajo el título </w:t>
      </w:r>
      <w:r w:rsidR="002B7C25" w:rsidRPr="00226E77">
        <w:rPr>
          <w:rFonts w:cs="Arial"/>
          <w:i/>
          <w:lang w:val="es-ES_tradnl"/>
        </w:rPr>
        <w:t>Liquidez del mercado secundario de deuda</w:t>
      </w:r>
      <w:r w:rsidR="002B7C25" w:rsidRPr="00226E77">
        <w:rPr>
          <w:rFonts w:cs="Arial"/>
          <w:lang w:val="es-ES_tradnl"/>
        </w:rPr>
        <w:t xml:space="preserve">.  En razón de la </w:t>
      </w:r>
      <w:r w:rsidR="00B37F9D">
        <w:rPr>
          <w:rFonts w:cs="Arial"/>
          <w:lang w:val="es-ES_tradnl"/>
        </w:rPr>
        <w:t xml:space="preserve">posterior </w:t>
      </w:r>
      <w:r w:rsidR="002B7C25" w:rsidRPr="00226E77">
        <w:rPr>
          <w:rFonts w:cs="Arial"/>
          <w:lang w:val="es-ES_tradnl"/>
        </w:rPr>
        <w:t>disposición de información sobre la distribución en la tenencia de ciertos títulos valores, se pudo elaborar un informe complementario al documento original que incorporó esa variable dentro de los determinantes de la liquidez de los títulos valores negociados en el país.  El primer informe se concluyó en agosto de 2013 y el complementario en febrero de 201</w:t>
      </w:r>
      <w:r w:rsidR="00C23D06" w:rsidRPr="00226E77">
        <w:rPr>
          <w:rFonts w:cs="Arial"/>
          <w:lang w:val="es-ES_tradnl"/>
        </w:rPr>
        <w:t>4</w:t>
      </w:r>
      <w:r w:rsidR="002B7C25" w:rsidRPr="00226E77">
        <w:rPr>
          <w:rFonts w:cs="Arial"/>
          <w:lang w:val="es-ES_tradnl"/>
        </w:rPr>
        <w:t xml:space="preserve">.  </w:t>
      </w:r>
      <w:r w:rsidR="0011751A">
        <w:rPr>
          <w:rFonts w:cs="Arial"/>
          <w:lang w:val="es-ES_tradnl"/>
        </w:rPr>
        <w:t xml:space="preserve">El objetivo principal de la investigación fue </w:t>
      </w:r>
      <w:r w:rsidR="0011751A" w:rsidRPr="003E421E">
        <w:t xml:space="preserve">analizar </w:t>
      </w:r>
      <w:r w:rsidR="0011751A">
        <w:t>el problema de la iliquidez crónica de los títulos valores transados en el mercado costarricense.</w:t>
      </w:r>
      <w:r w:rsidR="0011751A" w:rsidRPr="00226E77">
        <w:rPr>
          <w:rFonts w:cs="Arial"/>
          <w:lang w:val="es-ES_tradnl"/>
        </w:rPr>
        <w:t xml:space="preserve"> </w:t>
      </w:r>
      <w:r w:rsidR="002B7C25" w:rsidRPr="00226E77">
        <w:rPr>
          <w:rFonts w:cs="Arial"/>
          <w:lang w:val="es-ES_tradnl"/>
        </w:rPr>
        <w:t xml:space="preserve">Como resultados más relevantes de esta investigación destacan la existencia de evidencia estadística robusta de que los títulos valores cuyo monto emitido es mayor, cuya tenencia está menos concentrada, cuya moneda es el dólar estadounidense y los que se encuentran en etapas tempranas o tardías de su vida, tienen mayor probabilidad de alcanzar niveles aceptables de liquidez.  </w:t>
      </w:r>
    </w:p>
    <w:p w:rsidR="00226E77" w:rsidRDefault="002B7C25" w:rsidP="00226E77">
      <w:pPr>
        <w:spacing w:after="120"/>
        <w:jc w:val="both"/>
      </w:pPr>
      <w:r w:rsidRPr="00226E77">
        <w:rPr>
          <w:rFonts w:cs="Arial"/>
          <w:lang w:val="es-ES_tradnl"/>
        </w:rPr>
        <w:t>Lamentablemente</w:t>
      </w:r>
      <w:r w:rsidR="00974654" w:rsidRPr="00226E77">
        <w:rPr>
          <w:rFonts w:cs="Arial"/>
          <w:lang w:val="es-ES_tradnl"/>
        </w:rPr>
        <w:t>, y a pesar de la importancia que reviste el tema en un contexto donde es urgente la investigación rigurosa que respalde acciones para revitalizar un mercado de valores que cada vez se contrae más,</w:t>
      </w:r>
      <w:r w:rsidRPr="00226E77">
        <w:rPr>
          <w:rFonts w:cs="Arial"/>
          <w:lang w:val="es-ES_tradnl"/>
        </w:rPr>
        <w:t xml:space="preserve"> el Despacho del Superintendente</w:t>
      </w:r>
      <w:r w:rsidR="00226E77" w:rsidRPr="00226E77">
        <w:rPr>
          <w:rFonts w:cs="Arial"/>
          <w:lang w:val="es-ES_tradnl"/>
        </w:rPr>
        <w:t xml:space="preserve"> no manifestó ninguna opinión o retroalimentación sobre el trabajo</w:t>
      </w:r>
      <w:r w:rsidR="00B37F9D">
        <w:rPr>
          <w:rFonts w:cs="Arial"/>
          <w:lang w:val="es-ES_tradnl"/>
        </w:rPr>
        <w:t>,</w:t>
      </w:r>
      <w:r w:rsidR="00226E77" w:rsidRPr="00226E77">
        <w:rPr>
          <w:rFonts w:cs="Arial"/>
          <w:lang w:val="es-ES_tradnl"/>
        </w:rPr>
        <w:t xml:space="preserve"> </w:t>
      </w:r>
      <w:r w:rsidR="00B37F9D">
        <w:rPr>
          <w:rFonts w:cs="Arial"/>
          <w:lang w:val="es-ES_tradnl"/>
        </w:rPr>
        <w:t>tampoco</w:t>
      </w:r>
      <w:r w:rsidR="00226E77" w:rsidRPr="00226E77">
        <w:rPr>
          <w:rFonts w:cs="Arial"/>
          <w:lang w:val="es-ES_tradnl"/>
        </w:rPr>
        <w:t xml:space="preserve"> promovió su discusión ni a lo interno ni a lo externo de la Superintendencia. </w:t>
      </w:r>
      <w:r w:rsidR="00226E77" w:rsidRPr="00226E77">
        <w:t xml:space="preserve">En vista de esto, </w:t>
      </w:r>
      <w:r w:rsidR="00B37F9D">
        <w:t>apoyado por</w:t>
      </w:r>
      <w:r w:rsidR="00226E77" w:rsidRPr="00226E77">
        <w:t xml:space="preserve"> la Dirección de la División de Investigación y Normativa, promov</w:t>
      </w:r>
      <w:r w:rsidR="00B37F9D">
        <w:t xml:space="preserve">í </w:t>
      </w:r>
      <w:r w:rsidR="00226E77" w:rsidRPr="00226E77">
        <w:t xml:space="preserve">la presentación del documento en el Banco Central donde </w:t>
      </w:r>
      <w:r w:rsidR="0058406B">
        <w:t xml:space="preserve">se </w:t>
      </w:r>
      <w:r w:rsidR="00226E77" w:rsidRPr="00226E77">
        <w:t>informaron los hallazgos</w:t>
      </w:r>
      <w:r w:rsidR="00226E77">
        <w:t xml:space="preserve">, el documento </w:t>
      </w:r>
      <w:r w:rsidR="00226E77" w:rsidRPr="00226E77">
        <w:t>fue discutido</w:t>
      </w:r>
      <w:r w:rsidR="00226E77">
        <w:t xml:space="preserve"> y </w:t>
      </w:r>
      <w:r w:rsidR="00226E77" w:rsidRPr="00226E77">
        <w:t>se recibieron valiosos aporte</w:t>
      </w:r>
      <w:r w:rsidR="00226E77">
        <w:t>s.</w:t>
      </w:r>
      <w:r w:rsidR="00226E77" w:rsidRPr="00226E77">
        <w:t xml:space="preserve"> </w:t>
      </w:r>
    </w:p>
    <w:p w:rsidR="0093154F" w:rsidRDefault="0093154F" w:rsidP="00226E77">
      <w:pPr>
        <w:spacing w:after="120"/>
        <w:jc w:val="both"/>
      </w:pPr>
      <w:r>
        <w:t>En vista de que el proceso de elaboración de normativa fue removido del ámbito de acción de la División de Investigación y Normativa a partir de la llegada del Superintendente Arias Poveda y de que éste únicamente solicitó un tema para ser investigado durante los</w:t>
      </w:r>
      <w:r w:rsidR="00B37F9D">
        <w:t xml:space="preserve"> casi 3 años </w:t>
      </w:r>
      <w:r>
        <w:t>hasta mi salida de la superintendencia, las investigaciones que se iniciaron a partir de julio de 2012 fueron todas de oficio por iniciativa de la Dirección de la División de Investigación y Normativa o de este servidor en razón de lo que, a nuestro parecer, era relevante para el desarrollo del mercado de valores costarricense.</w:t>
      </w:r>
    </w:p>
    <w:p w:rsidR="00BF3DDC" w:rsidRDefault="00BF3DDC" w:rsidP="00BF3DDC">
      <w:pPr>
        <w:spacing w:after="120"/>
        <w:jc w:val="both"/>
      </w:pPr>
      <w:r>
        <w:t xml:space="preserve">Debo resaltar que, como consta en los documentos de creación de la División de Investigación y Normativa, la función del área de investigación fue concebida como un apoyo para la generación de normativa.  En vista que esta función (generación de normativa) fue trasladada a comités en los cuales, por razones que desconozco, no participamos los miembros de la DIN, las investigaciones realizadas de oficio no estaban dirigidas a la creación o modificación de regulaciones en las cuales estuvieran trabajando los comités creados por el Superintendente Arias Poveda.  </w:t>
      </w:r>
    </w:p>
    <w:p w:rsidR="00BF3DDC" w:rsidRDefault="00BF3DDC" w:rsidP="00BF3DDC">
      <w:pPr>
        <w:spacing w:after="120"/>
        <w:jc w:val="both"/>
      </w:pPr>
      <w:r>
        <w:lastRenderedPageBreak/>
        <w:t>Reitero, fueron investigaciones que, a nuestro parecer, podrían llegar a ser relevantes o de utilidad en el momento en que se retomara el fin para la cual fue creada la División de Investigación y Normativa, concretamente, la reglamentación de los temas prescritos en la Ley Reguladora del Mercado de Valores que, al día de hoy, siguen sin ser normados.</w:t>
      </w:r>
    </w:p>
    <w:p w:rsidR="0093154F" w:rsidRDefault="0093154F" w:rsidP="00226E77">
      <w:pPr>
        <w:spacing w:after="120"/>
        <w:jc w:val="both"/>
      </w:pPr>
      <w:r>
        <w:t>Los temas iniciados y desarrollados en este último periodo fueron los siguientes:</w:t>
      </w:r>
    </w:p>
    <w:p w:rsidR="00D00422" w:rsidRPr="00B37F9D" w:rsidRDefault="00D00422" w:rsidP="00B37F9D">
      <w:pPr>
        <w:pStyle w:val="Ttuloenportada"/>
        <w:numPr>
          <w:ilvl w:val="0"/>
          <w:numId w:val="3"/>
        </w:numPr>
        <w:spacing w:after="120"/>
        <w:ind w:left="425" w:hanging="357"/>
        <w:jc w:val="both"/>
        <w:rPr>
          <w:rFonts w:asciiTheme="minorHAnsi" w:hAnsiTheme="minorHAnsi"/>
          <w:color w:val="auto"/>
          <w:sz w:val="22"/>
        </w:rPr>
      </w:pPr>
      <w:r w:rsidRPr="00B37F9D">
        <w:rPr>
          <w:rFonts w:asciiTheme="minorHAnsi" w:hAnsiTheme="minorHAnsi"/>
          <w:i/>
          <w:color w:val="auto"/>
          <w:sz w:val="22"/>
        </w:rPr>
        <w:t>Estimación del castigo por iliquidez en el Mercado de valores costarricense.</w:t>
      </w:r>
      <w:r w:rsidRPr="00B37F9D">
        <w:rPr>
          <w:rFonts w:asciiTheme="minorHAnsi" w:hAnsiTheme="minorHAnsi"/>
          <w:color w:val="auto"/>
          <w:sz w:val="22"/>
        </w:rPr>
        <w:t xml:space="preserve"> La investigación tuvo como objetivo cuantificar</w:t>
      </w:r>
      <w:r w:rsidR="00074FFE" w:rsidRPr="00B37F9D">
        <w:rPr>
          <w:rFonts w:asciiTheme="minorHAnsi" w:hAnsiTheme="minorHAnsi"/>
          <w:color w:val="auto"/>
          <w:sz w:val="22"/>
        </w:rPr>
        <w:t>, mediante modelos econométricos,</w:t>
      </w:r>
      <w:r w:rsidRPr="00B37F9D">
        <w:rPr>
          <w:rFonts w:asciiTheme="minorHAnsi" w:hAnsiTheme="minorHAnsi"/>
          <w:color w:val="auto"/>
          <w:sz w:val="22"/>
        </w:rPr>
        <w:t xml:space="preserve"> el costo que enfrentan los emisores </w:t>
      </w:r>
      <w:r w:rsidR="00074FFE" w:rsidRPr="00B37F9D">
        <w:rPr>
          <w:rFonts w:asciiTheme="minorHAnsi" w:hAnsiTheme="minorHAnsi"/>
          <w:color w:val="auto"/>
          <w:sz w:val="22"/>
        </w:rPr>
        <w:t>de deuda en el mercado costarricense que es atribuible a la crónica iliquidez de nuestro mercado. Utilizando un corte transversal agrupado, que condensa información de las operaciones de compraventa realizadas durante los 19 días bursátiles del mes de junio del 2013, los resultados indican que, manteniendo todo lo demás constante, incrementar en una unidad el índice de liquidez de un título soberano en colones reduciría en 13,4 p.b.  el rendimiento exigido por el mercado. Este castigo es aún mayor en el caso de los bonos no soberanos en colones, con una cifra que excede los 57 p.b. El estudio es relevante para las autoridades fiscales y monetarias del país pues plantea la existencia de una retribución económica para el emisor por aumentar la liquidez de sus emisiones, lo cual puede alcanzarse incrementando el monto colocado por emisión, disminuyendo la concentración en la tenencia y designando un creador de mercado.  El estudio fue remitido al Despacho del Superintendente Arias Poveda sin que hasta la fecha</w:t>
      </w:r>
      <w:r w:rsidR="00B37F9D">
        <w:rPr>
          <w:rFonts w:asciiTheme="minorHAnsi" w:hAnsiTheme="minorHAnsi"/>
          <w:color w:val="auto"/>
          <w:sz w:val="22"/>
        </w:rPr>
        <w:t xml:space="preserve"> de mi salida de la Superintendencia </w:t>
      </w:r>
      <w:r w:rsidR="00074FFE" w:rsidRPr="00B37F9D">
        <w:rPr>
          <w:rFonts w:asciiTheme="minorHAnsi" w:hAnsiTheme="minorHAnsi"/>
          <w:color w:val="auto"/>
          <w:sz w:val="22"/>
        </w:rPr>
        <w:t>se recibiera un solo comentario</w:t>
      </w:r>
      <w:r w:rsidR="00B37F9D">
        <w:rPr>
          <w:rFonts w:asciiTheme="minorHAnsi" w:hAnsiTheme="minorHAnsi"/>
          <w:color w:val="auto"/>
          <w:sz w:val="22"/>
        </w:rPr>
        <w:t>,</w:t>
      </w:r>
      <w:r w:rsidR="00B37F9D" w:rsidRPr="00B37F9D">
        <w:rPr>
          <w:rFonts w:asciiTheme="minorHAnsi" w:hAnsiTheme="minorHAnsi"/>
          <w:color w:val="auto"/>
          <w:sz w:val="22"/>
        </w:rPr>
        <w:t xml:space="preserve"> </w:t>
      </w:r>
      <w:r w:rsidR="00B37F9D">
        <w:rPr>
          <w:rFonts w:asciiTheme="minorHAnsi" w:hAnsiTheme="minorHAnsi"/>
          <w:color w:val="auto"/>
          <w:sz w:val="22"/>
        </w:rPr>
        <w:t xml:space="preserve">alguna </w:t>
      </w:r>
      <w:r w:rsidR="00B37F9D" w:rsidRPr="00B37F9D">
        <w:rPr>
          <w:rFonts w:asciiTheme="minorHAnsi" w:hAnsiTheme="minorHAnsi"/>
          <w:color w:val="auto"/>
          <w:sz w:val="22"/>
        </w:rPr>
        <w:t>retroalimentación, se adoptara alguna de sus recomendaciones o si quiera se promoviera su discusión.</w:t>
      </w:r>
    </w:p>
    <w:p w:rsidR="002E7FE8" w:rsidRDefault="002E7FE8" w:rsidP="00BF3DDC">
      <w:pPr>
        <w:pStyle w:val="Ttuloenportada"/>
        <w:numPr>
          <w:ilvl w:val="0"/>
          <w:numId w:val="3"/>
        </w:numPr>
        <w:spacing w:after="120"/>
        <w:ind w:left="425" w:hanging="357"/>
        <w:jc w:val="both"/>
        <w:rPr>
          <w:rFonts w:asciiTheme="minorHAnsi" w:hAnsiTheme="minorHAnsi"/>
          <w:color w:val="auto"/>
          <w:sz w:val="22"/>
        </w:rPr>
      </w:pPr>
      <w:r w:rsidRPr="0011751A">
        <w:rPr>
          <w:rFonts w:asciiTheme="minorHAnsi" w:hAnsiTheme="minorHAnsi"/>
          <w:i/>
          <w:color w:val="auto"/>
          <w:sz w:val="22"/>
        </w:rPr>
        <w:t xml:space="preserve">Gestión de deuda soberana: capturando la prima por liquidez.  </w:t>
      </w:r>
      <w:r w:rsidRPr="0011751A">
        <w:rPr>
          <w:rFonts w:asciiTheme="minorHAnsi" w:hAnsiTheme="minorHAnsi"/>
          <w:color w:val="auto"/>
          <w:sz w:val="22"/>
        </w:rPr>
        <w:t>E</w:t>
      </w:r>
      <w:r w:rsidR="00BC11C2" w:rsidRPr="0011751A">
        <w:rPr>
          <w:rFonts w:asciiTheme="minorHAnsi" w:hAnsiTheme="minorHAnsi"/>
          <w:color w:val="auto"/>
          <w:sz w:val="22"/>
        </w:rPr>
        <w:t>ste informe es una extensión al de la estimación del castigo por iliquidez.  S</w:t>
      </w:r>
      <w:r w:rsidRPr="0011751A">
        <w:rPr>
          <w:rFonts w:asciiTheme="minorHAnsi" w:hAnsiTheme="minorHAnsi"/>
          <w:color w:val="auto"/>
          <w:sz w:val="22"/>
        </w:rPr>
        <w:t xml:space="preserve">e describe una estrategia de gestión de la deuda soberana que permite reducir el costo de la deuda pública mediante la captura del premio por liquidez aumentando significativamente el monto colocado por emisión soberana.  La estrategia propone concentrar la deuda </w:t>
      </w:r>
      <w:r w:rsidR="00B37F9D">
        <w:rPr>
          <w:rFonts w:asciiTheme="minorHAnsi" w:hAnsiTheme="minorHAnsi"/>
          <w:color w:val="auto"/>
          <w:sz w:val="22"/>
        </w:rPr>
        <w:t xml:space="preserve">soberana </w:t>
      </w:r>
      <w:r w:rsidRPr="0011751A">
        <w:rPr>
          <w:rFonts w:asciiTheme="minorHAnsi" w:hAnsiTheme="minorHAnsi"/>
          <w:color w:val="auto"/>
          <w:sz w:val="22"/>
        </w:rPr>
        <w:t>en moneda nacional y a tasa fija en entre 4 y 6 emisiones colocadas a 5 plazos distintos</w:t>
      </w:r>
      <w:r w:rsidR="00BC11C2" w:rsidRPr="0011751A">
        <w:rPr>
          <w:rFonts w:asciiTheme="minorHAnsi" w:hAnsiTheme="minorHAnsi"/>
          <w:color w:val="auto"/>
          <w:sz w:val="22"/>
        </w:rPr>
        <w:t>.  Se presenta la secuencia de colocaciones y sus plazos así como las recolocaciones y la estructura de plazos para un ciclo completo de 30 años.  Adicionalmente se optimizó la estructura por plazos de la deuda soberana. Para esto, con base en dos métodos de simulación, se gene</w:t>
      </w:r>
      <w:r w:rsidR="00B37F9D">
        <w:rPr>
          <w:rFonts w:asciiTheme="minorHAnsi" w:hAnsiTheme="minorHAnsi"/>
          <w:color w:val="auto"/>
          <w:sz w:val="22"/>
        </w:rPr>
        <w:t>ra</w:t>
      </w:r>
      <w:r w:rsidR="00BC11C2" w:rsidRPr="0011751A">
        <w:rPr>
          <w:rFonts w:asciiTheme="minorHAnsi" w:hAnsiTheme="minorHAnsi"/>
          <w:color w:val="auto"/>
          <w:sz w:val="22"/>
        </w:rPr>
        <w:t>ron escenarios de estructuras de tasa de interés (curvas soberanas) con las cuales se calculan la tasa de interés promedio y el nivel de riesgo que genera cada ponderación de plazos particular de las emisiones. Esto permite construir una frontera eficiente en el espacio costo/riesgo; es decir, se identifican las ponderaciones de emisiones que minimizan el costo promedio de la deuda para un nivel de riesgo dado.  Con base en estos resultados, se evaluó la estructura vigente de la deuda soberana costarricense emitida en colones a tasa fija. Se concluye que en uno de los escenarios la estructura actual de plazos es eficiente, es decir, se encuentra sobre la frontera eficiente. En el otro escenario la estructura actual es ineficiente, lo cual sugiere que existe un potencial de mejora de la relación costo-riesgo de la deuda soberana.  Este informe de investigación estaba en su fase final de elaboración al momento de concretarse la eliminación de</w:t>
      </w:r>
      <w:r w:rsidR="00B37F9D">
        <w:rPr>
          <w:rFonts w:asciiTheme="minorHAnsi" w:hAnsiTheme="minorHAnsi"/>
          <w:color w:val="auto"/>
          <w:sz w:val="22"/>
        </w:rPr>
        <w:t xml:space="preserve"> </w:t>
      </w:r>
      <w:r w:rsidR="00BC11C2" w:rsidRPr="0011751A">
        <w:rPr>
          <w:rFonts w:asciiTheme="minorHAnsi" w:hAnsiTheme="minorHAnsi"/>
          <w:color w:val="auto"/>
          <w:sz w:val="22"/>
        </w:rPr>
        <w:t>l</w:t>
      </w:r>
      <w:r w:rsidR="00B37F9D">
        <w:rPr>
          <w:rFonts w:asciiTheme="minorHAnsi" w:hAnsiTheme="minorHAnsi"/>
          <w:color w:val="auto"/>
          <w:sz w:val="22"/>
        </w:rPr>
        <w:t>a</w:t>
      </w:r>
      <w:r w:rsidR="00BC11C2" w:rsidRPr="0011751A">
        <w:rPr>
          <w:rFonts w:asciiTheme="minorHAnsi" w:hAnsiTheme="minorHAnsi"/>
          <w:color w:val="auto"/>
          <w:sz w:val="22"/>
        </w:rPr>
        <w:t xml:space="preserve"> </w:t>
      </w:r>
      <w:r w:rsidR="00B37F9D">
        <w:rPr>
          <w:rFonts w:asciiTheme="minorHAnsi" w:hAnsiTheme="minorHAnsi"/>
          <w:color w:val="auto"/>
          <w:sz w:val="22"/>
        </w:rPr>
        <w:t xml:space="preserve">División de </w:t>
      </w:r>
      <w:r w:rsidR="00BC11C2" w:rsidRPr="0011751A">
        <w:rPr>
          <w:rFonts w:asciiTheme="minorHAnsi" w:hAnsiTheme="minorHAnsi"/>
          <w:color w:val="auto"/>
          <w:sz w:val="22"/>
        </w:rPr>
        <w:t>Investigación y Normativa.</w:t>
      </w:r>
    </w:p>
    <w:p w:rsidR="00BF3DDC" w:rsidRPr="00BF3DDC" w:rsidRDefault="00BF3DDC" w:rsidP="00BF3DDC">
      <w:pPr>
        <w:jc w:val="both"/>
      </w:pPr>
      <w:r w:rsidRPr="00BF3DDC">
        <w:lastRenderedPageBreak/>
        <w:t>Debo resaltar que, por medio de correo electrónico de 5 de febrero de 2015, el señor Stephan Brunner Neibig, en su condición de Director de División de Investigación y Normativa, le solicitó al Superintendente Carlos Arias Poveda autorizar la publicación de las investigaciones realizadas por funcionarios de la DIN en la revista “Ciencias Económicas” del Instituto de Investigación en Ciencias Económicas de la UCR.  Por nuestra parte, de previo a la solicitud citada, ya habíamos contactado al director del citado instituto, el Sr. Max Soto, quien nos solicitó, como requisito para cualquier publicación, el visto bueno del Superintendente.  Este último cor</w:t>
      </w:r>
      <w:r>
        <w:t>r</w:t>
      </w:r>
      <w:r w:rsidRPr="00BF3DDC">
        <w:t>eo electrónico también fue enviado al señor Carlos Arias Poveda.  Sin embargo, el correo electrónico del señor Brunner Neibig nunca fue respondido ni la solicitud atendida por medio alguno.</w:t>
      </w:r>
    </w:p>
    <w:p w:rsidR="0022410A" w:rsidRDefault="0022410A" w:rsidP="0022410A">
      <w:pPr>
        <w:pStyle w:val="Heading1"/>
        <w:numPr>
          <w:ilvl w:val="1"/>
          <w:numId w:val="1"/>
        </w:numPr>
      </w:pPr>
      <w:r w:rsidRPr="0022410A">
        <w:t>Cambios en el entorno durante el periodo  gestión</w:t>
      </w:r>
      <w:r>
        <w:t xml:space="preserve"> </w:t>
      </w:r>
    </w:p>
    <w:p w:rsidR="0022410A" w:rsidRDefault="0022410A" w:rsidP="0022410A">
      <w:pPr>
        <w:jc w:val="both"/>
        <w:rPr>
          <w:rFonts w:ascii="Calibri" w:hAnsi="Calibri" w:cs="Arial"/>
          <w:szCs w:val="26"/>
          <w:lang w:val="es-ES_tradnl"/>
        </w:rPr>
      </w:pPr>
      <w:r>
        <w:t xml:space="preserve">Durante mi gestión como Director del Departamento de Gestión de Investigación y Normativa hubo fundamentalmente un acontecimiento que afectó por completo el funcionamiento de la unidad a mi cargo. A partir de la entrada del Sr. Carlos Arias Poveda como Superintendente el 4 de julio </w:t>
      </w:r>
      <w:r w:rsidRPr="005F4A2D">
        <w:t>de 2012,</w:t>
      </w:r>
      <w:r>
        <w:t xml:space="preserve"> y por razones que a hoy </w:t>
      </w:r>
      <w:r w:rsidR="00DD52DB">
        <w:t>no tengo claras</w:t>
      </w:r>
      <w:r>
        <w:t xml:space="preserve">, el proceso de normativa dejó de estar a cargo de la División de Investigación y Normativa.  En vista de que el proceso de investigación económica se realizaba </w:t>
      </w:r>
      <w:r w:rsidRPr="0022410A">
        <w:rPr>
          <w:rFonts w:ascii="Calibri" w:hAnsi="Calibri" w:cs="Arial"/>
          <w:szCs w:val="26"/>
          <w:lang w:val="es-ES_tradnl"/>
        </w:rPr>
        <w:t>como apoyo a la elaboración de normativa</w:t>
      </w:r>
      <w:r>
        <w:rPr>
          <w:rFonts w:ascii="Calibri" w:hAnsi="Calibri" w:cs="Arial"/>
          <w:szCs w:val="26"/>
          <w:lang w:val="es-ES_tradnl"/>
        </w:rPr>
        <w:t>, la fuente de temas para investigar relacionada</w:t>
      </w:r>
      <w:r w:rsidR="00DD52DB">
        <w:rPr>
          <w:rFonts w:ascii="Calibri" w:hAnsi="Calibri" w:cs="Arial"/>
          <w:szCs w:val="26"/>
          <w:lang w:val="es-ES_tradnl"/>
        </w:rPr>
        <w:t>s</w:t>
      </w:r>
      <w:r>
        <w:rPr>
          <w:rFonts w:ascii="Calibri" w:hAnsi="Calibri" w:cs="Arial"/>
          <w:szCs w:val="26"/>
          <w:lang w:val="es-ES_tradnl"/>
        </w:rPr>
        <w:t xml:space="preserve"> directamente con procesos normativos desapareció.</w:t>
      </w:r>
      <w:r w:rsidR="00DD52DB">
        <w:rPr>
          <w:rFonts w:ascii="Calibri" w:hAnsi="Calibri" w:cs="Arial"/>
          <w:szCs w:val="26"/>
          <w:lang w:val="es-ES_tradnl"/>
        </w:rPr>
        <w:t xml:space="preserve"> Además los funcionarios de la dependencia dejaron de ser convocados a reuniones donde se trataban temas relacionados con el desarrollo de proyectos normativos.  Esta situación condujo que fuera sumamente difícil orientar la temática de las investigaciones hacia temas que fueran del interés de la jerarquía institucional.  Salvo por el tema específico de los determinantes de la liquidez de los instrumentos de deuda, no hubo ninguna comunicación de parte del Despacho en relación a temas de investigación.</w:t>
      </w:r>
      <w:r>
        <w:rPr>
          <w:rFonts w:ascii="Calibri" w:hAnsi="Calibri" w:cs="Arial"/>
          <w:szCs w:val="26"/>
          <w:lang w:val="es-ES_tradnl"/>
        </w:rPr>
        <w:t xml:space="preserve">  De ahí que</w:t>
      </w:r>
      <w:r w:rsidR="00DD52DB">
        <w:rPr>
          <w:rFonts w:ascii="Calibri" w:hAnsi="Calibri" w:cs="Arial"/>
          <w:szCs w:val="26"/>
          <w:lang w:val="es-ES_tradnl"/>
        </w:rPr>
        <w:t xml:space="preserve"> </w:t>
      </w:r>
      <w:r>
        <w:rPr>
          <w:rFonts w:ascii="Calibri" w:hAnsi="Calibri" w:cs="Arial"/>
          <w:szCs w:val="26"/>
          <w:lang w:val="es-ES_tradnl"/>
        </w:rPr>
        <w:t>l</w:t>
      </w:r>
      <w:r w:rsidR="00DD52DB">
        <w:rPr>
          <w:rFonts w:ascii="Calibri" w:hAnsi="Calibri" w:cs="Arial"/>
          <w:szCs w:val="26"/>
          <w:lang w:val="es-ES_tradnl"/>
        </w:rPr>
        <w:t xml:space="preserve">as investigaciones </w:t>
      </w:r>
      <w:r>
        <w:rPr>
          <w:rFonts w:ascii="Calibri" w:hAnsi="Calibri" w:cs="Arial"/>
          <w:szCs w:val="26"/>
          <w:lang w:val="es-ES_tradnl"/>
        </w:rPr>
        <w:t>que</w:t>
      </w:r>
      <w:r w:rsidR="00DD52DB">
        <w:rPr>
          <w:rFonts w:ascii="Calibri" w:hAnsi="Calibri" w:cs="Arial"/>
          <w:szCs w:val="26"/>
          <w:lang w:val="es-ES_tradnl"/>
        </w:rPr>
        <w:t xml:space="preserve"> a partir de julio de 2012 </w:t>
      </w:r>
      <w:r>
        <w:rPr>
          <w:rFonts w:ascii="Calibri" w:hAnsi="Calibri" w:cs="Arial"/>
          <w:szCs w:val="26"/>
          <w:lang w:val="es-ES_tradnl"/>
        </w:rPr>
        <w:t>se iniciaron</w:t>
      </w:r>
      <w:r w:rsidR="00DD52DB">
        <w:rPr>
          <w:rFonts w:ascii="Calibri" w:hAnsi="Calibri" w:cs="Arial"/>
          <w:szCs w:val="26"/>
          <w:lang w:val="es-ES_tradnl"/>
        </w:rPr>
        <w:t xml:space="preserve"> fueron elegidas con base en lo que la dirección de la División de Investigación y Normativa y mi persona consideramos de interés institucional y del mercado de valores</w:t>
      </w:r>
      <w:r w:rsidR="00E9586B">
        <w:rPr>
          <w:rFonts w:ascii="Calibri" w:hAnsi="Calibri" w:cs="Arial"/>
          <w:szCs w:val="26"/>
          <w:lang w:val="es-ES_tradnl"/>
        </w:rPr>
        <w:t>.</w:t>
      </w:r>
    </w:p>
    <w:p w:rsidR="00142D73" w:rsidRDefault="00142D73" w:rsidP="0022410A">
      <w:pPr>
        <w:jc w:val="both"/>
        <w:rPr>
          <w:rFonts w:ascii="Calibri" w:hAnsi="Calibri" w:cs="Arial"/>
          <w:szCs w:val="26"/>
          <w:lang w:val="es-ES_tradnl"/>
        </w:rPr>
      </w:pPr>
      <w:r>
        <w:rPr>
          <w:rFonts w:ascii="Calibri" w:hAnsi="Calibri" w:cs="Arial"/>
          <w:szCs w:val="26"/>
          <w:lang w:val="es-ES_tradnl"/>
        </w:rPr>
        <w:t>La anterior situación provocó un creciente nivel de desmotivación entre el personal que ejercía el proceso de investigación pues paulatinamente se fueron dando cuenta, e incluso llegaron a cuestionarme qué sentido tenía trabajar en temas de investigación que una vez concluidos eran básicamente y desde el punto de vista de nuestra unidad, guardados en la gaveta del Despacho del Superintendente.</w:t>
      </w:r>
      <w:r w:rsidR="0048787A">
        <w:rPr>
          <w:rFonts w:ascii="Calibri" w:hAnsi="Calibri" w:cs="Arial"/>
          <w:szCs w:val="26"/>
          <w:lang w:val="es-ES_tradnl"/>
        </w:rPr>
        <w:t xml:space="preserve">   </w:t>
      </w:r>
    </w:p>
    <w:p w:rsidR="0048787A" w:rsidRDefault="0048787A" w:rsidP="0022410A">
      <w:pPr>
        <w:jc w:val="both"/>
        <w:rPr>
          <w:rFonts w:ascii="Calibri" w:hAnsi="Calibri" w:cs="Arial"/>
          <w:szCs w:val="26"/>
          <w:lang w:val="es-ES_tradnl"/>
        </w:rPr>
      </w:pPr>
      <w:r>
        <w:rPr>
          <w:rFonts w:ascii="Calibri" w:hAnsi="Calibri" w:cs="Arial"/>
          <w:szCs w:val="26"/>
          <w:lang w:val="es-ES_tradnl"/>
        </w:rPr>
        <w:t xml:space="preserve">Cabe mencionar que en un par de ocasiones, y a solicitud de la Dirección de la División de Investigación y Normativa, se incluyó en los temas de </w:t>
      </w:r>
      <w:r w:rsidR="00040D57">
        <w:rPr>
          <w:rFonts w:ascii="Calibri" w:hAnsi="Calibri" w:cs="Arial"/>
          <w:szCs w:val="26"/>
          <w:lang w:val="es-ES_tradnl"/>
        </w:rPr>
        <w:t>las Charlas Internas de Sugeval</w:t>
      </w:r>
      <w:r>
        <w:rPr>
          <w:rFonts w:ascii="Calibri" w:hAnsi="Calibri" w:cs="Arial"/>
          <w:szCs w:val="26"/>
          <w:lang w:val="es-ES_tradnl"/>
        </w:rPr>
        <w:t xml:space="preserve"> la exposición de un par de documentos de investigación</w:t>
      </w:r>
      <w:r w:rsidR="00040D57">
        <w:rPr>
          <w:rFonts w:ascii="Calibri" w:hAnsi="Calibri" w:cs="Arial"/>
          <w:szCs w:val="26"/>
          <w:lang w:val="es-ES_tradnl"/>
        </w:rPr>
        <w:t xml:space="preserve"> elaborados por el Departamento de Gestión de Investigación y Normativa.  Sin embargo a esas</w:t>
      </w:r>
      <w:r>
        <w:rPr>
          <w:rFonts w:ascii="Calibri" w:hAnsi="Calibri" w:cs="Arial"/>
          <w:szCs w:val="26"/>
          <w:lang w:val="es-ES_tradnl"/>
        </w:rPr>
        <w:t xml:space="preserve"> charlas no asistió ni el Sr. Superintendente, ni el entonces Intendente ni ninguno de los directores de División o Departamento de la Superintendencia.  </w:t>
      </w:r>
    </w:p>
    <w:p w:rsidR="00E9586B" w:rsidRPr="0022410A" w:rsidRDefault="00E9586B" w:rsidP="0022410A">
      <w:pPr>
        <w:jc w:val="both"/>
      </w:pPr>
      <w:r>
        <w:rPr>
          <w:rFonts w:ascii="Calibri" w:hAnsi="Calibri" w:cs="Arial"/>
          <w:szCs w:val="26"/>
          <w:lang w:val="es-ES_tradnl"/>
        </w:rPr>
        <w:lastRenderedPageBreak/>
        <w:t xml:space="preserve">Igualmente, como se mencionó en la sección anterior de este informe.  Las investigaciones se realizaron y se remitieron al Despacho del Superintendente sin que se recibiera un solo comentario en relación a ellas.  </w:t>
      </w:r>
    </w:p>
    <w:p w:rsidR="00E91B6E" w:rsidRDefault="00E91B6E" w:rsidP="00E91B6E">
      <w:pPr>
        <w:pStyle w:val="Heading1"/>
        <w:numPr>
          <w:ilvl w:val="1"/>
          <w:numId w:val="1"/>
        </w:numPr>
      </w:pPr>
      <w:r w:rsidRPr="0022410A">
        <w:t>C</w:t>
      </w:r>
      <w:r>
        <w:t>ontrol interno</w:t>
      </w:r>
    </w:p>
    <w:p w:rsidR="00E91B6E" w:rsidRPr="00E91B6E" w:rsidRDefault="00E91B6E" w:rsidP="00041160">
      <w:pPr>
        <w:widowControl w:val="0"/>
        <w:autoSpaceDE w:val="0"/>
        <w:autoSpaceDN w:val="0"/>
        <w:adjustRightInd w:val="0"/>
        <w:spacing w:after="120"/>
        <w:jc w:val="both"/>
        <w:rPr>
          <w:rFonts w:ascii="Calibri" w:hAnsi="Calibri" w:cs="Arial"/>
          <w:i/>
          <w:szCs w:val="26"/>
          <w:lang w:val="es-ES_tradnl"/>
        </w:rPr>
      </w:pPr>
      <w:r w:rsidRPr="00E91B6E">
        <w:rPr>
          <w:rFonts w:ascii="Calibri" w:hAnsi="Calibri" w:cs="Arial"/>
          <w:szCs w:val="26"/>
          <w:lang w:val="es-ES_tradnl"/>
        </w:rPr>
        <w:t>Las evaluaciones de control interno de la unidad fueron efectuadas</w:t>
      </w:r>
      <w:r>
        <w:rPr>
          <w:rFonts w:ascii="Calibri" w:hAnsi="Calibri" w:cs="Arial"/>
          <w:szCs w:val="26"/>
          <w:lang w:val="es-ES_tradnl"/>
        </w:rPr>
        <w:t xml:space="preserve"> y remitidas cuando correspondía por parte de la </w:t>
      </w:r>
      <w:r w:rsidRPr="00E91B6E">
        <w:rPr>
          <w:rFonts w:ascii="Calibri" w:hAnsi="Calibri" w:cs="Arial"/>
          <w:szCs w:val="26"/>
          <w:lang w:val="es-ES_tradnl"/>
        </w:rPr>
        <w:t>dirección de la División de Investigación y Normativa</w:t>
      </w:r>
      <w:r>
        <w:rPr>
          <w:rFonts w:ascii="Calibri" w:hAnsi="Calibri" w:cs="Arial"/>
          <w:szCs w:val="26"/>
          <w:lang w:val="es-ES_tradnl"/>
        </w:rPr>
        <w:t xml:space="preserve">.  En estas evaluaciones puede constatarse que </w:t>
      </w:r>
      <w:r w:rsidR="00AC1E69">
        <w:rPr>
          <w:rFonts w:ascii="Calibri" w:hAnsi="Calibri" w:cs="Arial"/>
          <w:szCs w:val="26"/>
          <w:lang w:val="es-ES_tradnl"/>
        </w:rPr>
        <w:t xml:space="preserve">la situación de remoción del proceso de elaboración de propuestas de normativa que sufrió la División de Investigación y Normativa a partir de la llegada del Superintendente Arias Poveda se </w:t>
      </w:r>
      <w:r>
        <w:rPr>
          <w:rFonts w:ascii="Calibri" w:hAnsi="Calibri" w:cs="Arial"/>
          <w:szCs w:val="26"/>
          <w:lang w:val="es-ES_tradnl"/>
        </w:rPr>
        <w:t>señaló</w:t>
      </w:r>
      <w:r w:rsidR="00AC1E69">
        <w:rPr>
          <w:rFonts w:ascii="Calibri" w:hAnsi="Calibri" w:cs="Arial"/>
          <w:szCs w:val="26"/>
          <w:lang w:val="es-ES_tradnl"/>
        </w:rPr>
        <w:t xml:space="preserve"> con oportunidad</w:t>
      </w:r>
      <w:r>
        <w:rPr>
          <w:rFonts w:ascii="Calibri" w:hAnsi="Calibri" w:cs="Arial"/>
          <w:szCs w:val="26"/>
          <w:lang w:val="es-ES_tradnl"/>
        </w:rPr>
        <w:t xml:space="preserve">.  Esta situación fue corroborada por la Auditoría interna del Conassif que por medio del oficio AI-CONASSIF-237-2012 de 17 de diciembre de 2012 le señala al Superintendente Arias Poveda que </w:t>
      </w:r>
      <w:r w:rsidRPr="00E91B6E">
        <w:rPr>
          <w:rFonts w:ascii="Calibri" w:hAnsi="Calibri" w:cs="Arial"/>
          <w:i/>
          <w:szCs w:val="26"/>
          <w:lang w:val="es-ES_tradnl"/>
        </w:rPr>
        <w:t>…El hecho de que se mantenga la responsabilidad de algunos proyectos de elaboración de normativa en otras divisiones de esa Superintendencia, conlleva a la exposición de los riesgos señalados en el Diagnóstico, Superintendencia General de Valores (Investigación y Normativa) y la Propuesta de Reorganización Superintendencia General de Valores (Investigación y Normativa), a saber:</w:t>
      </w:r>
    </w:p>
    <w:p w:rsidR="00E91B6E" w:rsidRPr="00E91B6E" w:rsidRDefault="00E91B6E" w:rsidP="00E91B6E">
      <w:pPr>
        <w:pStyle w:val="ListParagraph"/>
        <w:widowControl w:val="0"/>
        <w:numPr>
          <w:ilvl w:val="1"/>
          <w:numId w:val="11"/>
        </w:numPr>
        <w:autoSpaceDE w:val="0"/>
        <w:autoSpaceDN w:val="0"/>
        <w:adjustRightInd w:val="0"/>
        <w:ind w:left="709"/>
        <w:jc w:val="both"/>
        <w:rPr>
          <w:rFonts w:ascii="Calibri" w:eastAsiaTheme="minorHAnsi" w:hAnsi="Calibri" w:cs="Arial"/>
          <w:i/>
          <w:sz w:val="22"/>
          <w:szCs w:val="26"/>
          <w:lang w:val="es-ES_tradnl"/>
        </w:rPr>
      </w:pPr>
      <w:r w:rsidRPr="00E91B6E">
        <w:rPr>
          <w:rFonts w:ascii="Calibri" w:eastAsiaTheme="minorHAnsi" w:hAnsi="Calibri" w:cs="Arial"/>
          <w:i/>
          <w:sz w:val="22"/>
          <w:szCs w:val="26"/>
          <w:lang w:val="es-ES_tradnl"/>
        </w:rPr>
        <w:t>Dispersión en la responsabilidad por la generación de nueva normativa.</w:t>
      </w:r>
    </w:p>
    <w:p w:rsidR="00E91B6E" w:rsidRPr="00E91B6E" w:rsidRDefault="00E91B6E" w:rsidP="00E91B6E">
      <w:pPr>
        <w:pStyle w:val="ListParagraph"/>
        <w:widowControl w:val="0"/>
        <w:numPr>
          <w:ilvl w:val="1"/>
          <w:numId w:val="11"/>
        </w:numPr>
        <w:autoSpaceDE w:val="0"/>
        <w:autoSpaceDN w:val="0"/>
        <w:adjustRightInd w:val="0"/>
        <w:ind w:left="709"/>
        <w:jc w:val="both"/>
        <w:rPr>
          <w:rFonts w:ascii="Calibri" w:eastAsiaTheme="minorHAnsi" w:hAnsi="Calibri" w:cs="Arial"/>
          <w:i/>
          <w:sz w:val="22"/>
          <w:szCs w:val="26"/>
          <w:lang w:val="es-ES_tradnl"/>
        </w:rPr>
      </w:pPr>
      <w:r w:rsidRPr="00E91B6E">
        <w:rPr>
          <w:rFonts w:ascii="Calibri" w:eastAsiaTheme="minorHAnsi" w:hAnsi="Calibri" w:cs="Arial"/>
          <w:i/>
          <w:sz w:val="22"/>
          <w:szCs w:val="26"/>
          <w:lang w:val="es-ES_tradnl"/>
        </w:rPr>
        <w:t>Personal asignado para elaborar normas, con conocimientos variables y alcance limitado por especialización de la dependencia.</w:t>
      </w:r>
    </w:p>
    <w:p w:rsidR="00E91B6E" w:rsidRPr="00E91B6E" w:rsidRDefault="00E91B6E" w:rsidP="00E91B6E">
      <w:pPr>
        <w:pStyle w:val="ListParagraph"/>
        <w:widowControl w:val="0"/>
        <w:numPr>
          <w:ilvl w:val="1"/>
          <w:numId w:val="11"/>
        </w:numPr>
        <w:autoSpaceDE w:val="0"/>
        <w:autoSpaceDN w:val="0"/>
        <w:adjustRightInd w:val="0"/>
        <w:ind w:left="709"/>
        <w:jc w:val="both"/>
        <w:rPr>
          <w:rFonts w:ascii="Calibri" w:eastAsiaTheme="minorHAnsi" w:hAnsi="Calibri" w:cs="Arial"/>
          <w:i/>
          <w:sz w:val="22"/>
          <w:szCs w:val="26"/>
          <w:lang w:val="es-ES_tradnl"/>
        </w:rPr>
      </w:pPr>
      <w:r w:rsidRPr="00E91B6E">
        <w:rPr>
          <w:rFonts w:ascii="Calibri" w:eastAsiaTheme="minorHAnsi" w:hAnsi="Calibri" w:cs="Arial"/>
          <w:i/>
          <w:sz w:val="22"/>
          <w:szCs w:val="26"/>
          <w:lang w:val="es-ES_tradnl"/>
        </w:rPr>
        <w:t>Recargo a las funciones normales que debe realizar el personal, lo que provoca trastornos tanto en las actividades cotidianas como en la obtención de la normativa.</w:t>
      </w:r>
    </w:p>
    <w:p w:rsidR="00E91B6E" w:rsidRDefault="00E91B6E" w:rsidP="00E91B6E">
      <w:pPr>
        <w:pStyle w:val="ListParagraph"/>
        <w:widowControl w:val="0"/>
        <w:numPr>
          <w:ilvl w:val="1"/>
          <w:numId w:val="11"/>
        </w:numPr>
        <w:autoSpaceDE w:val="0"/>
        <w:autoSpaceDN w:val="0"/>
        <w:adjustRightInd w:val="0"/>
        <w:ind w:left="709"/>
        <w:jc w:val="both"/>
        <w:rPr>
          <w:rFonts w:ascii="Calibri" w:eastAsiaTheme="minorHAnsi" w:hAnsi="Calibri" w:cs="Arial"/>
          <w:i/>
          <w:sz w:val="22"/>
          <w:szCs w:val="26"/>
          <w:lang w:val="es-ES_tradnl"/>
        </w:rPr>
      </w:pPr>
      <w:r w:rsidRPr="00E91B6E">
        <w:rPr>
          <w:rFonts w:ascii="Calibri" w:eastAsiaTheme="minorHAnsi" w:hAnsi="Calibri" w:cs="Arial"/>
          <w:i/>
          <w:sz w:val="22"/>
          <w:szCs w:val="26"/>
          <w:lang w:val="es-ES_tradnl"/>
        </w:rPr>
        <w:t>Posibles conflictos de interés para el mantenimiento del status quo.</w:t>
      </w:r>
    </w:p>
    <w:p w:rsidR="00E91B6E" w:rsidRPr="00E91B6E" w:rsidRDefault="00E91B6E" w:rsidP="00AC1E69">
      <w:pPr>
        <w:pStyle w:val="ListParagraph"/>
        <w:widowControl w:val="0"/>
        <w:numPr>
          <w:ilvl w:val="1"/>
          <w:numId w:val="11"/>
        </w:numPr>
        <w:autoSpaceDE w:val="0"/>
        <w:autoSpaceDN w:val="0"/>
        <w:adjustRightInd w:val="0"/>
        <w:spacing w:after="120"/>
        <w:ind w:left="709" w:hanging="357"/>
        <w:jc w:val="both"/>
        <w:rPr>
          <w:rFonts w:ascii="Calibri" w:eastAsiaTheme="minorHAnsi" w:hAnsi="Calibri" w:cs="Arial"/>
          <w:i/>
          <w:sz w:val="22"/>
          <w:szCs w:val="26"/>
          <w:lang w:val="es-ES_tradnl"/>
        </w:rPr>
      </w:pPr>
      <w:r w:rsidRPr="00E91B6E">
        <w:rPr>
          <w:rFonts w:ascii="Calibri" w:eastAsiaTheme="minorHAnsi" w:hAnsi="Calibri" w:cs="Arial"/>
          <w:i/>
          <w:sz w:val="22"/>
          <w:szCs w:val="26"/>
          <w:lang w:val="es-ES_tradnl"/>
        </w:rPr>
        <w:t>Dedicación de tiempos parciales variables de muchos funcionarios, que contribuyen a la dispersión del proceso e incide en la calidad y oportunidad en la obtención de los productos”</w:t>
      </w:r>
    </w:p>
    <w:p w:rsidR="00E91B6E" w:rsidRDefault="002F2B0D" w:rsidP="002B7C25">
      <w:pPr>
        <w:widowControl w:val="0"/>
        <w:autoSpaceDE w:val="0"/>
        <w:autoSpaceDN w:val="0"/>
        <w:adjustRightInd w:val="0"/>
        <w:jc w:val="both"/>
        <w:rPr>
          <w:rFonts w:ascii="Calibri" w:hAnsi="Calibri" w:cs="Arial"/>
          <w:szCs w:val="26"/>
        </w:rPr>
      </w:pPr>
      <w:r>
        <w:rPr>
          <w:rFonts w:ascii="Calibri" w:hAnsi="Calibri" w:cs="Arial"/>
          <w:szCs w:val="26"/>
        </w:rPr>
        <w:t xml:space="preserve">A pesar de esos señalamientos </w:t>
      </w:r>
      <w:r w:rsidR="00AC1E69">
        <w:rPr>
          <w:rFonts w:ascii="Calibri" w:hAnsi="Calibri" w:cs="Arial"/>
          <w:szCs w:val="26"/>
        </w:rPr>
        <w:t xml:space="preserve">de la Auditoría, </w:t>
      </w:r>
      <w:r>
        <w:rPr>
          <w:rFonts w:ascii="Calibri" w:hAnsi="Calibri" w:cs="Arial"/>
          <w:szCs w:val="26"/>
        </w:rPr>
        <w:t xml:space="preserve">la situación no </w:t>
      </w:r>
      <w:r w:rsidR="00AC1E69">
        <w:rPr>
          <w:rFonts w:ascii="Calibri" w:hAnsi="Calibri" w:cs="Arial"/>
          <w:szCs w:val="26"/>
        </w:rPr>
        <w:t>varió</w:t>
      </w:r>
      <w:r>
        <w:rPr>
          <w:rFonts w:ascii="Calibri" w:hAnsi="Calibri" w:cs="Arial"/>
          <w:szCs w:val="26"/>
        </w:rPr>
        <w:t>, todo lo contrario fue agravándose paulatinamente.  En vista de que la situación y posibles acciones para corregirla estaban por completo en la esfera de acción del Despacho de la Superintendencia, más allá de señalar la irregularidad en las evaluaciones de control interno no se pudo emprender acciones que fueran del resorte del Departamento que tuve a cargo.</w:t>
      </w:r>
    </w:p>
    <w:p w:rsidR="002F2B0D" w:rsidRDefault="002F2B0D" w:rsidP="002F2B0D">
      <w:pPr>
        <w:pStyle w:val="Heading1"/>
        <w:numPr>
          <w:ilvl w:val="1"/>
          <w:numId w:val="1"/>
        </w:numPr>
      </w:pPr>
      <w:r>
        <w:t>Logros según planificación institucional</w:t>
      </w:r>
    </w:p>
    <w:p w:rsidR="002F2B0D" w:rsidRDefault="002F2B0D" w:rsidP="002B7C25">
      <w:pPr>
        <w:widowControl w:val="0"/>
        <w:autoSpaceDE w:val="0"/>
        <w:autoSpaceDN w:val="0"/>
        <w:adjustRightInd w:val="0"/>
        <w:jc w:val="both"/>
        <w:rPr>
          <w:rFonts w:ascii="Calibri" w:hAnsi="Calibri" w:cs="Arial"/>
          <w:szCs w:val="26"/>
        </w:rPr>
      </w:pPr>
      <w:r>
        <w:rPr>
          <w:rFonts w:ascii="Calibri" w:hAnsi="Calibri" w:cs="Arial"/>
          <w:szCs w:val="26"/>
        </w:rPr>
        <w:t>Como se ha mencionado atrás, los logros de la unidad que tuve a cargo deben circunscribirse al proceso de investigación</w:t>
      </w:r>
      <w:r w:rsidR="00F77E8A">
        <w:rPr>
          <w:rFonts w:ascii="Calibri" w:hAnsi="Calibri" w:cs="Arial"/>
          <w:szCs w:val="26"/>
        </w:rPr>
        <w:t xml:space="preserve"> económica en el ámbito del mercado de valores</w:t>
      </w:r>
      <w:r>
        <w:rPr>
          <w:rFonts w:ascii="Calibri" w:hAnsi="Calibri" w:cs="Arial"/>
          <w:szCs w:val="26"/>
        </w:rPr>
        <w:t xml:space="preserve">.  En este sentido debe señalarse que </w:t>
      </w:r>
      <w:r w:rsidR="003D6B7E">
        <w:rPr>
          <w:rFonts w:ascii="Calibri" w:hAnsi="Calibri" w:cs="Arial"/>
          <w:szCs w:val="26"/>
        </w:rPr>
        <w:t xml:space="preserve">los 10 documentos de investigación elaborados son de una alta calidad técnica.  En </w:t>
      </w:r>
      <w:r w:rsidR="00F77E8A">
        <w:rPr>
          <w:rFonts w:ascii="Calibri" w:hAnsi="Calibri" w:cs="Arial"/>
          <w:szCs w:val="26"/>
        </w:rPr>
        <w:t xml:space="preserve">la mayoría de ellos se implementaron </w:t>
      </w:r>
      <w:r w:rsidR="003D6B7E">
        <w:rPr>
          <w:rFonts w:ascii="Calibri" w:hAnsi="Calibri" w:cs="Arial"/>
          <w:szCs w:val="26"/>
        </w:rPr>
        <w:t>técnicas econométricas y estadísticas completamente novedosas en relación al perfil de documentos que históricamente había producido la Sugeval. En vista de la rigurosidad científica que las metodologías empeladas permiten, los resultados y conclusiones a las que se arribó son sumamente robustos y de gran relevancia para el quehacer del mercado de valores.</w:t>
      </w:r>
    </w:p>
    <w:p w:rsidR="00D35BFA" w:rsidRDefault="003D6B7E" w:rsidP="002B7C25">
      <w:pPr>
        <w:widowControl w:val="0"/>
        <w:autoSpaceDE w:val="0"/>
        <w:autoSpaceDN w:val="0"/>
        <w:adjustRightInd w:val="0"/>
        <w:jc w:val="both"/>
        <w:rPr>
          <w:rFonts w:ascii="Calibri" w:hAnsi="Calibri" w:cs="Arial"/>
          <w:szCs w:val="26"/>
        </w:rPr>
      </w:pPr>
      <w:r>
        <w:rPr>
          <w:rFonts w:ascii="Calibri" w:hAnsi="Calibri" w:cs="Arial"/>
          <w:szCs w:val="26"/>
        </w:rPr>
        <w:lastRenderedPageBreak/>
        <w:t>En mi opinión</w:t>
      </w:r>
      <w:r w:rsidR="00F77E8A">
        <w:rPr>
          <w:rFonts w:ascii="Calibri" w:hAnsi="Calibri" w:cs="Arial"/>
          <w:szCs w:val="26"/>
        </w:rPr>
        <w:t xml:space="preserve">, basada en </w:t>
      </w:r>
      <w:r>
        <w:rPr>
          <w:rFonts w:ascii="Calibri" w:hAnsi="Calibri" w:cs="Arial"/>
          <w:szCs w:val="26"/>
        </w:rPr>
        <w:t>15 años de experiencia en el ámbito de la banca central, 10 de los cuales han sido dedicados a la  investigación económica, es una verdadera lástima</w:t>
      </w:r>
      <w:r w:rsidR="00F77E8A">
        <w:rPr>
          <w:rFonts w:ascii="Calibri" w:hAnsi="Calibri" w:cs="Arial"/>
          <w:szCs w:val="26"/>
        </w:rPr>
        <w:t>, por decir lo menos,</w:t>
      </w:r>
      <w:r>
        <w:rPr>
          <w:rFonts w:ascii="Calibri" w:hAnsi="Calibri" w:cs="Arial"/>
          <w:szCs w:val="26"/>
        </w:rPr>
        <w:t xml:space="preserve"> que la mayoría de estos documentos hayan terminado en un Despacho que les dio poca o ninguna importancia.  </w:t>
      </w:r>
    </w:p>
    <w:p w:rsidR="003D6B7E" w:rsidRDefault="00D35BFA" w:rsidP="002B7C25">
      <w:pPr>
        <w:widowControl w:val="0"/>
        <w:autoSpaceDE w:val="0"/>
        <w:autoSpaceDN w:val="0"/>
        <w:adjustRightInd w:val="0"/>
        <w:jc w:val="both"/>
        <w:rPr>
          <w:rFonts w:ascii="Calibri" w:hAnsi="Calibri" w:cs="Arial"/>
          <w:szCs w:val="26"/>
        </w:rPr>
      </w:pPr>
      <w:r>
        <w:rPr>
          <w:rFonts w:ascii="Calibri" w:hAnsi="Calibri" w:cs="Arial"/>
          <w:szCs w:val="26"/>
        </w:rPr>
        <w:t>La importancia que la investigación rigurosa y de carácter científico tiene para l</w:t>
      </w:r>
      <w:r w:rsidR="00F77E8A">
        <w:rPr>
          <w:rFonts w:ascii="Calibri" w:hAnsi="Calibri" w:cs="Arial"/>
          <w:szCs w:val="26"/>
        </w:rPr>
        <w:t>a actual jerarquía</w:t>
      </w:r>
      <w:r>
        <w:rPr>
          <w:rFonts w:ascii="Calibri" w:hAnsi="Calibri" w:cs="Arial"/>
          <w:szCs w:val="26"/>
        </w:rPr>
        <w:t xml:space="preserve"> de la Superintendencia queda plasmada en la absoluta ausencia de mención en la planificación institucional que el Despacho del superintendente ha impulsado desde su llegada.  También se refleja en el hecho de que co</w:t>
      </w:r>
      <w:r w:rsidR="00AC1E69">
        <w:rPr>
          <w:rFonts w:ascii="Calibri" w:hAnsi="Calibri" w:cs="Arial"/>
          <w:szCs w:val="26"/>
        </w:rPr>
        <w:t>mo resultado de</w:t>
      </w:r>
      <w:r>
        <w:rPr>
          <w:rFonts w:ascii="Calibri" w:hAnsi="Calibri" w:cs="Arial"/>
          <w:szCs w:val="26"/>
        </w:rPr>
        <w:t xml:space="preserve"> la reorganización de la División de Investigación y Normativa que ese Despacho impulsó, se redujo un 75% la cantidad de recursos dedicados a la investigación (de 4 funcionarios que podían hacer esa función, con la nueva estructura solamente hay uno).</w:t>
      </w:r>
    </w:p>
    <w:p w:rsidR="00C71EF5" w:rsidRDefault="00C82D51" w:rsidP="00D043D5">
      <w:pPr>
        <w:widowControl w:val="0"/>
        <w:autoSpaceDE w:val="0"/>
        <w:autoSpaceDN w:val="0"/>
        <w:adjustRightInd w:val="0"/>
        <w:jc w:val="both"/>
        <w:rPr>
          <w:rFonts w:ascii="Calibri" w:hAnsi="Calibri" w:cs="Arial"/>
          <w:szCs w:val="26"/>
        </w:rPr>
      </w:pPr>
      <w:r>
        <w:rPr>
          <w:rFonts w:ascii="Calibri" w:hAnsi="Calibri" w:cs="Arial"/>
          <w:szCs w:val="26"/>
        </w:rPr>
        <w:t>Por otra parte</w:t>
      </w:r>
      <w:r w:rsidR="00BF3DDC">
        <w:rPr>
          <w:rFonts w:ascii="Calibri" w:hAnsi="Calibri" w:cs="Arial"/>
          <w:szCs w:val="26"/>
        </w:rPr>
        <w:t>,</w:t>
      </w:r>
      <w:r>
        <w:rPr>
          <w:rFonts w:ascii="Calibri" w:hAnsi="Calibri" w:cs="Arial"/>
          <w:szCs w:val="26"/>
        </w:rPr>
        <w:t xml:space="preserve"> c</w:t>
      </w:r>
      <w:r w:rsidR="00C71EF5">
        <w:rPr>
          <w:rFonts w:ascii="Calibri" w:hAnsi="Calibri" w:cs="Arial"/>
          <w:szCs w:val="26"/>
        </w:rPr>
        <w:t>abe mencionar que</w:t>
      </w:r>
      <w:r w:rsidR="00BF3DDC">
        <w:rPr>
          <w:rFonts w:ascii="Calibri" w:hAnsi="Calibri" w:cs="Arial"/>
          <w:szCs w:val="26"/>
        </w:rPr>
        <w:t>,</w:t>
      </w:r>
      <w:r w:rsidR="00C71EF5">
        <w:rPr>
          <w:rFonts w:ascii="Calibri" w:hAnsi="Calibri" w:cs="Arial"/>
          <w:szCs w:val="26"/>
        </w:rPr>
        <w:t xml:space="preserve"> a mediados del año 2012 me fue asignada una labor relacionada con el seguimiento de las metas de la Sugeval en el ámbito del Plan Nacional de Desarrollo 2011-2014</w:t>
      </w:r>
      <w:r w:rsidR="006B42BD">
        <w:rPr>
          <w:rFonts w:ascii="Calibri" w:hAnsi="Calibri" w:cs="Arial"/>
          <w:szCs w:val="26"/>
        </w:rPr>
        <w:t xml:space="preserve"> (PND)</w:t>
      </w:r>
      <w:r w:rsidR="00C71EF5">
        <w:rPr>
          <w:rFonts w:ascii="Calibri" w:hAnsi="Calibri" w:cs="Arial"/>
          <w:szCs w:val="26"/>
        </w:rPr>
        <w:t>.  La Superintendencia asumió como meta avanzar en el porcentaje de cumplimiento de los principios de regulación y supervisión de la Organización Internacional de Comisiones de Valores (IOSCO).  Para esto, distintas dependencias de la Sugeval tenían a cargo tareas que debían irse cumpliendo con base en un calendario de trabajo.  Mi función consistió en dar seguimiento al avance de estas metas y reportar al</w:t>
      </w:r>
      <w:r w:rsidR="00FA55D1">
        <w:rPr>
          <w:rFonts w:ascii="Calibri" w:hAnsi="Calibri" w:cs="Arial"/>
          <w:szCs w:val="26"/>
        </w:rPr>
        <w:t xml:space="preserve"> respecto al</w:t>
      </w:r>
      <w:r w:rsidR="00C71EF5">
        <w:rPr>
          <w:rFonts w:ascii="Calibri" w:hAnsi="Calibri" w:cs="Arial"/>
          <w:szCs w:val="26"/>
        </w:rPr>
        <w:t xml:space="preserve"> Despacho y al Ministerio rector </w:t>
      </w:r>
      <w:r w:rsidR="00FA55D1">
        <w:rPr>
          <w:rFonts w:ascii="Calibri" w:hAnsi="Calibri" w:cs="Arial"/>
          <w:szCs w:val="26"/>
        </w:rPr>
        <w:t>(Ministerio de Hacienda)</w:t>
      </w:r>
      <w:r w:rsidR="00C71EF5">
        <w:rPr>
          <w:rFonts w:ascii="Calibri" w:hAnsi="Calibri" w:cs="Arial"/>
          <w:szCs w:val="26"/>
        </w:rPr>
        <w:t>. En este sentido debo mencionar que desde la llegada del Superintendente Arias Poveda el avance institucional fue mínimo</w:t>
      </w:r>
      <w:r w:rsidR="006B42BD">
        <w:rPr>
          <w:rFonts w:ascii="Calibri" w:hAnsi="Calibri" w:cs="Arial"/>
          <w:szCs w:val="26"/>
        </w:rPr>
        <w:t xml:space="preserve"> (el porcentaje de cumplimiento de la Superintendencia en relación a su meta para el periodo de vigencia del PND fue de apenas 9.8%)</w:t>
      </w:r>
      <w:r w:rsidR="00C71EF5">
        <w:rPr>
          <w:rFonts w:ascii="Calibri" w:hAnsi="Calibri" w:cs="Arial"/>
          <w:szCs w:val="26"/>
        </w:rPr>
        <w:t xml:space="preserve">.  Incluso el Despacho decidió </w:t>
      </w:r>
      <w:r w:rsidR="00FA55D1">
        <w:rPr>
          <w:rFonts w:ascii="Calibri" w:hAnsi="Calibri" w:cs="Arial"/>
          <w:szCs w:val="26"/>
        </w:rPr>
        <w:t>comunicar</w:t>
      </w:r>
      <w:r w:rsidR="00D043D5">
        <w:rPr>
          <w:rFonts w:ascii="Calibri" w:hAnsi="Calibri" w:cs="Arial"/>
          <w:szCs w:val="26"/>
        </w:rPr>
        <w:t xml:space="preserve"> (ver </w:t>
      </w:r>
      <w:r w:rsidR="00D043D5" w:rsidRPr="00D043D5">
        <w:rPr>
          <w:rFonts w:ascii="Calibri" w:hAnsi="Calibri" w:cs="Arial"/>
          <w:szCs w:val="26"/>
        </w:rPr>
        <w:t>"Remisión de la Matriz Anual de Programación, Seguimiento y Evaluación Sectorial e Institucional (MAPSESI) 2013 y requerimientos adicionales de información Ref: 149", en el folder "A12/0</w:t>
      </w:r>
      <w:r w:rsidR="00D043D5">
        <w:rPr>
          <w:rFonts w:ascii="Calibri" w:hAnsi="Calibri" w:cs="Arial"/>
          <w:szCs w:val="26"/>
        </w:rPr>
        <w:t>)</w:t>
      </w:r>
      <w:r w:rsidR="00FA55D1">
        <w:rPr>
          <w:rFonts w:ascii="Calibri" w:hAnsi="Calibri" w:cs="Arial"/>
          <w:szCs w:val="26"/>
        </w:rPr>
        <w:t xml:space="preserve"> a inicios de 2014 que las razones para el atraso crítico que la institución arrastraba en todas las tareas se debía a </w:t>
      </w:r>
      <w:r w:rsidR="00C71EF5">
        <w:rPr>
          <w:rFonts w:ascii="Calibri" w:hAnsi="Calibri" w:cs="Arial"/>
          <w:szCs w:val="26"/>
        </w:rPr>
        <w:t>que la Superintendencia había reorientado sus prioridades</w:t>
      </w:r>
      <w:r w:rsidR="00D043D5">
        <w:rPr>
          <w:rFonts w:ascii="Calibri" w:hAnsi="Calibri" w:cs="Arial"/>
          <w:szCs w:val="26"/>
        </w:rPr>
        <w:t xml:space="preserve"> y que “…</w:t>
      </w:r>
      <w:r w:rsidR="00D043D5" w:rsidRPr="00D043D5">
        <w:rPr>
          <w:rFonts w:ascii="Calibri" w:hAnsi="Calibri" w:cs="Arial"/>
          <w:szCs w:val="26"/>
        </w:rPr>
        <w:t>Por tal motivo, en el proceso de elaboración del Plan Estratégico quinquenal (2014-2018), se definirán nuevos objetivos y proyectos estratégicos acordes con la situación actual del mercado y de los participantes en él.</w:t>
      </w:r>
      <w:r w:rsidR="00D043D5">
        <w:rPr>
          <w:rFonts w:ascii="Calibri" w:hAnsi="Calibri" w:cs="Arial"/>
          <w:szCs w:val="26"/>
        </w:rPr>
        <w:t>”.  Con esto es evidente que</w:t>
      </w:r>
      <w:r w:rsidR="008532D2">
        <w:rPr>
          <w:rFonts w:ascii="Calibri" w:hAnsi="Calibri" w:cs="Arial"/>
          <w:szCs w:val="26"/>
        </w:rPr>
        <w:t xml:space="preserve"> por decisión del Despacho</w:t>
      </w:r>
      <w:r w:rsidR="00D043D5">
        <w:rPr>
          <w:rFonts w:ascii="Calibri" w:hAnsi="Calibri" w:cs="Arial"/>
          <w:szCs w:val="26"/>
        </w:rPr>
        <w:t xml:space="preserve"> </w:t>
      </w:r>
      <w:r w:rsidR="00FA55D1">
        <w:rPr>
          <w:rFonts w:ascii="Calibri" w:hAnsi="Calibri" w:cs="Arial"/>
          <w:szCs w:val="26"/>
        </w:rPr>
        <w:t>el avance en el cumplimiento de los principios IOSCO no seguiría siendo una meta institucional.</w:t>
      </w:r>
    </w:p>
    <w:p w:rsidR="00142D73" w:rsidRDefault="00142D73" w:rsidP="00D043D5">
      <w:pPr>
        <w:widowControl w:val="0"/>
        <w:autoSpaceDE w:val="0"/>
        <w:autoSpaceDN w:val="0"/>
        <w:adjustRightInd w:val="0"/>
        <w:jc w:val="both"/>
        <w:rPr>
          <w:rFonts w:ascii="Calibri" w:hAnsi="Calibri" w:cs="Arial"/>
          <w:szCs w:val="26"/>
        </w:rPr>
      </w:pPr>
      <w:r w:rsidRPr="00040D57">
        <w:rPr>
          <w:rFonts w:ascii="Calibri" w:hAnsi="Calibri" w:cs="Arial"/>
          <w:szCs w:val="26"/>
        </w:rPr>
        <w:t>Por otra parte, tanto el Director de la División de Investigación y Normativa como este servidor fuimos convocados al proceso de elaboración del plan estratégico de la Sugeval que se efectuó durante el primer semestre de 2014.  Sin embargo, ningún integrante de la División de Investigación y Normativa tuvo participación en ninguno de los proyectos estratégicos del plan de acción que resultó de ese proceso de planificación.</w:t>
      </w:r>
    </w:p>
    <w:p w:rsidR="001775D8" w:rsidRDefault="001775D8" w:rsidP="001775D8">
      <w:pPr>
        <w:pStyle w:val="Heading1"/>
        <w:numPr>
          <w:ilvl w:val="1"/>
          <w:numId w:val="1"/>
        </w:numPr>
      </w:pPr>
      <w:r>
        <w:t>Proyectos relevantes pendientes</w:t>
      </w:r>
    </w:p>
    <w:p w:rsidR="001775D8" w:rsidRDefault="001775D8" w:rsidP="00A51E1A">
      <w:pPr>
        <w:jc w:val="both"/>
      </w:pPr>
      <w:r>
        <w:t xml:space="preserve">Una sola investigación de las desarrolladas quedó sin ser presentada al Despacho, se trata de la mencionada anteriormente bajo el título de </w:t>
      </w:r>
      <w:r w:rsidR="00C71EF5" w:rsidRPr="002E7FE8">
        <w:rPr>
          <w:i/>
        </w:rPr>
        <w:t>Gestión de deuda soberana:</w:t>
      </w:r>
      <w:r w:rsidR="00C71EF5">
        <w:rPr>
          <w:i/>
        </w:rPr>
        <w:t xml:space="preserve"> </w:t>
      </w:r>
      <w:r w:rsidR="00C71EF5" w:rsidRPr="002E7FE8">
        <w:rPr>
          <w:i/>
        </w:rPr>
        <w:t xml:space="preserve">capturando la prima por </w:t>
      </w:r>
      <w:r w:rsidR="00C71EF5" w:rsidRPr="002E7FE8">
        <w:rPr>
          <w:i/>
        </w:rPr>
        <w:lastRenderedPageBreak/>
        <w:t>liquidez</w:t>
      </w:r>
      <w:r w:rsidR="00C71EF5">
        <w:rPr>
          <w:i/>
        </w:rPr>
        <w:t xml:space="preserve">.  </w:t>
      </w:r>
      <w:r w:rsidR="00C71EF5">
        <w:t>De este documento se circuló un borrador entre las distintas direcciones de la Sugeval con el objeto de obtener retroalimentación.  Hasta la fecha de mi salida de la superintendencia no hubo ningún comentario ni sugerencia y el documento, a pesar de ser una versión muy completa,  no fue remitido oficialmente al Despacho del Superintendente.</w:t>
      </w:r>
    </w:p>
    <w:p w:rsidR="00A51E1A" w:rsidRDefault="00A51E1A" w:rsidP="00A51E1A">
      <w:pPr>
        <w:pStyle w:val="Heading1"/>
        <w:numPr>
          <w:ilvl w:val="1"/>
          <w:numId w:val="1"/>
        </w:numPr>
      </w:pPr>
      <w:r>
        <w:t>Administración de recursos financieros</w:t>
      </w:r>
    </w:p>
    <w:p w:rsidR="00A51E1A" w:rsidRPr="00A51E1A" w:rsidRDefault="00A51E1A" w:rsidP="00A51E1A">
      <w:pPr>
        <w:jc w:val="both"/>
      </w:pPr>
      <w:r>
        <w:t>La única discrecionalidad sobre el uso de recursos financieros en la unidad que estuvo a mi cargo era la relacionada con la asignación de recursos para capacitación.  Sin embargo a partir de julio de 2012 esto varió, la capacitación pasó a ser discrecionalmente asignada por el Despacho del Superintendente.</w:t>
      </w:r>
    </w:p>
    <w:sectPr w:rsidR="00A51E1A" w:rsidRPr="00A51E1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31F7B"/>
    <w:multiLevelType w:val="hybridMultilevel"/>
    <w:tmpl w:val="A776E54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nsid w:val="147F0E5D"/>
    <w:multiLevelType w:val="hybridMultilevel"/>
    <w:tmpl w:val="6AB645C2"/>
    <w:lvl w:ilvl="0" w:tplc="8DDCA6B6">
      <w:start w:val="1"/>
      <w:numFmt w:val="lowerRoman"/>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nsid w:val="15B97CE3"/>
    <w:multiLevelType w:val="hybridMultilevel"/>
    <w:tmpl w:val="A6FE0CD6"/>
    <w:lvl w:ilvl="0" w:tplc="8DDCA6B6">
      <w:start w:val="1"/>
      <w:numFmt w:val="lowerRoman"/>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nsid w:val="165628DE"/>
    <w:multiLevelType w:val="multilevel"/>
    <w:tmpl w:val="1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25EC79F8"/>
    <w:multiLevelType w:val="multilevel"/>
    <w:tmpl w:val="1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3E2721BB"/>
    <w:multiLevelType w:val="hybridMultilevel"/>
    <w:tmpl w:val="89003AF8"/>
    <w:lvl w:ilvl="0" w:tplc="BC7EDA26">
      <w:start w:val="1"/>
      <w:numFmt w:val="bullet"/>
      <w:pStyle w:val="Bullet"/>
      <w:lvlText w:val=""/>
      <w:lvlJc w:val="left"/>
      <w:pPr>
        <w:ind w:left="1080" w:hanging="360"/>
      </w:pPr>
      <w:rPr>
        <w:rFonts w:ascii="Symbol" w:hAnsi="Symbol"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6">
    <w:nsid w:val="413C5B2E"/>
    <w:multiLevelType w:val="multilevel"/>
    <w:tmpl w:val="1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48006213"/>
    <w:multiLevelType w:val="hybridMultilevel"/>
    <w:tmpl w:val="99142F1A"/>
    <w:lvl w:ilvl="0" w:tplc="3E28DEDE">
      <w:numFmt w:val="bullet"/>
      <w:lvlText w:val=""/>
      <w:lvlJc w:val="left"/>
      <w:pPr>
        <w:ind w:left="1080" w:hanging="360"/>
      </w:pPr>
      <w:rPr>
        <w:rFonts w:ascii="Symbol" w:hAnsi="Symbol" w:hint="default"/>
      </w:rPr>
    </w:lvl>
    <w:lvl w:ilvl="1" w:tplc="140A0019">
      <w:start w:val="1"/>
      <w:numFmt w:val="lowerLetter"/>
      <w:lvlText w:val="%2."/>
      <w:lvlJc w:val="left"/>
      <w:pPr>
        <w:ind w:left="1800" w:hanging="360"/>
      </w:pPr>
    </w:lvl>
    <w:lvl w:ilvl="2" w:tplc="140A001B">
      <w:start w:val="1"/>
      <w:numFmt w:val="lowerRoman"/>
      <w:lvlText w:val="%3."/>
      <w:lvlJc w:val="right"/>
      <w:pPr>
        <w:ind w:left="2520" w:hanging="180"/>
      </w:pPr>
    </w:lvl>
    <w:lvl w:ilvl="3" w:tplc="140A000F">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8">
    <w:nsid w:val="49300DBA"/>
    <w:multiLevelType w:val="multilevel"/>
    <w:tmpl w:val="06542C3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2.1"/>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4A4B6E8A"/>
    <w:multiLevelType w:val="hybridMultilevel"/>
    <w:tmpl w:val="D800F200"/>
    <w:lvl w:ilvl="0" w:tplc="140A001B">
      <w:start w:val="1"/>
      <w:numFmt w:val="lowerRoman"/>
      <w:lvlText w:val="%1."/>
      <w:lvlJc w:val="righ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nsid w:val="57790D5B"/>
    <w:multiLevelType w:val="hybridMultilevel"/>
    <w:tmpl w:val="21401112"/>
    <w:lvl w:ilvl="0" w:tplc="8F063D9C">
      <w:start w:val="1"/>
      <w:numFmt w:val="decimal"/>
      <w:lvlText w:val="%1. "/>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nsid w:val="59107494"/>
    <w:multiLevelType w:val="multilevel"/>
    <w:tmpl w:val="1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5C2716D7"/>
    <w:multiLevelType w:val="multilevel"/>
    <w:tmpl w:val="1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680144AD"/>
    <w:multiLevelType w:val="hybridMultilevel"/>
    <w:tmpl w:val="C05620A0"/>
    <w:lvl w:ilvl="0" w:tplc="140A000F">
      <w:start w:val="1"/>
      <w:numFmt w:val="decimal"/>
      <w:lvlText w:val="%1."/>
      <w:lvlJc w:val="left"/>
      <w:pPr>
        <w:ind w:left="720" w:hanging="360"/>
      </w:pPr>
    </w:lvl>
    <w:lvl w:ilvl="1" w:tplc="140A000F">
      <w:start w:val="1"/>
      <w:numFmt w:val="decimal"/>
      <w:lvlText w:val="%2."/>
      <w:lvlJc w:val="left"/>
      <w:pPr>
        <w:ind w:left="1440" w:hanging="360"/>
      </w:pPr>
      <w:rPr>
        <w:rFonts w:hint="default"/>
      </w:rPr>
    </w:lvl>
    <w:lvl w:ilvl="2" w:tplc="140A001B">
      <w:start w:val="1"/>
      <w:numFmt w:val="decimal"/>
      <w:lvlText w:val="%3."/>
      <w:lvlJc w:val="right"/>
      <w:pPr>
        <w:ind w:left="2160" w:hanging="180"/>
      </w:pPr>
    </w:lvl>
    <w:lvl w:ilvl="3" w:tplc="0AFE267C">
      <w:start w:val="1"/>
      <w:numFmt w:val="decimal"/>
      <w:lvlText w:val="%4."/>
      <w:lvlJc w:val="left"/>
      <w:pPr>
        <w:ind w:left="2880" w:hanging="360"/>
      </w:pPr>
      <w:rPr>
        <w:rFonts w:ascii="Calibri" w:eastAsia="Cambria" w:hAnsi="Calibri" w:cs="Calibri"/>
      </w:rPr>
    </w:lvl>
    <w:lvl w:ilvl="4" w:tplc="EE1EB0B4">
      <w:start w:val="1"/>
      <w:numFmt w:val="upperLetter"/>
      <w:lvlText w:val="%5."/>
      <w:lvlJc w:val="left"/>
      <w:pPr>
        <w:ind w:left="3600" w:hanging="360"/>
      </w:pPr>
      <w:rPr>
        <w:rFonts w:hint="default"/>
      </w:r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nsid w:val="73D92812"/>
    <w:multiLevelType w:val="multilevel"/>
    <w:tmpl w:val="1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770A1892"/>
    <w:multiLevelType w:val="multilevel"/>
    <w:tmpl w:val="1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1"/>
  </w:num>
  <w:num w:numId="2">
    <w:abstractNumId w:val="7"/>
  </w:num>
  <w:num w:numId="3">
    <w:abstractNumId w:val="0"/>
  </w:num>
  <w:num w:numId="4">
    <w:abstractNumId w:val="5"/>
  </w:num>
  <w:num w:numId="5">
    <w:abstractNumId w:val="10"/>
  </w:num>
  <w:num w:numId="6">
    <w:abstractNumId w:val="1"/>
  </w:num>
  <w:num w:numId="7">
    <w:abstractNumId w:val="2"/>
  </w:num>
  <w:num w:numId="8">
    <w:abstractNumId w:val="3"/>
  </w:num>
  <w:num w:numId="9">
    <w:abstractNumId w:val="9"/>
  </w:num>
  <w:num w:numId="10">
    <w:abstractNumId w:val="14"/>
  </w:num>
  <w:num w:numId="11">
    <w:abstractNumId w:val="13"/>
  </w:num>
  <w:num w:numId="12">
    <w:abstractNumId w:val="4"/>
  </w:num>
  <w:num w:numId="13">
    <w:abstractNumId w:val="15"/>
  </w:num>
  <w:num w:numId="14">
    <w:abstractNumId w:val="6"/>
  </w:num>
  <w:num w:numId="15">
    <w:abstractNumId w:val="12"/>
  </w:num>
  <w:num w:numId="16">
    <w:abstractNumId w:val="8"/>
  </w:num>
  <w:num w:numId="17">
    <w:abstractNumId w:val="5"/>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6460"/>
    <w:rsid w:val="00026460"/>
    <w:rsid w:val="00040D57"/>
    <w:rsid w:val="00041160"/>
    <w:rsid w:val="00043921"/>
    <w:rsid w:val="00060DA6"/>
    <w:rsid w:val="00074FFE"/>
    <w:rsid w:val="001014F8"/>
    <w:rsid w:val="0011751A"/>
    <w:rsid w:val="001339C6"/>
    <w:rsid w:val="00142D73"/>
    <w:rsid w:val="00156C19"/>
    <w:rsid w:val="001775D8"/>
    <w:rsid w:val="001E433B"/>
    <w:rsid w:val="0022410A"/>
    <w:rsid w:val="00226E77"/>
    <w:rsid w:val="002B7C25"/>
    <w:rsid w:val="002D1FF4"/>
    <w:rsid w:val="002E7FE8"/>
    <w:rsid w:val="002F2B0D"/>
    <w:rsid w:val="002F608D"/>
    <w:rsid w:val="00303DAA"/>
    <w:rsid w:val="0031378C"/>
    <w:rsid w:val="00390BAC"/>
    <w:rsid w:val="003D6B7E"/>
    <w:rsid w:val="003F0C0C"/>
    <w:rsid w:val="004220C6"/>
    <w:rsid w:val="004824BE"/>
    <w:rsid w:val="0048787A"/>
    <w:rsid w:val="004C5097"/>
    <w:rsid w:val="005778F8"/>
    <w:rsid w:val="0058406B"/>
    <w:rsid w:val="00591352"/>
    <w:rsid w:val="005F4A2D"/>
    <w:rsid w:val="00691FDB"/>
    <w:rsid w:val="00693B17"/>
    <w:rsid w:val="006B42BD"/>
    <w:rsid w:val="006C4DE6"/>
    <w:rsid w:val="00840BB5"/>
    <w:rsid w:val="008532D2"/>
    <w:rsid w:val="0093154F"/>
    <w:rsid w:val="00974638"/>
    <w:rsid w:val="00974654"/>
    <w:rsid w:val="009A3360"/>
    <w:rsid w:val="009B6E4A"/>
    <w:rsid w:val="009F079A"/>
    <w:rsid w:val="00A51E1A"/>
    <w:rsid w:val="00AB7E5E"/>
    <w:rsid w:val="00AC1E69"/>
    <w:rsid w:val="00AD2BA3"/>
    <w:rsid w:val="00AE611B"/>
    <w:rsid w:val="00B263E6"/>
    <w:rsid w:val="00B37F9D"/>
    <w:rsid w:val="00BC11C2"/>
    <w:rsid w:val="00BD244C"/>
    <w:rsid w:val="00BF3DDC"/>
    <w:rsid w:val="00C12667"/>
    <w:rsid w:val="00C23D06"/>
    <w:rsid w:val="00C3733F"/>
    <w:rsid w:val="00C71EF5"/>
    <w:rsid w:val="00C82D51"/>
    <w:rsid w:val="00CB515F"/>
    <w:rsid w:val="00CC0EDE"/>
    <w:rsid w:val="00CC3DFF"/>
    <w:rsid w:val="00CF1763"/>
    <w:rsid w:val="00D00422"/>
    <w:rsid w:val="00D043D5"/>
    <w:rsid w:val="00D35BFA"/>
    <w:rsid w:val="00D465AB"/>
    <w:rsid w:val="00DD52DB"/>
    <w:rsid w:val="00E102BF"/>
    <w:rsid w:val="00E50071"/>
    <w:rsid w:val="00E5510E"/>
    <w:rsid w:val="00E91B6E"/>
    <w:rsid w:val="00E9586B"/>
    <w:rsid w:val="00F226CD"/>
    <w:rsid w:val="00F300E2"/>
    <w:rsid w:val="00F764D5"/>
    <w:rsid w:val="00F77E8A"/>
    <w:rsid w:val="00FA55D1"/>
    <w:rsid w:val="00FB4278"/>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2646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6460"/>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D465AB"/>
    <w:pPr>
      <w:spacing w:after="0" w:line="240" w:lineRule="auto"/>
      <w:ind w:left="720"/>
      <w:contextualSpacing/>
    </w:pPr>
    <w:rPr>
      <w:rFonts w:ascii="Cambria" w:eastAsia="Cambria" w:hAnsi="Cambria" w:cs="Times New Roman"/>
      <w:sz w:val="24"/>
      <w:szCs w:val="24"/>
      <w:lang w:val="en-US"/>
    </w:rPr>
  </w:style>
  <w:style w:type="paragraph" w:customStyle="1" w:styleId="Bullet">
    <w:name w:val="Bullet"/>
    <w:basedOn w:val="Normal"/>
    <w:qFormat/>
    <w:rsid w:val="006C4DE6"/>
    <w:pPr>
      <w:numPr>
        <w:numId w:val="4"/>
      </w:numPr>
      <w:spacing w:before="120"/>
      <w:jc w:val="both"/>
    </w:pPr>
    <w:rPr>
      <w:rFonts w:ascii="Arial" w:hAnsi="Arial" w:cs="Arial"/>
    </w:rPr>
  </w:style>
  <w:style w:type="paragraph" w:customStyle="1" w:styleId="TextoInforme">
    <w:name w:val="Texto Informe"/>
    <w:basedOn w:val="Normal"/>
    <w:link w:val="TextoInformeChar"/>
    <w:qFormat/>
    <w:rsid w:val="00F764D5"/>
    <w:pPr>
      <w:spacing w:before="120"/>
      <w:jc w:val="both"/>
    </w:pPr>
    <w:rPr>
      <w:rFonts w:ascii="Arial" w:hAnsi="Arial" w:cs="Arial"/>
    </w:rPr>
  </w:style>
  <w:style w:type="character" w:customStyle="1" w:styleId="TextoInformeChar">
    <w:name w:val="Texto Informe Char"/>
    <w:basedOn w:val="DefaultParagraphFont"/>
    <w:link w:val="TextoInforme"/>
    <w:rsid w:val="00F764D5"/>
    <w:rPr>
      <w:rFonts w:ascii="Arial" w:hAnsi="Arial" w:cs="Arial"/>
    </w:rPr>
  </w:style>
  <w:style w:type="character" w:styleId="PlaceholderText">
    <w:name w:val="Placeholder Text"/>
    <w:basedOn w:val="DefaultParagraphFont"/>
    <w:uiPriority w:val="99"/>
    <w:semiHidden/>
    <w:rsid w:val="002E7FE8"/>
    <w:rPr>
      <w:color w:val="808080"/>
    </w:rPr>
  </w:style>
  <w:style w:type="paragraph" w:customStyle="1" w:styleId="Ttuloenportada">
    <w:name w:val="Título en portada"/>
    <w:basedOn w:val="Normal"/>
    <w:next w:val="Normal"/>
    <w:qFormat/>
    <w:rsid w:val="002E7FE8"/>
    <w:pPr>
      <w:spacing w:after="0"/>
      <w:jc w:val="center"/>
    </w:pPr>
    <w:rPr>
      <w:rFonts w:ascii="Arial" w:hAnsi="Arial"/>
      <w:color w:val="4F81BD" w:themeColor="accent1"/>
      <w:sz w:val="40"/>
    </w:rPr>
  </w:style>
  <w:style w:type="paragraph" w:customStyle="1" w:styleId="Texto">
    <w:name w:val="Texto"/>
    <w:basedOn w:val="Normal"/>
    <w:link w:val="TextoChar"/>
    <w:qFormat/>
    <w:rsid w:val="001339C6"/>
    <w:pPr>
      <w:spacing w:before="120" w:after="120" w:line="240" w:lineRule="auto"/>
      <w:jc w:val="both"/>
    </w:pPr>
    <w:rPr>
      <w:rFonts w:ascii="Franklin Gothic Book" w:eastAsia="Times New Roman" w:hAnsi="Franklin Gothic Book" w:cs="Times New Roman"/>
      <w:szCs w:val="24"/>
      <w:lang w:val="es-ES"/>
    </w:rPr>
  </w:style>
  <w:style w:type="character" w:customStyle="1" w:styleId="TextoChar">
    <w:name w:val="Texto Char"/>
    <w:basedOn w:val="DefaultParagraphFont"/>
    <w:link w:val="Texto"/>
    <w:rsid w:val="001339C6"/>
    <w:rPr>
      <w:rFonts w:ascii="Franklin Gothic Book" w:eastAsia="Times New Roman" w:hAnsi="Franklin Gothic Book" w:cs="Times New Roman"/>
      <w:szCs w:val="24"/>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2646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6460"/>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D465AB"/>
    <w:pPr>
      <w:spacing w:after="0" w:line="240" w:lineRule="auto"/>
      <w:ind w:left="720"/>
      <w:contextualSpacing/>
    </w:pPr>
    <w:rPr>
      <w:rFonts w:ascii="Cambria" w:eastAsia="Cambria" w:hAnsi="Cambria" w:cs="Times New Roman"/>
      <w:sz w:val="24"/>
      <w:szCs w:val="24"/>
      <w:lang w:val="en-US"/>
    </w:rPr>
  </w:style>
  <w:style w:type="paragraph" w:customStyle="1" w:styleId="Bullet">
    <w:name w:val="Bullet"/>
    <w:basedOn w:val="Normal"/>
    <w:qFormat/>
    <w:rsid w:val="006C4DE6"/>
    <w:pPr>
      <w:numPr>
        <w:numId w:val="4"/>
      </w:numPr>
      <w:spacing w:before="120"/>
      <w:jc w:val="both"/>
    </w:pPr>
    <w:rPr>
      <w:rFonts w:ascii="Arial" w:hAnsi="Arial" w:cs="Arial"/>
    </w:rPr>
  </w:style>
  <w:style w:type="paragraph" w:customStyle="1" w:styleId="TextoInforme">
    <w:name w:val="Texto Informe"/>
    <w:basedOn w:val="Normal"/>
    <w:link w:val="TextoInformeChar"/>
    <w:qFormat/>
    <w:rsid w:val="00F764D5"/>
    <w:pPr>
      <w:spacing w:before="120"/>
      <w:jc w:val="both"/>
    </w:pPr>
    <w:rPr>
      <w:rFonts w:ascii="Arial" w:hAnsi="Arial" w:cs="Arial"/>
    </w:rPr>
  </w:style>
  <w:style w:type="character" w:customStyle="1" w:styleId="TextoInformeChar">
    <w:name w:val="Texto Informe Char"/>
    <w:basedOn w:val="DefaultParagraphFont"/>
    <w:link w:val="TextoInforme"/>
    <w:rsid w:val="00F764D5"/>
    <w:rPr>
      <w:rFonts w:ascii="Arial" w:hAnsi="Arial" w:cs="Arial"/>
    </w:rPr>
  </w:style>
  <w:style w:type="character" w:styleId="PlaceholderText">
    <w:name w:val="Placeholder Text"/>
    <w:basedOn w:val="DefaultParagraphFont"/>
    <w:uiPriority w:val="99"/>
    <w:semiHidden/>
    <w:rsid w:val="002E7FE8"/>
    <w:rPr>
      <w:color w:val="808080"/>
    </w:rPr>
  </w:style>
  <w:style w:type="paragraph" w:customStyle="1" w:styleId="Ttuloenportada">
    <w:name w:val="Título en portada"/>
    <w:basedOn w:val="Normal"/>
    <w:next w:val="Normal"/>
    <w:qFormat/>
    <w:rsid w:val="002E7FE8"/>
    <w:pPr>
      <w:spacing w:after="0"/>
      <w:jc w:val="center"/>
    </w:pPr>
    <w:rPr>
      <w:rFonts w:ascii="Arial" w:hAnsi="Arial"/>
      <w:color w:val="4F81BD" w:themeColor="accent1"/>
      <w:sz w:val="40"/>
    </w:rPr>
  </w:style>
  <w:style w:type="paragraph" w:customStyle="1" w:styleId="Texto">
    <w:name w:val="Texto"/>
    <w:basedOn w:val="Normal"/>
    <w:link w:val="TextoChar"/>
    <w:qFormat/>
    <w:rsid w:val="001339C6"/>
    <w:pPr>
      <w:spacing w:before="120" w:after="120" w:line="240" w:lineRule="auto"/>
      <w:jc w:val="both"/>
    </w:pPr>
    <w:rPr>
      <w:rFonts w:ascii="Franklin Gothic Book" w:eastAsia="Times New Roman" w:hAnsi="Franklin Gothic Book" w:cs="Times New Roman"/>
      <w:szCs w:val="24"/>
      <w:lang w:val="es-ES"/>
    </w:rPr>
  </w:style>
  <w:style w:type="character" w:customStyle="1" w:styleId="TextoChar">
    <w:name w:val="Texto Char"/>
    <w:basedOn w:val="DefaultParagraphFont"/>
    <w:link w:val="Texto"/>
    <w:rsid w:val="001339C6"/>
    <w:rPr>
      <w:rFonts w:ascii="Franklin Gothic Book" w:eastAsia="Times New Roman" w:hAnsi="Franklin Gothic Book" w:cs="Times New Roman"/>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customXml" Target="../customXml/item3.xml"/>
  <Relationship Id="rId11" Type="http://schemas.openxmlformats.org/officeDocument/2006/relationships/customXml" Target="../customXml/item4.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ntTable" Target="fontTable.xml"/>
  <Relationship Id="rId8" Type="http://schemas.openxmlformats.org/officeDocument/2006/relationships/theme" Target="theme/theme1.xml"/>
  <Relationship Id="rId9" Type="http://schemas.openxmlformats.org/officeDocument/2006/relationships/customXml" Target="../customXml/item2.xml"/>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Relationships xmlns="http://schemas.openxmlformats.org/package/2006/relationships">
  <Relationship Id="rId1" Type="http://schemas.openxmlformats.org/package/2006/relationships/digital-signature/signature" Target="sig1.xml"/>
</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UGpuIBIc7X0fWfENfNyYcaglo5c=</DigestValue>
    </Reference>
    <Reference URI="#idOfficeObject" Type="http://www.w3.org/2000/09/xmldsig#Object">
      <DigestMethod Algorithm="http://www.w3.org/2000/09/xmldsig#sha1"/>
      <DigestValue>nxNbVU50PMv+/Us4chaM/HY1Joc=</DigestValue>
    </Reference>
    <Reference URI="#idSignedProperties" Type="http://uri.etsi.org/01903#SignedProperties">
      <Transforms>
        <Transform Algorithm="http://www.w3.org/TR/2001/REC-xml-c14n-20010315"/>
      </Transforms>
      <DigestMethod Algorithm="http://www.w3.org/2000/09/xmldsig#sha1"/>
      <DigestValue>z4f/xRNHakDOlbfLS/Fq5aK+WIY=</DigestValue>
    </Reference>
  </SignedInfo>
  <SignatureValue>ifCeMkkbJRDCOgCxoqLYhqWQHQlbD+sXPFwAiYeZw2+M1QcKx8dqUfqCmqg75N2X/UZX2X6ko0ep
ZY1DYi5XeegW9Odl6G3686OuIBUj2w2fs02lLevlFuNP7xw9zSwNpP42zEdGU58+wgr7vlkcoJ3c
pngAv0xlvdq62lsiEelLuR4HMEmPHRhDJxFUZPAgZtaIN2h8g9o+DH+OGU3rV9yUcIi0B+KdXpcR
U5J88g98A/aQ/77z/TQk8eNtamQHEmObFN5O9Nq17ixok6e0dBu2sjrQWEBk0TjoDG9kxKzA2eqs
C3gMdXtVAsdKT/mWYqQLxrpm2++IsOtUXgaYWw==</SignatureValue>
  <KeyInfo>
    <X509Data>
      <X509Certificate>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</X509Certificate>
    </X509Data>
  </KeyInfo>
  <Object xmlns:mdssi="http://schemas.openxmlformats.org/package/2006/digital-signature" Id="idPackageObject">
    <Manifest>
      <Reference URI="/word/webSettings.xml?ContentType=application/vnd.openxmlformats-officedocument.wordprocessingml.webSettings+xml">
        <DigestMethod Algorithm="http://www.w3.org/2000/09/xmldsig#sha1"/>
        <DigestValue>zc1/q2WodslX0pAdux4ZQmR9PMU=</DigestValue>
      </Reference>
      <Reference URI="/word/fontTable.xml?ContentType=application/vnd.openxmlformats-officedocument.wordprocessingml.fontTable+xml">
        <DigestMethod Algorithm="http://www.w3.org/2000/09/xmldsig#sha1"/>
        <DigestValue>XvyZCjkibqx3SA80eB5HUQ0DOTA=</DigestValue>
      </Reference>
      <Reference URI="/word/numbering.xml?ContentType=application/vnd.openxmlformats-officedocument.wordprocessingml.numbering+xml">
        <DigestMethod Algorithm="http://www.w3.org/2000/09/xmldsig#sha1"/>
        <DigestValue>SBY/FTSTMUmAKvoF6qNZZr1RPs4=</DigestValue>
      </Reference>
      <Reference URI="/word/styles.xml?ContentType=application/vnd.openxmlformats-officedocument.wordprocessingml.styles+xml">
        <DigestMethod Algorithm="http://www.w3.org/2000/09/xmldsig#sha1"/>
        <DigestValue>xZgooNsYqgP66dI6kDrGpjh05Rs=</DigestValue>
      </Reference>
      <Reference URI="/word/settings.xml?ContentType=application/vnd.openxmlformats-officedocument.wordprocessingml.settings+xml">
        <DigestMethod Algorithm="http://www.w3.org/2000/09/xmldsig#sha1"/>
        <DigestValue>M9UxOHgf/Qq2pwGIJDMIf1ps6SY=</DigestValue>
      </Reference>
      <Reference URI="/word/theme/theme1.xml?ContentType=application/vnd.openxmlformats-officedocument.theme+xml">
        <DigestMethod Algorithm="http://www.w3.org/2000/09/xmldsig#sha1"/>
        <DigestValue>Q8pihT3NxsPLwi5b/n6WOfsNII0=</DigestValue>
      </Reference>
      <Reference URI="/word/document.xml?ContentType=application/vnd.openxmlformats-officedocument.wordprocessingml.document.main+xml">
        <DigestMethod Algorithm="http://www.w3.org/2000/09/xmldsig#sha1"/>
        <DigestValue>C5I7lFQX4MLomNN7PZnB9aXLoio=</DigestValue>
      </Reference>
      <Reference URI="/word/stylesWithEffects.xml?ContentType=application/vnd.ms-word.stylesWithEffects+xml">
        <DigestMethod Algorithm="http://www.w3.org/2000/09/xmldsig#sha1"/>
        <DigestValue>SSeHI6ijoHs05D7mbYkES41H9hM=</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2"/>
            <mdssi:RelationshipReference SourceId="rId6"/>
            <mdssi:RelationshipReference SourceId="rId5"/>
            <mdssi:RelationshipReference SourceId="rId4"/>
          </Transform>
          <Transform Algorithm="http://www.w3.org/TR/2001/REC-xml-c14n-20010315"/>
        </Transforms>
        <DigestMethod Algorithm="http://www.w3.org/2000/09/xmldsig#sha1"/>
        <DigestValue>aOUbrIkC6jk5COyBP2MXH37LR6c=</DigestValue>
      </Reference>
    </Manifest>
    <SignatureProperties>
      <SignatureProperty Id="idSignatureTime" Target="#idPackageSignature">
        <mdssi:SignatureTime>
          <mdssi:Format>YYYY-MM-DDThh:mm:ssTZD</mdssi:Format>
          <mdssi:Value>2015-06-26T21:49:30Z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14.0</OfficeVersion>
          <ApplicationVersion>14.0</ApplicationVersion>
          <Monitors>1</Monitors>
          <HorizontalResolution>1680</HorizontalResolution>
          <VerticalResolution>1050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2015-06-26T21:49:30Z</xd:SigningTime>
          <xd:SigningCertificate>
            <xd:Cert>
              <xd:CertDigest>
                <DigestMethod Algorithm="http://www.w3.org/2000/09/xmldsig#sha1"/>
                <DigestValue>jlOBsb73RzBtwNTCsqobvZWERn8=</DigestValue>
              </xd:CertDigest>
              <xd:IssuerSerial>
                <X509IssuerName>CN=CA SINPE - PERSONA FISICA, OU=DIVISION DE SERVICIOS FINANCIEROS, O=BANCO CENTRAL DE COSTA RICA, C=CR, SERIALNUMBER=4-000-004017</X509IssuerName>
                <X509SerialNumber>135269955433688702512178</X509SerialNumber>
              </xd:IssuerSerial>
            </xd:Cert>
          </xd:SigningCertificate>
          <xd:SignaturePolicyIdentifier>
            <xd:SignaturePolicyImplied/>
          </xd:SignaturePolicyIdentifier>
        </xd:SignedSignatureProperties>
      </xd:SignedProperties>
      <xd:UnsignedProperties/>
    </xd:QualifyingProperties>
  </Object>
</Signatur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_rels/item3.xml.rels><?xml version="1.0" encoding="UTF-8"?>

<Relationships xmlns="http://schemas.openxmlformats.org/package/2006/relationships">
  <Relationship Id="rId1" Type="http://schemas.openxmlformats.org/officeDocument/2006/relationships/customXmlProps" Target="itemProps3.xml"/>
</Relationships>

</file>

<file path=customXml/_rels/item4.xml.rels><?xml version="1.0" encoding="UTF-8"?>

<Relationships xmlns="http://schemas.openxmlformats.org/package/2006/relationships">
  <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A1F83956CD40E44FA7C3C72C7933C58C" ma:contentTypeVersion="0" ma:contentTypeDescription="Crear nuevo documento." ma:contentTypeScope="" ma:versionID="0f64ae71578cea875b30137a9ada62f1">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9FB423D3-53B1-4661-B5DA-1699670D1E60}"/>
</file>

<file path=customXml/itemProps2.xml><?xml version="1.0" encoding="utf-8"?>
<ds:datastoreItem xmlns:ds="http://schemas.openxmlformats.org/officeDocument/2006/customXml" ds:itemID="{92936009-6732-4A19-A537-524DECB87B98}"/>
</file>

<file path=customXml/itemProps3.xml><?xml version="1.0" encoding="utf-8"?>
<ds:datastoreItem xmlns:ds="http://schemas.openxmlformats.org/officeDocument/2006/customXml" ds:itemID="{CC214950-17DC-4C92-A7C8-7067A4293A42}"/>
</file>

<file path=customXml/itemProps4.xml><?xml version="1.0" encoding="utf-8"?>
<ds:datastoreItem xmlns:ds="http://schemas.openxmlformats.org/officeDocument/2006/customXml" ds:itemID="{C3E2E049-80FC-4EFA-B73A-ECF333C4826B}"/>
</file>

<file path=docProps/app.xml><?xml version="1.0" encoding="utf-8"?>
<Properties xmlns="http://schemas.openxmlformats.org/officeDocument/2006/extended-properties" xmlns:vt="http://schemas.openxmlformats.org/officeDocument/2006/docPropsVTypes">
  <Template>Normal</Template>
  <TotalTime>1</TotalTime>
  <Pages>12</Pages>
  <Words>5392</Words>
  <Characters>29662</Characters>
  <Application>Microsoft Office Word</Application>
  <DocSecurity>4</DocSecurity>
  <Lines>247</Lines>
  <Paragraphs>69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BCCR</Company>
  <LinksUpToDate>false</LinksUpToDate>
  <CharactersWithSpaces>34985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de fin gestión 2010 -2015</dc:title>
  <dc:creator>ESQUIVEL MONGE MANFRED</dc:creator>
  <cp:lastModifiedBy>RiveraCJ</cp:lastModifiedBy>
  <cp:revision>2</cp:revision>
  <dcterms:created xsi:type="dcterms:W3CDTF">2015-07-08T20:34:00Z</dcterms:created>
  <dcterms:modified xsi:type="dcterms:W3CDTF">2015-07-08T20:34:00Z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0x010100A1F83956CD40E44FA7C3C72C7933C58C</vt:lpwstr>
  </property>
  <property fmtid="{D5CDD505-2E9C-101B-9397-08002B2CF9AE}" pid="5" name="FileLeafRef">
    <vt:lpwstr>Manfred Esquivel Monge.docx</vt:lpwstr>
  </property>
  <property fmtid="{D5CDD505-2E9C-101B-9397-08002B2CF9AE}" pid="6" name="Order">
    <vt:r8>1222100</vt:r8>
  </property>
  <property fmtid="{D5CDD505-2E9C-101B-9397-08002B2CF9AE}" pid="7" name="xd_Signature">
    <vt:bool>false</vt:bool>
  </property>
  <property fmtid="{D5CDD505-2E9C-101B-9397-08002B2CF9AE}" pid="8" name="xd_ProgID">
    <vt:lpwstr/>
  </property>
  <property fmtid="{D5CDD505-2E9C-101B-9397-08002B2CF9AE}" pid="9" name="_ExtendedDescription">
    <vt:lpwstr/>
  </property>
  <property fmtid="{D5CDD505-2E9C-101B-9397-08002B2CF9AE}" pid="10" name="DocumentSetDescription">
    <vt:lpwstr/>
  </property>
  <property fmtid="{D5CDD505-2E9C-101B-9397-08002B2CF9AE}" pid="11" name="TriggerFlowInfo">
    <vt:lpwstr/>
  </property>
  <property fmtid="{D5CDD505-2E9C-101B-9397-08002B2CF9AE}" pid="12" name="_SourceUrl">
    <vt:lpwstr/>
  </property>
  <property fmtid="{D5CDD505-2E9C-101B-9397-08002B2CF9AE}" pid="13" name="_SharedFileIndex">
    <vt:lpwstr/>
  </property>
  <property fmtid="{D5CDD505-2E9C-101B-9397-08002B2CF9AE}" pid="14" name="ComplianceAssetId">
    <vt:lpwstr/>
  </property>
  <property fmtid="{D5CDD505-2E9C-101B-9397-08002B2CF9AE}" pid="15" name="TemplateUrl">
    <vt:lpwstr/>
  </property>
</Properties>
</file>