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355F" w14:textId="77777777" w:rsidR="00F87CD2" w:rsidRPr="00F87CD2" w:rsidRDefault="00F87CD2" w:rsidP="00140973">
      <w:pPr>
        <w:jc w:val="both"/>
        <w:rPr>
          <w:rFonts w:ascii="Arial" w:eastAsia="Cambria" w:hAnsi="Arial" w:cs="Arial"/>
          <w:b/>
          <w:szCs w:val="22"/>
          <w:lang w:val="es-CR"/>
        </w:rPr>
      </w:pPr>
      <w:r w:rsidRPr="00F87CD2">
        <w:rPr>
          <w:rFonts w:ascii="Arial" w:hAnsi="Arial" w:cs="Arial"/>
          <w:b/>
          <w:sz w:val="24"/>
        </w:rPr>
        <w:t>S</w:t>
      </w:r>
      <w:r w:rsidRPr="00F87CD2">
        <w:rPr>
          <w:rFonts w:ascii="Arial" w:hAnsi="Arial" w:cs="Arial"/>
          <w:b/>
          <w:szCs w:val="22"/>
        </w:rPr>
        <w:t>GV-A-</w:t>
      </w:r>
      <w:proofErr w:type="spellStart"/>
      <w:r w:rsidR="00833C1D">
        <w:rPr>
          <w:rFonts w:ascii="Arial" w:hAnsi="Arial" w:cs="Arial"/>
          <w:b/>
          <w:szCs w:val="22"/>
        </w:rPr>
        <w:t>xxx</w:t>
      </w:r>
      <w:proofErr w:type="spellEnd"/>
      <w:r w:rsidRPr="00F87CD2">
        <w:rPr>
          <w:rFonts w:ascii="Arial" w:hAnsi="Arial" w:cs="Arial"/>
          <w:b/>
          <w:szCs w:val="22"/>
        </w:rPr>
        <w:t>.  MODIFICACIÓN A</w:t>
      </w:r>
      <w:r w:rsidR="00AB0614">
        <w:rPr>
          <w:rFonts w:ascii="Arial" w:hAnsi="Arial" w:cs="Arial"/>
          <w:b/>
          <w:szCs w:val="22"/>
        </w:rPr>
        <w:t>L</w:t>
      </w:r>
      <w:r w:rsidRPr="00F87CD2">
        <w:rPr>
          <w:rFonts w:ascii="Arial" w:hAnsi="Arial" w:cs="Arial"/>
          <w:b/>
          <w:szCs w:val="22"/>
        </w:rPr>
        <w:t xml:space="preserve"> LOS ACUERDO SGV-A-75 “SUMINISTRO DE INFORMACIÓN PERIÓDICA” </w:t>
      </w:r>
    </w:p>
    <w:p w14:paraId="54718103" w14:textId="77777777" w:rsidR="00F87CD2" w:rsidRPr="00F87CD2" w:rsidRDefault="00F87CD2" w:rsidP="00F87CD2">
      <w:pPr>
        <w:ind w:right="-193"/>
        <w:jc w:val="both"/>
        <w:rPr>
          <w:rFonts w:ascii="Arial" w:hAnsi="Arial" w:cs="Arial"/>
          <w:b/>
          <w:bCs/>
          <w:iCs/>
          <w:noProof/>
          <w:szCs w:val="22"/>
          <w:lang w:val="es-ES_tradnl"/>
        </w:rPr>
      </w:pPr>
    </w:p>
    <w:p w14:paraId="216F218A" w14:textId="77777777" w:rsidR="00F87CD2" w:rsidRPr="00F87CD2" w:rsidRDefault="00F87CD2" w:rsidP="00F87CD2">
      <w:pPr>
        <w:spacing w:line="276" w:lineRule="auto"/>
        <w:ind w:right="-193"/>
        <w:jc w:val="both"/>
        <w:rPr>
          <w:rFonts w:ascii="Arial" w:hAnsi="Arial" w:cs="Arial"/>
          <w:b/>
          <w:bCs/>
          <w:szCs w:val="22"/>
          <w:lang w:val="es-CR"/>
        </w:rPr>
      </w:pPr>
      <w:r w:rsidRPr="00F87CD2">
        <w:rPr>
          <w:rFonts w:ascii="Arial" w:hAnsi="Arial" w:cs="Arial"/>
          <w:b/>
          <w:bCs/>
          <w:szCs w:val="22"/>
          <w:lang w:val="es-CR"/>
        </w:rPr>
        <w:t>Considerando que:</w:t>
      </w:r>
    </w:p>
    <w:p w14:paraId="3F666F9E" w14:textId="77777777" w:rsidR="00F87CD2" w:rsidRPr="00F87CD2" w:rsidRDefault="00F87CD2" w:rsidP="00F87CD2">
      <w:pPr>
        <w:spacing w:line="276" w:lineRule="auto"/>
        <w:ind w:right="-193"/>
        <w:jc w:val="both"/>
        <w:rPr>
          <w:rFonts w:ascii="Arial" w:hAnsi="Arial" w:cs="Arial"/>
          <w:b/>
          <w:bCs/>
          <w:szCs w:val="22"/>
          <w:lang w:val="es-CR"/>
        </w:rPr>
      </w:pPr>
    </w:p>
    <w:p w14:paraId="57D4DAFC" w14:textId="77777777" w:rsidR="00F87CD2" w:rsidRDefault="00F87CD2" w:rsidP="00F87CD2">
      <w:pPr>
        <w:numPr>
          <w:ilvl w:val="0"/>
          <w:numId w:val="16"/>
        </w:numPr>
        <w:tabs>
          <w:tab w:val="left" w:pos="567"/>
        </w:tabs>
        <w:ind w:left="567" w:right="-193" w:hanging="567"/>
        <w:jc w:val="both"/>
        <w:rPr>
          <w:rFonts w:ascii="Arial" w:hAnsi="Arial" w:cs="Arial"/>
          <w:szCs w:val="22"/>
        </w:rPr>
      </w:pPr>
      <w:r w:rsidRPr="00F87CD2">
        <w:rPr>
          <w:rFonts w:ascii="Arial" w:hAnsi="Arial" w:cs="Arial"/>
          <w:szCs w:val="22"/>
        </w:rPr>
        <w:t xml:space="preserve">El Artículo 8 inciso l) de la Ley Reguladora del Mercado de Valores, Ley 7732 faculta al Superintendente a exigir a los sujetos fiscalizados toda la información razonablemente necesaria, en las condiciones y periodicidad que la Superintendencia determine, para cumplir adecuadamente con sus funciones supervisoras del mercado de valores, según lo disponga el reglamento. </w:t>
      </w:r>
    </w:p>
    <w:p w14:paraId="1BE1E68B" w14:textId="77777777" w:rsidR="003D28AF" w:rsidRDefault="003D28AF" w:rsidP="003D28AF">
      <w:pPr>
        <w:tabs>
          <w:tab w:val="left" w:pos="567"/>
        </w:tabs>
        <w:ind w:left="567" w:right="-193"/>
        <w:jc w:val="both"/>
        <w:rPr>
          <w:rFonts w:ascii="Arial" w:hAnsi="Arial" w:cs="Arial"/>
          <w:szCs w:val="22"/>
        </w:rPr>
      </w:pPr>
    </w:p>
    <w:p w14:paraId="445612AD" w14:textId="77777777" w:rsidR="00140973" w:rsidRDefault="00140973" w:rsidP="00140973">
      <w:pPr>
        <w:numPr>
          <w:ilvl w:val="0"/>
          <w:numId w:val="16"/>
        </w:numPr>
        <w:tabs>
          <w:tab w:val="left" w:pos="567"/>
        </w:tabs>
        <w:ind w:left="567" w:right="-193" w:hanging="567"/>
        <w:jc w:val="both"/>
        <w:rPr>
          <w:rFonts w:ascii="Arial" w:hAnsi="Arial" w:cs="Arial"/>
          <w:szCs w:val="22"/>
        </w:rPr>
      </w:pPr>
      <w:r w:rsidRPr="003D28AF">
        <w:rPr>
          <w:rFonts w:ascii="Arial" w:hAnsi="Arial" w:cs="Arial"/>
          <w:szCs w:val="22"/>
        </w:rPr>
        <w:t>Mediante el Artículo 13 del Acta de la Sesión 81-99, celebrada el 18 de marzo de 1999, el Consejo Nacional de Supervisión del Sistema Financiero aprobó el Reglamento sobre el Suministro de Información Periódica, Hechos Relevantes y otras Obligaciones de Información con lineamientos sobre los deberes de comunicación de los diferentes participantes en el mercado de valores. Este Reglamento confiere al Superintendente la potestad para definir el contenido, la periodicidad y los medios de suministro de la información periódica, así como cualquier ajuste o mejora que facilite la información que debe remitirse a la Superintendencia General de Valores, por lo que emitió el SGV-A-75, Acuerdo sobre el Suministro de Información Periódica con fecha 24 de abril del 2003, y se ha retomado durante los últimos años para actualizar los deberes de información de las entidades.</w:t>
      </w:r>
    </w:p>
    <w:p w14:paraId="351748D2" w14:textId="77777777" w:rsidR="00140973" w:rsidRDefault="00140973" w:rsidP="00140973">
      <w:pPr>
        <w:tabs>
          <w:tab w:val="left" w:pos="567"/>
        </w:tabs>
        <w:ind w:left="567" w:right="-193"/>
        <w:jc w:val="both"/>
        <w:rPr>
          <w:rFonts w:ascii="Arial" w:hAnsi="Arial" w:cs="Arial"/>
          <w:szCs w:val="22"/>
        </w:rPr>
      </w:pPr>
    </w:p>
    <w:p w14:paraId="59516F30" w14:textId="77777777" w:rsidR="003D28AF" w:rsidRPr="003D28AF" w:rsidRDefault="003D28AF" w:rsidP="003D28AF">
      <w:pPr>
        <w:numPr>
          <w:ilvl w:val="0"/>
          <w:numId w:val="16"/>
        </w:numPr>
        <w:tabs>
          <w:tab w:val="left" w:pos="567"/>
        </w:tabs>
        <w:ind w:left="567" w:right="-193" w:hanging="567"/>
        <w:jc w:val="both"/>
        <w:rPr>
          <w:rFonts w:ascii="Arial" w:hAnsi="Arial" w:cs="Arial"/>
          <w:szCs w:val="22"/>
        </w:rPr>
      </w:pPr>
      <w:r w:rsidRPr="003D28AF">
        <w:rPr>
          <w:rFonts w:ascii="Arial" w:hAnsi="Arial" w:cs="Arial"/>
          <w:szCs w:val="22"/>
        </w:rPr>
        <w:t xml:space="preserve">El Artículo 11 de la Ley sobre Letra de Cambio y Pagaré Electrónicos, Ley 10069,  tiene por objetivo regular la desmaterialización y </w:t>
      </w:r>
      <w:proofErr w:type="spellStart"/>
      <w:r w:rsidRPr="003D28AF">
        <w:rPr>
          <w:rFonts w:ascii="Arial" w:hAnsi="Arial" w:cs="Arial"/>
          <w:szCs w:val="22"/>
        </w:rPr>
        <w:t>electronificación</w:t>
      </w:r>
      <w:proofErr w:type="spellEnd"/>
      <w:r w:rsidRPr="003D28AF">
        <w:rPr>
          <w:rFonts w:ascii="Arial" w:hAnsi="Arial" w:cs="Arial"/>
          <w:szCs w:val="22"/>
        </w:rPr>
        <w:t xml:space="preserve"> de la letra de cambio y el pagaré; </w:t>
      </w:r>
      <w:r w:rsidR="00E16B13">
        <w:rPr>
          <w:rFonts w:ascii="Arial" w:hAnsi="Arial" w:cs="Arial"/>
          <w:szCs w:val="22"/>
        </w:rPr>
        <w:t xml:space="preserve">y </w:t>
      </w:r>
      <w:r w:rsidRPr="003D28AF">
        <w:rPr>
          <w:rFonts w:ascii="Arial" w:hAnsi="Arial" w:cs="Arial"/>
          <w:szCs w:val="22"/>
        </w:rPr>
        <w:t>establece que podrán ser Registros Centralizados, aquellas entidades que sean previamente autorizadas por la SUGEVAL</w:t>
      </w:r>
      <w:r w:rsidR="00E16B13">
        <w:rPr>
          <w:rFonts w:ascii="Arial" w:hAnsi="Arial" w:cs="Arial"/>
          <w:szCs w:val="22"/>
        </w:rPr>
        <w:t>; y que d</w:t>
      </w:r>
      <w:r w:rsidRPr="003D28AF">
        <w:rPr>
          <w:rFonts w:ascii="Arial" w:hAnsi="Arial" w:cs="Arial"/>
          <w:szCs w:val="22"/>
        </w:rPr>
        <w:t>e la misma forma la SUGEVAL establecerá, vía reglamento, las disposiciones de carácter general que regularán los requisitos técnicos de fiabilidad, la autorización, así como controlar su funcionamiento</w:t>
      </w:r>
      <w:r w:rsidR="00140973">
        <w:rPr>
          <w:rFonts w:ascii="Arial" w:hAnsi="Arial" w:cs="Arial"/>
          <w:szCs w:val="22"/>
        </w:rPr>
        <w:t>.</w:t>
      </w:r>
    </w:p>
    <w:p w14:paraId="2423688B" w14:textId="77777777" w:rsidR="003D28AF" w:rsidRPr="003D28AF" w:rsidRDefault="003D28AF" w:rsidP="003D28AF">
      <w:pPr>
        <w:tabs>
          <w:tab w:val="left" w:pos="567"/>
        </w:tabs>
        <w:ind w:left="567" w:right="-193"/>
        <w:jc w:val="both"/>
        <w:rPr>
          <w:rFonts w:ascii="Arial" w:hAnsi="Arial" w:cs="Arial"/>
          <w:szCs w:val="22"/>
        </w:rPr>
      </w:pPr>
    </w:p>
    <w:p w14:paraId="7D6E69BE" w14:textId="77777777" w:rsidR="00E20BE6" w:rsidRDefault="00766A39" w:rsidP="00F458CA">
      <w:pPr>
        <w:numPr>
          <w:ilvl w:val="0"/>
          <w:numId w:val="16"/>
        </w:numPr>
        <w:tabs>
          <w:tab w:val="left" w:pos="567"/>
        </w:tabs>
        <w:ind w:left="567" w:right="-193" w:hanging="567"/>
        <w:jc w:val="both"/>
        <w:rPr>
          <w:rFonts w:ascii="Arial" w:hAnsi="Arial" w:cs="Arial"/>
          <w:szCs w:val="22"/>
        </w:rPr>
      </w:pPr>
      <w:r w:rsidRPr="003D28AF">
        <w:rPr>
          <w:rFonts w:ascii="Arial" w:hAnsi="Arial" w:cs="Arial"/>
          <w:szCs w:val="22"/>
        </w:rPr>
        <w:t xml:space="preserve">Mediante </w:t>
      </w:r>
      <w:r w:rsidR="00013194" w:rsidRPr="003D28AF">
        <w:rPr>
          <w:rFonts w:ascii="Arial" w:hAnsi="Arial" w:cs="Arial"/>
          <w:szCs w:val="22"/>
        </w:rPr>
        <w:t xml:space="preserve">el artículo 9 del acta de la sesión 1784-2023, celebrada el 6 de febrero del 2023, </w:t>
      </w:r>
      <w:r w:rsidRPr="003D28AF">
        <w:rPr>
          <w:rFonts w:ascii="Arial" w:hAnsi="Arial" w:cs="Arial"/>
          <w:szCs w:val="22"/>
        </w:rPr>
        <w:t>el Consejo Nacional de Supervisión del Sistema Financiero, aprobó</w:t>
      </w:r>
      <w:r w:rsidR="00013194" w:rsidRPr="003D28AF">
        <w:rPr>
          <w:rFonts w:ascii="Arial" w:hAnsi="Arial" w:cs="Arial"/>
          <w:szCs w:val="22"/>
        </w:rPr>
        <w:t xml:space="preserve"> el </w:t>
      </w:r>
      <w:bookmarkStart w:id="0" w:name="_Hlk130493933"/>
      <w:r w:rsidR="00140973" w:rsidRPr="003D28AF">
        <w:rPr>
          <w:rFonts w:ascii="Arial" w:hAnsi="Arial" w:cs="Arial"/>
          <w:szCs w:val="22"/>
        </w:rPr>
        <w:t>Acuerdo SUGEVAL 21-23</w:t>
      </w:r>
      <w:r w:rsidR="00140973">
        <w:rPr>
          <w:rFonts w:ascii="Arial" w:hAnsi="Arial" w:cs="Arial"/>
          <w:szCs w:val="22"/>
        </w:rPr>
        <w:t xml:space="preserve"> </w:t>
      </w:r>
      <w:r w:rsidR="00013194" w:rsidRPr="003D28AF">
        <w:rPr>
          <w:rFonts w:ascii="Arial" w:hAnsi="Arial" w:cs="Arial"/>
          <w:szCs w:val="22"/>
        </w:rPr>
        <w:t xml:space="preserve">Reglamento sobre Entidades de Registros Centralizados de Letras de Cambio y Pagarés Electrónicos, </w:t>
      </w:r>
      <w:bookmarkEnd w:id="0"/>
      <w:r w:rsidR="00013194" w:rsidRPr="003D28AF">
        <w:rPr>
          <w:rFonts w:ascii="Arial" w:hAnsi="Arial" w:cs="Arial"/>
          <w:szCs w:val="22"/>
        </w:rPr>
        <w:t>en atención a lo establecido en l</w:t>
      </w:r>
      <w:r w:rsidR="00D25F34" w:rsidRPr="003D28AF">
        <w:rPr>
          <w:rFonts w:ascii="Arial" w:hAnsi="Arial" w:cs="Arial"/>
          <w:szCs w:val="22"/>
        </w:rPr>
        <w:t>a Ley sobre Letra de Cambio y Pagaré Electrónicos</w:t>
      </w:r>
      <w:r w:rsidRPr="003D28AF">
        <w:rPr>
          <w:rFonts w:ascii="Arial" w:hAnsi="Arial" w:cs="Arial"/>
          <w:szCs w:val="22"/>
        </w:rPr>
        <w:t xml:space="preserve">. </w:t>
      </w:r>
      <w:r w:rsidR="00D25F34" w:rsidRPr="003D28AF">
        <w:rPr>
          <w:rFonts w:ascii="Arial" w:hAnsi="Arial" w:cs="Arial"/>
          <w:szCs w:val="22"/>
        </w:rPr>
        <w:t xml:space="preserve"> </w:t>
      </w:r>
      <w:r w:rsidR="003D28AF">
        <w:rPr>
          <w:rFonts w:ascii="Arial" w:hAnsi="Arial" w:cs="Arial"/>
          <w:szCs w:val="22"/>
        </w:rPr>
        <w:t>Este Reglamento establece en su artículo 32 los requisitos de transparencia y divulgación de información</w:t>
      </w:r>
      <w:r w:rsidR="00E16B13">
        <w:rPr>
          <w:rFonts w:ascii="Arial" w:hAnsi="Arial" w:cs="Arial"/>
          <w:szCs w:val="22"/>
        </w:rPr>
        <w:t xml:space="preserve">, </w:t>
      </w:r>
      <w:r w:rsidR="00E16B13" w:rsidRPr="00E16B13">
        <w:rPr>
          <w:rFonts w:ascii="Arial" w:hAnsi="Arial" w:cs="Arial"/>
          <w:szCs w:val="22"/>
        </w:rPr>
        <w:t xml:space="preserve">según lo requerido en el </w:t>
      </w:r>
      <w:r w:rsidR="00140973" w:rsidRPr="00E16B13">
        <w:rPr>
          <w:rFonts w:ascii="Arial" w:hAnsi="Arial" w:cs="Arial"/>
          <w:szCs w:val="22"/>
        </w:rPr>
        <w:t>Acuerdo CONASSIF 6-18</w:t>
      </w:r>
      <w:r w:rsidR="00140973">
        <w:rPr>
          <w:rFonts w:ascii="Arial" w:hAnsi="Arial" w:cs="Arial"/>
          <w:szCs w:val="22"/>
        </w:rPr>
        <w:t xml:space="preserve"> </w:t>
      </w:r>
      <w:r w:rsidR="00E16B13" w:rsidRPr="00E16B13">
        <w:rPr>
          <w:rFonts w:ascii="Arial" w:hAnsi="Arial" w:cs="Arial"/>
          <w:szCs w:val="22"/>
        </w:rPr>
        <w:t xml:space="preserve">Reglamento de Información Financiera </w:t>
      </w:r>
      <w:r w:rsidR="00E16B13">
        <w:rPr>
          <w:rFonts w:ascii="Arial" w:hAnsi="Arial" w:cs="Arial"/>
          <w:szCs w:val="22"/>
        </w:rPr>
        <w:t>y l</w:t>
      </w:r>
      <w:r w:rsidR="00E16B13" w:rsidRPr="00E16B13">
        <w:rPr>
          <w:rFonts w:ascii="Arial" w:hAnsi="Arial" w:cs="Arial"/>
          <w:szCs w:val="22"/>
        </w:rPr>
        <w:t>a demás información que se establezca mediante acuerdo del Superintendente General de Valores, con el objetivo de que los usuarios del sistema y demás partes interesadas, obtengan información oportuna y completa</w:t>
      </w:r>
      <w:r w:rsidR="00E16B13">
        <w:rPr>
          <w:rFonts w:ascii="Arial" w:hAnsi="Arial" w:cs="Arial"/>
          <w:szCs w:val="22"/>
        </w:rPr>
        <w:t xml:space="preserve"> de las Entidades de Registro Centralizado.</w:t>
      </w:r>
    </w:p>
    <w:p w14:paraId="0FDBA8A5" w14:textId="77777777" w:rsidR="00E72460" w:rsidRDefault="00E72460" w:rsidP="003D28AF">
      <w:pPr>
        <w:pStyle w:val="Prrafodelista"/>
        <w:rPr>
          <w:rFonts w:ascii="Arial" w:hAnsi="Arial" w:cs="Arial"/>
          <w:szCs w:val="22"/>
        </w:rPr>
      </w:pPr>
    </w:p>
    <w:p w14:paraId="78E176EA" w14:textId="77777777" w:rsidR="00AB0614" w:rsidRDefault="00B65F0E" w:rsidP="00C07A43">
      <w:pPr>
        <w:numPr>
          <w:ilvl w:val="0"/>
          <w:numId w:val="16"/>
        </w:numPr>
        <w:tabs>
          <w:tab w:val="left" w:pos="567"/>
        </w:tabs>
        <w:ind w:left="567" w:right="-193" w:hanging="567"/>
        <w:jc w:val="both"/>
        <w:rPr>
          <w:rFonts w:ascii="Arial" w:hAnsi="Arial" w:cs="Arial"/>
          <w:szCs w:val="22"/>
        </w:rPr>
      </w:pPr>
      <w:r w:rsidRPr="00AB0614">
        <w:rPr>
          <w:rFonts w:ascii="Arial" w:hAnsi="Arial" w:cs="Arial"/>
          <w:szCs w:val="22"/>
        </w:rPr>
        <w:t xml:space="preserve">El </w:t>
      </w:r>
      <w:r w:rsidR="00140973" w:rsidRPr="00AB0614">
        <w:rPr>
          <w:rFonts w:ascii="Arial" w:hAnsi="Arial" w:cs="Arial"/>
          <w:szCs w:val="22"/>
        </w:rPr>
        <w:t>Acuerdo CONASSIF 6-18</w:t>
      </w:r>
      <w:r w:rsidR="00140973">
        <w:rPr>
          <w:rFonts w:ascii="Arial" w:hAnsi="Arial" w:cs="Arial"/>
          <w:szCs w:val="22"/>
        </w:rPr>
        <w:t xml:space="preserve"> </w:t>
      </w:r>
      <w:r w:rsidRPr="00AB0614">
        <w:rPr>
          <w:rFonts w:ascii="Arial" w:hAnsi="Arial" w:cs="Arial"/>
          <w:szCs w:val="22"/>
        </w:rPr>
        <w:t xml:space="preserve">Reglamento de Información Financiera, aprobado por el CONASSIF, mediante los artículos 6 y 5 de las actas de las sesiones 1442-2018 y 1443-2018, ambas celebradas el 11 de setiembre de 2018, establece la aplicación de las Normas Internacionales de Información Financiera (NIIF) y sus interpretaciones </w:t>
      </w:r>
      <w:r w:rsidRPr="00AB0614">
        <w:rPr>
          <w:rFonts w:ascii="Arial" w:hAnsi="Arial" w:cs="Arial"/>
          <w:szCs w:val="22"/>
        </w:rPr>
        <w:lastRenderedPageBreak/>
        <w:t xml:space="preserve">(SIC y CINIIF), emitidas por el Consejo de Normas Internacionales de Contabilidad (IASB), considerando tratamientos prudenciales o regulatorios contables. </w:t>
      </w:r>
    </w:p>
    <w:p w14:paraId="7C9BD8F4" w14:textId="77777777" w:rsidR="00AB0614" w:rsidRPr="00AB0614" w:rsidRDefault="00AB0614" w:rsidP="00AB0614">
      <w:pPr>
        <w:tabs>
          <w:tab w:val="left" w:pos="567"/>
        </w:tabs>
        <w:ind w:left="567" w:right="-193"/>
        <w:jc w:val="both"/>
        <w:rPr>
          <w:rFonts w:ascii="Arial" w:hAnsi="Arial" w:cs="Arial"/>
          <w:szCs w:val="22"/>
        </w:rPr>
      </w:pPr>
    </w:p>
    <w:p w14:paraId="01DF02DA" w14:textId="77777777" w:rsidR="00E20BE6" w:rsidRPr="00AB0614" w:rsidRDefault="00E20BE6" w:rsidP="00AB0614">
      <w:pPr>
        <w:numPr>
          <w:ilvl w:val="0"/>
          <w:numId w:val="16"/>
        </w:numPr>
        <w:tabs>
          <w:tab w:val="left" w:pos="567"/>
        </w:tabs>
        <w:ind w:left="567" w:right="-193" w:hanging="567"/>
        <w:jc w:val="both"/>
        <w:rPr>
          <w:rFonts w:ascii="Arial" w:hAnsi="Arial" w:cs="Arial"/>
          <w:szCs w:val="22"/>
        </w:rPr>
      </w:pPr>
      <w:r w:rsidRPr="00AB0614">
        <w:rPr>
          <w:rFonts w:ascii="Arial" w:hAnsi="Arial" w:cs="Arial"/>
          <w:szCs w:val="22"/>
        </w:rPr>
        <w:t xml:space="preserve">El </w:t>
      </w:r>
      <w:bookmarkStart w:id="1" w:name="_Hlk130493584"/>
      <w:r w:rsidRPr="00AB0614">
        <w:rPr>
          <w:rFonts w:ascii="Arial" w:hAnsi="Arial" w:cs="Arial"/>
          <w:szCs w:val="22"/>
        </w:rPr>
        <w:t>Consejo Nacional de Supervisión del Sistema Financiero, en el artículo 11, del acta de la sesión 1777-2022, celebrada el 22 de diciembre de 2022 dispuso una reforma al Anexo 1, Plan de cuentas para las entidades supervisadas por SUGEF, SUGEVAL</w:t>
      </w:r>
      <w:r w:rsidR="00AB0614">
        <w:rPr>
          <w:rFonts w:ascii="Arial" w:hAnsi="Arial" w:cs="Arial"/>
          <w:szCs w:val="22"/>
        </w:rPr>
        <w:t>,</w:t>
      </w:r>
      <w:r w:rsidR="00140973">
        <w:rPr>
          <w:rFonts w:ascii="Arial" w:hAnsi="Arial" w:cs="Arial"/>
          <w:szCs w:val="22"/>
        </w:rPr>
        <w:t xml:space="preserve"> </w:t>
      </w:r>
      <w:r w:rsidR="00AB0614">
        <w:rPr>
          <w:rFonts w:ascii="Arial" w:hAnsi="Arial" w:cs="Arial"/>
          <w:szCs w:val="22"/>
        </w:rPr>
        <w:t xml:space="preserve">SUGESE </w:t>
      </w:r>
      <w:r w:rsidRPr="00AB0614">
        <w:rPr>
          <w:rFonts w:ascii="Arial" w:hAnsi="Arial" w:cs="Arial"/>
          <w:szCs w:val="22"/>
        </w:rPr>
        <w:t xml:space="preserve"> y SUPEN, los grupos y conglomerados financieros y Anexo 3, Catálogo de cuentas para las entidades supervisadas por SUGEF, SUGEVAL</w:t>
      </w:r>
      <w:r w:rsidR="00AB0614">
        <w:rPr>
          <w:rFonts w:ascii="Arial" w:hAnsi="Arial" w:cs="Arial"/>
          <w:szCs w:val="22"/>
        </w:rPr>
        <w:t>, SUGESE</w:t>
      </w:r>
      <w:r w:rsidRPr="00AB0614">
        <w:rPr>
          <w:rFonts w:ascii="Arial" w:hAnsi="Arial" w:cs="Arial"/>
          <w:szCs w:val="22"/>
        </w:rPr>
        <w:t xml:space="preserve"> y SUPEN, los grupos y conglomerados financieros, del </w:t>
      </w:r>
      <w:r w:rsidR="00140973" w:rsidRPr="00AB0614">
        <w:rPr>
          <w:rFonts w:ascii="Arial" w:hAnsi="Arial" w:cs="Arial"/>
          <w:szCs w:val="22"/>
        </w:rPr>
        <w:t>Acuerdo CONASSIF 6-18</w:t>
      </w:r>
      <w:r w:rsidR="00140973">
        <w:rPr>
          <w:rFonts w:ascii="Arial" w:hAnsi="Arial" w:cs="Arial"/>
          <w:szCs w:val="22"/>
        </w:rPr>
        <w:t xml:space="preserve"> </w:t>
      </w:r>
      <w:r w:rsidRPr="00AB0614">
        <w:rPr>
          <w:rFonts w:ascii="Arial" w:hAnsi="Arial" w:cs="Arial"/>
          <w:szCs w:val="22"/>
        </w:rPr>
        <w:t xml:space="preserve">Reglamento de Información Financiera, </w:t>
      </w:r>
      <w:r w:rsidR="00122A5A" w:rsidRPr="00AB0614">
        <w:rPr>
          <w:rFonts w:ascii="Arial" w:hAnsi="Arial" w:cs="Arial"/>
          <w:szCs w:val="22"/>
        </w:rPr>
        <w:t xml:space="preserve">por lo que se </w:t>
      </w:r>
      <w:r w:rsidR="00140973">
        <w:rPr>
          <w:rFonts w:ascii="Arial" w:hAnsi="Arial" w:cs="Arial"/>
          <w:szCs w:val="22"/>
        </w:rPr>
        <w:t>requiere</w:t>
      </w:r>
      <w:r w:rsidR="00122A5A" w:rsidRPr="00AB0614">
        <w:rPr>
          <w:rFonts w:ascii="Arial" w:hAnsi="Arial" w:cs="Arial"/>
          <w:szCs w:val="22"/>
        </w:rPr>
        <w:t xml:space="preserve"> </w:t>
      </w:r>
      <w:r w:rsidR="00140973">
        <w:rPr>
          <w:rFonts w:ascii="Arial" w:hAnsi="Arial" w:cs="Arial"/>
          <w:szCs w:val="22"/>
        </w:rPr>
        <w:t>de</w:t>
      </w:r>
      <w:r w:rsidR="00122A5A" w:rsidRPr="00AB0614">
        <w:rPr>
          <w:rFonts w:ascii="Arial" w:hAnsi="Arial" w:cs="Arial"/>
          <w:szCs w:val="22"/>
        </w:rPr>
        <w:t xml:space="preserve"> reforma integral a los anexos </w:t>
      </w:r>
      <w:r w:rsidR="00140973">
        <w:rPr>
          <w:rFonts w:ascii="Arial" w:hAnsi="Arial" w:cs="Arial"/>
          <w:szCs w:val="22"/>
        </w:rPr>
        <w:t xml:space="preserve">No. </w:t>
      </w:r>
      <w:r w:rsidR="00122A5A" w:rsidRPr="00AB0614">
        <w:rPr>
          <w:rFonts w:ascii="Arial" w:hAnsi="Arial" w:cs="Arial"/>
          <w:szCs w:val="22"/>
        </w:rPr>
        <w:t xml:space="preserve">50 </w:t>
      </w:r>
      <w:r w:rsidR="00140973">
        <w:rPr>
          <w:rFonts w:ascii="Arial" w:hAnsi="Arial" w:cs="Arial"/>
          <w:szCs w:val="22"/>
        </w:rPr>
        <w:t>“</w:t>
      </w:r>
      <w:r w:rsidR="00122A5A" w:rsidRPr="00AB0614">
        <w:rPr>
          <w:rFonts w:ascii="Arial" w:hAnsi="Arial" w:cs="Arial"/>
          <w:szCs w:val="22"/>
        </w:rPr>
        <w:t>Estados Financieros de las Bolsas de  Valores</w:t>
      </w:r>
      <w:r w:rsidR="00140973">
        <w:rPr>
          <w:rFonts w:ascii="Arial" w:hAnsi="Arial" w:cs="Arial"/>
          <w:szCs w:val="22"/>
        </w:rPr>
        <w:t>”</w:t>
      </w:r>
      <w:r w:rsidR="00122A5A" w:rsidRPr="00AB0614">
        <w:rPr>
          <w:rFonts w:ascii="Arial" w:hAnsi="Arial" w:cs="Arial"/>
          <w:szCs w:val="22"/>
        </w:rPr>
        <w:t xml:space="preserve"> y </w:t>
      </w:r>
      <w:r w:rsidR="00140973">
        <w:rPr>
          <w:rFonts w:ascii="Arial" w:hAnsi="Arial" w:cs="Arial"/>
          <w:szCs w:val="22"/>
        </w:rPr>
        <w:t xml:space="preserve">No. </w:t>
      </w:r>
      <w:r w:rsidR="00122A5A" w:rsidRPr="00AB0614">
        <w:rPr>
          <w:rFonts w:ascii="Arial" w:hAnsi="Arial" w:cs="Arial"/>
          <w:szCs w:val="22"/>
        </w:rPr>
        <w:t xml:space="preserve">60 </w:t>
      </w:r>
      <w:r w:rsidR="00140973">
        <w:rPr>
          <w:rFonts w:ascii="Arial" w:hAnsi="Arial" w:cs="Arial"/>
          <w:szCs w:val="22"/>
        </w:rPr>
        <w:t>“</w:t>
      </w:r>
      <w:r w:rsidR="00122A5A" w:rsidRPr="00AB0614">
        <w:rPr>
          <w:rFonts w:ascii="Arial" w:hAnsi="Arial" w:cs="Arial"/>
          <w:szCs w:val="22"/>
        </w:rPr>
        <w:t>Estados Financieros de las Centrales de Valores</w:t>
      </w:r>
      <w:bookmarkEnd w:id="1"/>
      <w:r w:rsidR="00140973">
        <w:rPr>
          <w:rFonts w:ascii="Arial" w:hAnsi="Arial" w:cs="Arial"/>
          <w:szCs w:val="22"/>
        </w:rPr>
        <w:t>” del acuerdo SGV-A-75</w:t>
      </w:r>
      <w:r w:rsidR="00122A5A" w:rsidRPr="00AB0614">
        <w:rPr>
          <w:rFonts w:ascii="Arial" w:hAnsi="Arial" w:cs="Arial"/>
          <w:szCs w:val="22"/>
        </w:rPr>
        <w:t xml:space="preserve">, </w:t>
      </w:r>
      <w:r w:rsidR="00E16B13" w:rsidRPr="00AB0614">
        <w:rPr>
          <w:rFonts w:ascii="Arial" w:hAnsi="Arial" w:cs="Arial"/>
          <w:szCs w:val="22"/>
        </w:rPr>
        <w:t xml:space="preserve">y se incluyen los catálogos de cuentas de las Entidades de Registro Centralizado de Valores, </w:t>
      </w:r>
      <w:r w:rsidR="00122A5A" w:rsidRPr="00AB0614">
        <w:rPr>
          <w:rFonts w:ascii="Arial" w:hAnsi="Arial" w:cs="Arial"/>
          <w:szCs w:val="22"/>
        </w:rPr>
        <w:t xml:space="preserve">de manera que se ajusten al cuadro de cuentas homologado. </w:t>
      </w:r>
    </w:p>
    <w:p w14:paraId="637D228F" w14:textId="77777777" w:rsidR="007F3A06" w:rsidRPr="00E20BE6" w:rsidRDefault="007F3A06" w:rsidP="00E20BE6">
      <w:pPr>
        <w:tabs>
          <w:tab w:val="left" w:pos="567"/>
        </w:tabs>
        <w:ind w:right="-193"/>
        <w:jc w:val="both"/>
        <w:rPr>
          <w:rFonts w:ascii="Arial" w:hAnsi="Arial" w:cs="Arial"/>
          <w:szCs w:val="22"/>
          <w:highlight w:val="yellow"/>
        </w:rPr>
      </w:pPr>
    </w:p>
    <w:p w14:paraId="52A3BF16" w14:textId="77777777" w:rsidR="00F87CD2" w:rsidRPr="007F3A06" w:rsidRDefault="00F87CD2" w:rsidP="007F3A06">
      <w:pPr>
        <w:numPr>
          <w:ilvl w:val="0"/>
          <w:numId w:val="16"/>
        </w:numPr>
        <w:tabs>
          <w:tab w:val="left" w:pos="567"/>
        </w:tabs>
        <w:ind w:left="567" w:right="-193" w:hanging="567"/>
        <w:jc w:val="both"/>
        <w:rPr>
          <w:rFonts w:ascii="Arial" w:hAnsi="Arial" w:cs="Arial"/>
          <w:szCs w:val="22"/>
        </w:rPr>
      </w:pPr>
      <w:bookmarkStart w:id="2" w:name="_Hlk130496351"/>
      <w:r w:rsidRPr="007F3A06">
        <w:rPr>
          <w:rFonts w:ascii="Arial" w:hAnsi="Arial" w:cs="Arial"/>
          <w:szCs w:val="22"/>
        </w:rPr>
        <w:t>Como parte de las iniciativas para automatizar los procesos de supervisión que lleva a cabo la Superintendencia General de Valores, se identificó la necesidad de capturar mediante catálogo</w:t>
      </w:r>
      <w:r w:rsidR="007F3A06" w:rsidRPr="007F3A06">
        <w:rPr>
          <w:rFonts w:ascii="Arial" w:hAnsi="Arial" w:cs="Arial"/>
          <w:szCs w:val="22"/>
        </w:rPr>
        <w:t>s</w:t>
      </w:r>
      <w:r w:rsidRPr="007F3A06">
        <w:rPr>
          <w:rFonts w:ascii="Arial" w:hAnsi="Arial" w:cs="Arial"/>
          <w:szCs w:val="22"/>
        </w:rPr>
        <w:t xml:space="preserve"> del Sistema </w:t>
      </w:r>
      <w:proofErr w:type="spellStart"/>
      <w:r w:rsidRPr="007F3A06">
        <w:rPr>
          <w:rFonts w:ascii="Arial" w:hAnsi="Arial" w:cs="Arial"/>
          <w:szCs w:val="22"/>
        </w:rPr>
        <w:t>Ingresador</w:t>
      </w:r>
      <w:proofErr w:type="spellEnd"/>
      <w:r w:rsidRPr="007F3A06">
        <w:rPr>
          <w:rFonts w:ascii="Arial" w:hAnsi="Arial" w:cs="Arial"/>
          <w:szCs w:val="22"/>
        </w:rPr>
        <w:t xml:space="preserve"> de Información Periódica, lo relativo al cálculo de la suficiencia patrimonial de </w:t>
      </w:r>
      <w:r w:rsidR="00833C1D" w:rsidRPr="007F3A06">
        <w:rPr>
          <w:rFonts w:ascii="Arial" w:hAnsi="Arial" w:cs="Arial"/>
          <w:szCs w:val="22"/>
        </w:rPr>
        <w:t xml:space="preserve">los grupos financieros y </w:t>
      </w:r>
      <w:r w:rsidR="00140973">
        <w:rPr>
          <w:rFonts w:ascii="Arial" w:hAnsi="Arial" w:cs="Arial"/>
          <w:szCs w:val="22"/>
        </w:rPr>
        <w:t xml:space="preserve">las </w:t>
      </w:r>
      <w:r w:rsidR="00833C1D" w:rsidRPr="007F3A06">
        <w:rPr>
          <w:rFonts w:ascii="Arial" w:hAnsi="Arial" w:cs="Arial"/>
          <w:szCs w:val="22"/>
        </w:rPr>
        <w:t>empresas</w:t>
      </w:r>
      <w:r w:rsidR="00140973">
        <w:rPr>
          <w:rFonts w:ascii="Arial" w:hAnsi="Arial" w:cs="Arial"/>
          <w:szCs w:val="22"/>
        </w:rPr>
        <w:t xml:space="preserve"> que lo integran</w:t>
      </w:r>
      <w:r w:rsidRPr="007F3A06">
        <w:rPr>
          <w:rFonts w:ascii="Arial" w:hAnsi="Arial" w:cs="Arial"/>
          <w:szCs w:val="22"/>
        </w:rPr>
        <w:t xml:space="preserve">, de conformidad con lo establecido en el </w:t>
      </w:r>
      <w:r w:rsidR="007F3A06" w:rsidRPr="00140973">
        <w:rPr>
          <w:rFonts w:ascii="Arial" w:hAnsi="Arial" w:cs="Arial"/>
          <w:szCs w:val="22"/>
        </w:rPr>
        <w:t>Acuerdo CONASSIF 3-16 Reglamento sobre Suficiencia Patrimonial de Grupos y Conglomerados Financieros</w:t>
      </w:r>
      <w:bookmarkEnd w:id="2"/>
      <w:r w:rsidR="007F3A06" w:rsidRPr="00140973">
        <w:rPr>
          <w:rFonts w:ascii="Arial" w:hAnsi="Arial" w:cs="Arial"/>
          <w:szCs w:val="22"/>
        </w:rPr>
        <w:t>.</w:t>
      </w:r>
      <w:r w:rsidR="00344EB6" w:rsidRPr="00140973">
        <w:rPr>
          <w:rFonts w:ascii="Arial" w:hAnsi="Arial" w:cs="Arial"/>
          <w:szCs w:val="22"/>
        </w:rPr>
        <w:t xml:space="preserve"> </w:t>
      </w:r>
      <w:r w:rsidR="00344EB6">
        <w:rPr>
          <w:rFonts w:ascii="Arial" w:hAnsi="Arial" w:cs="Arial"/>
          <w:szCs w:val="22"/>
        </w:rPr>
        <w:t>Esto favorece la simplificación de trámites y el manejo más oportuno y expedito de la información de conformidad con lo establecido en l</w:t>
      </w:r>
      <w:r w:rsidR="00344EB6" w:rsidRPr="00344EB6">
        <w:rPr>
          <w:rFonts w:ascii="Arial" w:hAnsi="Arial" w:cs="Arial"/>
          <w:szCs w:val="22"/>
        </w:rPr>
        <w:t xml:space="preserve">a Ley de Protección al Ciudadano del Exceso de Requisitos y Trámites Administrativos, </w:t>
      </w:r>
      <w:proofErr w:type="spellStart"/>
      <w:r w:rsidR="00344EB6" w:rsidRPr="00344EB6">
        <w:rPr>
          <w:rFonts w:ascii="Arial" w:hAnsi="Arial" w:cs="Arial"/>
          <w:szCs w:val="22"/>
        </w:rPr>
        <w:t>N°</w:t>
      </w:r>
      <w:proofErr w:type="spellEnd"/>
      <w:r w:rsidR="00344EB6" w:rsidRPr="00344EB6">
        <w:rPr>
          <w:rFonts w:ascii="Arial" w:hAnsi="Arial" w:cs="Arial"/>
          <w:szCs w:val="22"/>
        </w:rPr>
        <w:t xml:space="preserve"> 8220</w:t>
      </w:r>
      <w:r w:rsidR="00E16B13">
        <w:rPr>
          <w:rFonts w:ascii="Arial" w:hAnsi="Arial" w:cs="Arial"/>
          <w:szCs w:val="22"/>
        </w:rPr>
        <w:t>.</w:t>
      </w:r>
    </w:p>
    <w:p w14:paraId="6EE6987D" w14:textId="77777777" w:rsidR="00833C1D" w:rsidRPr="002A0026" w:rsidRDefault="00833C1D" w:rsidP="002A0026">
      <w:pPr>
        <w:tabs>
          <w:tab w:val="left" w:pos="567"/>
        </w:tabs>
        <w:ind w:left="567" w:right="-193"/>
        <w:jc w:val="both"/>
        <w:rPr>
          <w:rFonts w:ascii="Arial" w:hAnsi="Arial" w:cs="Arial"/>
          <w:szCs w:val="22"/>
        </w:rPr>
      </w:pPr>
    </w:p>
    <w:p w14:paraId="1F74EA06" w14:textId="77777777" w:rsidR="002A0026" w:rsidRPr="002A0026" w:rsidRDefault="002A0026" w:rsidP="002A0026">
      <w:pPr>
        <w:numPr>
          <w:ilvl w:val="0"/>
          <w:numId w:val="16"/>
        </w:numPr>
        <w:tabs>
          <w:tab w:val="left" w:pos="567"/>
        </w:tabs>
        <w:ind w:left="567" w:right="-193" w:hanging="567"/>
        <w:jc w:val="both"/>
        <w:rPr>
          <w:rFonts w:ascii="Arial" w:hAnsi="Arial" w:cs="Arial"/>
          <w:szCs w:val="22"/>
        </w:rPr>
      </w:pPr>
      <w:r w:rsidRPr="002A0026">
        <w:rPr>
          <w:rFonts w:ascii="Arial" w:hAnsi="Arial" w:cs="Arial"/>
          <w:szCs w:val="22"/>
        </w:rPr>
        <w:t>La reforma parcial</w:t>
      </w:r>
      <w:r>
        <w:rPr>
          <w:rFonts w:ascii="Arial" w:hAnsi="Arial" w:cs="Arial"/>
          <w:szCs w:val="22"/>
        </w:rPr>
        <w:t xml:space="preserve"> al </w:t>
      </w:r>
      <w:r w:rsidRPr="002A0026">
        <w:rPr>
          <w:rFonts w:ascii="Arial" w:hAnsi="Arial" w:cs="Arial"/>
          <w:szCs w:val="22"/>
        </w:rPr>
        <w:t xml:space="preserve">acuerdo </w:t>
      </w:r>
      <w:r w:rsidRPr="002A0026">
        <w:rPr>
          <w:rFonts w:ascii="Arial" w:hAnsi="Arial" w:cs="Arial"/>
          <w:i/>
          <w:iCs/>
          <w:szCs w:val="22"/>
        </w:rPr>
        <w:t>“SGV-A-75 Acuerdo sobre el suministro de información periódica”</w:t>
      </w:r>
      <w:r w:rsidRPr="002A0026">
        <w:rPr>
          <w:rFonts w:ascii="Arial" w:hAnsi="Arial" w:cs="Arial"/>
          <w:szCs w:val="22"/>
        </w:rPr>
        <w:t xml:space="preserve"> no establece nuevos trámites, requisitos o procedimientos que el administrado deba cumplir, según lo dispuesto en el Decreto 37045- MP-MEIC Reglamento a la Ley de Protección al Ciudadano del Exceso de Requisitos y Trámites Administrativos.</w:t>
      </w:r>
    </w:p>
    <w:p w14:paraId="6342B055" w14:textId="77777777" w:rsidR="002A0026" w:rsidRDefault="002A0026" w:rsidP="002A0026">
      <w:pPr>
        <w:tabs>
          <w:tab w:val="left" w:pos="567"/>
        </w:tabs>
        <w:ind w:left="567" w:right="-193"/>
        <w:jc w:val="both"/>
        <w:rPr>
          <w:rFonts w:ascii="Arial" w:hAnsi="Arial" w:cs="Arial"/>
          <w:szCs w:val="22"/>
        </w:rPr>
      </w:pPr>
    </w:p>
    <w:p w14:paraId="1073AA03" w14:textId="77777777" w:rsidR="006F13D3" w:rsidRPr="00140973" w:rsidRDefault="006F13D3" w:rsidP="006F13D3">
      <w:pPr>
        <w:numPr>
          <w:ilvl w:val="0"/>
          <w:numId w:val="16"/>
        </w:numPr>
        <w:tabs>
          <w:tab w:val="left" w:pos="567"/>
        </w:tabs>
        <w:ind w:left="567" w:right="-193" w:hanging="567"/>
        <w:jc w:val="both"/>
        <w:rPr>
          <w:rFonts w:ascii="Arial" w:hAnsi="Arial" w:cs="Arial"/>
          <w:i/>
          <w:iCs/>
          <w:szCs w:val="22"/>
        </w:rPr>
      </w:pPr>
      <w:r w:rsidRPr="006F13D3">
        <w:rPr>
          <w:rFonts w:ascii="Arial" w:hAnsi="Arial" w:cs="Arial"/>
          <w:szCs w:val="22"/>
        </w:rPr>
        <w:t xml:space="preserve">Según lo previsto por la “Ley General de Administración Pública” en el artículo 361. </w:t>
      </w:r>
      <w:r w:rsidRPr="00140973">
        <w:rPr>
          <w:rFonts w:ascii="Arial" w:hAnsi="Arial" w:cs="Arial"/>
          <w:i/>
          <w:iCs/>
          <w:szCs w:val="22"/>
        </w:rPr>
        <w:t xml:space="preserve">“Se concederá a las entidades representativas de intereses de carácter general o corporativo afectados por la disposición la oportunidad de exponer su parecer, dentro del plazo de diez días, salvo cuando se opongan a ello razones de interés público o de urgencia debidamente consignadas en el anteproyecto”.  </w:t>
      </w:r>
    </w:p>
    <w:p w14:paraId="404DF59A" w14:textId="77777777" w:rsidR="006F13D3" w:rsidRPr="006F13D3" w:rsidRDefault="006F13D3" w:rsidP="006F13D3">
      <w:pPr>
        <w:tabs>
          <w:tab w:val="left" w:pos="567"/>
        </w:tabs>
        <w:ind w:right="-193"/>
        <w:jc w:val="both"/>
        <w:rPr>
          <w:rFonts w:ascii="Arial" w:hAnsi="Arial" w:cs="Arial"/>
          <w:szCs w:val="22"/>
        </w:rPr>
      </w:pPr>
    </w:p>
    <w:p w14:paraId="09D3FDD9" w14:textId="77777777" w:rsidR="00F87CD2" w:rsidRPr="00F87CD2" w:rsidRDefault="00F87CD2" w:rsidP="00F87CD2">
      <w:pPr>
        <w:tabs>
          <w:tab w:val="left" w:pos="567"/>
        </w:tabs>
        <w:ind w:right="-193"/>
        <w:jc w:val="both"/>
        <w:rPr>
          <w:rFonts w:ascii="Arial" w:eastAsia="Calibri" w:hAnsi="Arial" w:cs="Arial"/>
          <w:color w:val="000000"/>
          <w:szCs w:val="22"/>
          <w:lang w:eastAsia="es-CR"/>
        </w:rPr>
      </w:pPr>
    </w:p>
    <w:p w14:paraId="24BE2CB3" w14:textId="77777777" w:rsidR="00F87CD2" w:rsidRDefault="00F87CD2" w:rsidP="00F87CD2">
      <w:pPr>
        <w:jc w:val="both"/>
        <w:rPr>
          <w:rFonts w:ascii="Arial" w:eastAsia="Calibri" w:hAnsi="Arial" w:cs="Arial"/>
          <w:szCs w:val="22"/>
        </w:rPr>
      </w:pPr>
      <w:r w:rsidRPr="00F87CD2">
        <w:rPr>
          <w:rFonts w:ascii="Arial" w:eastAsia="Calibri" w:hAnsi="Arial" w:cs="Arial"/>
          <w:szCs w:val="22"/>
        </w:rPr>
        <w:t>Por tanto, dispone el presente acuerdo:</w:t>
      </w:r>
    </w:p>
    <w:p w14:paraId="2EC591B7" w14:textId="77777777" w:rsidR="001B1484" w:rsidRPr="00F87CD2" w:rsidRDefault="001B1484" w:rsidP="00F87CD2">
      <w:pPr>
        <w:jc w:val="both"/>
        <w:rPr>
          <w:rFonts w:ascii="Arial" w:eastAsia="Calibri" w:hAnsi="Arial" w:cs="Arial"/>
          <w:szCs w:val="22"/>
          <w:lang w:eastAsia="en-US"/>
        </w:rPr>
      </w:pPr>
    </w:p>
    <w:p w14:paraId="6C73E648" w14:textId="77777777" w:rsidR="00F87CD2" w:rsidRPr="00F87CD2" w:rsidRDefault="00F87CD2" w:rsidP="00F87CD2">
      <w:pPr>
        <w:jc w:val="center"/>
        <w:rPr>
          <w:rFonts w:ascii="Arial" w:hAnsi="Arial" w:cs="Arial"/>
          <w:b/>
          <w:szCs w:val="22"/>
        </w:rPr>
      </w:pPr>
      <w:r w:rsidRPr="00F87CD2">
        <w:rPr>
          <w:rFonts w:ascii="Arial" w:hAnsi="Arial" w:cs="Arial"/>
          <w:b/>
          <w:szCs w:val="22"/>
        </w:rPr>
        <w:t>SGV-A-</w:t>
      </w:r>
      <w:proofErr w:type="spellStart"/>
      <w:r w:rsidR="007F3A06">
        <w:rPr>
          <w:rFonts w:ascii="Arial" w:hAnsi="Arial" w:cs="Arial"/>
          <w:b/>
          <w:szCs w:val="22"/>
        </w:rPr>
        <w:t>xxx</w:t>
      </w:r>
      <w:proofErr w:type="spellEnd"/>
      <w:r w:rsidRPr="00F87CD2">
        <w:rPr>
          <w:rFonts w:ascii="Arial" w:hAnsi="Arial" w:cs="Arial"/>
          <w:b/>
          <w:szCs w:val="22"/>
        </w:rPr>
        <w:t xml:space="preserve">.  MODIFICACIÓN </w:t>
      </w:r>
      <w:proofErr w:type="gramStart"/>
      <w:r w:rsidRPr="00F87CD2">
        <w:rPr>
          <w:rFonts w:ascii="Arial" w:hAnsi="Arial" w:cs="Arial"/>
          <w:b/>
          <w:szCs w:val="22"/>
        </w:rPr>
        <w:t>A</w:t>
      </w:r>
      <w:r w:rsidR="007F3A06">
        <w:rPr>
          <w:rFonts w:ascii="Arial" w:hAnsi="Arial" w:cs="Arial"/>
          <w:b/>
          <w:szCs w:val="22"/>
        </w:rPr>
        <w:t>L</w:t>
      </w:r>
      <w:r w:rsidRPr="00F87CD2">
        <w:rPr>
          <w:rFonts w:ascii="Arial" w:hAnsi="Arial" w:cs="Arial"/>
          <w:b/>
          <w:szCs w:val="22"/>
        </w:rPr>
        <w:t xml:space="preserve">  ACUERDO</w:t>
      </w:r>
      <w:proofErr w:type="gramEnd"/>
      <w:r w:rsidRPr="00F87CD2">
        <w:rPr>
          <w:rFonts w:ascii="Arial" w:hAnsi="Arial" w:cs="Arial"/>
          <w:b/>
          <w:szCs w:val="22"/>
        </w:rPr>
        <w:t xml:space="preserve"> SGV-A-75 “SUMINISTRO DE INFORMACIÓN PERIÓDICA” </w:t>
      </w:r>
    </w:p>
    <w:p w14:paraId="355638F7" w14:textId="77777777" w:rsidR="00F87CD2" w:rsidRPr="00F87CD2" w:rsidRDefault="00F87CD2" w:rsidP="00F87CD2">
      <w:pPr>
        <w:jc w:val="center"/>
        <w:rPr>
          <w:rFonts w:ascii="Arial" w:hAnsi="Arial" w:cs="Arial"/>
          <w:b/>
          <w:szCs w:val="22"/>
        </w:rPr>
      </w:pPr>
      <w:r w:rsidRPr="00F87CD2">
        <w:rPr>
          <w:rFonts w:ascii="Arial" w:hAnsi="Arial" w:cs="Arial"/>
          <w:b/>
          <w:szCs w:val="22"/>
        </w:rPr>
        <w:t xml:space="preserve"> </w:t>
      </w:r>
    </w:p>
    <w:p w14:paraId="47D42948" w14:textId="77777777" w:rsidR="00F87CD2" w:rsidRDefault="00F87CD2" w:rsidP="00F87CD2">
      <w:pPr>
        <w:jc w:val="both"/>
        <w:rPr>
          <w:rFonts w:ascii="Arial" w:eastAsia="Calibri" w:hAnsi="Arial" w:cs="Arial"/>
          <w:b/>
          <w:color w:val="000000"/>
          <w:szCs w:val="22"/>
          <w:lang w:eastAsia="es-CR"/>
        </w:rPr>
      </w:pPr>
      <w:r w:rsidRPr="00F87CD2">
        <w:rPr>
          <w:rFonts w:ascii="Arial" w:eastAsia="Calibri" w:hAnsi="Arial" w:cs="Arial"/>
          <w:b/>
          <w:color w:val="000000"/>
          <w:szCs w:val="22"/>
          <w:lang w:eastAsia="es-CR"/>
        </w:rPr>
        <w:t>Artículo 1.-</w:t>
      </w:r>
      <w:r w:rsidRPr="00F87CD2">
        <w:rPr>
          <w:rFonts w:ascii="Arial" w:eastAsia="Calibri" w:hAnsi="Arial" w:cs="Arial"/>
          <w:b/>
          <w:color w:val="000000"/>
          <w:szCs w:val="22"/>
          <w:lang w:eastAsia="es-CR"/>
        </w:rPr>
        <w:tab/>
      </w:r>
      <w:r w:rsidR="00F52194">
        <w:rPr>
          <w:rFonts w:ascii="Arial" w:eastAsia="Calibri" w:hAnsi="Arial" w:cs="Arial"/>
          <w:b/>
          <w:color w:val="000000"/>
          <w:szCs w:val="22"/>
          <w:lang w:eastAsia="es-CR"/>
        </w:rPr>
        <w:t>Adiciones</w:t>
      </w:r>
      <w:r w:rsidRPr="00F87CD2">
        <w:rPr>
          <w:rFonts w:ascii="Arial" w:eastAsia="Calibri" w:hAnsi="Arial" w:cs="Arial"/>
          <w:b/>
          <w:color w:val="000000"/>
          <w:szCs w:val="22"/>
          <w:lang w:eastAsia="es-CR"/>
        </w:rPr>
        <w:t xml:space="preserve"> a la captura de información </w:t>
      </w:r>
      <w:r w:rsidR="009E0932">
        <w:rPr>
          <w:rFonts w:ascii="Arial" w:eastAsia="Calibri" w:hAnsi="Arial" w:cs="Arial"/>
          <w:b/>
          <w:color w:val="000000"/>
          <w:szCs w:val="22"/>
          <w:lang w:eastAsia="es-CR"/>
        </w:rPr>
        <w:t>periódica</w:t>
      </w:r>
    </w:p>
    <w:p w14:paraId="314088EC" w14:textId="77777777" w:rsidR="000D002B" w:rsidRPr="00F87CD2" w:rsidRDefault="000D002B" w:rsidP="00F87CD2">
      <w:pPr>
        <w:jc w:val="both"/>
        <w:rPr>
          <w:rFonts w:ascii="Arial" w:eastAsia="Calibri" w:hAnsi="Arial" w:cs="Arial"/>
          <w:b/>
          <w:color w:val="000000"/>
          <w:szCs w:val="22"/>
          <w:lang w:eastAsia="es-CR"/>
        </w:rPr>
      </w:pPr>
    </w:p>
    <w:p w14:paraId="13D19071" w14:textId="77777777" w:rsidR="009E0932" w:rsidRPr="009E0932" w:rsidRDefault="009E0932" w:rsidP="0023282E">
      <w:pPr>
        <w:spacing w:after="160" w:line="256" w:lineRule="auto"/>
        <w:contextualSpacing/>
        <w:jc w:val="both"/>
        <w:rPr>
          <w:rFonts w:ascii="Arial" w:eastAsia="Calibri" w:hAnsi="Arial" w:cs="Arial"/>
          <w:color w:val="000000"/>
          <w:szCs w:val="22"/>
          <w:lang w:eastAsia="es-CR"/>
        </w:rPr>
      </w:pPr>
      <w:r w:rsidRPr="009E0932">
        <w:rPr>
          <w:rFonts w:ascii="Arial" w:eastAsia="Calibri" w:hAnsi="Arial" w:cs="Arial"/>
          <w:color w:val="000000"/>
          <w:szCs w:val="22"/>
          <w:lang w:eastAsia="es-CR"/>
        </w:rPr>
        <w:t>Se incorpora</w:t>
      </w:r>
      <w:r w:rsidR="000D002B">
        <w:rPr>
          <w:rFonts w:ascii="Arial" w:eastAsia="Calibri" w:hAnsi="Arial" w:cs="Arial"/>
          <w:color w:val="000000"/>
          <w:szCs w:val="22"/>
          <w:lang w:eastAsia="es-CR"/>
        </w:rPr>
        <w:t xml:space="preserve"> el anexo </w:t>
      </w:r>
      <w:r w:rsidR="006F13D3">
        <w:rPr>
          <w:rFonts w:ascii="Arial" w:eastAsia="Calibri" w:hAnsi="Arial" w:cs="Arial"/>
          <w:color w:val="000000"/>
          <w:szCs w:val="22"/>
          <w:lang w:eastAsia="es-CR"/>
        </w:rPr>
        <w:t>63 sobre</w:t>
      </w:r>
      <w:r w:rsidR="000D002B">
        <w:rPr>
          <w:rFonts w:ascii="Arial" w:eastAsia="Calibri" w:hAnsi="Arial" w:cs="Arial"/>
          <w:color w:val="000000"/>
          <w:szCs w:val="22"/>
          <w:lang w:eastAsia="es-CR"/>
        </w:rPr>
        <w:t xml:space="preserve"> los estados financieros y los requerimientos de información a</w:t>
      </w:r>
      <w:r w:rsidR="000D002B" w:rsidRPr="000D002B">
        <w:rPr>
          <w:rFonts w:ascii="Arial" w:eastAsia="Calibri" w:hAnsi="Arial" w:cs="Arial"/>
          <w:color w:val="000000"/>
          <w:szCs w:val="22"/>
          <w:lang w:eastAsia="es-CR"/>
        </w:rPr>
        <w:t xml:space="preserve"> las </w:t>
      </w:r>
      <w:r w:rsidR="000D002B" w:rsidRPr="008C1635">
        <w:rPr>
          <w:rFonts w:ascii="Arial" w:eastAsia="Calibri" w:hAnsi="Arial" w:cs="Arial"/>
          <w:b/>
          <w:bCs/>
          <w:color w:val="000000"/>
          <w:szCs w:val="22"/>
          <w:lang w:eastAsia="es-CR"/>
        </w:rPr>
        <w:t xml:space="preserve">Entidades de Registros Centralizados de Letras de Cambio y </w:t>
      </w:r>
      <w:r w:rsidR="000D002B" w:rsidRPr="008C1635">
        <w:rPr>
          <w:rFonts w:ascii="Arial" w:eastAsia="Calibri" w:hAnsi="Arial" w:cs="Arial"/>
          <w:b/>
          <w:bCs/>
          <w:color w:val="000000"/>
          <w:szCs w:val="22"/>
          <w:lang w:eastAsia="es-CR"/>
        </w:rPr>
        <w:lastRenderedPageBreak/>
        <w:t>Pagarés Electrónicos</w:t>
      </w:r>
      <w:r w:rsidR="000D002B">
        <w:rPr>
          <w:rFonts w:ascii="Arial" w:eastAsia="Calibri" w:hAnsi="Arial" w:cs="Arial"/>
          <w:color w:val="000000"/>
          <w:szCs w:val="22"/>
          <w:lang w:eastAsia="es-CR"/>
        </w:rPr>
        <w:t xml:space="preserve">, </w:t>
      </w:r>
      <w:r w:rsidR="000D002B" w:rsidRPr="000D002B">
        <w:rPr>
          <w:rFonts w:ascii="Arial" w:eastAsia="Calibri" w:hAnsi="Arial" w:cs="Arial"/>
          <w:color w:val="000000"/>
          <w:szCs w:val="22"/>
          <w:lang w:eastAsia="es-CR"/>
        </w:rPr>
        <w:t xml:space="preserve"> </w:t>
      </w:r>
      <w:r w:rsidR="000D002B">
        <w:rPr>
          <w:rFonts w:ascii="Arial" w:eastAsia="Calibri" w:hAnsi="Arial" w:cs="Arial"/>
          <w:color w:val="000000"/>
          <w:szCs w:val="22"/>
          <w:lang w:eastAsia="es-CR"/>
        </w:rPr>
        <w:t>en el</w:t>
      </w:r>
      <w:r w:rsidRPr="009E0932">
        <w:rPr>
          <w:rFonts w:ascii="Arial" w:eastAsia="Calibri" w:hAnsi="Arial" w:cs="Arial"/>
          <w:color w:val="000000"/>
          <w:szCs w:val="22"/>
          <w:lang w:eastAsia="es-CR"/>
        </w:rPr>
        <w:t xml:space="preserve"> Cuadro de Información Periódica</w:t>
      </w:r>
      <w:r w:rsidR="0023282E">
        <w:rPr>
          <w:rFonts w:ascii="Arial" w:eastAsia="Calibri" w:hAnsi="Arial" w:cs="Arial"/>
          <w:color w:val="000000"/>
          <w:szCs w:val="22"/>
          <w:lang w:eastAsia="es-CR"/>
        </w:rPr>
        <w:t>, de acuerdo con el siguiente detalle</w:t>
      </w:r>
      <w:r w:rsidRPr="009E0932">
        <w:rPr>
          <w:rFonts w:ascii="Arial" w:eastAsia="Calibri" w:hAnsi="Arial" w:cs="Arial"/>
          <w:color w:val="000000"/>
          <w:szCs w:val="22"/>
          <w:lang w:eastAsia="es-CR"/>
        </w:rPr>
        <w:t xml:space="preserve">:  </w:t>
      </w:r>
    </w:p>
    <w:tbl>
      <w:tblPr>
        <w:tblStyle w:val="Tablaconcuadrcula3"/>
        <w:tblW w:w="10065" w:type="dxa"/>
        <w:tblInd w:w="-572" w:type="dxa"/>
        <w:tblLayout w:type="fixed"/>
        <w:tblLook w:val="04A0" w:firstRow="1" w:lastRow="0" w:firstColumn="1" w:lastColumn="0" w:noHBand="0" w:noVBand="1"/>
      </w:tblPr>
      <w:tblGrid>
        <w:gridCol w:w="1843"/>
        <w:gridCol w:w="1276"/>
        <w:gridCol w:w="1134"/>
        <w:gridCol w:w="1559"/>
        <w:gridCol w:w="1134"/>
        <w:gridCol w:w="3119"/>
      </w:tblGrid>
      <w:tr w:rsidR="007C4AD1" w:rsidRPr="0023282E" w14:paraId="44822EFF" w14:textId="77777777" w:rsidTr="0023282E">
        <w:trPr>
          <w:trHeight w:val="522"/>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699EF632"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eastAsia="Calibri" w:hAnsi="Arial Narrow" w:cs="Arial"/>
                <w:b/>
                <w:bCs/>
                <w:sz w:val="20"/>
                <w:szCs w:val="20"/>
                <w:lang w:val="es-CR" w:eastAsia="en-US"/>
              </w:rPr>
              <w:t>Informe /o Reporte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57D062"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eastAsia="Calibri" w:hAnsi="Arial Narrow" w:cs="Arial"/>
                <w:b/>
                <w:bCs/>
                <w:sz w:val="20"/>
                <w:szCs w:val="20"/>
                <w:lang w:val="es-CR" w:eastAsia="en-US"/>
              </w:rPr>
              <w:t>Periodicidad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1E883"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eastAsia="Calibri" w:hAnsi="Arial Narrow" w:cs="Arial"/>
                <w:b/>
                <w:bCs/>
                <w:sz w:val="20"/>
                <w:szCs w:val="20"/>
                <w:lang w:val="es-CR" w:eastAsia="en-US"/>
              </w:rPr>
              <w:t>Plazo máximo de entrega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A1CA2B"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eastAsia="Calibri" w:hAnsi="Arial Narrow" w:cs="Arial"/>
                <w:b/>
                <w:bCs/>
                <w:sz w:val="20"/>
                <w:szCs w:val="20"/>
                <w:lang w:val="es-CR" w:eastAsia="en-US"/>
              </w:rPr>
              <w:t>Formato o normas sobre el Contenido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5D8FE"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eastAsia="Calibri" w:hAnsi="Arial Narrow" w:cs="Arial"/>
                <w:b/>
                <w:bCs/>
                <w:sz w:val="20"/>
                <w:szCs w:val="20"/>
                <w:lang w:val="es-CR" w:eastAsia="en-US"/>
              </w:rPr>
              <w:t>Medio de envío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9F26E66"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eastAsia="Calibri" w:hAnsi="Arial Narrow" w:cs="Arial"/>
                <w:b/>
                <w:bCs/>
                <w:sz w:val="20"/>
                <w:szCs w:val="20"/>
                <w:lang w:val="es-CR" w:eastAsia="en-US"/>
              </w:rPr>
              <w:t>Nota Aclaratoria</w:t>
            </w:r>
          </w:p>
        </w:tc>
      </w:tr>
      <w:tr w:rsidR="007C4AD1" w:rsidRPr="0023282E" w14:paraId="3CDB2782" w14:textId="77777777" w:rsidTr="0023282E">
        <w:trPr>
          <w:trHeight w:val="20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51D4B6"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hAnsi="Arial Narrow" w:cs="Arial"/>
                <w:sz w:val="20"/>
                <w:szCs w:val="20"/>
              </w:rPr>
              <w:t xml:space="preserve">Estados financieros auditados </w:t>
            </w:r>
            <w:r w:rsidRPr="0023282E">
              <w:rPr>
                <w:rFonts w:ascii="Arial Narrow" w:hAnsi="Arial Narrow" w:cs="Arial"/>
                <w:sz w:val="20"/>
                <w:szCs w:val="20"/>
              </w:rPr>
              <w:br/>
            </w:r>
          </w:p>
        </w:tc>
        <w:tc>
          <w:tcPr>
            <w:tcW w:w="1276" w:type="dxa"/>
            <w:tcBorders>
              <w:top w:val="single" w:sz="4" w:space="0" w:color="auto"/>
              <w:left w:val="nil"/>
              <w:bottom w:val="single" w:sz="4" w:space="0" w:color="auto"/>
              <w:right w:val="single" w:sz="4" w:space="0" w:color="auto"/>
            </w:tcBorders>
            <w:shd w:val="clear" w:color="auto" w:fill="auto"/>
            <w:vAlign w:val="center"/>
          </w:tcPr>
          <w:p w14:paraId="4B5A2F6B"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Anual</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DA0BE3"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40 días hábiles después del cierre anual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06F283"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Reglamento de Información Financiera (RIF)</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924668"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Sistema </w:t>
            </w:r>
            <w:proofErr w:type="spellStart"/>
            <w:r w:rsidRPr="0023282E">
              <w:rPr>
                <w:rFonts w:ascii="Arial Narrow" w:hAnsi="Arial Narrow" w:cs="Arial"/>
                <w:sz w:val="20"/>
                <w:szCs w:val="20"/>
              </w:rPr>
              <w:t>Ingresador</w:t>
            </w:r>
            <w:proofErr w:type="spellEnd"/>
          </w:p>
        </w:tc>
        <w:tc>
          <w:tcPr>
            <w:tcW w:w="3119" w:type="dxa"/>
            <w:tcBorders>
              <w:top w:val="single" w:sz="4" w:space="0" w:color="auto"/>
              <w:left w:val="nil"/>
              <w:bottom w:val="single" w:sz="4" w:space="0" w:color="auto"/>
              <w:right w:val="single" w:sz="4" w:space="0" w:color="auto"/>
            </w:tcBorders>
            <w:shd w:val="clear" w:color="000000" w:fill="FFFFFF"/>
            <w:vAlign w:val="center"/>
          </w:tcPr>
          <w:p w14:paraId="50A3F42C"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Los estados </w:t>
            </w:r>
            <w:proofErr w:type="gramStart"/>
            <w:r w:rsidRPr="0023282E">
              <w:rPr>
                <w:rFonts w:ascii="Arial Narrow" w:hAnsi="Arial Narrow" w:cs="Arial"/>
                <w:sz w:val="20"/>
                <w:szCs w:val="20"/>
              </w:rPr>
              <w:t>financieros  deberán</w:t>
            </w:r>
            <w:proofErr w:type="gramEnd"/>
            <w:r w:rsidRPr="0023282E">
              <w:rPr>
                <w:rFonts w:ascii="Arial Narrow" w:hAnsi="Arial Narrow" w:cs="Arial"/>
                <w:sz w:val="20"/>
                <w:szCs w:val="20"/>
              </w:rPr>
              <w:t xml:space="preserve">  remitirse en documento</w:t>
            </w:r>
            <w:r w:rsidRPr="0023282E">
              <w:rPr>
                <w:rFonts w:ascii="Arial Narrow" w:hAnsi="Arial Narrow" w:cs="Arial"/>
                <w:sz w:val="20"/>
                <w:szCs w:val="20"/>
              </w:rPr>
              <w:br/>
              <w:t>firmado digitalmente por:</w:t>
            </w:r>
            <w:r w:rsidRPr="0023282E">
              <w:rPr>
                <w:rFonts w:ascii="Arial Narrow" w:hAnsi="Arial Narrow" w:cs="Arial"/>
                <w:sz w:val="20"/>
                <w:szCs w:val="20"/>
              </w:rPr>
              <w:br/>
              <w:t>• Auditor Externo</w:t>
            </w:r>
            <w:r w:rsidRPr="0023282E">
              <w:rPr>
                <w:rFonts w:ascii="Arial Narrow" w:hAnsi="Arial Narrow" w:cs="Arial"/>
                <w:sz w:val="20"/>
                <w:szCs w:val="20"/>
              </w:rPr>
              <w:br/>
              <w:t>• Responsables de la entidad.</w:t>
            </w:r>
            <w:r w:rsidRPr="0023282E">
              <w:rPr>
                <w:rFonts w:ascii="Arial Narrow" w:hAnsi="Arial Narrow" w:cs="Arial"/>
                <w:sz w:val="20"/>
                <w:szCs w:val="20"/>
              </w:rPr>
              <w:br/>
              <w:t>Si las notas a los estados financieros no hacen referencia al acuerdo de aprobación de la información financiera por parte del respectivo Órgano de Dirección, se requiere copia del respectivo acuerdo de aprobación.</w:t>
            </w:r>
          </w:p>
        </w:tc>
      </w:tr>
      <w:tr w:rsidR="007C4AD1" w:rsidRPr="0023282E" w14:paraId="5A9E3E4F" w14:textId="77777777" w:rsidTr="0023282E">
        <w:trPr>
          <w:trHeight w:val="2025"/>
        </w:trPr>
        <w:tc>
          <w:tcPr>
            <w:tcW w:w="1843" w:type="dxa"/>
            <w:tcBorders>
              <w:top w:val="nil"/>
              <w:left w:val="single" w:sz="4" w:space="0" w:color="auto"/>
              <w:bottom w:val="single" w:sz="4" w:space="0" w:color="auto"/>
              <w:right w:val="single" w:sz="4" w:space="0" w:color="auto"/>
            </w:tcBorders>
            <w:shd w:val="clear" w:color="auto" w:fill="auto"/>
            <w:vAlign w:val="center"/>
          </w:tcPr>
          <w:p w14:paraId="3E8772CE"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hAnsi="Arial Narrow" w:cs="Arial"/>
                <w:sz w:val="20"/>
                <w:szCs w:val="20"/>
              </w:rPr>
              <w:t>Carta de Gerencia</w:t>
            </w:r>
          </w:p>
        </w:tc>
        <w:tc>
          <w:tcPr>
            <w:tcW w:w="1276" w:type="dxa"/>
            <w:tcBorders>
              <w:top w:val="nil"/>
              <w:left w:val="nil"/>
              <w:bottom w:val="single" w:sz="4" w:space="0" w:color="auto"/>
              <w:right w:val="single" w:sz="4" w:space="0" w:color="auto"/>
            </w:tcBorders>
            <w:shd w:val="clear" w:color="auto" w:fill="auto"/>
            <w:vAlign w:val="center"/>
          </w:tcPr>
          <w:p w14:paraId="6D4C14BC"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Anual</w:t>
            </w:r>
          </w:p>
        </w:tc>
        <w:tc>
          <w:tcPr>
            <w:tcW w:w="1134" w:type="dxa"/>
            <w:tcBorders>
              <w:top w:val="nil"/>
              <w:left w:val="nil"/>
              <w:bottom w:val="single" w:sz="4" w:space="0" w:color="auto"/>
              <w:right w:val="single" w:sz="4" w:space="0" w:color="auto"/>
            </w:tcBorders>
            <w:shd w:val="clear" w:color="auto" w:fill="auto"/>
            <w:vAlign w:val="center"/>
          </w:tcPr>
          <w:p w14:paraId="1AC47094"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40 días hábiles después del cierre anual</w:t>
            </w:r>
          </w:p>
        </w:tc>
        <w:tc>
          <w:tcPr>
            <w:tcW w:w="1559" w:type="dxa"/>
            <w:tcBorders>
              <w:top w:val="nil"/>
              <w:left w:val="nil"/>
              <w:bottom w:val="single" w:sz="4" w:space="0" w:color="auto"/>
              <w:right w:val="single" w:sz="4" w:space="0" w:color="auto"/>
            </w:tcBorders>
            <w:shd w:val="clear" w:color="auto" w:fill="auto"/>
            <w:vAlign w:val="center"/>
          </w:tcPr>
          <w:p w14:paraId="7D1F900A"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Reglamento de Auditores Externos Art.19</w:t>
            </w:r>
          </w:p>
        </w:tc>
        <w:tc>
          <w:tcPr>
            <w:tcW w:w="1134" w:type="dxa"/>
            <w:tcBorders>
              <w:top w:val="nil"/>
              <w:left w:val="nil"/>
              <w:bottom w:val="single" w:sz="4" w:space="0" w:color="auto"/>
              <w:right w:val="single" w:sz="4" w:space="0" w:color="auto"/>
            </w:tcBorders>
            <w:shd w:val="clear" w:color="000000" w:fill="FFFFFF"/>
            <w:vAlign w:val="center"/>
          </w:tcPr>
          <w:p w14:paraId="3EE5CB44"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Sistema </w:t>
            </w:r>
            <w:proofErr w:type="spellStart"/>
            <w:r w:rsidRPr="0023282E">
              <w:rPr>
                <w:rFonts w:ascii="Arial Narrow" w:hAnsi="Arial Narrow" w:cs="Arial"/>
                <w:sz w:val="20"/>
                <w:szCs w:val="20"/>
              </w:rPr>
              <w:t>Ingresador</w:t>
            </w:r>
            <w:proofErr w:type="spellEnd"/>
          </w:p>
        </w:tc>
        <w:tc>
          <w:tcPr>
            <w:tcW w:w="3119" w:type="dxa"/>
            <w:tcBorders>
              <w:top w:val="nil"/>
              <w:left w:val="nil"/>
              <w:bottom w:val="single" w:sz="4" w:space="0" w:color="auto"/>
              <w:right w:val="single" w:sz="4" w:space="0" w:color="auto"/>
            </w:tcBorders>
            <w:shd w:val="clear" w:color="000000" w:fill="FFFFFF"/>
            <w:vAlign w:val="center"/>
          </w:tcPr>
          <w:p w14:paraId="10B3BE75"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Las comunicaciones del auditor externo deben venir firmadas digitalmente por el Auditor Externo</w:t>
            </w:r>
          </w:p>
        </w:tc>
      </w:tr>
      <w:tr w:rsidR="007C4AD1" w:rsidRPr="0023282E" w14:paraId="71C7F2C3" w14:textId="77777777" w:rsidTr="0023282E">
        <w:trPr>
          <w:trHeight w:val="2025"/>
        </w:trPr>
        <w:tc>
          <w:tcPr>
            <w:tcW w:w="1843" w:type="dxa"/>
            <w:tcBorders>
              <w:top w:val="nil"/>
              <w:left w:val="single" w:sz="4" w:space="0" w:color="auto"/>
              <w:bottom w:val="single" w:sz="4" w:space="0" w:color="auto"/>
              <w:right w:val="single" w:sz="4" w:space="0" w:color="auto"/>
            </w:tcBorders>
            <w:shd w:val="clear" w:color="auto" w:fill="auto"/>
            <w:vAlign w:val="center"/>
          </w:tcPr>
          <w:p w14:paraId="03C93232"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hAnsi="Arial Narrow" w:cs="Arial"/>
                <w:sz w:val="20"/>
                <w:szCs w:val="20"/>
              </w:rPr>
              <w:t xml:space="preserve">Comunicación del nombre del Contador </w:t>
            </w:r>
            <w:proofErr w:type="gramStart"/>
            <w:r w:rsidRPr="0023282E">
              <w:rPr>
                <w:rFonts w:ascii="Arial Narrow" w:hAnsi="Arial Narrow" w:cs="Arial"/>
                <w:sz w:val="20"/>
                <w:szCs w:val="20"/>
              </w:rPr>
              <w:t>Público  Autorizado</w:t>
            </w:r>
            <w:proofErr w:type="gramEnd"/>
            <w:r w:rsidRPr="0023282E">
              <w:rPr>
                <w:rFonts w:ascii="Arial Narrow" w:hAnsi="Arial Narrow" w:cs="Arial"/>
                <w:sz w:val="20"/>
                <w:szCs w:val="20"/>
              </w:rPr>
              <w:t xml:space="preserve"> o firma de auditores externos del emisor y los garantes</w:t>
            </w:r>
          </w:p>
        </w:tc>
        <w:tc>
          <w:tcPr>
            <w:tcW w:w="1276" w:type="dxa"/>
            <w:tcBorders>
              <w:top w:val="nil"/>
              <w:left w:val="nil"/>
              <w:bottom w:val="single" w:sz="4" w:space="0" w:color="auto"/>
              <w:right w:val="single" w:sz="4" w:space="0" w:color="auto"/>
            </w:tcBorders>
            <w:shd w:val="clear" w:color="auto" w:fill="auto"/>
            <w:vAlign w:val="center"/>
          </w:tcPr>
          <w:p w14:paraId="5897654E"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Anual y cada vez que ocurra un cambio de auditor externo</w:t>
            </w:r>
          </w:p>
        </w:tc>
        <w:tc>
          <w:tcPr>
            <w:tcW w:w="1134" w:type="dxa"/>
            <w:tcBorders>
              <w:top w:val="nil"/>
              <w:left w:val="nil"/>
              <w:bottom w:val="single" w:sz="4" w:space="0" w:color="auto"/>
              <w:right w:val="single" w:sz="4" w:space="0" w:color="auto"/>
            </w:tcBorders>
            <w:shd w:val="clear" w:color="auto" w:fill="auto"/>
            <w:vAlign w:val="center"/>
          </w:tcPr>
          <w:p w14:paraId="43164391"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A más tardar al 30 de junio para empresas con cierre en diciembre A más tardar al 30 de abril para empresas con cierre en setiembre</w:t>
            </w:r>
          </w:p>
        </w:tc>
        <w:tc>
          <w:tcPr>
            <w:tcW w:w="1559" w:type="dxa"/>
            <w:tcBorders>
              <w:top w:val="nil"/>
              <w:left w:val="nil"/>
              <w:bottom w:val="single" w:sz="4" w:space="0" w:color="auto"/>
              <w:right w:val="single" w:sz="4" w:space="0" w:color="auto"/>
            </w:tcBorders>
            <w:shd w:val="clear" w:color="auto" w:fill="auto"/>
            <w:vAlign w:val="center"/>
          </w:tcPr>
          <w:p w14:paraId="482AF089"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n/a</w:t>
            </w:r>
          </w:p>
        </w:tc>
        <w:tc>
          <w:tcPr>
            <w:tcW w:w="1134" w:type="dxa"/>
            <w:tcBorders>
              <w:top w:val="nil"/>
              <w:left w:val="nil"/>
              <w:bottom w:val="nil"/>
              <w:right w:val="single" w:sz="4" w:space="0" w:color="auto"/>
            </w:tcBorders>
            <w:shd w:val="clear" w:color="auto" w:fill="auto"/>
            <w:vAlign w:val="center"/>
          </w:tcPr>
          <w:p w14:paraId="325A8FF6"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Sistema de Registro y Actualización de Roles. </w:t>
            </w:r>
            <w:r w:rsidRPr="0023282E">
              <w:rPr>
                <w:rFonts w:ascii="Arial Narrow" w:hAnsi="Arial Narrow" w:cs="Arial"/>
                <w:sz w:val="20"/>
                <w:szCs w:val="20"/>
              </w:rPr>
              <w:br/>
              <w:t>SGV-A-188</w:t>
            </w:r>
          </w:p>
        </w:tc>
        <w:tc>
          <w:tcPr>
            <w:tcW w:w="3119" w:type="dxa"/>
            <w:tcBorders>
              <w:top w:val="nil"/>
              <w:left w:val="nil"/>
              <w:bottom w:val="single" w:sz="4" w:space="0" w:color="auto"/>
              <w:right w:val="single" w:sz="4" w:space="0" w:color="auto"/>
            </w:tcBorders>
            <w:shd w:val="clear" w:color="auto" w:fill="auto"/>
            <w:vAlign w:val="center"/>
          </w:tcPr>
          <w:p w14:paraId="5751A230" w14:textId="77777777" w:rsidR="007C4AD1" w:rsidRPr="0023282E" w:rsidRDefault="007C4AD1" w:rsidP="0023282E">
            <w:pPr>
              <w:spacing w:after="120"/>
              <w:jc w:val="center"/>
              <w:rPr>
                <w:rFonts w:ascii="Arial Narrow" w:eastAsia="Calibri" w:hAnsi="Arial Narrow" w:cs="Arial"/>
                <w:sz w:val="20"/>
                <w:szCs w:val="20"/>
                <w:lang w:val="es-CR" w:eastAsia="en-US"/>
              </w:rPr>
            </w:pPr>
          </w:p>
        </w:tc>
      </w:tr>
      <w:tr w:rsidR="007C4AD1" w:rsidRPr="0023282E" w14:paraId="39690134" w14:textId="77777777" w:rsidTr="0023282E">
        <w:trPr>
          <w:trHeight w:val="983"/>
        </w:trPr>
        <w:tc>
          <w:tcPr>
            <w:tcW w:w="1843" w:type="dxa"/>
            <w:tcBorders>
              <w:top w:val="nil"/>
              <w:left w:val="single" w:sz="4" w:space="0" w:color="auto"/>
              <w:bottom w:val="single" w:sz="4" w:space="0" w:color="auto"/>
              <w:right w:val="single" w:sz="4" w:space="0" w:color="auto"/>
            </w:tcBorders>
            <w:shd w:val="clear" w:color="auto" w:fill="auto"/>
            <w:vAlign w:val="center"/>
          </w:tcPr>
          <w:p w14:paraId="1EB90F30"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hAnsi="Arial Narrow" w:cs="Arial"/>
                <w:sz w:val="20"/>
                <w:szCs w:val="20"/>
              </w:rPr>
              <w:t>Estados financieros no auditados</w:t>
            </w:r>
          </w:p>
        </w:tc>
        <w:tc>
          <w:tcPr>
            <w:tcW w:w="1276" w:type="dxa"/>
            <w:tcBorders>
              <w:top w:val="nil"/>
              <w:left w:val="nil"/>
              <w:bottom w:val="single" w:sz="4" w:space="0" w:color="auto"/>
              <w:right w:val="single" w:sz="4" w:space="0" w:color="auto"/>
            </w:tcBorders>
            <w:shd w:val="clear" w:color="auto" w:fill="auto"/>
            <w:vAlign w:val="center"/>
          </w:tcPr>
          <w:p w14:paraId="3C887117"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Mensual</w:t>
            </w:r>
          </w:p>
        </w:tc>
        <w:tc>
          <w:tcPr>
            <w:tcW w:w="1134" w:type="dxa"/>
            <w:tcBorders>
              <w:top w:val="nil"/>
              <w:left w:val="nil"/>
              <w:bottom w:val="single" w:sz="4" w:space="0" w:color="auto"/>
              <w:right w:val="single" w:sz="4" w:space="0" w:color="auto"/>
            </w:tcBorders>
            <w:shd w:val="clear" w:color="auto" w:fill="auto"/>
            <w:vAlign w:val="center"/>
          </w:tcPr>
          <w:p w14:paraId="5967523A"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7 días hábiles después del cierre</w:t>
            </w:r>
          </w:p>
        </w:tc>
        <w:tc>
          <w:tcPr>
            <w:tcW w:w="1559" w:type="dxa"/>
            <w:tcBorders>
              <w:top w:val="nil"/>
              <w:left w:val="nil"/>
              <w:bottom w:val="single" w:sz="4" w:space="0" w:color="auto"/>
              <w:right w:val="single" w:sz="4" w:space="0" w:color="auto"/>
            </w:tcBorders>
            <w:shd w:val="clear" w:color="auto" w:fill="auto"/>
            <w:vAlign w:val="center"/>
          </w:tcPr>
          <w:p w14:paraId="6BCA50DC"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Anexo 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8D074D"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Sistema </w:t>
            </w:r>
            <w:proofErr w:type="spellStart"/>
            <w:r w:rsidRPr="0023282E">
              <w:rPr>
                <w:rFonts w:ascii="Arial Narrow" w:hAnsi="Arial Narrow" w:cs="Arial"/>
                <w:sz w:val="20"/>
                <w:szCs w:val="20"/>
              </w:rPr>
              <w:t>Ingresador</w:t>
            </w:r>
            <w:proofErr w:type="spellEnd"/>
          </w:p>
        </w:tc>
        <w:tc>
          <w:tcPr>
            <w:tcW w:w="3119" w:type="dxa"/>
            <w:tcBorders>
              <w:top w:val="nil"/>
              <w:left w:val="nil"/>
              <w:bottom w:val="single" w:sz="4" w:space="0" w:color="auto"/>
              <w:right w:val="single" w:sz="4" w:space="0" w:color="auto"/>
            </w:tcBorders>
            <w:shd w:val="clear" w:color="auto" w:fill="auto"/>
            <w:vAlign w:val="center"/>
          </w:tcPr>
          <w:p w14:paraId="7C5DE6B7"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“Las notas que acompañan los estados financieros no auditados mensuales, deben incluir entre otros aspectos, si las políticas contables continúan siendo las mismas con respecto al último estado financiero auditado, si existen variaciones significativas con respecto al estado mensual anterior y detallar las partidas llamadas "Otros" cuando éstas tengan una importancia relativa, lo </w:t>
            </w:r>
            <w:r w:rsidRPr="0023282E">
              <w:rPr>
                <w:rFonts w:ascii="Arial Narrow" w:hAnsi="Arial Narrow" w:cs="Arial"/>
                <w:sz w:val="20"/>
                <w:szCs w:val="20"/>
              </w:rPr>
              <w:lastRenderedPageBreak/>
              <w:t>anterior de conformidad con lo establecido en la NIC 34 "Información Financiera Intermedia.</w:t>
            </w:r>
            <w:r w:rsidRPr="0023282E">
              <w:rPr>
                <w:rFonts w:ascii="Arial Narrow" w:hAnsi="Arial Narrow" w:cs="Arial"/>
                <w:sz w:val="20"/>
                <w:szCs w:val="20"/>
              </w:rPr>
              <w:br/>
              <w:t>La información de estos estados debe remitirse en miles.”</w:t>
            </w:r>
          </w:p>
        </w:tc>
      </w:tr>
      <w:tr w:rsidR="00BE6057" w:rsidRPr="0023282E" w14:paraId="4BE60361" w14:textId="77777777" w:rsidTr="0023282E">
        <w:trPr>
          <w:trHeight w:val="11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5FF226" w14:textId="77777777" w:rsidR="00BE6057" w:rsidRPr="0023282E" w:rsidRDefault="00BE6057" w:rsidP="0023282E">
            <w:pPr>
              <w:spacing w:after="120"/>
              <w:jc w:val="center"/>
              <w:rPr>
                <w:rFonts w:ascii="Arial Narrow" w:hAnsi="Arial Narrow" w:cs="Arial"/>
                <w:sz w:val="20"/>
                <w:szCs w:val="20"/>
              </w:rPr>
            </w:pPr>
            <w:r w:rsidRPr="0023282E">
              <w:rPr>
                <w:rFonts w:ascii="Arial Narrow" w:hAnsi="Arial Narrow" w:cs="Arial"/>
                <w:sz w:val="20"/>
                <w:szCs w:val="20"/>
              </w:rPr>
              <w:lastRenderedPageBreak/>
              <w:t>Suficiencia patrimonial y control de límites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D94F81" w14:textId="77777777" w:rsidR="00BE6057" w:rsidRPr="0023282E" w:rsidRDefault="00BE6057" w:rsidP="0023282E">
            <w:pPr>
              <w:spacing w:after="120"/>
              <w:jc w:val="center"/>
              <w:rPr>
                <w:rFonts w:ascii="Arial Narrow" w:hAnsi="Arial Narrow" w:cs="Arial"/>
                <w:sz w:val="20"/>
                <w:szCs w:val="20"/>
              </w:rPr>
            </w:pPr>
            <w:r w:rsidRPr="0023282E">
              <w:rPr>
                <w:rFonts w:ascii="Arial Narrow" w:hAnsi="Arial Narrow" w:cs="Arial"/>
                <w:sz w:val="20"/>
                <w:szCs w:val="20"/>
              </w:rPr>
              <w:t>Mensual</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CBEE71" w14:textId="77777777" w:rsidR="00BE6057" w:rsidRPr="0023282E" w:rsidRDefault="00BE6057" w:rsidP="0023282E">
            <w:pPr>
              <w:spacing w:after="120"/>
              <w:jc w:val="center"/>
              <w:rPr>
                <w:rFonts w:ascii="Arial Narrow" w:hAnsi="Arial Narrow" w:cs="Arial"/>
                <w:sz w:val="20"/>
                <w:szCs w:val="20"/>
              </w:rPr>
            </w:pPr>
            <w:r w:rsidRPr="0023282E">
              <w:rPr>
                <w:rFonts w:ascii="Arial Narrow" w:hAnsi="Arial Narrow" w:cs="Arial"/>
                <w:sz w:val="20"/>
                <w:szCs w:val="20"/>
              </w:rPr>
              <w:t>7 días hábiles después del cierre mensual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873214" w14:textId="77777777" w:rsidR="00BE6057" w:rsidRPr="0023282E" w:rsidRDefault="00BE6057" w:rsidP="0023282E">
            <w:pPr>
              <w:spacing w:after="120"/>
              <w:jc w:val="center"/>
              <w:rPr>
                <w:rFonts w:ascii="Arial Narrow" w:hAnsi="Arial Narrow" w:cs="Arial"/>
                <w:sz w:val="20"/>
                <w:szCs w:val="20"/>
              </w:rPr>
            </w:pPr>
            <w:r w:rsidRPr="0023282E">
              <w:rPr>
                <w:rFonts w:ascii="Arial Narrow" w:hAnsi="Arial Narrow" w:cs="Arial"/>
                <w:sz w:val="20"/>
                <w:szCs w:val="20"/>
              </w:rPr>
              <w:t>Anexo 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98F89E" w14:textId="77777777" w:rsidR="00BE6057" w:rsidRPr="0023282E" w:rsidRDefault="00BE6057" w:rsidP="0023282E">
            <w:pPr>
              <w:spacing w:after="120"/>
              <w:jc w:val="center"/>
              <w:rPr>
                <w:rFonts w:ascii="Arial Narrow" w:hAnsi="Arial Narrow" w:cs="Arial"/>
                <w:sz w:val="20"/>
                <w:szCs w:val="20"/>
              </w:rPr>
            </w:pPr>
            <w:r w:rsidRPr="0023282E">
              <w:rPr>
                <w:rFonts w:ascii="Arial Narrow" w:hAnsi="Arial Narrow" w:cs="Arial"/>
                <w:sz w:val="20"/>
                <w:szCs w:val="20"/>
              </w:rPr>
              <w:t xml:space="preserve">Sistema </w:t>
            </w:r>
            <w:proofErr w:type="spellStart"/>
            <w:r w:rsidRPr="0023282E">
              <w:rPr>
                <w:rFonts w:ascii="Arial Narrow" w:hAnsi="Arial Narrow" w:cs="Arial"/>
                <w:sz w:val="20"/>
                <w:szCs w:val="20"/>
              </w:rPr>
              <w:t>Ingresador</w:t>
            </w:r>
            <w:proofErr w:type="spellEnd"/>
          </w:p>
        </w:tc>
        <w:tc>
          <w:tcPr>
            <w:tcW w:w="3119" w:type="dxa"/>
            <w:tcBorders>
              <w:top w:val="single" w:sz="4" w:space="0" w:color="auto"/>
              <w:left w:val="nil"/>
              <w:bottom w:val="single" w:sz="4" w:space="0" w:color="auto"/>
              <w:right w:val="single" w:sz="4" w:space="0" w:color="auto"/>
            </w:tcBorders>
            <w:shd w:val="clear" w:color="auto" w:fill="auto"/>
            <w:vAlign w:val="center"/>
          </w:tcPr>
          <w:p w14:paraId="28868696" w14:textId="77777777" w:rsidR="00BE6057" w:rsidRPr="0023282E" w:rsidRDefault="00BE6057" w:rsidP="0023282E">
            <w:pPr>
              <w:spacing w:after="120"/>
              <w:jc w:val="center"/>
              <w:rPr>
                <w:rFonts w:ascii="Arial Narrow" w:hAnsi="Arial Narrow" w:cs="Arial"/>
                <w:sz w:val="20"/>
                <w:szCs w:val="20"/>
              </w:rPr>
            </w:pPr>
            <w:r w:rsidRPr="0023282E">
              <w:rPr>
                <w:rFonts w:ascii="Arial Narrow" w:hAnsi="Arial Narrow" w:cs="Arial"/>
                <w:sz w:val="20"/>
                <w:szCs w:val="20"/>
              </w:rPr>
              <w:t>Corresponde a la información de cierre del mes y debe remitirse en miles de colones.</w:t>
            </w:r>
          </w:p>
        </w:tc>
      </w:tr>
      <w:tr w:rsidR="007C4AD1" w:rsidRPr="0023282E" w14:paraId="70E20E4D" w14:textId="77777777" w:rsidTr="0023282E">
        <w:trPr>
          <w:trHeight w:val="11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1C86BD" w14:textId="77777777" w:rsidR="007C4AD1" w:rsidRPr="0023282E" w:rsidRDefault="007C4AD1" w:rsidP="0023282E">
            <w:pPr>
              <w:spacing w:after="120"/>
              <w:jc w:val="center"/>
              <w:rPr>
                <w:rFonts w:ascii="Arial Narrow" w:eastAsia="Calibri" w:hAnsi="Arial Narrow" w:cs="Arial"/>
                <w:b/>
                <w:bCs/>
                <w:sz w:val="20"/>
                <w:szCs w:val="20"/>
                <w:lang w:val="es-CR" w:eastAsia="en-US"/>
              </w:rPr>
            </w:pPr>
            <w:r w:rsidRPr="0023282E">
              <w:rPr>
                <w:rFonts w:ascii="Arial Narrow" w:hAnsi="Arial Narrow" w:cs="Arial"/>
                <w:sz w:val="20"/>
                <w:szCs w:val="20"/>
              </w:rPr>
              <w:t>Cuadro resumen operaciones únicas y múltiples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69ED15"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Mensual</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B9121A"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20 días naturales después del cierre mensual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F83042"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Anexo 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603263" w14:textId="77777777" w:rsidR="007C4AD1" w:rsidRPr="0023282E" w:rsidRDefault="007C4AD1" w:rsidP="0023282E">
            <w:pPr>
              <w:spacing w:after="120"/>
              <w:jc w:val="center"/>
              <w:rPr>
                <w:rFonts w:ascii="Arial Narrow" w:eastAsia="Calibri" w:hAnsi="Arial Narrow" w:cs="Arial"/>
                <w:sz w:val="20"/>
                <w:szCs w:val="20"/>
                <w:lang w:val="es-CR" w:eastAsia="en-US"/>
              </w:rPr>
            </w:pPr>
            <w:r w:rsidRPr="0023282E">
              <w:rPr>
                <w:rFonts w:ascii="Arial Narrow" w:hAnsi="Arial Narrow" w:cs="Arial"/>
                <w:sz w:val="20"/>
                <w:szCs w:val="20"/>
              </w:rPr>
              <w:t xml:space="preserve">Sistema </w:t>
            </w:r>
            <w:proofErr w:type="spellStart"/>
            <w:r w:rsidRPr="0023282E">
              <w:rPr>
                <w:rFonts w:ascii="Arial Narrow" w:hAnsi="Arial Narrow" w:cs="Arial"/>
                <w:sz w:val="20"/>
                <w:szCs w:val="20"/>
              </w:rPr>
              <w:t>Ingresador</w:t>
            </w:r>
            <w:proofErr w:type="spellEnd"/>
          </w:p>
        </w:tc>
        <w:tc>
          <w:tcPr>
            <w:tcW w:w="3119" w:type="dxa"/>
            <w:tcBorders>
              <w:top w:val="single" w:sz="4" w:space="0" w:color="auto"/>
              <w:left w:val="nil"/>
              <w:bottom w:val="single" w:sz="4" w:space="0" w:color="auto"/>
              <w:right w:val="single" w:sz="4" w:space="0" w:color="auto"/>
            </w:tcBorders>
            <w:shd w:val="clear" w:color="auto" w:fill="auto"/>
            <w:vAlign w:val="center"/>
          </w:tcPr>
          <w:p w14:paraId="2479D4B6" w14:textId="77777777" w:rsidR="007C4AD1" w:rsidRPr="0023282E" w:rsidRDefault="007C4AD1" w:rsidP="0023282E">
            <w:pPr>
              <w:spacing w:after="120"/>
              <w:jc w:val="center"/>
              <w:rPr>
                <w:rFonts w:ascii="Arial Narrow" w:eastAsia="Calibri" w:hAnsi="Arial Narrow" w:cs="Arial"/>
                <w:sz w:val="20"/>
                <w:szCs w:val="20"/>
                <w:lang w:val="es-CR" w:eastAsia="en-US"/>
              </w:rPr>
            </w:pPr>
          </w:p>
        </w:tc>
      </w:tr>
    </w:tbl>
    <w:p w14:paraId="2B4B850D" w14:textId="77777777" w:rsidR="00F52194" w:rsidRDefault="00F52194" w:rsidP="00F52194">
      <w:pPr>
        <w:jc w:val="both"/>
        <w:rPr>
          <w:rFonts w:ascii="Arial" w:eastAsia="Calibri" w:hAnsi="Arial" w:cs="Arial"/>
          <w:b/>
          <w:color w:val="000000"/>
          <w:szCs w:val="22"/>
          <w:lang w:eastAsia="es-CR"/>
        </w:rPr>
      </w:pPr>
    </w:p>
    <w:bookmarkStart w:id="3" w:name="_MON_1741104886"/>
    <w:bookmarkEnd w:id="3"/>
    <w:p w14:paraId="0B3C1EEA" w14:textId="77777777" w:rsidR="00CE0192" w:rsidRDefault="00984FF2" w:rsidP="00900A20">
      <w:pPr>
        <w:jc w:val="center"/>
        <w:rPr>
          <w:rFonts w:ascii="Arial" w:hAnsi="Arial" w:cs="Arial"/>
          <w:sz w:val="20"/>
          <w:szCs w:val="20"/>
        </w:rPr>
      </w:pPr>
      <w:r>
        <w:rPr>
          <w:rFonts w:ascii="Arial" w:hAnsi="Arial" w:cs="Arial"/>
          <w:sz w:val="20"/>
          <w:szCs w:val="20"/>
        </w:rPr>
        <w:object w:dxaOrig="1175" w:dyaOrig="760" w14:anchorId="2A0FD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5pt;height:38.6pt" o:ole="">
            <v:imagedata r:id="rId11" o:title=""/>
          </v:shape>
          <o:OLEObject Type="Embed" ProgID="Excel.Sheet.8" ShapeID="_x0000_i1025" DrawAspect="Icon" ObjectID="_1745934193" r:id="rId12"/>
        </w:object>
      </w:r>
      <w:bookmarkStart w:id="4" w:name="_MON_1741250463"/>
      <w:bookmarkEnd w:id="4"/>
      <w:r w:rsidR="00135F9E">
        <w:rPr>
          <w:rFonts w:ascii="Arial" w:hAnsi="Arial" w:cs="Arial"/>
          <w:sz w:val="20"/>
          <w:szCs w:val="20"/>
        </w:rPr>
        <w:object w:dxaOrig="1175" w:dyaOrig="760" w14:anchorId="3D8151ED">
          <v:shape id="_x0000_i1026" type="#_x0000_t75" style="width:59.55pt;height:38.6pt" o:ole="">
            <v:imagedata r:id="rId13" o:title=""/>
          </v:shape>
          <o:OLEObject Type="Embed" ProgID="Excel.Sheet.12" ShapeID="_x0000_i1026" DrawAspect="Icon" ObjectID="_1745934194" r:id="rId14"/>
        </w:object>
      </w:r>
    </w:p>
    <w:p w14:paraId="1C7AACA9" w14:textId="77777777" w:rsidR="00191EE6" w:rsidRDefault="00191EE6" w:rsidP="00900A20">
      <w:pPr>
        <w:jc w:val="center"/>
        <w:rPr>
          <w:rFonts w:ascii="Arial" w:hAnsi="Arial" w:cs="Arial"/>
          <w:sz w:val="20"/>
          <w:szCs w:val="20"/>
        </w:rPr>
      </w:pPr>
    </w:p>
    <w:p w14:paraId="293E84F8" w14:textId="77777777" w:rsidR="0023282E" w:rsidRDefault="0023282E" w:rsidP="0023282E">
      <w:pPr>
        <w:jc w:val="both"/>
        <w:rPr>
          <w:rFonts w:ascii="Arial" w:eastAsia="Calibri" w:hAnsi="Arial" w:cs="Arial"/>
          <w:b/>
          <w:color w:val="000000"/>
          <w:szCs w:val="22"/>
          <w:lang w:eastAsia="es-CR"/>
        </w:rPr>
      </w:pPr>
      <w:r w:rsidRPr="00F87CD2">
        <w:rPr>
          <w:rFonts w:ascii="Arial" w:eastAsia="Calibri" w:hAnsi="Arial" w:cs="Arial"/>
          <w:b/>
          <w:color w:val="000000"/>
          <w:szCs w:val="22"/>
          <w:lang w:eastAsia="es-CR"/>
        </w:rPr>
        <w:t xml:space="preserve">Artículo </w:t>
      </w:r>
      <w:r>
        <w:rPr>
          <w:rFonts w:ascii="Arial" w:eastAsia="Calibri" w:hAnsi="Arial" w:cs="Arial"/>
          <w:b/>
          <w:color w:val="000000"/>
          <w:szCs w:val="22"/>
          <w:lang w:eastAsia="es-CR"/>
        </w:rPr>
        <w:t>2</w:t>
      </w:r>
      <w:r w:rsidRPr="00F87CD2">
        <w:rPr>
          <w:rFonts w:ascii="Arial" w:eastAsia="Calibri" w:hAnsi="Arial" w:cs="Arial"/>
          <w:b/>
          <w:color w:val="000000"/>
          <w:szCs w:val="22"/>
          <w:lang w:eastAsia="es-CR"/>
        </w:rPr>
        <w:t>.-</w:t>
      </w:r>
      <w:r w:rsidRPr="00F87CD2">
        <w:rPr>
          <w:rFonts w:ascii="Arial" w:eastAsia="Calibri" w:hAnsi="Arial" w:cs="Arial"/>
          <w:b/>
          <w:color w:val="000000"/>
          <w:szCs w:val="22"/>
          <w:lang w:eastAsia="es-CR"/>
        </w:rPr>
        <w:tab/>
      </w:r>
      <w:r>
        <w:rPr>
          <w:rFonts w:ascii="Arial" w:eastAsia="Calibri" w:hAnsi="Arial" w:cs="Arial"/>
          <w:b/>
          <w:color w:val="000000"/>
          <w:szCs w:val="22"/>
          <w:lang w:eastAsia="es-CR"/>
        </w:rPr>
        <w:t>Modificaciones para aclarar el tratamiento entre entidades supervisadas por la Ley 7732 y otras entidades supervisadas por otros cuerpos legales</w:t>
      </w:r>
    </w:p>
    <w:p w14:paraId="5E7FF310" w14:textId="77777777" w:rsidR="0023282E" w:rsidRDefault="0023282E" w:rsidP="0023282E">
      <w:pPr>
        <w:jc w:val="both"/>
        <w:rPr>
          <w:rFonts w:ascii="Arial" w:eastAsia="Calibri" w:hAnsi="Arial" w:cs="Arial"/>
          <w:b/>
          <w:color w:val="000000"/>
          <w:szCs w:val="22"/>
          <w:lang w:eastAsia="es-CR"/>
        </w:rPr>
      </w:pPr>
    </w:p>
    <w:p w14:paraId="6D9C85E6" w14:textId="77777777" w:rsidR="0023282E" w:rsidRDefault="0023282E" w:rsidP="0023282E">
      <w:pPr>
        <w:pStyle w:val="Prrafodelista"/>
        <w:jc w:val="both"/>
        <w:rPr>
          <w:rFonts w:ascii="Arial" w:eastAsia="Calibri" w:hAnsi="Arial" w:cs="Arial"/>
          <w:b/>
          <w:color w:val="000000"/>
          <w:szCs w:val="22"/>
          <w:lang w:eastAsia="es-CR"/>
        </w:rPr>
      </w:pPr>
    </w:p>
    <w:p w14:paraId="28C9C7A3" w14:textId="77777777" w:rsidR="0023282E" w:rsidRPr="0023282E" w:rsidRDefault="0023282E" w:rsidP="0023282E">
      <w:pPr>
        <w:pStyle w:val="Prrafodelista"/>
        <w:numPr>
          <w:ilvl w:val="0"/>
          <w:numId w:val="41"/>
        </w:numPr>
        <w:jc w:val="both"/>
        <w:rPr>
          <w:rFonts w:ascii="Arial" w:eastAsia="Calibri" w:hAnsi="Arial" w:cs="Arial"/>
          <w:bCs/>
          <w:color w:val="000000"/>
          <w:szCs w:val="22"/>
          <w:lang w:eastAsia="es-CR"/>
        </w:rPr>
      </w:pPr>
      <w:r w:rsidRPr="0023282E">
        <w:rPr>
          <w:rFonts w:ascii="Arial" w:eastAsia="Calibri" w:hAnsi="Arial" w:cs="Arial"/>
          <w:bCs/>
          <w:color w:val="000000"/>
          <w:szCs w:val="22"/>
          <w:lang w:eastAsia="es-CR"/>
        </w:rPr>
        <w:t xml:space="preserve">Se adiciona un párrafo segundo al artículo 1 del acuerdo SGV-A-75 Acuerdo Sobre el Suministro de Información Periódica, para que se lea de la siguiente manera: </w:t>
      </w:r>
    </w:p>
    <w:p w14:paraId="5FFC6E16" w14:textId="77777777" w:rsidR="0023282E" w:rsidRPr="0023282E" w:rsidRDefault="0023282E" w:rsidP="0023282E">
      <w:pPr>
        <w:jc w:val="both"/>
        <w:rPr>
          <w:rFonts w:ascii="Arial" w:eastAsia="Calibri" w:hAnsi="Arial" w:cs="Arial"/>
          <w:bCs/>
          <w:color w:val="000000"/>
          <w:szCs w:val="22"/>
          <w:lang w:eastAsia="es-CR"/>
        </w:rPr>
      </w:pPr>
    </w:p>
    <w:p w14:paraId="721832D5"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“Artículo 1. Alcance</w:t>
      </w:r>
    </w:p>
    <w:p w14:paraId="2563045A"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w:t>
      </w:r>
    </w:p>
    <w:p w14:paraId="62AAA49E"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De la misma forma, este acuerdo considera las obligaciones de información para las Entidades de Registro Centralizado de Valores de conformidad con el Reglamento sobre Entidades de Registros Centralizados de Letras de Cambio y Pagarés Electrónicos, Acuerdo SUGEVAL 21-23.</w:t>
      </w:r>
    </w:p>
    <w:p w14:paraId="477A3CE1"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w:t>
      </w:r>
    </w:p>
    <w:p w14:paraId="377E6AC4" w14:textId="77777777" w:rsidR="0023282E" w:rsidRPr="0023282E" w:rsidRDefault="0023282E" w:rsidP="0023282E">
      <w:pPr>
        <w:jc w:val="both"/>
        <w:rPr>
          <w:rFonts w:ascii="Arial" w:eastAsia="Calibri" w:hAnsi="Arial" w:cs="Arial"/>
          <w:bCs/>
          <w:color w:val="000000"/>
          <w:szCs w:val="22"/>
          <w:lang w:val="es-CR" w:eastAsia="es-CR"/>
        </w:rPr>
      </w:pPr>
    </w:p>
    <w:p w14:paraId="07D2B1AE" w14:textId="77777777" w:rsidR="0023282E" w:rsidRPr="0023282E" w:rsidRDefault="0023282E" w:rsidP="0023282E">
      <w:pPr>
        <w:pStyle w:val="Prrafodelista"/>
        <w:jc w:val="both"/>
        <w:rPr>
          <w:rFonts w:ascii="Arial" w:eastAsia="Calibri" w:hAnsi="Arial" w:cs="Arial"/>
          <w:b/>
          <w:color w:val="000000"/>
          <w:szCs w:val="22"/>
          <w:lang w:eastAsia="es-CR"/>
        </w:rPr>
      </w:pPr>
    </w:p>
    <w:p w14:paraId="38F716D6" w14:textId="77777777" w:rsidR="0023282E" w:rsidRPr="0023282E" w:rsidRDefault="0023282E" w:rsidP="0023282E">
      <w:pPr>
        <w:pStyle w:val="Prrafodelista"/>
        <w:numPr>
          <w:ilvl w:val="0"/>
          <w:numId w:val="41"/>
        </w:numPr>
        <w:jc w:val="both"/>
        <w:rPr>
          <w:rFonts w:ascii="Arial" w:eastAsia="Calibri" w:hAnsi="Arial" w:cs="Arial"/>
          <w:bCs/>
          <w:color w:val="000000"/>
          <w:szCs w:val="22"/>
          <w:lang w:eastAsia="es-CR"/>
        </w:rPr>
      </w:pPr>
      <w:r w:rsidRPr="0023282E">
        <w:rPr>
          <w:rFonts w:ascii="Arial" w:eastAsia="Calibri" w:hAnsi="Arial" w:cs="Arial"/>
          <w:bCs/>
          <w:color w:val="000000"/>
          <w:szCs w:val="22"/>
          <w:lang w:eastAsia="es-CR"/>
        </w:rPr>
        <w:t xml:space="preserve">Se modifica el primer párrafo del artículo 3 del acuerdo SGV-A-75 Acuerdo Sobre el Suministro de Información Periódica, para que se lea de la siguiente manera: </w:t>
      </w:r>
    </w:p>
    <w:p w14:paraId="7A33D32D" w14:textId="77777777" w:rsidR="0023282E" w:rsidRPr="0023282E" w:rsidRDefault="0023282E" w:rsidP="0023282E">
      <w:pPr>
        <w:jc w:val="both"/>
        <w:rPr>
          <w:rFonts w:ascii="Arial" w:eastAsia="Calibri" w:hAnsi="Arial" w:cs="Arial"/>
          <w:bCs/>
          <w:color w:val="000000"/>
          <w:szCs w:val="22"/>
          <w:lang w:eastAsia="es-CR"/>
        </w:rPr>
      </w:pPr>
    </w:p>
    <w:p w14:paraId="31395178"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“Artículo 3.  Naturaleza de la información periódica, divulgación y registro</w:t>
      </w:r>
    </w:p>
    <w:p w14:paraId="7EF746A0"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w:t>
      </w:r>
    </w:p>
    <w:p w14:paraId="6F5D66C0"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lastRenderedPageBreak/>
        <w:t>La información requerida en este acuerdo es de carácter público y se incorpora al Registro Nacional de Valores e Intermediarios para los supervisados de conformidad con la Ley Reguladora del Mercado de Valores y para los demás participantes supervisados se incorporará en la página web de la SUGEVAL, con excepción de los siguientes reportes que son considerados confidenciales:</w:t>
      </w:r>
    </w:p>
    <w:p w14:paraId="6D3BD30D"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w:t>
      </w:r>
    </w:p>
    <w:p w14:paraId="2B1C8AF1" w14:textId="77777777" w:rsidR="0023282E" w:rsidRPr="0023282E" w:rsidRDefault="0023282E" w:rsidP="0023282E">
      <w:pPr>
        <w:jc w:val="both"/>
        <w:rPr>
          <w:rFonts w:ascii="Arial" w:eastAsia="Calibri" w:hAnsi="Arial" w:cs="Arial"/>
          <w:bCs/>
          <w:color w:val="000000"/>
          <w:szCs w:val="22"/>
          <w:lang w:val="es-CR" w:eastAsia="es-CR"/>
        </w:rPr>
      </w:pPr>
    </w:p>
    <w:p w14:paraId="010B04B7" w14:textId="77777777" w:rsidR="0023282E" w:rsidRPr="0023282E" w:rsidRDefault="0023282E" w:rsidP="0023282E">
      <w:pPr>
        <w:pStyle w:val="Prrafodelista"/>
        <w:jc w:val="both"/>
        <w:rPr>
          <w:rFonts w:ascii="Arial" w:eastAsia="Calibri" w:hAnsi="Arial" w:cs="Arial"/>
          <w:b/>
          <w:color w:val="000000"/>
          <w:szCs w:val="22"/>
          <w:lang w:eastAsia="es-CR"/>
        </w:rPr>
      </w:pPr>
    </w:p>
    <w:p w14:paraId="1EC086B2" w14:textId="77777777" w:rsidR="0023282E" w:rsidRPr="0023282E" w:rsidRDefault="0023282E" w:rsidP="0023282E">
      <w:pPr>
        <w:pStyle w:val="Prrafodelista"/>
        <w:numPr>
          <w:ilvl w:val="0"/>
          <w:numId w:val="41"/>
        </w:numPr>
        <w:jc w:val="both"/>
        <w:rPr>
          <w:rFonts w:ascii="Arial" w:eastAsia="Calibri" w:hAnsi="Arial" w:cs="Arial"/>
          <w:bCs/>
          <w:color w:val="000000"/>
          <w:szCs w:val="22"/>
          <w:lang w:eastAsia="es-CR"/>
        </w:rPr>
      </w:pPr>
      <w:r w:rsidRPr="0023282E">
        <w:rPr>
          <w:rFonts w:ascii="Arial" w:eastAsia="Calibri" w:hAnsi="Arial" w:cs="Arial"/>
          <w:bCs/>
          <w:color w:val="000000"/>
          <w:szCs w:val="22"/>
          <w:lang w:eastAsia="es-CR"/>
        </w:rPr>
        <w:t xml:space="preserve">Se modifica el último párrafo del artículo 5 del acuerdo SGV-A-75 Acuerdo Sobre el Suministro de Información Periódica, para que se lea de la siguiente manera: </w:t>
      </w:r>
    </w:p>
    <w:p w14:paraId="5AFC2691" w14:textId="77777777" w:rsidR="0023282E" w:rsidRPr="0023282E" w:rsidRDefault="0023282E" w:rsidP="0023282E">
      <w:pPr>
        <w:jc w:val="both"/>
        <w:rPr>
          <w:rFonts w:ascii="Arial" w:eastAsia="Calibri" w:hAnsi="Arial" w:cs="Arial"/>
          <w:bCs/>
          <w:color w:val="000000"/>
          <w:szCs w:val="22"/>
          <w:lang w:eastAsia="es-CR"/>
        </w:rPr>
      </w:pPr>
    </w:p>
    <w:p w14:paraId="16606E18"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“Artículo 5. Sustitución de información periódica</w:t>
      </w:r>
    </w:p>
    <w:p w14:paraId="0C6C4F9C"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w:t>
      </w:r>
    </w:p>
    <w:p w14:paraId="3236D2B0" w14:textId="77777777" w:rsidR="0023282E" w:rsidRPr="0023282E" w:rsidRDefault="0023282E" w:rsidP="0023282E">
      <w:pPr>
        <w:ind w:left="567" w:right="708"/>
        <w:jc w:val="both"/>
        <w:rPr>
          <w:rFonts w:ascii="Arial" w:hAnsi="Arial" w:cs="Arial"/>
          <w:i/>
          <w:iCs/>
          <w:szCs w:val="22"/>
          <w:lang w:val="es-CR" w:eastAsia="es-CR"/>
        </w:rPr>
      </w:pPr>
      <w:r w:rsidRPr="0023282E">
        <w:rPr>
          <w:rFonts w:ascii="Arial" w:hAnsi="Arial" w:cs="Arial"/>
          <w:i/>
          <w:iCs/>
          <w:szCs w:val="22"/>
          <w:lang w:val="es-CR" w:eastAsia="es-CR"/>
        </w:rPr>
        <w:t>Únicamente será considerada de carácter público y de registro en el Registro Nacional de Valores e Intermediaros o en la página web de la SUGEVAL según corresponda, la información reenviada con su respectivo Hecho Relevante o Comunicado de Interés por parte del supervisado responsable.”</w:t>
      </w:r>
    </w:p>
    <w:p w14:paraId="7C3D7A8F" w14:textId="77777777" w:rsidR="0023282E" w:rsidRPr="0023282E" w:rsidRDefault="0023282E" w:rsidP="0023282E">
      <w:pPr>
        <w:jc w:val="both"/>
        <w:rPr>
          <w:rFonts w:ascii="Arial" w:eastAsia="Calibri" w:hAnsi="Arial" w:cs="Arial"/>
          <w:b/>
          <w:color w:val="000000"/>
          <w:szCs w:val="22"/>
          <w:lang w:eastAsia="es-CR"/>
        </w:rPr>
      </w:pPr>
    </w:p>
    <w:p w14:paraId="5D93AADF" w14:textId="77777777" w:rsidR="0023282E" w:rsidRPr="0023282E" w:rsidRDefault="0023282E" w:rsidP="0023282E">
      <w:pPr>
        <w:pStyle w:val="Prrafodelista"/>
        <w:jc w:val="both"/>
        <w:rPr>
          <w:rFonts w:ascii="Arial" w:eastAsia="Calibri" w:hAnsi="Arial" w:cs="Arial"/>
          <w:b/>
          <w:color w:val="000000"/>
          <w:szCs w:val="22"/>
          <w:lang w:eastAsia="es-CR"/>
        </w:rPr>
      </w:pPr>
    </w:p>
    <w:p w14:paraId="050F0EA6" w14:textId="77777777" w:rsidR="0023282E" w:rsidRPr="0023282E" w:rsidRDefault="0023282E" w:rsidP="0023282E">
      <w:pPr>
        <w:pStyle w:val="Prrafodelista"/>
        <w:numPr>
          <w:ilvl w:val="0"/>
          <w:numId w:val="41"/>
        </w:numPr>
        <w:jc w:val="both"/>
        <w:rPr>
          <w:rFonts w:ascii="Arial" w:eastAsia="Calibri" w:hAnsi="Arial" w:cs="Arial"/>
          <w:bCs/>
          <w:color w:val="000000"/>
          <w:szCs w:val="22"/>
          <w:lang w:eastAsia="es-CR"/>
        </w:rPr>
      </w:pPr>
      <w:r w:rsidRPr="0023282E">
        <w:rPr>
          <w:rFonts w:ascii="Arial" w:eastAsia="Calibri" w:hAnsi="Arial" w:cs="Arial"/>
          <w:bCs/>
          <w:color w:val="000000"/>
          <w:szCs w:val="22"/>
          <w:lang w:eastAsia="es-CR"/>
        </w:rPr>
        <w:t xml:space="preserve">Se modifica el segundo párrafo del artículo 7 del acuerdo SGV-A-75 Acuerdo Sobre el Suministro de Información Periódica, para que se lea de la siguiente manera: </w:t>
      </w:r>
    </w:p>
    <w:p w14:paraId="2DB19D6B" w14:textId="77777777" w:rsidR="0023282E" w:rsidRPr="0023282E" w:rsidRDefault="0023282E" w:rsidP="0023282E">
      <w:pPr>
        <w:pStyle w:val="Prrafodelista"/>
        <w:ind w:right="708"/>
        <w:jc w:val="both"/>
        <w:rPr>
          <w:rFonts w:ascii="Arial" w:hAnsi="Arial" w:cs="Arial"/>
          <w:i/>
          <w:iCs/>
          <w:szCs w:val="22"/>
          <w:lang w:val="es-CR" w:eastAsia="es-CR"/>
        </w:rPr>
      </w:pPr>
    </w:p>
    <w:p w14:paraId="11F0E4AC" w14:textId="77777777" w:rsidR="0023282E" w:rsidRPr="0023282E" w:rsidRDefault="0023282E" w:rsidP="0023282E">
      <w:pPr>
        <w:pStyle w:val="Prrafodelista"/>
        <w:ind w:right="708"/>
        <w:jc w:val="both"/>
        <w:rPr>
          <w:rFonts w:ascii="Arial" w:hAnsi="Arial" w:cs="Arial"/>
          <w:i/>
          <w:iCs/>
          <w:szCs w:val="22"/>
          <w:lang w:val="es-CR" w:eastAsia="es-CR"/>
        </w:rPr>
      </w:pPr>
      <w:r w:rsidRPr="0023282E">
        <w:rPr>
          <w:rFonts w:ascii="Arial" w:hAnsi="Arial" w:cs="Arial"/>
          <w:i/>
          <w:iCs/>
          <w:szCs w:val="22"/>
          <w:lang w:val="es-CR" w:eastAsia="es-CR"/>
        </w:rPr>
        <w:t>“Artículo 7. Publicación de estados financieros y leyendas</w:t>
      </w:r>
    </w:p>
    <w:p w14:paraId="618142F2" w14:textId="77777777" w:rsidR="0023282E" w:rsidRPr="0023282E" w:rsidRDefault="0023282E" w:rsidP="0023282E">
      <w:pPr>
        <w:pStyle w:val="Prrafodelista"/>
        <w:ind w:right="708"/>
        <w:jc w:val="both"/>
        <w:rPr>
          <w:rFonts w:ascii="Arial" w:hAnsi="Arial" w:cs="Arial"/>
          <w:i/>
          <w:iCs/>
          <w:szCs w:val="22"/>
          <w:lang w:val="es-CR" w:eastAsia="es-CR"/>
        </w:rPr>
      </w:pPr>
      <w:r w:rsidRPr="0023282E">
        <w:rPr>
          <w:rFonts w:ascii="Arial" w:hAnsi="Arial" w:cs="Arial"/>
          <w:i/>
          <w:iCs/>
          <w:szCs w:val="22"/>
          <w:lang w:val="es-CR" w:eastAsia="es-CR"/>
        </w:rPr>
        <w:t>(…)</w:t>
      </w:r>
    </w:p>
    <w:p w14:paraId="36F21B0D" w14:textId="77777777" w:rsidR="0023282E" w:rsidRPr="0023282E" w:rsidRDefault="0023282E" w:rsidP="0023282E">
      <w:pPr>
        <w:pStyle w:val="Prrafodelista"/>
        <w:ind w:right="708"/>
        <w:jc w:val="both"/>
        <w:rPr>
          <w:rFonts w:ascii="Arial" w:hAnsi="Arial" w:cs="Arial"/>
          <w:i/>
          <w:iCs/>
          <w:szCs w:val="22"/>
          <w:lang w:val="es-CR" w:eastAsia="es-CR"/>
        </w:rPr>
      </w:pPr>
      <w:r w:rsidRPr="0023282E">
        <w:rPr>
          <w:rFonts w:ascii="Arial" w:hAnsi="Arial" w:cs="Arial"/>
          <w:i/>
          <w:iCs/>
          <w:szCs w:val="22"/>
          <w:lang w:val="es-CR" w:eastAsia="es-CR"/>
        </w:rPr>
        <w:t>En la publicación de estados financieros, los sujetos fiscalizados y los emisores que se rigen bajo las disposiciones de la Ley Reguladora del Mercado de Valores, Ley No. 7732, deben incorporar la siguiente leyenda en la publicación que realice la entidad en su página web o en los medios de comunicación escrita de circulación nacional, cuando corresponda, junto a los estados financieros:</w:t>
      </w:r>
    </w:p>
    <w:p w14:paraId="01049319" w14:textId="77777777" w:rsidR="0023282E" w:rsidRPr="0023282E" w:rsidRDefault="0023282E" w:rsidP="0023282E">
      <w:pPr>
        <w:pStyle w:val="Prrafodelista"/>
        <w:ind w:right="708"/>
        <w:jc w:val="both"/>
        <w:rPr>
          <w:rFonts w:ascii="Arial" w:hAnsi="Arial" w:cs="Arial"/>
          <w:i/>
          <w:iCs/>
          <w:szCs w:val="22"/>
          <w:lang w:val="es-CR" w:eastAsia="es-CR"/>
        </w:rPr>
      </w:pPr>
      <w:r w:rsidRPr="0023282E">
        <w:rPr>
          <w:rFonts w:ascii="Arial" w:hAnsi="Arial" w:cs="Arial"/>
          <w:i/>
          <w:iCs/>
          <w:szCs w:val="22"/>
          <w:lang w:val="es-CR" w:eastAsia="es-CR"/>
        </w:rPr>
        <w:t>(…)”</w:t>
      </w:r>
    </w:p>
    <w:p w14:paraId="278BE39A" w14:textId="77777777" w:rsidR="0023282E" w:rsidRDefault="0023282E" w:rsidP="00900A20">
      <w:pPr>
        <w:jc w:val="center"/>
        <w:rPr>
          <w:rFonts w:ascii="Arial" w:hAnsi="Arial" w:cs="Arial"/>
          <w:sz w:val="20"/>
          <w:szCs w:val="20"/>
        </w:rPr>
      </w:pPr>
    </w:p>
    <w:p w14:paraId="3CA7434B" w14:textId="77777777" w:rsidR="0023282E" w:rsidRDefault="0023282E" w:rsidP="00900A20">
      <w:pPr>
        <w:jc w:val="center"/>
        <w:rPr>
          <w:rFonts w:ascii="Arial" w:hAnsi="Arial" w:cs="Arial"/>
          <w:sz w:val="20"/>
          <w:szCs w:val="20"/>
        </w:rPr>
      </w:pPr>
    </w:p>
    <w:p w14:paraId="77CD6A00" w14:textId="77777777" w:rsidR="0023282E" w:rsidRDefault="0023282E" w:rsidP="00900A20">
      <w:pPr>
        <w:jc w:val="center"/>
        <w:rPr>
          <w:rFonts w:ascii="Arial" w:hAnsi="Arial" w:cs="Arial"/>
          <w:sz w:val="20"/>
          <w:szCs w:val="20"/>
        </w:rPr>
      </w:pPr>
    </w:p>
    <w:p w14:paraId="1E686AC1" w14:textId="77777777" w:rsidR="004E2134" w:rsidRDefault="00191EE6" w:rsidP="00191EE6">
      <w:pPr>
        <w:jc w:val="both"/>
        <w:rPr>
          <w:rFonts w:ascii="Arial" w:eastAsia="Calibri" w:hAnsi="Arial" w:cs="Arial"/>
          <w:b/>
          <w:color w:val="000000"/>
          <w:szCs w:val="22"/>
          <w:lang w:eastAsia="es-CR"/>
        </w:rPr>
      </w:pPr>
      <w:r w:rsidRPr="00F87CD2">
        <w:rPr>
          <w:rFonts w:ascii="Arial" w:eastAsia="Calibri" w:hAnsi="Arial" w:cs="Arial"/>
          <w:b/>
          <w:color w:val="000000"/>
          <w:szCs w:val="22"/>
          <w:lang w:eastAsia="es-CR"/>
        </w:rPr>
        <w:t xml:space="preserve">Artículo </w:t>
      </w:r>
      <w:r w:rsidR="0023282E">
        <w:rPr>
          <w:rFonts w:ascii="Arial" w:eastAsia="Calibri" w:hAnsi="Arial" w:cs="Arial"/>
          <w:b/>
          <w:color w:val="000000"/>
          <w:szCs w:val="22"/>
          <w:lang w:eastAsia="es-CR"/>
        </w:rPr>
        <w:t>3</w:t>
      </w:r>
      <w:r w:rsidRPr="00F87CD2">
        <w:rPr>
          <w:rFonts w:ascii="Arial" w:eastAsia="Calibri" w:hAnsi="Arial" w:cs="Arial"/>
          <w:b/>
          <w:color w:val="000000"/>
          <w:szCs w:val="22"/>
          <w:lang w:eastAsia="es-CR"/>
        </w:rPr>
        <w:t>.-</w:t>
      </w:r>
      <w:r w:rsidRPr="00F87CD2">
        <w:rPr>
          <w:rFonts w:ascii="Arial" w:eastAsia="Calibri" w:hAnsi="Arial" w:cs="Arial"/>
          <w:b/>
          <w:color w:val="000000"/>
          <w:szCs w:val="22"/>
          <w:lang w:eastAsia="es-CR"/>
        </w:rPr>
        <w:tab/>
      </w:r>
      <w:r w:rsidR="004E2134">
        <w:rPr>
          <w:rFonts w:ascii="Arial" w:eastAsia="Calibri" w:hAnsi="Arial" w:cs="Arial"/>
          <w:b/>
          <w:color w:val="000000"/>
          <w:szCs w:val="22"/>
          <w:lang w:eastAsia="es-CR"/>
        </w:rPr>
        <w:t>Modificaciones a la captura de información periódica</w:t>
      </w:r>
    </w:p>
    <w:p w14:paraId="26D41F31" w14:textId="77777777" w:rsidR="00900A20" w:rsidRDefault="00900A20" w:rsidP="00F52194">
      <w:pPr>
        <w:jc w:val="both"/>
        <w:rPr>
          <w:rFonts w:ascii="Arial" w:eastAsia="Calibri" w:hAnsi="Arial" w:cs="Arial"/>
          <w:b/>
          <w:color w:val="000000"/>
          <w:szCs w:val="22"/>
          <w:lang w:eastAsia="es-CR"/>
        </w:rPr>
      </w:pPr>
    </w:p>
    <w:p w14:paraId="32BD73AB" w14:textId="77777777" w:rsidR="00F52194" w:rsidRPr="00B06690" w:rsidRDefault="00F52194" w:rsidP="004E2134">
      <w:pPr>
        <w:pStyle w:val="Prrafodelista"/>
        <w:numPr>
          <w:ilvl w:val="0"/>
          <w:numId w:val="37"/>
        </w:numPr>
        <w:jc w:val="both"/>
        <w:rPr>
          <w:rFonts w:ascii="Arial" w:eastAsia="Calibri" w:hAnsi="Arial" w:cs="Arial"/>
          <w:bCs/>
          <w:color w:val="000000"/>
          <w:szCs w:val="22"/>
          <w:lang w:eastAsia="es-CR"/>
        </w:rPr>
      </w:pPr>
      <w:r w:rsidRPr="00B06690">
        <w:rPr>
          <w:rFonts w:ascii="Arial" w:eastAsia="Calibri" w:hAnsi="Arial" w:cs="Arial"/>
          <w:bCs/>
          <w:color w:val="000000"/>
          <w:szCs w:val="22"/>
          <w:lang w:eastAsia="es-CR"/>
        </w:rPr>
        <w:t>Se</w:t>
      </w:r>
      <w:r w:rsidR="0023282E" w:rsidRPr="00B06690">
        <w:rPr>
          <w:rFonts w:ascii="Arial" w:eastAsia="Calibri" w:hAnsi="Arial" w:cs="Arial"/>
          <w:bCs/>
          <w:color w:val="000000"/>
          <w:szCs w:val="22"/>
          <w:lang w:eastAsia="es-CR"/>
        </w:rPr>
        <w:t xml:space="preserve"> incorpora el anexo 64</w:t>
      </w:r>
      <w:r w:rsidR="000D002B" w:rsidRPr="00B06690">
        <w:rPr>
          <w:rFonts w:ascii="Arial" w:eastAsia="Calibri" w:hAnsi="Arial" w:cs="Arial"/>
          <w:bCs/>
          <w:color w:val="000000"/>
          <w:szCs w:val="22"/>
          <w:lang w:eastAsia="es-CR"/>
        </w:rPr>
        <w:t xml:space="preserve"> </w:t>
      </w:r>
      <w:r w:rsidR="007C4AD1" w:rsidRPr="00B06690">
        <w:rPr>
          <w:rFonts w:ascii="Arial" w:eastAsia="Calibri" w:hAnsi="Arial" w:cs="Arial"/>
          <w:bCs/>
          <w:color w:val="000000"/>
          <w:szCs w:val="22"/>
          <w:lang w:eastAsia="es-CR"/>
        </w:rPr>
        <w:t xml:space="preserve">y se modifica el medio de envío en el cuadro de información periódica de </w:t>
      </w:r>
      <w:r w:rsidR="000D002B" w:rsidRPr="00B06690">
        <w:rPr>
          <w:rFonts w:ascii="Arial" w:eastAsia="Calibri" w:hAnsi="Arial" w:cs="Arial"/>
          <w:bCs/>
          <w:color w:val="000000"/>
          <w:szCs w:val="22"/>
          <w:lang w:eastAsia="es-CR"/>
        </w:rPr>
        <w:t xml:space="preserve">la remisión de </w:t>
      </w:r>
      <w:r w:rsidRPr="00B06690">
        <w:rPr>
          <w:rFonts w:ascii="Arial" w:eastAsia="Calibri" w:hAnsi="Arial" w:cs="Arial"/>
          <w:bCs/>
          <w:color w:val="000000"/>
          <w:szCs w:val="22"/>
          <w:lang w:eastAsia="es-CR"/>
        </w:rPr>
        <w:t xml:space="preserve">la suficiencia patrimonial de las empresas y grupos </w:t>
      </w:r>
      <w:proofErr w:type="gramStart"/>
      <w:r w:rsidRPr="00B06690">
        <w:rPr>
          <w:rFonts w:ascii="Arial" w:eastAsia="Calibri" w:hAnsi="Arial" w:cs="Arial"/>
          <w:bCs/>
          <w:color w:val="000000"/>
          <w:szCs w:val="22"/>
          <w:lang w:eastAsia="es-CR"/>
        </w:rPr>
        <w:t>financieros  supervisados</w:t>
      </w:r>
      <w:proofErr w:type="gramEnd"/>
      <w:r w:rsidRPr="00B06690">
        <w:rPr>
          <w:rFonts w:ascii="Arial" w:eastAsia="Calibri" w:hAnsi="Arial" w:cs="Arial"/>
          <w:bCs/>
          <w:color w:val="000000"/>
          <w:szCs w:val="22"/>
          <w:lang w:eastAsia="es-CR"/>
        </w:rPr>
        <w:t xml:space="preserve"> por Sugeval</w:t>
      </w:r>
      <w:r w:rsidR="000D002B" w:rsidRPr="00B06690">
        <w:rPr>
          <w:rFonts w:ascii="Arial" w:eastAsia="Calibri" w:hAnsi="Arial" w:cs="Arial"/>
          <w:bCs/>
          <w:color w:val="000000"/>
          <w:szCs w:val="22"/>
          <w:lang w:eastAsia="es-CR"/>
        </w:rPr>
        <w:t xml:space="preserve">: </w:t>
      </w:r>
    </w:p>
    <w:p w14:paraId="290B2AEF" w14:textId="77777777" w:rsidR="000D002B" w:rsidRPr="00F52194" w:rsidRDefault="000D002B" w:rsidP="000D002B">
      <w:pPr>
        <w:spacing w:after="160" w:line="256" w:lineRule="auto"/>
        <w:ind w:left="1080"/>
        <w:contextualSpacing/>
        <w:jc w:val="both"/>
        <w:rPr>
          <w:rFonts w:ascii="Arial" w:eastAsia="Calibri" w:hAnsi="Arial" w:cs="Arial"/>
          <w:bCs/>
          <w:color w:val="000000"/>
          <w:szCs w:val="22"/>
          <w:lang w:eastAsia="es-CR"/>
        </w:rPr>
      </w:pPr>
    </w:p>
    <w:tbl>
      <w:tblPr>
        <w:tblW w:w="5417" w:type="pct"/>
        <w:tblInd w:w="-5" w:type="dxa"/>
        <w:tblCellMar>
          <w:left w:w="70" w:type="dxa"/>
          <w:right w:w="70" w:type="dxa"/>
        </w:tblCellMar>
        <w:tblLook w:val="04A0" w:firstRow="1" w:lastRow="0" w:firstColumn="1" w:lastColumn="0" w:noHBand="0" w:noVBand="1"/>
      </w:tblPr>
      <w:tblGrid>
        <w:gridCol w:w="1675"/>
        <w:gridCol w:w="977"/>
        <w:gridCol w:w="1111"/>
        <w:gridCol w:w="975"/>
        <w:gridCol w:w="4618"/>
      </w:tblGrid>
      <w:tr w:rsidR="00B06690" w:rsidRPr="0023282E" w14:paraId="1D3A66A4" w14:textId="77777777" w:rsidTr="00B06690">
        <w:trPr>
          <w:trHeight w:val="625"/>
        </w:trPr>
        <w:tc>
          <w:tcPr>
            <w:tcW w:w="895" w:type="pct"/>
            <w:tcBorders>
              <w:top w:val="single" w:sz="4" w:space="0" w:color="auto"/>
              <w:left w:val="single" w:sz="4" w:space="0" w:color="auto"/>
              <w:bottom w:val="single" w:sz="4" w:space="0" w:color="auto"/>
              <w:right w:val="single" w:sz="4" w:space="0" w:color="auto"/>
            </w:tcBorders>
            <w:vAlign w:val="center"/>
          </w:tcPr>
          <w:p w14:paraId="2C7AD510" w14:textId="77777777" w:rsidR="00B06690" w:rsidRPr="0023282E" w:rsidRDefault="00B06690" w:rsidP="00E2535F">
            <w:pPr>
              <w:jc w:val="center"/>
              <w:rPr>
                <w:rFonts w:ascii="Arial Narrow" w:hAnsi="Arial Narrow" w:cs="Arial"/>
                <w:b/>
                <w:bCs/>
                <w:sz w:val="20"/>
                <w:szCs w:val="20"/>
                <w:lang w:val="es-CR" w:eastAsia="es-CR"/>
              </w:rPr>
            </w:pPr>
            <w:r w:rsidRPr="0023282E">
              <w:rPr>
                <w:rFonts w:ascii="Arial Narrow" w:hAnsi="Arial Narrow" w:cs="Arial"/>
                <w:b/>
                <w:bCs/>
                <w:sz w:val="20"/>
                <w:szCs w:val="20"/>
                <w:lang w:val="es-CR" w:eastAsia="es-CR"/>
              </w:rPr>
              <w:t>INFORME O REPORTE</w:t>
            </w:r>
          </w:p>
        </w:tc>
        <w:tc>
          <w:tcPr>
            <w:tcW w:w="522" w:type="pct"/>
            <w:tcBorders>
              <w:top w:val="single" w:sz="4" w:space="0" w:color="auto"/>
              <w:left w:val="nil"/>
              <w:bottom w:val="single" w:sz="4" w:space="0" w:color="auto"/>
              <w:right w:val="single" w:sz="4" w:space="0" w:color="auto"/>
            </w:tcBorders>
          </w:tcPr>
          <w:p w14:paraId="7F4C902A" w14:textId="77777777" w:rsidR="00B06690" w:rsidRPr="0023282E" w:rsidRDefault="00B06690" w:rsidP="00E2535F">
            <w:pPr>
              <w:jc w:val="center"/>
              <w:rPr>
                <w:rFonts w:ascii="Arial Narrow" w:hAnsi="Arial Narrow" w:cs="Arial"/>
                <w:b/>
                <w:bCs/>
                <w:sz w:val="20"/>
                <w:szCs w:val="20"/>
                <w:lang w:val="es-CR" w:eastAsia="es-CR"/>
              </w:rPr>
            </w:pPr>
            <w:r>
              <w:rPr>
                <w:rFonts w:ascii="Arial Narrow" w:hAnsi="Arial Narrow" w:cs="Arial"/>
                <w:b/>
                <w:bCs/>
                <w:sz w:val="20"/>
                <w:szCs w:val="20"/>
                <w:lang w:val="es-CR" w:eastAsia="es-CR"/>
              </w:rPr>
              <w:t>Formato o normas sobre Contenido</w:t>
            </w:r>
          </w:p>
        </w:tc>
        <w:tc>
          <w:tcPr>
            <w:tcW w:w="594" w:type="pct"/>
            <w:tcBorders>
              <w:top w:val="single" w:sz="4" w:space="0" w:color="auto"/>
              <w:left w:val="single" w:sz="4" w:space="0" w:color="auto"/>
              <w:bottom w:val="single" w:sz="4" w:space="0" w:color="auto"/>
              <w:right w:val="single" w:sz="4" w:space="0" w:color="auto"/>
            </w:tcBorders>
          </w:tcPr>
          <w:p w14:paraId="374394CB" w14:textId="77777777" w:rsidR="00B06690" w:rsidRPr="0023282E" w:rsidRDefault="00B06690" w:rsidP="00E2535F">
            <w:pPr>
              <w:jc w:val="center"/>
              <w:rPr>
                <w:rFonts w:ascii="Arial Narrow" w:hAnsi="Arial Narrow" w:cs="Arial"/>
                <w:b/>
                <w:bCs/>
                <w:sz w:val="20"/>
                <w:szCs w:val="20"/>
                <w:lang w:val="es-CR" w:eastAsia="es-CR"/>
              </w:rPr>
            </w:pPr>
            <w:r w:rsidRPr="0023282E">
              <w:rPr>
                <w:rFonts w:ascii="Arial Narrow" w:hAnsi="Arial Narrow" w:cs="Arial"/>
                <w:b/>
                <w:bCs/>
                <w:sz w:val="20"/>
                <w:szCs w:val="20"/>
                <w:lang w:val="es-CR" w:eastAsia="es-CR"/>
              </w:rPr>
              <w:t>Medio de Envío vigente</w:t>
            </w:r>
          </w:p>
        </w:tc>
        <w:tc>
          <w:tcPr>
            <w:tcW w:w="521" w:type="pct"/>
            <w:tcBorders>
              <w:top w:val="single" w:sz="4" w:space="0" w:color="auto"/>
              <w:left w:val="nil"/>
              <w:bottom w:val="single" w:sz="4" w:space="0" w:color="auto"/>
              <w:right w:val="single" w:sz="4" w:space="0" w:color="auto"/>
            </w:tcBorders>
          </w:tcPr>
          <w:p w14:paraId="36AFFB33" w14:textId="77777777" w:rsidR="00B06690" w:rsidRPr="0023282E" w:rsidRDefault="00B06690" w:rsidP="006B2DFC">
            <w:pPr>
              <w:jc w:val="center"/>
              <w:rPr>
                <w:rFonts w:ascii="Arial Narrow" w:hAnsi="Arial Narrow" w:cs="Arial"/>
                <w:b/>
                <w:bCs/>
                <w:sz w:val="20"/>
                <w:szCs w:val="20"/>
                <w:lang w:val="es-CR" w:eastAsia="es-CR"/>
              </w:rPr>
            </w:pPr>
            <w:r w:rsidRPr="0023282E">
              <w:rPr>
                <w:rFonts w:ascii="Arial Narrow" w:hAnsi="Arial Narrow" w:cs="Arial"/>
                <w:b/>
                <w:bCs/>
                <w:sz w:val="20"/>
                <w:szCs w:val="20"/>
                <w:lang w:val="es-CR" w:eastAsia="es-CR"/>
              </w:rPr>
              <w:t>Medio de envío propuesto</w:t>
            </w:r>
          </w:p>
        </w:tc>
        <w:tc>
          <w:tcPr>
            <w:tcW w:w="2469" w:type="pct"/>
            <w:tcBorders>
              <w:top w:val="single" w:sz="4" w:space="0" w:color="auto"/>
              <w:left w:val="nil"/>
              <w:bottom w:val="single" w:sz="4" w:space="0" w:color="auto"/>
              <w:right w:val="single" w:sz="4" w:space="0" w:color="auto"/>
            </w:tcBorders>
          </w:tcPr>
          <w:p w14:paraId="1844A9FF" w14:textId="77777777" w:rsidR="00B06690" w:rsidRPr="0023282E" w:rsidRDefault="00B06690" w:rsidP="006B2DFC">
            <w:pPr>
              <w:jc w:val="center"/>
              <w:rPr>
                <w:rFonts w:ascii="Arial Narrow" w:hAnsi="Arial Narrow" w:cs="Arial"/>
                <w:b/>
                <w:bCs/>
                <w:sz w:val="20"/>
                <w:szCs w:val="20"/>
                <w:lang w:val="es-CR" w:eastAsia="es-CR"/>
              </w:rPr>
            </w:pPr>
            <w:r w:rsidRPr="0023282E">
              <w:rPr>
                <w:rFonts w:ascii="Arial Narrow" w:hAnsi="Arial Narrow" w:cs="Arial"/>
                <w:b/>
                <w:bCs/>
                <w:sz w:val="20"/>
                <w:szCs w:val="20"/>
                <w:lang w:val="es-CR" w:eastAsia="es-CR"/>
              </w:rPr>
              <w:t>Notas aclaratorias</w:t>
            </w:r>
          </w:p>
        </w:tc>
      </w:tr>
      <w:tr w:rsidR="00B06690" w:rsidRPr="0023282E" w14:paraId="687DDA2E" w14:textId="77777777" w:rsidTr="00B06690">
        <w:trPr>
          <w:trHeight w:val="798"/>
        </w:trPr>
        <w:tc>
          <w:tcPr>
            <w:tcW w:w="895" w:type="pct"/>
            <w:tcBorders>
              <w:top w:val="single" w:sz="4" w:space="0" w:color="auto"/>
              <w:left w:val="single" w:sz="4" w:space="0" w:color="auto"/>
              <w:bottom w:val="single" w:sz="4" w:space="0" w:color="auto"/>
              <w:right w:val="single" w:sz="4" w:space="0" w:color="auto"/>
            </w:tcBorders>
          </w:tcPr>
          <w:p w14:paraId="64807499" w14:textId="77777777" w:rsidR="00B06690" w:rsidRPr="0023282E" w:rsidRDefault="00B06690" w:rsidP="007C4AD1">
            <w:pPr>
              <w:jc w:val="both"/>
              <w:rPr>
                <w:rFonts w:ascii="Arial Narrow" w:hAnsi="Arial Narrow" w:cs="Arial"/>
                <w:sz w:val="20"/>
                <w:szCs w:val="20"/>
                <w:lang w:eastAsia="es-CR"/>
              </w:rPr>
            </w:pPr>
            <w:r w:rsidRPr="0023282E">
              <w:rPr>
                <w:rFonts w:ascii="Arial Narrow" w:hAnsi="Arial Narrow" w:cs="Arial"/>
                <w:sz w:val="20"/>
                <w:szCs w:val="20"/>
                <w:lang w:eastAsia="es-CR"/>
              </w:rPr>
              <w:lastRenderedPageBreak/>
              <w:t>Reporte del superávit o déficit patrimonial de grupos financieros, y opinión sobre si el superávit individual transferible de cada empresa puede ser movilizado y utilizado libremente dentro del grupo o conglomerado</w:t>
            </w:r>
          </w:p>
        </w:tc>
        <w:tc>
          <w:tcPr>
            <w:tcW w:w="522" w:type="pct"/>
            <w:tcBorders>
              <w:top w:val="single" w:sz="4" w:space="0" w:color="auto"/>
              <w:left w:val="nil"/>
              <w:bottom w:val="single" w:sz="4" w:space="0" w:color="auto"/>
              <w:right w:val="single" w:sz="4" w:space="0" w:color="auto"/>
            </w:tcBorders>
            <w:vAlign w:val="center"/>
          </w:tcPr>
          <w:p w14:paraId="2F05F550" w14:textId="77777777" w:rsidR="00B06690" w:rsidRPr="0023282E" w:rsidRDefault="00B06690" w:rsidP="00B06690">
            <w:pPr>
              <w:jc w:val="center"/>
              <w:rPr>
                <w:rFonts w:ascii="Arial Narrow" w:hAnsi="Arial Narrow" w:cs="Arial"/>
                <w:sz w:val="20"/>
                <w:szCs w:val="20"/>
                <w:lang w:val="es-CR" w:eastAsia="es-CR"/>
              </w:rPr>
            </w:pPr>
            <w:r>
              <w:rPr>
                <w:rFonts w:ascii="Arial Narrow" w:hAnsi="Arial Narrow" w:cs="Arial"/>
                <w:sz w:val="20"/>
                <w:szCs w:val="20"/>
                <w:lang w:val="es-CR" w:eastAsia="es-CR"/>
              </w:rPr>
              <w:t>Anexo 64</w:t>
            </w:r>
          </w:p>
        </w:tc>
        <w:tc>
          <w:tcPr>
            <w:tcW w:w="594" w:type="pct"/>
            <w:tcBorders>
              <w:top w:val="nil"/>
              <w:left w:val="single" w:sz="4" w:space="0" w:color="auto"/>
              <w:bottom w:val="single" w:sz="4" w:space="0" w:color="auto"/>
              <w:right w:val="single" w:sz="4" w:space="0" w:color="auto"/>
            </w:tcBorders>
            <w:vAlign w:val="center"/>
          </w:tcPr>
          <w:p w14:paraId="12A0CED7" w14:textId="77777777" w:rsidR="00B06690" w:rsidRPr="0023282E" w:rsidRDefault="00B06690" w:rsidP="00AE1B7F">
            <w:pPr>
              <w:jc w:val="center"/>
              <w:rPr>
                <w:rFonts w:ascii="Arial Narrow" w:hAnsi="Arial Narrow" w:cs="Arial"/>
                <w:sz w:val="20"/>
                <w:szCs w:val="20"/>
                <w:lang w:val="es-CR" w:eastAsia="es-CR"/>
              </w:rPr>
            </w:pPr>
            <w:r w:rsidRPr="0023282E">
              <w:rPr>
                <w:rFonts w:ascii="Arial Narrow" w:hAnsi="Arial Narrow" w:cs="Arial"/>
                <w:sz w:val="20"/>
                <w:szCs w:val="20"/>
                <w:lang w:val="es-CR" w:eastAsia="es-CR"/>
              </w:rPr>
              <w:t>MENDOCEL</w:t>
            </w:r>
          </w:p>
          <w:p w14:paraId="3E2BBA3D" w14:textId="77777777" w:rsidR="00B06690" w:rsidRPr="0023282E" w:rsidRDefault="00B06690" w:rsidP="00AE1B7F">
            <w:pPr>
              <w:jc w:val="center"/>
              <w:rPr>
                <w:rFonts w:ascii="Arial Narrow" w:hAnsi="Arial Narrow" w:cs="Arial"/>
                <w:sz w:val="20"/>
                <w:szCs w:val="20"/>
                <w:lang w:val="es-CR" w:eastAsia="es-CR"/>
              </w:rPr>
            </w:pPr>
            <w:r w:rsidRPr="0023282E">
              <w:rPr>
                <w:rFonts w:ascii="Arial Narrow" w:hAnsi="Arial Narrow" w:cs="Arial"/>
                <w:sz w:val="20"/>
                <w:szCs w:val="20"/>
                <w:lang w:val="es-CR" w:eastAsia="es-CR"/>
              </w:rPr>
              <w:t>SGV-A-188</w:t>
            </w:r>
          </w:p>
        </w:tc>
        <w:tc>
          <w:tcPr>
            <w:tcW w:w="521" w:type="pct"/>
            <w:tcBorders>
              <w:top w:val="nil"/>
              <w:left w:val="nil"/>
              <w:bottom w:val="single" w:sz="4" w:space="0" w:color="auto"/>
              <w:right w:val="single" w:sz="4" w:space="0" w:color="auto"/>
            </w:tcBorders>
            <w:vAlign w:val="center"/>
          </w:tcPr>
          <w:p w14:paraId="2E948F7A" w14:textId="77777777" w:rsidR="00B06690" w:rsidRPr="0023282E" w:rsidRDefault="00B06690" w:rsidP="007C4AD1">
            <w:pPr>
              <w:jc w:val="center"/>
              <w:rPr>
                <w:rFonts w:ascii="Arial Narrow" w:hAnsi="Arial Narrow" w:cs="Arial"/>
                <w:sz w:val="20"/>
                <w:szCs w:val="20"/>
                <w:lang w:val="es-CR" w:eastAsia="es-CR"/>
              </w:rPr>
            </w:pPr>
            <w:r w:rsidRPr="0023282E">
              <w:rPr>
                <w:rFonts w:ascii="Arial Narrow" w:hAnsi="Arial Narrow" w:cs="Arial"/>
                <w:sz w:val="20"/>
                <w:szCs w:val="20"/>
                <w:lang w:val="es-CR" w:eastAsia="es-CR"/>
              </w:rPr>
              <w:t xml:space="preserve">Sistema </w:t>
            </w:r>
            <w:proofErr w:type="spellStart"/>
            <w:r w:rsidRPr="0023282E">
              <w:rPr>
                <w:rFonts w:ascii="Arial Narrow" w:hAnsi="Arial Narrow" w:cs="Arial"/>
                <w:sz w:val="20"/>
                <w:szCs w:val="20"/>
                <w:lang w:val="es-CR" w:eastAsia="es-CR"/>
              </w:rPr>
              <w:t>Ingresador</w:t>
            </w:r>
            <w:proofErr w:type="spellEnd"/>
          </w:p>
        </w:tc>
        <w:tc>
          <w:tcPr>
            <w:tcW w:w="2469" w:type="pct"/>
            <w:tcBorders>
              <w:top w:val="nil"/>
              <w:left w:val="nil"/>
              <w:bottom w:val="single" w:sz="4" w:space="0" w:color="auto"/>
              <w:right w:val="single" w:sz="4" w:space="0" w:color="auto"/>
            </w:tcBorders>
          </w:tcPr>
          <w:p w14:paraId="14510295" w14:textId="77777777" w:rsidR="00984FF2" w:rsidRDefault="00B06690" w:rsidP="00007263">
            <w:pPr>
              <w:jc w:val="both"/>
              <w:rPr>
                <w:rFonts w:ascii="Arial Narrow" w:hAnsi="Arial Narrow" w:cs="Arial"/>
                <w:sz w:val="20"/>
                <w:szCs w:val="20"/>
                <w:lang w:val="es-CR" w:eastAsia="es-CR"/>
              </w:rPr>
            </w:pPr>
            <w:r w:rsidRPr="0023282E">
              <w:rPr>
                <w:rFonts w:ascii="Arial Narrow" w:hAnsi="Arial Narrow" w:cs="Arial"/>
                <w:sz w:val="20"/>
                <w:szCs w:val="20"/>
                <w:lang w:val="es-CR" w:eastAsia="es-CR"/>
              </w:rPr>
              <w:t>De acuerdo con la normativa de Grupos y Conglomerados Financieros; el representante legal de la controladora, deberá remitir trimestralmente una opinión fundamentada en estudios técnicos, debidamente sustentados sobre la existencia o no de situaciones de algún tipo que puedan limitar la capacidad de cada empresa del grupo o conglomerado financiero, para que los fondos equivalentes al superávit individual transferible de dicha empresa puedan ser movilizados y utilizados libremente dentro del grupo o conglomerado en caso de ser requerido. Sin restringirse a la valoración de los siguientes aspectos, entre las situaciones que pueden limitar la capacidad de la empresa se encuentran la imposibilidad de cumplir con parámetros regulatorios sobre liquidez, solvencia, calce de plazos o Saldo Abierto Ajustado por Riesgo (SAAR) en el caso de Puestos de Bolsa, o de apegarse a parámetros internos de gestión sobre estos mismos aspectos, así como el deterioro en forma significativa de la situación financiera de la entidad, que pueda poner en riesgo la estabilidad de sus operaciones.</w:t>
            </w:r>
          </w:p>
          <w:p w14:paraId="02DCB7A5" w14:textId="77777777" w:rsidR="00B06690" w:rsidRPr="0023282E" w:rsidRDefault="00B06690" w:rsidP="00007263">
            <w:pPr>
              <w:jc w:val="both"/>
              <w:rPr>
                <w:rFonts w:ascii="Arial Narrow" w:hAnsi="Arial Narrow" w:cs="Arial"/>
                <w:sz w:val="20"/>
                <w:szCs w:val="20"/>
                <w:lang w:val="es-CR" w:eastAsia="es-CR"/>
              </w:rPr>
            </w:pPr>
            <w:r w:rsidRPr="00984FF2">
              <w:rPr>
                <w:rFonts w:ascii="Arial Narrow" w:hAnsi="Arial Narrow" w:cs="Arial"/>
                <w:b/>
                <w:bCs/>
                <w:sz w:val="20"/>
                <w:szCs w:val="20"/>
                <w:lang w:val="es-CR" w:eastAsia="es-CR"/>
              </w:rPr>
              <w:t>La información correspondiente a los estudios técnicos se incorporará como notas a los catálogos de suficiencia patrimonial.</w:t>
            </w:r>
          </w:p>
        </w:tc>
      </w:tr>
    </w:tbl>
    <w:p w14:paraId="3F27FB1E" w14:textId="77777777" w:rsidR="00F52194" w:rsidRPr="00AE1B7F" w:rsidRDefault="00F52194" w:rsidP="00F52194">
      <w:pPr>
        <w:jc w:val="both"/>
        <w:rPr>
          <w:rFonts w:ascii="Arial" w:eastAsia="Calibri" w:hAnsi="Arial" w:cs="Arial"/>
          <w:b/>
          <w:color w:val="000000"/>
          <w:szCs w:val="22"/>
          <w:lang w:val="es-CR" w:eastAsia="es-CR"/>
        </w:rPr>
      </w:pPr>
    </w:p>
    <w:p w14:paraId="7BD987A9" w14:textId="77777777" w:rsidR="00F87CD2" w:rsidRPr="00135F9E" w:rsidRDefault="00135F9E" w:rsidP="00F87CD2">
      <w:pPr>
        <w:jc w:val="center"/>
        <w:rPr>
          <w:rFonts w:ascii="Arial" w:eastAsiaTheme="minorHAnsi" w:hAnsi="Arial" w:cs="Arial"/>
          <w:szCs w:val="22"/>
        </w:rPr>
      </w:pPr>
      <w:r w:rsidRPr="00135F9E">
        <w:rPr>
          <w:rFonts w:ascii="Arial" w:eastAsiaTheme="minorHAnsi" w:hAnsi="Arial" w:cs="Arial"/>
          <w:szCs w:val="22"/>
        </w:rPr>
        <w:object w:dxaOrig="1175" w:dyaOrig="760" w14:anchorId="2530C04C">
          <v:shape id="_x0000_i1027" type="#_x0000_t75" style="width:59.55pt;height:38.6pt" o:ole="">
            <v:imagedata r:id="rId15" o:title=""/>
          </v:shape>
          <o:OLEObject Type="Embed" ProgID="Excel.Sheet.12" ShapeID="_x0000_i1027" DrawAspect="Icon" ObjectID="_1745934195" r:id="rId16"/>
        </w:object>
      </w:r>
    </w:p>
    <w:p w14:paraId="63364F76" w14:textId="77777777" w:rsidR="00900A20" w:rsidRPr="00135F9E" w:rsidRDefault="00900A20" w:rsidP="00135F9E">
      <w:pPr>
        <w:pStyle w:val="Prrafodelista"/>
        <w:jc w:val="both"/>
        <w:rPr>
          <w:rFonts w:ascii="Arial" w:eastAsia="Calibri" w:hAnsi="Arial" w:cs="Arial"/>
          <w:bCs/>
          <w:color w:val="000000"/>
          <w:szCs w:val="22"/>
          <w:lang w:eastAsia="es-CR"/>
        </w:rPr>
      </w:pPr>
    </w:p>
    <w:p w14:paraId="35933F74" w14:textId="77777777" w:rsidR="00135F9E" w:rsidRPr="00135F9E" w:rsidRDefault="00135F9E" w:rsidP="00135F9E">
      <w:pPr>
        <w:pStyle w:val="Prrafodelista"/>
        <w:numPr>
          <w:ilvl w:val="0"/>
          <w:numId w:val="37"/>
        </w:numPr>
        <w:jc w:val="both"/>
        <w:rPr>
          <w:rFonts w:ascii="Arial" w:eastAsia="Calibri" w:hAnsi="Arial" w:cs="Arial"/>
          <w:bCs/>
          <w:color w:val="000000"/>
          <w:szCs w:val="22"/>
          <w:lang w:eastAsia="es-CR"/>
        </w:rPr>
      </w:pPr>
      <w:r w:rsidRPr="00135F9E">
        <w:rPr>
          <w:rFonts w:ascii="Arial" w:eastAsia="Calibri" w:hAnsi="Arial" w:cs="Arial"/>
          <w:bCs/>
          <w:color w:val="000000"/>
          <w:szCs w:val="22"/>
          <w:lang w:eastAsia="es-CR"/>
        </w:rPr>
        <w:t>Se modifica el medio de envío de los estados financieros auditados, cuando corresponda a Estados financieros del garante y/o fideicomisos de garantía de emisiones</w:t>
      </w:r>
      <w:r w:rsidR="00984FF2">
        <w:rPr>
          <w:rFonts w:ascii="Arial" w:eastAsia="Calibri" w:hAnsi="Arial" w:cs="Arial"/>
          <w:bCs/>
          <w:color w:val="000000"/>
          <w:szCs w:val="22"/>
          <w:lang w:eastAsia="es-CR"/>
        </w:rPr>
        <w:t xml:space="preserve"> de oferta pública</w:t>
      </w:r>
      <w:r w:rsidRPr="00135F9E">
        <w:rPr>
          <w:rFonts w:ascii="Arial" w:eastAsia="Calibri" w:hAnsi="Arial" w:cs="Arial"/>
          <w:bCs/>
          <w:color w:val="000000"/>
          <w:szCs w:val="22"/>
          <w:lang w:eastAsia="es-CR"/>
        </w:rPr>
        <w:t>.</w:t>
      </w:r>
    </w:p>
    <w:p w14:paraId="6CF619F5" w14:textId="77777777" w:rsidR="00135F9E" w:rsidRPr="00135F9E" w:rsidRDefault="00135F9E" w:rsidP="00135F9E">
      <w:pPr>
        <w:ind w:left="1211"/>
        <w:contextualSpacing/>
        <w:jc w:val="both"/>
        <w:rPr>
          <w:rFonts w:ascii="Arial" w:eastAsia="Calibri" w:hAnsi="Arial" w:cs="Arial"/>
          <w:color w:val="000000"/>
          <w:szCs w:val="22"/>
          <w:highlight w:val="yellow"/>
          <w:lang w:val="es-CR" w:eastAsia="es-CR"/>
        </w:rPr>
      </w:pPr>
    </w:p>
    <w:tbl>
      <w:tblPr>
        <w:tblW w:w="5381" w:type="pct"/>
        <w:tblInd w:w="-5" w:type="dxa"/>
        <w:tblCellMar>
          <w:left w:w="70" w:type="dxa"/>
          <w:right w:w="70" w:type="dxa"/>
        </w:tblCellMar>
        <w:tblLook w:val="04A0" w:firstRow="1" w:lastRow="0" w:firstColumn="1" w:lastColumn="0" w:noHBand="0" w:noVBand="1"/>
      </w:tblPr>
      <w:tblGrid>
        <w:gridCol w:w="2251"/>
        <w:gridCol w:w="3606"/>
        <w:gridCol w:w="3437"/>
      </w:tblGrid>
      <w:tr w:rsidR="00135F9E" w:rsidRPr="00135F9E" w14:paraId="5619C4D9" w14:textId="77777777" w:rsidTr="00135F9E">
        <w:trPr>
          <w:trHeight w:val="522"/>
        </w:trPr>
        <w:tc>
          <w:tcPr>
            <w:tcW w:w="1211" w:type="pct"/>
            <w:tcBorders>
              <w:top w:val="single" w:sz="4" w:space="0" w:color="auto"/>
              <w:left w:val="single" w:sz="4" w:space="0" w:color="auto"/>
              <w:bottom w:val="single" w:sz="4" w:space="0" w:color="auto"/>
              <w:right w:val="single" w:sz="4" w:space="0" w:color="auto"/>
            </w:tcBorders>
            <w:vAlign w:val="center"/>
          </w:tcPr>
          <w:p w14:paraId="384EBD85" w14:textId="77777777" w:rsidR="00135F9E" w:rsidRPr="00135F9E" w:rsidRDefault="00135F9E" w:rsidP="00135F9E">
            <w:pPr>
              <w:jc w:val="center"/>
              <w:rPr>
                <w:rFonts w:ascii="Arial" w:hAnsi="Arial" w:cs="Arial"/>
                <w:b/>
                <w:bCs/>
                <w:szCs w:val="22"/>
                <w:lang w:val="es-CR" w:eastAsia="es-CR"/>
              </w:rPr>
            </w:pPr>
            <w:r w:rsidRPr="00135F9E">
              <w:rPr>
                <w:rFonts w:ascii="Arial" w:hAnsi="Arial" w:cs="Arial"/>
                <w:b/>
                <w:bCs/>
                <w:szCs w:val="22"/>
                <w:lang w:val="es-CR" w:eastAsia="es-CR"/>
              </w:rPr>
              <w:t>INFORME O REPORTE</w:t>
            </w:r>
          </w:p>
        </w:tc>
        <w:tc>
          <w:tcPr>
            <w:tcW w:w="1940" w:type="pct"/>
            <w:tcBorders>
              <w:top w:val="single" w:sz="4" w:space="0" w:color="auto"/>
              <w:left w:val="nil"/>
              <w:bottom w:val="single" w:sz="4" w:space="0" w:color="auto"/>
              <w:right w:val="single" w:sz="4" w:space="0" w:color="auto"/>
            </w:tcBorders>
          </w:tcPr>
          <w:p w14:paraId="3FC97859" w14:textId="77777777" w:rsidR="00135F9E" w:rsidRPr="00135F9E" w:rsidRDefault="00135F9E" w:rsidP="00135F9E">
            <w:pPr>
              <w:jc w:val="center"/>
              <w:rPr>
                <w:rFonts w:ascii="Arial" w:hAnsi="Arial" w:cs="Arial"/>
                <w:b/>
                <w:bCs/>
                <w:szCs w:val="22"/>
                <w:lang w:val="es-CR" w:eastAsia="es-CR"/>
              </w:rPr>
            </w:pPr>
            <w:r w:rsidRPr="00135F9E">
              <w:rPr>
                <w:rFonts w:ascii="Arial" w:hAnsi="Arial" w:cs="Arial"/>
                <w:b/>
                <w:bCs/>
                <w:szCs w:val="22"/>
                <w:lang w:val="es-CR" w:eastAsia="es-CR"/>
              </w:rPr>
              <w:t>Medio de Envío</w:t>
            </w:r>
          </w:p>
          <w:p w14:paraId="2F1AD0CA" w14:textId="77777777" w:rsidR="00135F9E" w:rsidRPr="00135F9E" w:rsidRDefault="00135F9E" w:rsidP="00135F9E">
            <w:pPr>
              <w:jc w:val="center"/>
              <w:rPr>
                <w:rFonts w:ascii="Arial" w:hAnsi="Arial" w:cs="Arial"/>
                <w:b/>
                <w:bCs/>
                <w:szCs w:val="22"/>
                <w:lang w:val="es-CR" w:eastAsia="es-CR"/>
              </w:rPr>
            </w:pPr>
            <w:r w:rsidRPr="00135F9E">
              <w:rPr>
                <w:rFonts w:ascii="Arial" w:hAnsi="Arial" w:cs="Arial"/>
                <w:b/>
                <w:bCs/>
                <w:szCs w:val="22"/>
                <w:lang w:val="es-CR" w:eastAsia="es-CR"/>
              </w:rPr>
              <w:t>Vigente</w:t>
            </w:r>
          </w:p>
        </w:tc>
        <w:tc>
          <w:tcPr>
            <w:tcW w:w="1849" w:type="pct"/>
            <w:tcBorders>
              <w:top w:val="single" w:sz="4" w:space="0" w:color="auto"/>
              <w:left w:val="nil"/>
              <w:bottom w:val="single" w:sz="4" w:space="0" w:color="auto"/>
              <w:right w:val="single" w:sz="4" w:space="0" w:color="auto"/>
            </w:tcBorders>
          </w:tcPr>
          <w:p w14:paraId="32C8A2C9" w14:textId="77777777" w:rsidR="00135F9E" w:rsidRPr="00135F9E" w:rsidRDefault="00135F9E" w:rsidP="00135F9E">
            <w:pPr>
              <w:rPr>
                <w:rFonts w:ascii="Arial" w:hAnsi="Arial" w:cs="Arial"/>
                <w:b/>
                <w:bCs/>
                <w:szCs w:val="22"/>
                <w:lang w:val="es-CR" w:eastAsia="es-CR"/>
              </w:rPr>
            </w:pPr>
            <w:r w:rsidRPr="00135F9E">
              <w:rPr>
                <w:rFonts w:ascii="Arial" w:hAnsi="Arial" w:cs="Arial"/>
                <w:b/>
                <w:bCs/>
                <w:szCs w:val="22"/>
                <w:lang w:val="es-CR" w:eastAsia="es-CR"/>
              </w:rPr>
              <w:t>Medio de Envío Propuesto</w:t>
            </w:r>
          </w:p>
        </w:tc>
      </w:tr>
      <w:tr w:rsidR="00135F9E" w:rsidRPr="00135F9E" w14:paraId="0CD28D33" w14:textId="77777777" w:rsidTr="00135F9E">
        <w:trPr>
          <w:trHeight w:val="667"/>
        </w:trPr>
        <w:tc>
          <w:tcPr>
            <w:tcW w:w="1211" w:type="pct"/>
            <w:tcBorders>
              <w:top w:val="single" w:sz="4" w:space="0" w:color="auto"/>
              <w:left w:val="single" w:sz="4" w:space="0" w:color="auto"/>
              <w:bottom w:val="single" w:sz="4" w:space="0" w:color="auto"/>
              <w:right w:val="single" w:sz="4" w:space="0" w:color="auto"/>
            </w:tcBorders>
          </w:tcPr>
          <w:p w14:paraId="35A18BC7" w14:textId="77777777" w:rsidR="00135F9E" w:rsidRDefault="00135F9E" w:rsidP="00135F9E">
            <w:pPr>
              <w:jc w:val="center"/>
              <w:rPr>
                <w:rFonts w:ascii="Arial" w:hAnsi="Arial" w:cs="Arial"/>
                <w:szCs w:val="22"/>
                <w:lang w:eastAsia="es-CR"/>
              </w:rPr>
            </w:pPr>
          </w:p>
          <w:p w14:paraId="117C2E0F" w14:textId="77777777" w:rsidR="00135F9E" w:rsidRPr="00135F9E" w:rsidRDefault="00135F9E" w:rsidP="00135F9E">
            <w:pPr>
              <w:jc w:val="center"/>
              <w:rPr>
                <w:rFonts w:ascii="Arial" w:hAnsi="Arial" w:cs="Arial"/>
                <w:szCs w:val="22"/>
                <w:lang w:eastAsia="es-CR"/>
              </w:rPr>
            </w:pPr>
            <w:r w:rsidRPr="00135F9E">
              <w:rPr>
                <w:rFonts w:ascii="Arial" w:hAnsi="Arial" w:cs="Arial"/>
                <w:szCs w:val="22"/>
                <w:lang w:eastAsia="es-CR"/>
              </w:rPr>
              <w:t>6.a Estados financieros auditados</w:t>
            </w:r>
          </w:p>
        </w:tc>
        <w:tc>
          <w:tcPr>
            <w:tcW w:w="1940" w:type="pct"/>
            <w:tcBorders>
              <w:top w:val="nil"/>
              <w:left w:val="nil"/>
              <w:bottom w:val="single" w:sz="4" w:space="0" w:color="auto"/>
              <w:right w:val="single" w:sz="4" w:space="0" w:color="auto"/>
            </w:tcBorders>
          </w:tcPr>
          <w:p w14:paraId="63FFA3FA" w14:textId="77777777" w:rsidR="00135F9E" w:rsidRDefault="00135F9E" w:rsidP="00135F9E">
            <w:pPr>
              <w:jc w:val="center"/>
              <w:rPr>
                <w:rFonts w:ascii="Arial" w:hAnsi="Arial" w:cs="Arial"/>
                <w:szCs w:val="22"/>
                <w:lang w:val="es-CR" w:eastAsia="es-CR"/>
              </w:rPr>
            </w:pPr>
          </w:p>
          <w:p w14:paraId="6142A64E" w14:textId="77777777" w:rsidR="00135F9E" w:rsidRPr="00135F9E" w:rsidRDefault="00135F9E" w:rsidP="00135F9E">
            <w:pPr>
              <w:jc w:val="center"/>
              <w:rPr>
                <w:rFonts w:ascii="Arial" w:hAnsi="Arial" w:cs="Arial"/>
                <w:szCs w:val="22"/>
                <w:lang w:val="es-CR" w:eastAsia="es-CR"/>
              </w:rPr>
            </w:pPr>
            <w:r w:rsidRPr="00135F9E">
              <w:rPr>
                <w:rFonts w:ascii="Arial" w:hAnsi="Arial" w:cs="Arial"/>
                <w:szCs w:val="22"/>
                <w:lang w:val="es-CR" w:eastAsia="es-CR"/>
              </w:rPr>
              <w:t xml:space="preserve">Sistema </w:t>
            </w:r>
            <w:proofErr w:type="spellStart"/>
            <w:r w:rsidRPr="00135F9E">
              <w:rPr>
                <w:rFonts w:ascii="Arial" w:hAnsi="Arial" w:cs="Arial"/>
                <w:szCs w:val="22"/>
                <w:lang w:val="es-CR" w:eastAsia="es-CR"/>
              </w:rPr>
              <w:t>Ingresador</w:t>
            </w:r>
            <w:proofErr w:type="spellEnd"/>
          </w:p>
        </w:tc>
        <w:tc>
          <w:tcPr>
            <w:tcW w:w="1849" w:type="pct"/>
            <w:tcBorders>
              <w:top w:val="nil"/>
              <w:left w:val="nil"/>
              <w:bottom w:val="single" w:sz="4" w:space="0" w:color="auto"/>
              <w:right w:val="single" w:sz="4" w:space="0" w:color="auto"/>
            </w:tcBorders>
          </w:tcPr>
          <w:p w14:paraId="54F2DB2C" w14:textId="77777777" w:rsidR="00135F9E" w:rsidRDefault="00135F9E" w:rsidP="00135F9E">
            <w:pPr>
              <w:jc w:val="center"/>
              <w:rPr>
                <w:rFonts w:ascii="Arial" w:hAnsi="Arial" w:cs="Arial"/>
                <w:szCs w:val="22"/>
                <w:lang w:val="es-CR" w:eastAsia="es-CR"/>
              </w:rPr>
            </w:pPr>
          </w:p>
          <w:p w14:paraId="03CF02DA" w14:textId="77777777" w:rsidR="00135F9E" w:rsidRPr="00135F9E" w:rsidRDefault="00135F9E" w:rsidP="00135F9E">
            <w:pPr>
              <w:jc w:val="center"/>
              <w:rPr>
                <w:rFonts w:ascii="Arial" w:hAnsi="Arial" w:cs="Arial"/>
                <w:szCs w:val="22"/>
                <w:lang w:val="es-CR" w:eastAsia="es-CR"/>
              </w:rPr>
            </w:pPr>
            <w:r w:rsidRPr="00135F9E">
              <w:rPr>
                <w:rFonts w:ascii="Arial" w:hAnsi="Arial" w:cs="Arial"/>
                <w:szCs w:val="22"/>
                <w:lang w:val="es-CR" w:eastAsia="es-CR"/>
              </w:rPr>
              <w:t>MENDOCEL</w:t>
            </w:r>
          </w:p>
          <w:p w14:paraId="37AD0CD5" w14:textId="77777777" w:rsidR="00135F9E" w:rsidRDefault="00135F9E" w:rsidP="00135F9E">
            <w:pPr>
              <w:jc w:val="center"/>
              <w:rPr>
                <w:rFonts w:ascii="Arial" w:hAnsi="Arial" w:cs="Arial"/>
                <w:szCs w:val="22"/>
                <w:lang w:val="es-CR" w:eastAsia="es-CR"/>
              </w:rPr>
            </w:pPr>
            <w:r w:rsidRPr="00135F9E">
              <w:rPr>
                <w:rFonts w:ascii="Arial" w:hAnsi="Arial" w:cs="Arial"/>
                <w:szCs w:val="22"/>
                <w:lang w:val="es-CR" w:eastAsia="es-CR"/>
              </w:rPr>
              <w:t>SGV-A-188</w:t>
            </w:r>
          </w:p>
          <w:p w14:paraId="04D22498" w14:textId="77777777" w:rsidR="00135F9E" w:rsidRPr="00135F9E" w:rsidRDefault="00135F9E" w:rsidP="00135F9E">
            <w:pPr>
              <w:jc w:val="center"/>
              <w:rPr>
                <w:rFonts w:ascii="Arial" w:hAnsi="Arial" w:cs="Arial"/>
                <w:szCs w:val="22"/>
                <w:lang w:val="es-CR" w:eastAsia="es-CR"/>
              </w:rPr>
            </w:pPr>
          </w:p>
        </w:tc>
      </w:tr>
    </w:tbl>
    <w:p w14:paraId="047F96ED" w14:textId="77777777" w:rsidR="00135F9E" w:rsidRPr="00135F9E" w:rsidRDefault="00135F9E" w:rsidP="00135F9E">
      <w:pPr>
        <w:ind w:left="1211"/>
        <w:contextualSpacing/>
        <w:jc w:val="both"/>
        <w:rPr>
          <w:rFonts w:ascii="Arial" w:eastAsia="Calibri" w:hAnsi="Arial" w:cs="Arial"/>
          <w:color w:val="000000"/>
          <w:szCs w:val="22"/>
          <w:lang w:eastAsia="es-CR"/>
        </w:rPr>
      </w:pPr>
    </w:p>
    <w:bookmarkStart w:id="5" w:name="_Hlk67579283"/>
    <w:bookmarkStart w:id="6" w:name="_MON_1741254203"/>
    <w:bookmarkEnd w:id="6"/>
    <w:p w14:paraId="4884D105" w14:textId="77777777" w:rsidR="006A7010" w:rsidRDefault="00984FF2" w:rsidP="0023282E">
      <w:pPr>
        <w:pStyle w:val="Prrafodelista"/>
        <w:jc w:val="center"/>
        <w:rPr>
          <w:rFonts w:ascii="Arial" w:eastAsia="Calibri" w:hAnsi="Arial" w:cs="Arial"/>
          <w:b/>
          <w:color w:val="000000"/>
          <w:szCs w:val="22"/>
          <w:lang w:eastAsia="es-CR"/>
        </w:rPr>
      </w:pPr>
      <w:r>
        <w:rPr>
          <w:rFonts w:ascii="Arial" w:eastAsia="Calibri" w:hAnsi="Arial" w:cs="Arial"/>
          <w:b/>
          <w:color w:val="000000"/>
          <w:szCs w:val="22"/>
          <w:lang w:eastAsia="es-CR"/>
        </w:rPr>
        <w:object w:dxaOrig="1175" w:dyaOrig="760" w14:anchorId="5A4DFD39">
          <v:shape id="_x0000_i1028" type="#_x0000_t75" style="width:58.9pt;height:38.6pt" o:ole="">
            <v:imagedata r:id="rId17" o:title=""/>
          </v:shape>
          <o:OLEObject Type="Embed" ProgID="Excel.Sheet.8" ShapeID="_x0000_i1028" DrawAspect="Icon" ObjectID="_1745934196" r:id="rId18"/>
        </w:object>
      </w:r>
    </w:p>
    <w:p w14:paraId="64138DAA" w14:textId="77777777" w:rsidR="0023282E" w:rsidRDefault="0023282E" w:rsidP="0023282E">
      <w:pPr>
        <w:jc w:val="both"/>
        <w:rPr>
          <w:rFonts w:ascii="Arial" w:eastAsia="Calibri" w:hAnsi="Arial" w:cs="Arial"/>
          <w:b/>
          <w:color w:val="000000"/>
          <w:szCs w:val="22"/>
          <w:lang w:eastAsia="es-CR"/>
        </w:rPr>
      </w:pPr>
      <w:bookmarkStart w:id="7" w:name="_Hlk101544405"/>
    </w:p>
    <w:p w14:paraId="5D2E948A" w14:textId="7AF5F966" w:rsidR="0023282E" w:rsidRPr="004333AA" w:rsidRDefault="0023282E" w:rsidP="00135F9E">
      <w:pPr>
        <w:pStyle w:val="Prrafodelista"/>
        <w:numPr>
          <w:ilvl w:val="0"/>
          <w:numId w:val="37"/>
        </w:numPr>
        <w:jc w:val="both"/>
        <w:rPr>
          <w:rFonts w:ascii="Arial" w:eastAsia="Calibri" w:hAnsi="Arial" w:cs="Arial"/>
          <w:b/>
          <w:color w:val="000000"/>
          <w:szCs w:val="22"/>
          <w:lang w:eastAsia="es-CR"/>
        </w:rPr>
      </w:pPr>
      <w:r w:rsidRPr="00135F9E">
        <w:rPr>
          <w:rFonts w:ascii="Arial" w:eastAsia="Calibri" w:hAnsi="Arial" w:cs="Arial"/>
          <w:bCs/>
          <w:color w:val="000000"/>
          <w:szCs w:val="22"/>
          <w:lang w:eastAsia="es-CR"/>
        </w:rPr>
        <w:t xml:space="preserve">Se </w:t>
      </w:r>
      <w:proofErr w:type="spellStart"/>
      <w:r w:rsidRPr="00135F9E">
        <w:rPr>
          <w:rFonts w:ascii="Arial" w:eastAsia="Calibri" w:hAnsi="Arial" w:cs="Arial"/>
          <w:bCs/>
          <w:color w:val="000000"/>
          <w:szCs w:val="22"/>
          <w:lang w:eastAsia="es-CR"/>
        </w:rPr>
        <w:t>refoman</w:t>
      </w:r>
      <w:proofErr w:type="spellEnd"/>
      <w:r w:rsidRPr="00135F9E">
        <w:rPr>
          <w:rFonts w:ascii="Arial" w:eastAsia="Calibri" w:hAnsi="Arial" w:cs="Arial"/>
          <w:bCs/>
          <w:color w:val="000000"/>
          <w:szCs w:val="22"/>
          <w:lang w:eastAsia="es-CR"/>
        </w:rPr>
        <w:t xml:space="preserve"> los anexos 50 y 60 de las Bolsas de Valores y Centrales </w:t>
      </w:r>
      <w:r w:rsidRPr="00135F9E">
        <w:rPr>
          <w:rFonts w:ascii="Arial" w:eastAsia="Calibri" w:hAnsi="Arial" w:cs="Arial"/>
          <w:color w:val="000000"/>
          <w:szCs w:val="22"/>
          <w:lang w:eastAsia="es-CR"/>
        </w:rPr>
        <w:t xml:space="preserve">de Valores, acuerdo con el siguiente detalle:  </w:t>
      </w:r>
    </w:p>
    <w:p w14:paraId="496DC872" w14:textId="6F2B646D" w:rsidR="004333AA" w:rsidRPr="00135F9E" w:rsidRDefault="004333AA" w:rsidP="004333AA">
      <w:pPr>
        <w:pStyle w:val="Prrafodelista"/>
        <w:jc w:val="both"/>
        <w:rPr>
          <w:rFonts w:ascii="Arial" w:eastAsia="Calibri" w:hAnsi="Arial" w:cs="Arial"/>
          <w:b/>
          <w:color w:val="000000"/>
          <w:szCs w:val="22"/>
          <w:lang w:eastAsia="es-CR"/>
        </w:rPr>
      </w:pPr>
      <w:r>
        <w:rPr>
          <w:rFonts w:ascii="Arial" w:eastAsia="Calibri" w:hAnsi="Arial" w:cs="Arial"/>
          <w:b/>
          <w:color w:val="000000"/>
          <w:szCs w:val="22"/>
          <w:lang w:eastAsia="es-CR"/>
        </w:rPr>
        <w:object w:dxaOrig="1520" w:dyaOrig="987" w14:anchorId="05A053C9">
          <v:shape id="_x0000_i1034" type="#_x0000_t75" style="width:75.95pt;height:49.1pt" o:ole="">
            <v:imagedata r:id="rId19" o:title=""/>
          </v:shape>
          <o:OLEObject Type="Embed" ProgID="Excel.Sheet.12" ShapeID="_x0000_i1034" DrawAspect="Icon" ObjectID="_1745934197" r:id="rId20"/>
        </w:object>
      </w:r>
      <w:r>
        <w:rPr>
          <w:rFonts w:ascii="Arial" w:eastAsia="Calibri" w:hAnsi="Arial" w:cs="Arial"/>
          <w:b/>
          <w:color w:val="000000"/>
          <w:szCs w:val="22"/>
          <w:lang w:eastAsia="es-CR"/>
        </w:rPr>
        <w:object w:dxaOrig="1520" w:dyaOrig="987" w14:anchorId="6EB889BA">
          <v:shape id="_x0000_i1035" type="#_x0000_t75" style="width:75.95pt;height:49.1pt" o:ole="">
            <v:imagedata r:id="rId21" o:title=""/>
          </v:shape>
          <o:OLEObject Type="Embed" ProgID="Excel.Sheet.12" ShapeID="_x0000_i1035" DrawAspect="Icon" ObjectID="_1745934198" r:id="rId22"/>
        </w:object>
      </w:r>
    </w:p>
    <w:p w14:paraId="5F054D8B" w14:textId="77777777" w:rsidR="0023282E" w:rsidRDefault="0023282E" w:rsidP="0023282E">
      <w:pPr>
        <w:jc w:val="both"/>
        <w:rPr>
          <w:rFonts w:ascii="Arial" w:eastAsia="Calibri" w:hAnsi="Arial" w:cs="Arial"/>
          <w:bCs/>
          <w:color w:val="000000"/>
          <w:szCs w:val="22"/>
          <w:lang w:eastAsia="es-CR"/>
        </w:rPr>
      </w:pPr>
    </w:p>
    <w:p w14:paraId="697CBE69" w14:textId="1F0E1986" w:rsidR="0023282E" w:rsidRDefault="0023282E" w:rsidP="0023282E">
      <w:pPr>
        <w:jc w:val="center"/>
        <w:rPr>
          <w:rFonts w:ascii="Arial" w:eastAsia="Calibri" w:hAnsi="Arial" w:cs="Arial"/>
          <w:b/>
          <w:color w:val="000000"/>
          <w:szCs w:val="22"/>
          <w:highlight w:val="yellow"/>
          <w:lang w:eastAsia="es-CR"/>
        </w:rPr>
      </w:pPr>
    </w:p>
    <w:p w14:paraId="71A1B814" w14:textId="77777777" w:rsidR="00F87CD2" w:rsidRPr="00F87CD2" w:rsidRDefault="00F87CD2" w:rsidP="00F87CD2">
      <w:pPr>
        <w:tabs>
          <w:tab w:val="center" w:pos="4419"/>
        </w:tabs>
        <w:ind w:left="1276"/>
        <w:rPr>
          <w:rFonts w:ascii="Arial" w:eastAsia="Calibri" w:hAnsi="Arial" w:cs="Arial"/>
          <w:bCs/>
          <w:i/>
          <w:iCs/>
          <w:szCs w:val="22"/>
        </w:rPr>
      </w:pPr>
    </w:p>
    <w:bookmarkEnd w:id="7"/>
    <w:p w14:paraId="641FD3B8" w14:textId="77777777" w:rsidR="00F87CD2" w:rsidRPr="0023282E" w:rsidRDefault="00F87CD2" w:rsidP="00F87CD2">
      <w:pPr>
        <w:tabs>
          <w:tab w:val="center" w:pos="4419"/>
        </w:tabs>
        <w:rPr>
          <w:rFonts w:ascii="Arial" w:eastAsia="Calibri" w:hAnsi="Arial" w:cs="Arial"/>
          <w:szCs w:val="22"/>
        </w:rPr>
      </w:pPr>
      <w:r w:rsidRPr="00F87CD2">
        <w:rPr>
          <w:rFonts w:ascii="Arial" w:eastAsia="Calibri" w:hAnsi="Arial" w:cs="Arial"/>
          <w:b/>
          <w:szCs w:val="22"/>
        </w:rPr>
        <w:t xml:space="preserve">Artículo </w:t>
      </w:r>
      <w:r w:rsidR="0023282E">
        <w:rPr>
          <w:rFonts w:ascii="Arial" w:eastAsia="Calibri" w:hAnsi="Arial" w:cs="Arial"/>
          <w:b/>
          <w:szCs w:val="22"/>
        </w:rPr>
        <w:t>4</w:t>
      </w:r>
      <w:r w:rsidRPr="00F87CD2">
        <w:rPr>
          <w:rFonts w:ascii="Arial" w:eastAsia="Calibri" w:hAnsi="Arial" w:cs="Arial"/>
          <w:b/>
          <w:szCs w:val="22"/>
        </w:rPr>
        <w:t>.-</w:t>
      </w:r>
      <w:r w:rsidRPr="00F87CD2">
        <w:rPr>
          <w:rFonts w:ascii="Arial" w:eastAsia="Calibri" w:hAnsi="Arial" w:cs="Arial"/>
          <w:szCs w:val="22"/>
        </w:rPr>
        <w:t xml:space="preserve"> </w:t>
      </w:r>
      <w:r w:rsidRPr="0023282E">
        <w:rPr>
          <w:rFonts w:ascii="Arial" w:eastAsia="Calibri" w:hAnsi="Arial" w:cs="Arial"/>
          <w:szCs w:val="22"/>
        </w:rPr>
        <w:t>Vigencia</w:t>
      </w:r>
      <w:bookmarkEnd w:id="5"/>
      <w:r w:rsidRPr="0023282E">
        <w:rPr>
          <w:rFonts w:ascii="Arial" w:eastAsia="Calibri" w:hAnsi="Arial" w:cs="Arial"/>
          <w:szCs w:val="22"/>
        </w:rPr>
        <w:tab/>
      </w:r>
    </w:p>
    <w:p w14:paraId="340A2ECF" w14:textId="77777777" w:rsidR="007B47E6" w:rsidRPr="0023282E" w:rsidRDefault="007B47E6" w:rsidP="007B47E6">
      <w:pPr>
        <w:rPr>
          <w:rFonts w:ascii="Arial" w:hAnsi="Arial" w:cs="Arial"/>
          <w:szCs w:val="22"/>
        </w:rPr>
      </w:pPr>
      <w:r w:rsidRPr="0023282E">
        <w:rPr>
          <w:rFonts w:ascii="Arial" w:hAnsi="Arial" w:cs="Arial"/>
          <w:szCs w:val="22"/>
        </w:rPr>
        <w:tab/>
      </w:r>
    </w:p>
    <w:p w14:paraId="05B2836F" w14:textId="77777777" w:rsidR="007B47E6" w:rsidRPr="0023282E" w:rsidRDefault="007B47E6" w:rsidP="007B47E6">
      <w:pPr>
        <w:pStyle w:val="Prrafodelista"/>
        <w:numPr>
          <w:ilvl w:val="0"/>
          <w:numId w:val="39"/>
        </w:numPr>
        <w:jc w:val="both"/>
        <w:rPr>
          <w:rFonts w:ascii="Arial" w:hAnsi="Arial" w:cs="Arial"/>
          <w:szCs w:val="22"/>
        </w:rPr>
      </w:pPr>
      <w:r w:rsidRPr="0023282E">
        <w:rPr>
          <w:rFonts w:ascii="Arial" w:hAnsi="Arial" w:cs="Arial"/>
          <w:szCs w:val="22"/>
        </w:rPr>
        <w:t>Lo dispuesto en el artículo 1</w:t>
      </w:r>
      <w:r w:rsidR="0023282E">
        <w:rPr>
          <w:rFonts w:ascii="Arial" w:hAnsi="Arial" w:cs="Arial"/>
          <w:szCs w:val="22"/>
        </w:rPr>
        <w:t xml:space="preserve">, artículo </w:t>
      </w:r>
      <w:r w:rsidR="0023282E" w:rsidRPr="0023282E">
        <w:rPr>
          <w:rFonts w:ascii="Arial" w:hAnsi="Arial" w:cs="Arial"/>
          <w:szCs w:val="22"/>
        </w:rPr>
        <w:t xml:space="preserve">2 </w:t>
      </w:r>
      <w:r w:rsidR="0023282E">
        <w:rPr>
          <w:rFonts w:ascii="Arial" w:hAnsi="Arial" w:cs="Arial"/>
          <w:szCs w:val="22"/>
        </w:rPr>
        <w:t xml:space="preserve">y los incisos a) y b) del artículo 3 </w:t>
      </w:r>
      <w:r w:rsidRPr="0023282E">
        <w:rPr>
          <w:rFonts w:ascii="Arial" w:hAnsi="Arial" w:cs="Arial"/>
          <w:szCs w:val="22"/>
        </w:rPr>
        <w:t>rige</w:t>
      </w:r>
      <w:r w:rsidR="0023282E">
        <w:rPr>
          <w:rFonts w:ascii="Arial" w:hAnsi="Arial" w:cs="Arial"/>
          <w:szCs w:val="22"/>
        </w:rPr>
        <w:t>n</w:t>
      </w:r>
      <w:r w:rsidRPr="0023282E">
        <w:rPr>
          <w:rFonts w:ascii="Arial" w:hAnsi="Arial" w:cs="Arial"/>
          <w:szCs w:val="22"/>
        </w:rPr>
        <w:t xml:space="preserve"> a partir </w:t>
      </w:r>
      <w:r w:rsidR="0023282E" w:rsidRPr="0023282E">
        <w:rPr>
          <w:rFonts w:ascii="Arial" w:hAnsi="Arial" w:cs="Arial"/>
          <w:szCs w:val="22"/>
        </w:rPr>
        <w:t>del 1ero de julio del 2023</w:t>
      </w:r>
      <w:r w:rsidRPr="0023282E">
        <w:rPr>
          <w:rFonts w:ascii="Arial" w:hAnsi="Arial" w:cs="Arial"/>
          <w:szCs w:val="22"/>
        </w:rPr>
        <w:t>.</w:t>
      </w:r>
    </w:p>
    <w:p w14:paraId="2C68F0B3" w14:textId="77777777" w:rsidR="007B47E6" w:rsidRPr="0023282E" w:rsidRDefault="007B47E6" w:rsidP="007B47E6">
      <w:pPr>
        <w:pStyle w:val="Prrafodelista"/>
        <w:ind w:left="1065"/>
        <w:rPr>
          <w:rFonts w:ascii="Arial" w:hAnsi="Arial" w:cs="Arial"/>
          <w:szCs w:val="22"/>
        </w:rPr>
      </w:pPr>
    </w:p>
    <w:p w14:paraId="50E6BF6B" w14:textId="77777777" w:rsidR="007B47E6" w:rsidRPr="0023282E" w:rsidRDefault="007B47E6" w:rsidP="007B47E6">
      <w:pPr>
        <w:pStyle w:val="Prrafodelista"/>
        <w:numPr>
          <w:ilvl w:val="0"/>
          <w:numId w:val="39"/>
        </w:numPr>
        <w:rPr>
          <w:rFonts w:ascii="Arial" w:hAnsi="Arial" w:cs="Arial"/>
          <w:szCs w:val="22"/>
        </w:rPr>
      </w:pPr>
      <w:r w:rsidRPr="0023282E">
        <w:rPr>
          <w:rFonts w:ascii="Arial" w:hAnsi="Arial" w:cs="Arial"/>
          <w:szCs w:val="22"/>
        </w:rPr>
        <w:t xml:space="preserve">Lo dispuesto en el artículo </w:t>
      </w:r>
      <w:r w:rsidR="0023282E">
        <w:rPr>
          <w:rFonts w:ascii="Arial" w:hAnsi="Arial" w:cs="Arial"/>
          <w:szCs w:val="22"/>
        </w:rPr>
        <w:t>3</w:t>
      </w:r>
      <w:r w:rsidRPr="0023282E">
        <w:rPr>
          <w:rFonts w:ascii="Arial" w:hAnsi="Arial" w:cs="Arial"/>
          <w:szCs w:val="22"/>
        </w:rPr>
        <w:t xml:space="preserve"> inciso </w:t>
      </w:r>
      <w:r w:rsidR="0023282E">
        <w:rPr>
          <w:rFonts w:ascii="Arial" w:hAnsi="Arial" w:cs="Arial"/>
          <w:szCs w:val="22"/>
        </w:rPr>
        <w:t>c</w:t>
      </w:r>
      <w:r w:rsidRPr="0023282E">
        <w:rPr>
          <w:rFonts w:ascii="Arial" w:hAnsi="Arial" w:cs="Arial"/>
          <w:szCs w:val="22"/>
        </w:rPr>
        <w:t xml:space="preserve">) rige a partir </w:t>
      </w:r>
      <w:r w:rsidR="00984FF2">
        <w:rPr>
          <w:rFonts w:ascii="Arial" w:hAnsi="Arial" w:cs="Arial"/>
          <w:szCs w:val="22"/>
        </w:rPr>
        <w:t xml:space="preserve">del 1ero </w:t>
      </w:r>
      <w:r w:rsidRPr="0023282E">
        <w:rPr>
          <w:rFonts w:ascii="Arial" w:hAnsi="Arial" w:cs="Arial"/>
          <w:szCs w:val="22"/>
        </w:rPr>
        <w:t>de enero de 2024.</w:t>
      </w:r>
    </w:p>
    <w:p w14:paraId="3F4A5525" w14:textId="77777777" w:rsidR="007B47E6" w:rsidRPr="0023282E" w:rsidRDefault="007B47E6" w:rsidP="007B47E6">
      <w:pPr>
        <w:rPr>
          <w:rFonts w:ascii="Arial" w:hAnsi="Arial" w:cs="Arial"/>
          <w:szCs w:val="22"/>
        </w:rPr>
      </w:pPr>
    </w:p>
    <w:p w14:paraId="21B14E26" w14:textId="77777777" w:rsidR="00F87CD2" w:rsidRPr="0023282E" w:rsidRDefault="00F87CD2" w:rsidP="007B47E6">
      <w:pPr>
        <w:rPr>
          <w:rFonts w:ascii="Arial" w:hAnsi="Arial" w:cs="Arial"/>
          <w:szCs w:val="22"/>
        </w:rPr>
      </w:pPr>
    </w:p>
    <w:sectPr w:rsidR="00F87CD2" w:rsidRPr="0023282E" w:rsidSect="00880E31">
      <w:headerReference w:type="even" r:id="rId23"/>
      <w:headerReference w:type="default" r:id="rId24"/>
      <w:footerReference w:type="even" r:id="rId25"/>
      <w:footerReference w:type="default" r:id="rId26"/>
      <w:headerReference w:type="first" r:id="rId27"/>
      <w:footerReference w:type="first" r:id="rId28"/>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1CCF" w14:textId="77777777" w:rsidR="00191A49" w:rsidRDefault="00191A49" w:rsidP="005A768E">
      <w:r>
        <w:separator/>
      </w:r>
    </w:p>
  </w:endnote>
  <w:endnote w:type="continuationSeparator" w:id="0">
    <w:p w14:paraId="347678B6" w14:textId="77777777" w:rsidR="00191A49" w:rsidRDefault="00191A49" w:rsidP="005A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D8C4" w14:textId="77777777" w:rsidR="004333AA" w:rsidRDefault="004333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B642" w14:textId="77777777" w:rsidR="00F315C1" w:rsidRDefault="00F315C1" w:rsidP="00F315C1">
    <w:pPr>
      <w:pStyle w:val="Piedepgina"/>
      <w:tabs>
        <w:tab w:val="right" w:pos="9498"/>
      </w:tabs>
      <w:ind w:left="-993" w:right="-999"/>
      <w:jc w:val="right"/>
      <w:rPr>
        <w:rFonts w:ascii="Arial" w:hAnsi="Arial" w:cs="Arial"/>
        <w:sz w:val="20"/>
        <w:szCs w:val="20"/>
      </w:rPr>
    </w:pPr>
    <w:r w:rsidRPr="00E07105">
      <w:rPr>
        <w:rFonts w:ascii="Arial" w:hAnsi="Arial" w:cs="Arial"/>
        <w:sz w:val="20"/>
        <w:szCs w:val="20"/>
      </w:rPr>
      <w:t>Teléfono (506) 2243-4</w:t>
    </w:r>
    <w:r>
      <w:rPr>
        <w:rFonts w:ascii="Arial" w:hAnsi="Arial" w:cs="Arial"/>
        <w:sz w:val="20"/>
        <w:szCs w:val="20"/>
      </w:rPr>
      <w:t>6</w:t>
    </w:r>
    <w:r w:rsidRPr="00E07105">
      <w:rPr>
        <w:rFonts w:ascii="Arial" w:hAnsi="Arial" w:cs="Arial"/>
        <w:sz w:val="20"/>
        <w:szCs w:val="20"/>
      </w:rPr>
      <w:t>00</w:t>
    </w:r>
    <w:r>
      <w:rPr>
        <w:rFonts w:ascii="Arial" w:hAnsi="Arial" w:cs="Arial"/>
        <w:sz w:val="20"/>
        <w:szCs w:val="20"/>
      </w:rPr>
      <w:t xml:space="preserve">    </w:t>
    </w:r>
    <w:r w:rsidRPr="00E07105">
      <w:rPr>
        <w:rFonts w:ascii="Arial" w:hAnsi="Arial" w:cs="Arial"/>
        <w:sz w:val="20"/>
        <w:szCs w:val="20"/>
      </w:rPr>
      <w:t>Fax (506) 2243-4646</w:t>
    </w:r>
  </w:p>
  <w:p w14:paraId="1396DBD2" w14:textId="77777777" w:rsidR="00F315C1" w:rsidRDefault="00F315C1" w:rsidP="00F315C1">
    <w:pPr>
      <w:pStyle w:val="Piedepgina"/>
      <w:tabs>
        <w:tab w:val="right" w:pos="9498"/>
      </w:tabs>
      <w:ind w:left="-993" w:right="-999"/>
      <w:jc w:val="right"/>
      <w:rPr>
        <w:rFonts w:ascii="Arial" w:hAnsi="Arial" w:cs="Arial"/>
        <w:sz w:val="20"/>
        <w:szCs w:val="20"/>
      </w:rPr>
    </w:pPr>
    <w:r>
      <w:rPr>
        <w:rFonts w:ascii="Arial" w:hAnsi="Arial" w:cs="Arial"/>
        <w:sz w:val="20"/>
        <w:szCs w:val="20"/>
      </w:rPr>
      <w:t xml:space="preserve">Dirección: Edificio ODM del BCCR, Barrio </w:t>
    </w:r>
    <w:proofErr w:type="spellStart"/>
    <w:r>
      <w:rPr>
        <w:rFonts w:ascii="Arial" w:hAnsi="Arial" w:cs="Arial"/>
        <w:sz w:val="20"/>
        <w:szCs w:val="20"/>
      </w:rPr>
      <w:t>Tournón</w:t>
    </w:r>
    <w:proofErr w:type="spellEnd"/>
    <w:r>
      <w:rPr>
        <w:rFonts w:ascii="Arial" w:hAnsi="Arial" w:cs="Arial"/>
        <w:sz w:val="20"/>
        <w:szCs w:val="20"/>
      </w:rPr>
      <w:t>, Piso 6</w:t>
    </w:r>
  </w:p>
  <w:p w14:paraId="1D7BB29A" w14:textId="77777777" w:rsidR="00F315C1" w:rsidRDefault="003870B8" w:rsidP="00F315C1">
    <w:pPr>
      <w:pStyle w:val="Piedepgina"/>
      <w:tabs>
        <w:tab w:val="right" w:pos="9498"/>
      </w:tabs>
      <w:ind w:left="-993" w:right="-999"/>
      <w:jc w:val="right"/>
      <w:rPr>
        <w:rFonts w:ascii="Arial" w:hAnsi="Arial" w:cs="Arial"/>
        <w:sz w:val="20"/>
      </w:rPr>
    </w:pPr>
    <w:hyperlink r:id="rId1" w:history="1">
      <w:r w:rsidR="00F315C1" w:rsidRPr="0076731A">
        <w:rPr>
          <w:rStyle w:val="Hipervnculo"/>
          <w:rFonts w:ascii="Arial" w:hAnsi="Arial" w:cs="Arial"/>
          <w:szCs w:val="20"/>
        </w:rPr>
        <w:t>correo@sugeval.fi.cr</w:t>
      </w:r>
    </w:hyperlink>
  </w:p>
  <w:p w14:paraId="2D7F70F9" w14:textId="77777777" w:rsidR="00135F9E" w:rsidRDefault="00135F9E">
    <w:pPr>
      <w:pStyle w:val="Piedepgina"/>
    </w:pPr>
    <w:r>
      <w:rPr>
        <w:noProof/>
      </w:rPr>
      <mc:AlternateContent>
        <mc:Choice Requires="wps">
          <w:drawing>
            <wp:anchor distT="0" distB="0" distL="114300" distR="114300" simplePos="0" relativeHeight="251661312" behindDoc="0" locked="0" layoutInCell="0" allowOverlap="1" wp14:anchorId="24D93C56" wp14:editId="3CEC6651">
              <wp:simplePos x="0" y="0"/>
              <wp:positionH relativeFrom="page">
                <wp:posOffset>0</wp:posOffset>
              </wp:positionH>
              <wp:positionV relativeFrom="page">
                <wp:posOffset>9594215</wp:posOffset>
              </wp:positionV>
              <wp:extent cx="7772400" cy="273050"/>
              <wp:effectExtent l="0" t="0" r="0" b="12700"/>
              <wp:wrapNone/>
              <wp:docPr id="1" name="MSIPCMe6c2439a83a2d10f21c686f0"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EF04DC" w14:textId="77777777" w:rsidR="00135F9E" w:rsidRPr="00135F9E" w:rsidRDefault="00135F9E" w:rsidP="00135F9E">
                          <w:pPr>
                            <w:jc w:val="center"/>
                            <w:rPr>
                              <w:rFonts w:ascii="Calibri" w:hAnsi="Calibri" w:cs="Calibri"/>
                              <w:color w:val="000000"/>
                              <w:sz w:val="20"/>
                            </w:rPr>
                          </w:pPr>
                          <w:r w:rsidRPr="00135F9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BCD92" id="_x0000_t202" coordsize="21600,21600" o:spt="202" path="m,l,21600r21600,l21600,xe">
              <v:stroke joinstyle="miter"/>
              <v:path gradientshapeok="t" o:connecttype="rect"/>
            </v:shapetype>
            <v:shape id="MSIPCMe6c2439a83a2d10f21c686f0"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rsidR="00135F9E" w:rsidRPr="00135F9E" w:rsidRDefault="00135F9E" w:rsidP="00135F9E">
                    <w:pPr>
                      <w:jc w:val="center"/>
                      <w:rPr>
                        <w:rFonts w:ascii="Calibri" w:hAnsi="Calibri" w:cs="Calibri"/>
                        <w:color w:val="000000"/>
                        <w:sz w:val="20"/>
                      </w:rPr>
                    </w:pPr>
                    <w:r w:rsidRPr="00135F9E">
                      <w:rPr>
                        <w:rFonts w:ascii="Calibri" w:hAnsi="Calibri" w:cs="Calibri"/>
                        <w:color w:val="000000"/>
                        <w:sz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D690" w14:textId="77777777" w:rsidR="00F315C1" w:rsidRDefault="00F315C1" w:rsidP="00F315C1">
    <w:pPr>
      <w:pStyle w:val="Piedepgina"/>
      <w:tabs>
        <w:tab w:val="right" w:pos="9498"/>
      </w:tabs>
      <w:ind w:left="-993" w:right="-999"/>
      <w:jc w:val="right"/>
      <w:rPr>
        <w:rFonts w:ascii="Arial" w:hAnsi="Arial" w:cs="Arial"/>
        <w:sz w:val="20"/>
        <w:szCs w:val="20"/>
      </w:rPr>
    </w:pPr>
    <w:r w:rsidRPr="00E07105">
      <w:rPr>
        <w:rFonts w:ascii="Arial" w:hAnsi="Arial" w:cs="Arial"/>
        <w:sz w:val="20"/>
        <w:szCs w:val="20"/>
      </w:rPr>
      <w:t>Teléfono (506) 2243-4</w:t>
    </w:r>
    <w:r>
      <w:rPr>
        <w:rFonts w:ascii="Arial" w:hAnsi="Arial" w:cs="Arial"/>
        <w:sz w:val="20"/>
        <w:szCs w:val="20"/>
      </w:rPr>
      <w:t>6</w:t>
    </w:r>
    <w:r w:rsidRPr="00E07105">
      <w:rPr>
        <w:rFonts w:ascii="Arial" w:hAnsi="Arial" w:cs="Arial"/>
        <w:sz w:val="20"/>
        <w:szCs w:val="20"/>
      </w:rPr>
      <w:t>00</w:t>
    </w:r>
    <w:r>
      <w:rPr>
        <w:rFonts w:ascii="Arial" w:hAnsi="Arial" w:cs="Arial"/>
        <w:sz w:val="20"/>
        <w:szCs w:val="20"/>
      </w:rPr>
      <w:t xml:space="preserve">    </w:t>
    </w:r>
    <w:r w:rsidRPr="00E07105">
      <w:rPr>
        <w:rFonts w:ascii="Arial" w:hAnsi="Arial" w:cs="Arial"/>
        <w:sz w:val="20"/>
        <w:szCs w:val="20"/>
      </w:rPr>
      <w:t>Fax (506) 2243-4646</w:t>
    </w:r>
  </w:p>
  <w:p w14:paraId="362E0B8F" w14:textId="77777777" w:rsidR="00F315C1" w:rsidRDefault="00F315C1" w:rsidP="00F315C1">
    <w:pPr>
      <w:pStyle w:val="Piedepgina"/>
      <w:tabs>
        <w:tab w:val="right" w:pos="9498"/>
      </w:tabs>
      <w:ind w:left="-993" w:right="-999"/>
      <w:jc w:val="right"/>
      <w:rPr>
        <w:rFonts w:ascii="Arial" w:hAnsi="Arial" w:cs="Arial"/>
        <w:sz w:val="20"/>
        <w:szCs w:val="20"/>
      </w:rPr>
    </w:pPr>
    <w:r>
      <w:rPr>
        <w:rFonts w:ascii="Arial" w:hAnsi="Arial" w:cs="Arial"/>
        <w:sz w:val="20"/>
        <w:szCs w:val="20"/>
      </w:rPr>
      <w:t xml:space="preserve">Dirección: Edificio ODM del BCCR, Barrio </w:t>
    </w:r>
    <w:proofErr w:type="spellStart"/>
    <w:r>
      <w:rPr>
        <w:rFonts w:ascii="Arial" w:hAnsi="Arial" w:cs="Arial"/>
        <w:sz w:val="20"/>
        <w:szCs w:val="20"/>
      </w:rPr>
      <w:t>Tournón</w:t>
    </w:r>
    <w:proofErr w:type="spellEnd"/>
    <w:r>
      <w:rPr>
        <w:rFonts w:ascii="Arial" w:hAnsi="Arial" w:cs="Arial"/>
        <w:sz w:val="20"/>
        <w:szCs w:val="20"/>
      </w:rPr>
      <w:t>, Piso 6</w:t>
    </w:r>
  </w:p>
  <w:p w14:paraId="1F7E3E1A" w14:textId="77777777" w:rsidR="00F315C1" w:rsidRDefault="003870B8" w:rsidP="00F315C1">
    <w:pPr>
      <w:pStyle w:val="Piedepgina"/>
      <w:tabs>
        <w:tab w:val="right" w:pos="9498"/>
      </w:tabs>
      <w:ind w:left="-993" w:right="-999"/>
      <w:jc w:val="right"/>
      <w:rPr>
        <w:rFonts w:ascii="Arial" w:hAnsi="Arial" w:cs="Arial"/>
        <w:sz w:val="20"/>
      </w:rPr>
    </w:pPr>
    <w:hyperlink r:id="rId1" w:history="1">
      <w:r w:rsidR="00F315C1" w:rsidRPr="0076731A">
        <w:rPr>
          <w:rStyle w:val="Hipervnculo"/>
          <w:rFonts w:ascii="Arial" w:hAnsi="Arial" w:cs="Arial"/>
          <w:szCs w:val="20"/>
        </w:rPr>
        <w:t>correo@sugeval.fi.cr</w:t>
      </w:r>
    </w:hyperlink>
  </w:p>
  <w:p w14:paraId="49212B0F" w14:textId="77777777" w:rsidR="003959B0" w:rsidRDefault="00F04BAF">
    <w:pPr>
      <w:pStyle w:val="Piedepgina"/>
    </w:pPr>
    <w:r>
      <w:rPr>
        <w:noProof/>
      </w:rPr>
      <mc:AlternateContent>
        <mc:Choice Requires="wps">
          <w:drawing>
            <wp:anchor distT="0" distB="0" distL="114300" distR="114300" simplePos="0" relativeHeight="251660288" behindDoc="0" locked="0" layoutInCell="0" allowOverlap="1" wp14:anchorId="4FE1F2ED" wp14:editId="2A3150A1">
              <wp:simplePos x="0" y="0"/>
              <wp:positionH relativeFrom="page">
                <wp:posOffset>0</wp:posOffset>
              </wp:positionH>
              <wp:positionV relativeFrom="page">
                <wp:posOffset>9594215</wp:posOffset>
              </wp:positionV>
              <wp:extent cx="7772400" cy="273050"/>
              <wp:effectExtent l="0" t="0" r="0" b="12700"/>
              <wp:wrapNone/>
              <wp:docPr id="3" name="MSIPCMe4e0432a93794e89d5a5eef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B7ACF" w14:textId="77777777" w:rsidR="00F04BAF" w:rsidRPr="00F04BAF" w:rsidRDefault="00F04BAF" w:rsidP="00F04BAF">
                          <w:pPr>
                            <w:jc w:val="center"/>
                            <w:rPr>
                              <w:rFonts w:ascii="Calibri" w:hAnsi="Calibri" w:cs="Calibri"/>
                              <w:color w:val="000000"/>
                              <w:sz w:val="20"/>
                            </w:rPr>
                          </w:pPr>
                          <w:r w:rsidRPr="00F04BA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5E40EC" id="_x0000_t202" coordsize="21600,21600" o:spt="202" path="m,l,21600r21600,l21600,xe">
              <v:stroke joinstyle="miter"/>
              <v:path gradientshapeok="t" o:connecttype="rect"/>
            </v:shapetype>
            <v:shape id="MSIPCMe4e0432a93794e89d5a5eef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rsidR="00F04BAF" w:rsidRPr="00F04BAF" w:rsidRDefault="00F04BAF" w:rsidP="00F04BAF">
                    <w:pPr>
                      <w:jc w:val="center"/>
                      <w:rPr>
                        <w:rFonts w:ascii="Calibri" w:hAnsi="Calibri" w:cs="Calibri"/>
                        <w:color w:val="000000"/>
                        <w:sz w:val="20"/>
                      </w:rPr>
                    </w:pPr>
                    <w:r w:rsidRPr="00F04BAF">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1663" w14:textId="77777777" w:rsidR="00191A49" w:rsidRDefault="00191A49" w:rsidP="005A768E">
      <w:r>
        <w:separator/>
      </w:r>
    </w:p>
  </w:footnote>
  <w:footnote w:type="continuationSeparator" w:id="0">
    <w:p w14:paraId="38341788" w14:textId="77777777" w:rsidR="00191A49" w:rsidRDefault="00191A49" w:rsidP="005A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B38F" w14:textId="77777777" w:rsidR="004333AA" w:rsidRDefault="004333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7638858" w14:textId="77777777" w:rsidR="00F315C1" w:rsidRDefault="00F315C1" w:rsidP="00F315C1">
        <w:pPr>
          <w:pStyle w:val="Encabezado"/>
          <w:jc w:val="center"/>
        </w:pPr>
        <w:r>
          <w:rPr>
            <w:rFonts w:ascii="Arial" w:hAnsi="Arial" w:cs="Arial"/>
            <w:i/>
            <w:iCs/>
            <w:noProof/>
            <w:color w:val="333333"/>
            <w:shd w:val="clear" w:color="auto" w:fill="FFFFFF"/>
          </w:rPr>
          <w:drawing>
            <wp:inline distT="0" distB="0" distL="0" distR="0" wp14:anchorId="46C9F70F" wp14:editId="4D17CB26">
              <wp:extent cx="1709213" cy="419100"/>
              <wp:effectExtent l="0" t="0" r="5715" b="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82444" cy="437056"/>
                      </a:xfrm>
                      <a:prstGeom prst="rect">
                        <a:avLst/>
                      </a:prstGeom>
                    </pic:spPr>
                  </pic:pic>
                </a:graphicData>
              </a:graphic>
            </wp:inline>
          </w:drawing>
        </w:r>
      </w:p>
      <w:p w14:paraId="20727242" w14:textId="77777777" w:rsidR="00F315C1" w:rsidRDefault="00F315C1">
        <w:pPr>
          <w:pStyle w:val="Encabezado"/>
        </w:pPr>
      </w:p>
      <w:p w14:paraId="61962318" w14:textId="77777777" w:rsidR="00F315C1" w:rsidRDefault="00F315C1">
        <w:pPr>
          <w:pStyle w:val="Encabezado"/>
        </w:pPr>
        <w:r>
          <w:t xml:space="preserve">Página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p w14:paraId="57CD36BE" w14:textId="77777777" w:rsidR="00F315C1" w:rsidRDefault="00F315C1" w:rsidP="00F315C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DB54" w14:textId="77777777" w:rsidR="00F315C1" w:rsidRDefault="00F315C1" w:rsidP="00F315C1">
    <w:pPr>
      <w:pStyle w:val="Encabezado"/>
      <w:jc w:val="center"/>
    </w:pPr>
    <w:r>
      <w:rPr>
        <w:rFonts w:ascii="Arial" w:hAnsi="Arial" w:cs="Arial"/>
        <w:i/>
        <w:iCs/>
        <w:noProof/>
        <w:color w:val="333333"/>
        <w:shd w:val="clear" w:color="auto" w:fill="FFFFFF"/>
      </w:rPr>
      <w:drawing>
        <wp:inline distT="0" distB="0" distL="0" distR="0" wp14:anchorId="541DF84F" wp14:editId="1CCBC219">
          <wp:extent cx="1709213" cy="419100"/>
          <wp:effectExtent l="0" t="0" r="5715" b="0"/>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82444" cy="437056"/>
                  </a:xfrm>
                  <a:prstGeom prst="rect">
                    <a:avLst/>
                  </a:prstGeom>
                </pic:spPr>
              </pic:pic>
            </a:graphicData>
          </a:graphic>
        </wp:inline>
      </w:drawing>
    </w:r>
  </w:p>
  <w:p w14:paraId="4280F17E" w14:textId="77777777" w:rsidR="00F315C1" w:rsidRDefault="00F315C1" w:rsidP="00F315C1">
    <w:pPr>
      <w:pStyle w:val="Encabezado"/>
      <w:jc w:val="center"/>
    </w:pPr>
  </w:p>
  <w:p w14:paraId="67BD4FA7" w14:textId="77777777" w:rsidR="00F315C1" w:rsidRPr="00E16B08" w:rsidRDefault="00F315C1" w:rsidP="00F315C1">
    <w:pPr>
      <w:pStyle w:val="Encabezado"/>
      <w:tabs>
        <w:tab w:val="right" w:pos="9214"/>
      </w:tabs>
      <w:ind w:left="-851" w:right="-568"/>
      <w:rPr>
        <w:rFonts w:ascii="Arial" w:hAnsi="Arial" w:cs="Arial"/>
        <w:i/>
        <w:iCs/>
        <w:color w:val="333333"/>
        <w:shd w:val="clear" w:color="auto" w:fill="FFFFFF"/>
      </w:rPr>
    </w:pPr>
    <w:r w:rsidRPr="00E16B08">
      <w:rPr>
        <w:rFonts w:ascii="Arial" w:hAnsi="Arial" w:cs="Arial"/>
        <w:i/>
        <w:iCs/>
        <w:color w:val="333333"/>
        <w:shd w:val="clear" w:color="auto" w:fill="FFFFFF"/>
      </w:rPr>
      <w:t>Tomás Soley Pérez</w:t>
    </w:r>
  </w:p>
  <w:p w14:paraId="64A5B48C" w14:textId="77777777" w:rsidR="00F315C1" w:rsidRDefault="00F315C1" w:rsidP="00F315C1">
    <w:pPr>
      <w:pStyle w:val="Encabezado"/>
      <w:tabs>
        <w:tab w:val="right" w:pos="9214"/>
      </w:tabs>
      <w:ind w:left="-851" w:right="-568"/>
      <w:rPr>
        <w:rFonts w:ascii="Arial" w:hAnsi="Arial" w:cs="Arial"/>
        <w:i/>
      </w:rPr>
    </w:pPr>
    <w:r w:rsidRPr="00B97F72">
      <w:rPr>
        <w:rFonts w:ascii="Arial" w:hAnsi="Arial" w:cs="Arial"/>
        <w:i/>
      </w:rPr>
      <w:t>Superintendente General</w:t>
    </w:r>
    <w:r w:rsidRPr="00E16B08">
      <w:rPr>
        <w:rFonts w:ascii="Arial" w:hAnsi="Arial" w:cs="Arial"/>
        <w:i/>
      </w:rPr>
      <w:t xml:space="preserve"> </w:t>
    </w:r>
    <w:r w:rsidRPr="00B97F72">
      <w:rPr>
        <w:rFonts w:ascii="Arial" w:hAnsi="Arial" w:cs="Arial"/>
        <w:i/>
      </w:rPr>
      <w:t>de Valores</w:t>
    </w:r>
  </w:p>
  <w:p w14:paraId="440C5ADE" w14:textId="77777777" w:rsidR="00F315C1" w:rsidRDefault="00F315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A0C"/>
    <w:multiLevelType w:val="hybridMultilevel"/>
    <w:tmpl w:val="028C2EEA"/>
    <w:lvl w:ilvl="0" w:tplc="0CCC61C8">
      <w:start w:val="1"/>
      <w:numFmt w:val="decimal"/>
      <w:pStyle w:val="Numeracin"/>
      <w:lvlText w:val="%1."/>
      <w:lvlJc w:val="left"/>
      <w:pPr>
        <w:ind w:left="1636" w:hanging="360"/>
      </w:pPr>
      <w:rPr>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9F5247E"/>
    <w:multiLevelType w:val="hybridMultilevel"/>
    <w:tmpl w:val="A0D6A23C"/>
    <w:lvl w:ilvl="0" w:tplc="A58C6C6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C50570"/>
    <w:multiLevelType w:val="hybridMultilevel"/>
    <w:tmpl w:val="EC40DA36"/>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5B1243"/>
    <w:multiLevelType w:val="hybridMultilevel"/>
    <w:tmpl w:val="7C36CA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979DC"/>
    <w:multiLevelType w:val="hybridMultilevel"/>
    <w:tmpl w:val="49DE3816"/>
    <w:lvl w:ilvl="0" w:tplc="A97686DC">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76C3292"/>
    <w:multiLevelType w:val="hybridMultilevel"/>
    <w:tmpl w:val="36DE43A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B46130"/>
    <w:multiLevelType w:val="hybridMultilevel"/>
    <w:tmpl w:val="E638B832"/>
    <w:lvl w:ilvl="0" w:tplc="F0D26780">
      <w:start w:val="1"/>
      <w:numFmt w:val="decimal"/>
      <w:lvlText w:val="%1."/>
      <w:lvlJc w:val="left"/>
      <w:pPr>
        <w:ind w:left="720" w:hanging="360"/>
      </w:pPr>
      <w:rPr>
        <w:b w:val="0"/>
        <w:i w:val="0"/>
        <w:strike w:val="0"/>
        <w:dstrike w:val="0"/>
        <w:color w:val="000000" w:themeColor="text1"/>
        <w:u w:val="none"/>
        <w:effect w:val="none"/>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1AD755F0"/>
    <w:multiLevelType w:val="hybridMultilevel"/>
    <w:tmpl w:val="94A025A8"/>
    <w:lvl w:ilvl="0" w:tplc="140A000F">
      <w:start w:val="1"/>
      <w:numFmt w:val="decimal"/>
      <w:lvlText w:val="%1."/>
      <w:lvlJc w:val="left"/>
      <w:pPr>
        <w:ind w:left="720" w:hanging="360"/>
      </w:pPr>
      <w:rPr>
        <w:b w:val="0"/>
      </w:rPr>
    </w:lvl>
    <w:lvl w:ilvl="1" w:tplc="24705A70">
      <w:start w:val="1"/>
      <w:numFmt w:val="lowerLetter"/>
      <w:lvlText w:val="%2)"/>
      <w:lvlJc w:val="left"/>
      <w:pPr>
        <w:ind w:left="1980" w:hanging="90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1C023D6D"/>
    <w:multiLevelType w:val="hybridMultilevel"/>
    <w:tmpl w:val="317246F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CAF0AF1"/>
    <w:multiLevelType w:val="hybridMultilevel"/>
    <w:tmpl w:val="E53CAC24"/>
    <w:lvl w:ilvl="0" w:tplc="140A0017">
      <w:start w:val="1"/>
      <w:numFmt w:val="lowerLetter"/>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26320113"/>
    <w:multiLevelType w:val="hybridMultilevel"/>
    <w:tmpl w:val="B2806FD8"/>
    <w:lvl w:ilvl="0" w:tplc="25C68C8E">
      <w:start w:val="1"/>
      <w:numFmt w:val="lowerLetter"/>
      <w:lvlText w:val="%1)"/>
      <w:lvlJc w:val="left"/>
      <w:pPr>
        <w:ind w:left="720" w:hanging="360"/>
      </w:pPr>
      <w:rPr>
        <w:b/>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 w15:restartNumberingAfterBreak="0">
    <w:nsid w:val="26AC5608"/>
    <w:multiLevelType w:val="hybridMultilevel"/>
    <w:tmpl w:val="D7B0357E"/>
    <w:lvl w:ilvl="0" w:tplc="991095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590C3D"/>
    <w:multiLevelType w:val="hybridMultilevel"/>
    <w:tmpl w:val="4156CA24"/>
    <w:lvl w:ilvl="0" w:tplc="140A0017">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3" w15:restartNumberingAfterBreak="0">
    <w:nsid w:val="33E76D4B"/>
    <w:multiLevelType w:val="hybridMultilevel"/>
    <w:tmpl w:val="28222946"/>
    <w:lvl w:ilvl="0" w:tplc="D40A2CA4">
      <w:start w:val="1"/>
      <w:numFmt w:val="lowerLetter"/>
      <w:lvlText w:val="%1)"/>
      <w:lvlJc w:val="left"/>
      <w:pPr>
        <w:ind w:left="1211" w:hanging="360"/>
      </w:pPr>
      <w:rPr>
        <w:b w:val="0"/>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340E389B"/>
    <w:multiLevelType w:val="hybridMultilevel"/>
    <w:tmpl w:val="95B26758"/>
    <w:lvl w:ilvl="0" w:tplc="15548D88">
      <w:start w:val="1"/>
      <w:numFmt w:val="lowerLetter"/>
      <w:lvlText w:val="%1)"/>
      <w:lvlJc w:val="left"/>
      <w:pPr>
        <w:ind w:left="720" w:hanging="360"/>
      </w:pPr>
      <w:rPr>
        <w:rFonts w:hint="default"/>
        <w:b w:val="0"/>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5105EC9"/>
    <w:multiLevelType w:val="hybridMultilevel"/>
    <w:tmpl w:val="D16492A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57B7CF3"/>
    <w:multiLevelType w:val="hybridMultilevel"/>
    <w:tmpl w:val="3A3C8AC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7DF231C"/>
    <w:multiLevelType w:val="hybridMultilevel"/>
    <w:tmpl w:val="486CB57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A3307E1"/>
    <w:multiLevelType w:val="hybridMultilevel"/>
    <w:tmpl w:val="DBDE65DA"/>
    <w:lvl w:ilvl="0" w:tplc="140A001B">
      <w:start w:val="1"/>
      <w:numFmt w:val="lowerRoman"/>
      <w:lvlText w:val="%1."/>
      <w:lvlJc w:val="right"/>
      <w:pPr>
        <w:ind w:left="1776" w:hanging="360"/>
      </w:pPr>
      <w:rPr>
        <w:b w:val="0"/>
        <w:bCs/>
      </w:rPr>
    </w:lvl>
    <w:lvl w:ilvl="1" w:tplc="140A0019">
      <w:start w:val="1"/>
      <w:numFmt w:val="lowerLetter"/>
      <w:lvlText w:val="%2."/>
      <w:lvlJc w:val="left"/>
      <w:pPr>
        <w:ind w:left="2005" w:hanging="360"/>
      </w:pPr>
    </w:lvl>
    <w:lvl w:ilvl="2" w:tplc="140A001B">
      <w:start w:val="1"/>
      <w:numFmt w:val="lowerRoman"/>
      <w:lvlText w:val="%3."/>
      <w:lvlJc w:val="right"/>
      <w:pPr>
        <w:ind w:left="2725" w:hanging="180"/>
      </w:pPr>
    </w:lvl>
    <w:lvl w:ilvl="3" w:tplc="140A000F">
      <w:start w:val="1"/>
      <w:numFmt w:val="decimal"/>
      <w:lvlText w:val="%4."/>
      <w:lvlJc w:val="left"/>
      <w:pPr>
        <w:ind w:left="3445" w:hanging="360"/>
      </w:pPr>
    </w:lvl>
    <w:lvl w:ilvl="4" w:tplc="140A0019">
      <w:start w:val="1"/>
      <w:numFmt w:val="lowerLetter"/>
      <w:lvlText w:val="%5."/>
      <w:lvlJc w:val="left"/>
      <w:pPr>
        <w:ind w:left="4165" w:hanging="360"/>
      </w:pPr>
    </w:lvl>
    <w:lvl w:ilvl="5" w:tplc="140A001B">
      <w:start w:val="1"/>
      <w:numFmt w:val="lowerRoman"/>
      <w:lvlText w:val="%6."/>
      <w:lvlJc w:val="right"/>
      <w:pPr>
        <w:ind w:left="4885" w:hanging="180"/>
      </w:pPr>
    </w:lvl>
    <w:lvl w:ilvl="6" w:tplc="140A000F">
      <w:start w:val="1"/>
      <w:numFmt w:val="decimal"/>
      <w:lvlText w:val="%7."/>
      <w:lvlJc w:val="left"/>
      <w:pPr>
        <w:ind w:left="5605" w:hanging="360"/>
      </w:pPr>
    </w:lvl>
    <w:lvl w:ilvl="7" w:tplc="140A0019">
      <w:start w:val="1"/>
      <w:numFmt w:val="lowerLetter"/>
      <w:lvlText w:val="%8."/>
      <w:lvlJc w:val="left"/>
      <w:pPr>
        <w:ind w:left="6325" w:hanging="360"/>
      </w:pPr>
    </w:lvl>
    <w:lvl w:ilvl="8" w:tplc="140A001B">
      <w:start w:val="1"/>
      <w:numFmt w:val="lowerRoman"/>
      <w:lvlText w:val="%9."/>
      <w:lvlJc w:val="right"/>
      <w:pPr>
        <w:ind w:left="7045" w:hanging="180"/>
      </w:pPr>
    </w:lvl>
  </w:abstractNum>
  <w:abstractNum w:abstractNumId="19" w15:restartNumberingAfterBreak="0">
    <w:nsid w:val="3AE359D2"/>
    <w:multiLevelType w:val="multilevel"/>
    <w:tmpl w:val="82A0C576"/>
    <w:lvl w:ilvl="0">
      <w:start w:val="3"/>
      <w:numFmt w:val="decimal"/>
      <w:lvlText w:val="%1."/>
      <w:lvlJc w:val="left"/>
      <w:pPr>
        <w:tabs>
          <w:tab w:val="num" w:pos="360"/>
        </w:tabs>
        <w:ind w:left="360" w:hanging="360"/>
      </w:pPr>
      <w:rPr>
        <w:rFonts w:hint="default"/>
        <w:b/>
        <w:i w:val="0"/>
        <w:color w:val="FFFFFF"/>
        <w:sz w:val="4"/>
        <w:szCs w:val="4"/>
      </w:rPr>
    </w:lvl>
    <w:lvl w:ilvl="1">
      <w:start w:val="1"/>
      <w:numFmt w:val="decimal"/>
      <w:lvlText w:val="%1.%2."/>
      <w:lvlJc w:val="left"/>
      <w:pPr>
        <w:tabs>
          <w:tab w:val="num" w:pos="792"/>
        </w:tabs>
        <w:ind w:left="792" w:hanging="432"/>
      </w:pPr>
      <w:rPr>
        <w:rFonts w:hint="default"/>
        <w:b w:val="0"/>
        <w:i w:val="0"/>
        <w:sz w:val="22"/>
        <w:szCs w:val="16"/>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b w:val="0"/>
      </w:rPr>
    </w:lvl>
    <w:lvl w:ilvl="5">
      <w:start w:val="1"/>
      <w:numFmt w:val="decimal"/>
      <w:lvlText w:val="%1.%2.%3.%4.%5.%6."/>
      <w:lvlJc w:val="left"/>
      <w:pPr>
        <w:tabs>
          <w:tab w:val="num" w:pos="2736"/>
        </w:tabs>
        <w:ind w:left="2736" w:hanging="936"/>
      </w:pPr>
      <w:rPr>
        <w:rFonts w:hint="default"/>
        <w:b w:val="0"/>
      </w:rPr>
    </w:lvl>
    <w:lvl w:ilvl="6">
      <w:start w:val="1"/>
      <w:numFmt w:val="decimal"/>
      <w:lvlText w:val="%1.%2.%3.%4.%5.%6.%7."/>
      <w:lvlJc w:val="left"/>
      <w:pPr>
        <w:tabs>
          <w:tab w:val="num" w:pos="3240"/>
        </w:tabs>
        <w:ind w:left="3240" w:hanging="1080"/>
      </w:pPr>
      <w:rPr>
        <w:rFonts w:hint="default"/>
        <w:b w:val="0"/>
      </w:rPr>
    </w:lvl>
    <w:lvl w:ilvl="7">
      <w:start w:val="1"/>
      <w:numFmt w:val="decimal"/>
      <w:lvlText w:val="%1.%2.%3.%4.%5.%6.%7.%8."/>
      <w:lvlJc w:val="left"/>
      <w:pPr>
        <w:tabs>
          <w:tab w:val="num" w:pos="3744"/>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0" w15:restartNumberingAfterBreak="0">
    <w:nsid w:val="3F346C2E"/>
    <w:multiLevelType w:val="hybridMultilevel"/>
    <w:tmpl w:val="34448716"/>
    <w:lvl w:ilvl="0" w:tplc="31A0341A">
      <w:start w:val="1"/>
      <w:numFmt w:val="lowerLetter"/>
      <w:pStyle w:val="incisos"/>
      <w:lvlText w:val="%1)"/>
      <w:lvlJc w:val="left"/>
      <w:pPr>
        <w:tabs>
          <w:tab w:val="num" w:pos="609"/>
        </w:tabs>
        <w:ind w:left="609" w:hanging="339"/>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2806BEA"/>
    <w:multiLevelType w:val="hybridMultilevel"/>
    <w:tmpl w:val="9D32FF9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468169F"/>
    <w:multiLevelType w:val="hybridMultilevel"/>
    <w:tmpl w:val="95B267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440118"/>
    <w:multiLevelType w:val="hybridMultilevel"/>
    <w:tmpl w:val="4E7A1A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C4C50FB"/>
    <w:multiLevelType w:val="hybridMultilevel"/>
    <w:tmpl w:val="28222946"/>
    <w:lvl w:ilvl="0" w:tplc="D40A2CA4">
      <w:start w:val="1"/>
      <w:numFmt w:val="lowerLetter"/>
      <w:lvlText w:val="%1)"/>
      <w:lvlJc w:val="left"/>
      <w:pPr>
        <w:ind w:left="1211" w:hanging="360"/>
      </w:pPr>
      <w:rPr>
        <w:b w:val="0"/>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4EAC58FF"/>
    <w:multiLevelType w:val="hybridMultilevel"/>
    <w:tmpl w:val="E7F66E6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ED50A52"/>
    <w:multiLevelType w:val="hybridMultilevel"/>
    <w:tmpl w:val="B85E8EB4"/>
    <w:lvl w:ilvl="0" w:tplc="D4CC4FE6">
      <w:start w:val="1"/>
      <w:numFmt w:val="upperLetter"/>
      <w:pStyle w:val="Ttulo5"/>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31F95"/>
    <w:multiLevelType w:val="hybridMultilevel"/>
    <w:tmpl w:val="1C4C0AF0"/>
    <w:lvl w:ilvl="0" w:tplc="DBC48464">
      <w:start w:val="1"/>
      <w:numFmt w:val="lowerLetter"/>
      <w:lvlText w:val="%1)"/>
      <w:lvlJc w:val="left"/>
      <w:pPr>
        <w:ind w:left="1211" w:hanging="360"/>
      </w:pPr>
      <w:rPr>
        <w:b w:val="0"/>
        <w:bC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8" w15:restartNumberingAfterBreak="0">
    <w:nsid w:val="78BE6843"/>
    <w:multiLevelType w:val="hybridMultilevel"/>
    <w:tmpl w:val="1D2C7C32"/>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D920D3B"/>
    <w:multiLevelType w:val="hybridMultilevel"/>
    <w:tmpl w:val="0066AC7C"/>
    <w:lvl w:ilvl="0" w:tplc="17AA22B4">
      <w:start w:val="1"/>
      <w:numFmt w:val="decimal"/>
      <w:lvlText w:val="%1."/>
      <w:lvlJc w:val="righ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80599694">
    <w:abstractNumId w:val="0"/>
  </w:num>
  <w:num w:numId="2" w16cid:durableId="1892115046">
    <w:abstractNumId w:val="17"/>
  </w:num>
  <w:num w:numId="3" w16cid:durableId="1729693726">
    <w:abstractNumId w:val="0"/>
  </w:num>
  <w:num w:numId="4" w16cid:durableId="22942556">
    <w:abstractNumId w:val="26"/>
  </w:num>
  <w:num w:numId="5" w16cid:durableId="1350327926">
    <w:abstractNumId w:val="21"/>
  </w:num>
  <w:num w:numId="6" w16cid:durableId="1522471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308965">
    <w:abstractNumId w:val="2"/>
  </w:num>
  <w:num w:numId="8" w16cid:durableId="2073380497">
    <w:abstractNumId w:val="11"/>
  </w:num>
  <w:num w:numId="9" w16cid:durableId="854806986">
    <w:abstractNumId w:val="5"/>
  </w:num>
  <w:num w:numId="10" w16cid:durableId="1681421402">
    <w:abstractNumId w:val="29"/>
  </w:num>
  <w:num w:numId="11" w16cid:durableId="848789309">
    <w:abstractNumId w:val="19"/>
  </w:num>
  <w:num w:numId="12" w16cid:durableId="40711204">
    <w:abstractNumId w:val="8"/>
  </w:num>
  <w:num w:numId="13" w16cid:durableId="494615109">
    <w:abstractNumId w:val="23"/>
  </w:num>
  <w:num w:numId="14" w16cid:durableId="710569491">
    <w:abstractNumId w:val="16"/>
  </w:num>
  <w:num w:numId="15" w16cid:durableId="1873226650">
    <w:abstractNumId w:val="28"/>
  </w:num>
  <w:num w:numId="16" w16cid:durableId="91713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77817">
    <w:abstractNumId w:val="12"/>
  </w:num>
  <w:num w:numId="18" w16cid:durableId="507981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0834">
    <w:abstractNumId w:val="27"/>
  </w:num>
  <w:num w:numId="20" w16cid:durableId="487672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7667106">
    <w:abstractNumId w:val="7"/>
  </w:num>
  <w:num w:numId="22" w16cid:durableId="1197307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396774">
    <w:abstractNumId w:val="6"/>
  </w:num>
  <w:num w:numId="24" w16cid:durableId="548419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0136011">
    <w:abstractNumId w:val="10"/>
  </w:num>
  <w:num w:numId="26" w16cid:durableId="630479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8649663">
    <w:abstractNumId w:val="13"/>
  </w:num>
  <w:num w:numId="28" w16cid:durableId="2120372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1871218">
    <w:abstractNumId w:val="24"/>
  </w:num>
  <w:num w:numId="30" w16cid:durableId="8667930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5868905">
    <w:abstractNumId w:val="1"/>
  </w:num>
  <w:num w:numId="32" w16cid:durableId="1111902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902757">
    <w:abstractNumId w:val="18"/>
  </w:num>
  <w:num w:numId="34" w16cid:durableId="114257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8903407">
    <w:abstractNumId w:val="9"/>
  </w:num>
  <w:num w:numId="36" w16cid:durableId="68886855">
    <w:abstractNumId w:val="9"/>
    <w:lvlOverride w:ilvl="0">
      <w:startOverride w:val="1"/>
    </w:lvlOverride>
    <w:lvlOverride w:ilvl="1"/>
    <w:lvlOverride w:ilvl="2"/>
    <w:lvlOverride w:ilvl="3"/>
    <w:lvlOverride w:ilvl="4"/>
    <w:lvlOverride w:ilvl="5"/>
    <w:lvlOverride w:ilvl="6"/>
    <w:lvlOverride w:ilvl="7"/>
    <w:lvlOverride w:ilvl="8"/>
  </w:num>
  <w:num w:numId="37" w16cid:durableId="1301576630">
    <w:abstractNumId w:val="14"/>
  </w:num>
  <w:num w:numId="38" w16cid:durableId="988486026">
    <w:abstractNumId w:val="4"/>
  </w:num>
  <w:num w:numId="39" w16cid:durableId="1726754115">
    <w:abstractNumId w:val="15"/>
  </w:num>
  <w:num w:numId="40" w16cid:durableId="536814479">
    <w:abstractNumId w:val="25"/>
  </w:num>
  <w:num w:numId="41" w16cid:durableId="1195772742">
    <w:abstractNumId w:val="3"/>
  </w:num>
  <w:num w:numId="42" w16cid:durableId="10993261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hideSpellingErrors/>
  <w:hideGrammaticalErrors/>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8E"/>
    <w:rsid w:val="000012B9"/>
    <w:rsid w:val="00007263"/>
    <w:rsid w:val="00007388"/>
    <w:rsid w:val="00013194"/>
    <w:rsid w:val="00015BA6"/>
    <w:rsid w:val="00031E3C"/>
    <w:rsid w:val="000702E4"/>
    <w:rsid w:val="000C43F5"/>
    <w:rsid w:val="000C62EE"/>
    <w:rsid w:val="000D002B"/>
    <w:rsid w:val="000F2C32"/>
    <w:rsid w:val="000F4C2E"/>
    <w:rsid w:val="00122A5A"/>
    <w:rsid w:val="00131F23"/>
    <w:rsid w:val="00134708"/>
    <w:rsid w:val="00135F9E"/>
    <w:rsid w:val="00140973"/>
    <w:rsid w:val="00191A49"/>
    <w:rsid w:val="00191EE6"/>
    <w:rsid w:val="001B1484"/>
    <w:rsid w:val="001C2787"/>
    <w:rsid w:val="00211A42"/>
    <w:rsid w:val="00212A1A"/>
    <w:rsid w:val="00227AA2"/>
    <w:rsid w:val="0023160C"/>
    <w:rsid w:val="0023282E"/>
    <w:rsid w:val="00237AB7"/>
    <w:rsid w:val="002445BF"/>
    <w:rsid w:val="002462B7"/>
    <w:rsid w:val="00272406"/>
    <w:rsid w:val="002A0026"/>
    <w:rsid w:val="002F7927"/>
    <w:rsid w:val="0032775A"/>
    <w:rsid w:val="00341FBE"/>
    <w:rsid w:val="00344EB6"/>
    <w:rsid w:val="003452B3"/>
    <w:rsid w:val="003959B0"/>
    <w:rsid w:val="003B50ED"/>
    <w:rsid w:val="003D28AF"/>
    <w:rsid w:val="003F49C2"/>
    <w:rsid w:val="004333AA"/>
    <w:rsid w:val="00474E9A"/>
    <w:rsid w:val="004A41F7"/>
    <w:rsid w:val="004D06DA"/>
    <w:rsid w:val="004E2134"/>
    <w:rsid w:val="004F0CA7"/>
    <w:rsid w:val="00572619"/>
    <w:rsid w:val="00581D39"/>
    <w:rsid w:val="00596EA0"/>
    <w:rsid w:val="005A2450"/>
    <w:rsid w:val="005A768E"/>
    <w:rsid w:val="005D20EC"/>
    <w:rsid w:val="005D253F"/>
    <w:rsid w:val="005E6ECC"/>
    <w:rsid w:val="005E6FC5"/>
    <w:rsid w:val="00616D90"/>
    <w:rsid w:val="00625F75"/>
    <w:rsid w:val="0063177A"/>
    <w:rsid w:val="006354AB"/>
    <w:rsid w:val="00645E4B"/>
    <w:rsid w:val="00657F02"/>
    <w:rsid w:val="00660CC3"/>
    <w:rsid w:val="006A37D7"/>
    <w:rsid w:val="006A7010"/>
    <w:rsid w:val="006B1248"/>
    <w:rsid w:val="006B2DFC"/>
    <w:rsid w:val="006C1493"/>
    <w:rsid w:val="006E491B"/>
    <w:rsid w:val="006F13D3"/>
    <w:rsid w:val="007068C2"/>
    <w:rsid w:val="0076523E"/>
    <w:rsid w:val="00766A39"/>
    <w:rsid w:val="00772D1A"/>
    <w:rsid w:val="007829CD"/>
    <w:rsid w:val="00783B2C"/>
    <w:rsid w:val="007A5796"/>
    <w:rsid w:val="007B01E0"/>
    <w:rsid w:val="007B47E6"/>
    <w:rsid w:val="007B4C1A"/>
    <w:rsid w:val="007C4AD1"/>
    <w:rsid w:val="007F3A06"/>
    <w:rsid w:val="00801F0C"/>
    <w:rsid w:val="0082122F"/>
    <w:rsid w:val="00833C1D"/>
    <w:rsid w:val="0084108F"/>
    <w:rsid w:val="00854A31"/>
    <w:rsid w:val="00857030"/>
    <w:rsid w:val="008609CE"/>
    <w:rsid w:val="00873D09"/>
    <w:rsid w:val="00880E31"/>
    <w:rsid w:val="00891107"/>
    <w:rsid w:val="008A1054"/>
    <w:rsid w:val="008A65EE"/>
    <w:rsid w:val="008B2E01"/>
    <w:rsid w:val="008C1635"/>
    <w:rsid w:val="008C46F0"/>
    <w:rsid w:val="008E6D41"/>
    <w:rsid w:val="00900A20"/>
    <w:rsid w:val="009177C6"/>
    <w:rsid w:val="0093370A"/>
    <w:rsid w:val="0093499C"/>
    <w:rsid w:val="00973806"/>
    <w:rsid w:val="009759B1"/>
    <w:rsid w:val="00982F89"/>
    <w:rsid w:val="00984FF2"/>
    <w:rsid w:val="00987928"/>
    <w:rsid w:val="009B1939"/>
    <w:rsid w:val="009B31B2"/>
    <w:rsid w:val="009E0932"/>
    <w:rsid w:val="00A748BA"/>
    <w:rsid w:val="00AA48A8"/>
    <w:rsid w:val="00AB02A7"/>
    <w:rsid w:val="00AB0614"/>
    <w:rsid w:val="00AE1B7F"/>
    <w:rsid w:val="00AF6325"/>
    <w:rsid w:val="00B06690"/>
    <w:rsid w:val="00B2356E"/>
    <w:rsid w:val="00B261D9"/>
    <w:rsid w:val="00B44D0F"/>
    <w:rsid w:val="00B45F9C"/>
    <w:rsid w:val="00B65F0E"/>
    <w:rsid w:val="00BA5987"/>
    <w:rsid w:val="00BB66FE"/>
    <w:rsid w:val="00BC6949"/>
    <w:rsid w:val="00BE6057"/>
    <w:rsid w:val="00C15D6A"/>
    <w:rsid w:val="00C26D9C"/>
    <w:rsid w:val="00C34BC2"/>
    <w:rsid w:val="00C3550A"/>
    <w:rsid w:val="00CD5F5E"/>
    <w:rsid w:val="00CE0192"/>
    <w:rsid w:val="00CE39B3"/>
    <w:rsid w:val="00CF1CDA"/>
    <w:rsid w:val="00D25F34"/>
    <w:rsid w:val="00D27EA2"/>
    <w:rsid w:val="00D92327"/>
    <w:rsid w:val="00D9245A"/>
    <w:rsid w:val="00DD745F"/>
    <w:rsid w:val="00DE26A5"/>
    <w:rsid w:val="00DF6B05"/>
    <w:rsid w:val="00E13153"/>
    <w:rsid w:val="00E16B13"/>
    <w:rsid w:val="00E20BE6"/>
    <w:rsid w:val="00E642AA"/>
    <w:rsid w:val="00E72460"/>
    <w:rsid w:val="00ED49D9"/>
    <w:rsid w:val="00ED6F18"/>
    <w:rsid w:val="00F04BAF"/>
    <w:rsid w:val="00F315C1"/>
    <w:rsid w:val="00F37284"/>
    <w:rsid w:val="00F4079E"/>
    <w:rsid w:val="00F47843"/>
    <w:rsid w:val="00F517FE"/>
    <w:rsid w:val="00F52194"/>
    <w:rsid w:val="00F75A09"/>
    <w:rsid w:val="00F767F0"/>
    <w:rsid w:val="00F77EA4"/>
    <w:rsid w:val="00F87CD2"/>
    <w:rsid w:val="00FA5D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0487F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8E"/>
    <w:pPr>
      <w:spacing w:after="0" w:line="240" w:lineRule="auto"/>
    </w:pPr>
    <w:rPr>
      <w:rFonts w:ascii="Times New Roman" w:eastAsia="Times New Roman" w:hAnsi="Times New Roman" w:cs="Times New Roman"/>
      <w:szCs w:val="24"/>
      <w:lang w:val="es-ES" w:eastAsia="es-ES"/>
    </w:rPr>
  </w:style>
  <w:style w:type="paragraph" w:styleId="Ttulo1">
    <w:name w:val="heading 1"/>
    <w:basedOn w:val="Normal"/>
    <w:next w:val="Normal"/>
    <w:link w:val="Ttulo1Car"/>
    <w:uiPriority w:val="9"/>
    <w:qFormat/>
    <w:rsid w:val="00DF6B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CAPÍTULO,Car10"/>
    <w:basedOn w:val="Normal"/>
    <w:next w:val="Normal"/>
    <w:link w:val="Ttulo2Car"/>
    <w:uiPriority w:val="1"/>
    <w:semiHidden/>
    <w:unhideWhenUsed/>
    <w:qFormat/>
    <w:rsid w:val="00F87CD2"/>
    <w:pPr>
      <w:keepNext/>
      <w:jc w:val="both"/>
      <w:outlineLvl w:val="1"/>
    </w:pPr>
    <w:rPr>
      <w:sz w:val="28"/>
      <w:szCs w:val="20"/>
    </w:rPr>
  </w:style>
  <w:style w:type="paragraph" w:styleId="Ttulo4">
    <w:name w:val="heading 4"/>
    <w:basedOn w:val="Normal"/>
    <w:next w:val="Normal"/>
    <w:link w:val="Ttulo4Car"/>
    <w:uiPriority w:val="9"/>
    <w:semiHidden/>
    <w:unhideWhenUsed/>
    <w:qFormat/>
    <w:rsid w:val="000702E4"/>
    <w:pPr>
      <w:keepNext/>
      <w:keepLines/>
      <w:spacing w:before="40"/>
      <w:outlineLvl w:val="3"/>
    </w:pPr>
    <w:rPr>
      <w:rFonts w:asciiTheme="majorHAnsi" w:eastAsiaTheme="majorEastAsia" w:hAnsiTheme="majorHAnsi" w:cstheme="majorBidi"/>
      <w:i/>
      <w:iCs/>
      <w:color w:val="2F5496" w:themeColor="accent1" w:themeShade="BF"/>
      <w:lang w:val="es-CR"/>
    </w:rPr>
  </w:style>
  <w:style w:type="paragraph" w:styleId="Ttulo5">
    <w:name w:val="heading 5"/>
    <w:aliases w:val="ANEXO NIVEL 2"/>
    <w:basedOn w:val="Normal"/>
    <w:next w:val="Numeracin"/>
    <w:link w:val="Ttulo5Car"/>
    <w:qFormat/>
    <w:rsid w:val="003959B0"/>
    <w:pPr>
      <w:keepNext/>
      <w:numPr>
        <w:numId w:val="4"/>
      </w:numPr>
      <w:spacing w:before="120"/>
      <w:jc w:val="both"/>
      <w:outlineLvl w:val="4"/>
    </w:pPr>
    <w:rPr>
      <w:rFonts w:eastAsia="Arial Unicode MS"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reglamento">
    <w:name w:val="Texto de reglamento"/>
    <w:basedOn w:val="Normal"/>
    <w:link w:val="TextodereglamentoChar"/>
    <w:qFormat/>
    <w:rsid w:val="005A768E"/>
    <w:pPr>
      <w:spacing w:before="120"/>
      <w:jc w:val="both"/>
    </w:pPr>
  </w:style>
  <w:style w:type="paragraph" w:customStyle="1" w:styleId="Numeracin">
    <w:name w:val="Numeración"/>
    <w:basedOn w:val="Textodereglamento"/>
    <w:link w:val="NumeracinChar"/>
    <w:qFormat/>
    <w:rsid w:val="005A768E"/>
    <w:pPr>
      <w:numPr>
        <w:numId w:val="1"/>
      </w:numPr>
    </w:pPr>
  </w:style>
  <w:style w:type="character" w:customStyle="1" w:styleId="TextodereglamentoChar">
    <w:name w:val="Texto de reglamento Char"/>
    <w:link w:val="Textodereglamento"/>
    <w:rsid w:val="005A768E"/>
    <w:rPr>
      <w:rFonts w:ascii="Times New Roman" w:eastAsia="Times New Roman" w:hAnsi="Times New Roman" w:cs="Times New Roman"/>
      <w:szCs w:val="24"/>
      <w:lang w:val="es-ES" w:eastAsia="es-ES"/>
    </w:rPr>
  </w:style>
  <w:style w:type="character" w:customStyle="1" w:styleId="NumeracinChar">
    <w:name w:val="Numeración Char"/>
    <w:link w:val="Numeracin"/>
    <w:rsid w:val="005A768E"/>
    <w:rPr>
      <w:rFonts w:ascii="Times New Roman" w:eastAsia="Times New Roman" w:hAnsi="Times New Roman" w:cs="Times New Roman"/>
      <w:szCs w:val="24"/>
      <w:lang w:val="es-ES" w:eastAsia="es-ES"/>
    </w:rPr>
  </w:style>
  <w:style w:type="paragraph" w:styleId="Textoindependiente">
    <w:name w:val="Body Text"/>
    <w:basedOn w:val="Normal"/>
    <w:link w:val="TextoindependienteCar"/>
    <w:uiPriority w:val="99"/>
    <w:rsid w:val="005A768E"/>
    <w:pPr>
      <w:spacing w:after="120"/>
    </w:pPr>
  </w:style>
  <w:style w:type="character" w:customStyle="1" w:styleId="TextoindependienteCar">
    <w:name w:val="Texto independiente Car"/>
    <w:basedOn w:val="Fuentedeprrafopredeter"/>
    <w:link w:val="Textoindependiente"/>
    <w:uiPriority w:val="99"/>
    <w:rsid w:val="005A768E"/>
    <w:rPr>
      <w:rFonts w:ascii="Times New Roman" w:eastAsia="Times New Roman" w:hAnsi="Times New Roman" w:cs="Times New Roman"/>
      <w:szCs w:val="24"/>
      <w:lang w:val="es-ES" w:eastAsia="es-ES"/>
    </w:rPr>
  </w:style>
  <w:style w:type="paragraph" w:styleId="Prrafodelista">
    <w:name w:val="List Paragraph"/>
    <w:aliases w:val="Informe,Con viñetas,Normal con viñetas,3,Use Case List Paragraph,Bullet 1,List Paragraph 1,Numbered List Paragraph,Main numbered paragraph,Bullets,List Paragraph (numbered (a)),Akapit z listą BS,List_Paragraph,Multilevel para_II"/>
    <w:basedOn w:val="Normal"/>
    <w:link w:val="PrrafodelistaCar"/>
    <w:uiPriority w:val="34"/>
    <w:qFormat/>
    <w:rsid w:val="005A768E"/>
    <w:pPr>
      <w:ind w:left="720"/>
      <w:contextualSpacing/>
    </w:pPr>
  </w:style>
  <w:style w:type="paragraph" w:styleId="Textonotapie">
    <w:name w:val="footnote text"/>
    <w:aliases w:val="Car1,Footnote Text Char2,Footnote Text Char1 Char1,Footnote Text Char Char Char,Footnote Text Char1 Char Char Char,Footnote Text Char Char Char Char Char,Footnote Text Char1 Char Char Char Char Char,fn,single space"/>
    <w:basedOn w:val="Normal"/>
    <w:link w:val="TextonotapieCar"/>
    <w:unhideWhenUsed/>
    <w:rsid w:val="005A768E"/>
    <w:rPr>
      <w:sz w:val="20"/>
      <w:szCs w:val="20"/>
    </w:rPr>
  </w:style>
  <w:style w:type="character" w:customStyle="1" w:styleId="TextonotapieCar">
    <w:name w:val="Texto nota pie Car"/>
    <w:aliases w:val="Car1 Car,Footnote Text Char2 Car,Footnote Text Char1 Char1 Car,Footnote Text Char Char Char Car,Footnote Text Char1 Char Char Char Car,Footnote Text Char Char Char Char Char Car,Footnote Text Char1 Char Char Char Char Char Car,fn Car"/>
    <w:basedOn w:val="Fuentedeprrafopredeter"/>
    <w:link w:val="Textonotapie"/>
    <w:rsid w:val="005A768E"/>
    <w:rPr>
      <w:rFonts w:ascii="Times New Roman" w:eastAsia="Times New Roman" w:hAnsi="Times New Roman" w:cs="Times New Roman"/>
      <w:sz w:val="20"/>
      <w:szCs w:val="20"/>
      <w:lang w:val="es-ES" w:eastAsia="es-ES"/>
    </w:rPr>
  </w:style>
  <w:style w:type="character" w:styleId="Refdenotaalpie">
    <w:name w:val="footnote reference"/>
    <w:aliases w:val="Ref,de nota al pie,FC,ftref,referencia nota al pie,16 Point,Superscript 6 Point,BVI fnr,Footnote Reference Number,Footnote Reference_LVL6,Footnote Reference_LVL61,Footnote Reference_LVL62,Footnote Reference_LVL63,fr,Char Char1,titulo"/>
    <w:basedOn w:val="Fuentedeprrafopredeter"/>
    <w:uiPriority w:val="99"/>
    <w:unhideWhenUsed/>
    <w:qFormat/>
    <w:rsid w:val="005A768E"/>
    <w:rPr>
      <w:vertAlign w:val="superscript"/>
    </w:rPr>
  </w:style>
  <w:style w:type="paragraph" w:styleId="Encabezado">
    <w:name w:val="header"/>
    <w:basedOn w:val="Normal"/>
    <w:link w:val="EncabezadoCar"/>
    <w:uiPriority w:val="99"/>
    <w:unhideWhenUsed/>
    <w:rsid w:val="00CD5F5E"/>
    <w:pPr>
      <w:tabs>
        <w:tab w:val="center" w:pos="4419"/>
        <w:tab w:val="right" w:pos="8838"/>
      </w:tabs>
    </w:pPr>
  </w:style>
  <w:style w:type="character" w:customStyle="1" w:styleId="EncabezadoCar">
    <w:name w:val="Encabezado Car"/>
    <w:basedOn w:val="Fuentedeprrafopredeter"/>
    <w:link w:val="Encabezado"/>
    <w:uiPriority w:val="99"/>
    <w:rsid w:val="00CD5F5E"/>
    <w:rPr>
      <w:rFonts w:ascii="Times New Roman" w:eastAsia="Times New Roman" w:hAnsi="Times New Roman" w:cs="Times New Roman"/>
      <w:szCs w:val="24"/>
      <w:lang w:val="es-ES" w:eastAsia="es-ES"/>
    </w:rPr>
  </w:style>
  <w:style w:type="paragraph" w:styleId="Piedepgina">
    <w:name w:val="footer"/>
    <w:basedOn w:val="Normal"/>
    <w:link w:val="PiedepginaCar"/>
    <w:unhideWhenUsed/>
    <w:rsid w:val="00CD5F5E"/>
    <w:pPr>
      <w:tabs>
        <w:tab w:val="center" w:pos="4419"/>
        <w:tab w:val="right" w:pos="8838"/>
      </w:tabs>
    </w:pPr>
  </w:style>
  <w:style w:type="character" w:customStyle="1" w:styleId="PiedepginaCar">
    <w:name w:val="Pie de página Car"/>
    <w:basedOn w:val="Fuentedeprrafopredeter"/>
    <w:link w:val="Piedepgina"/>
    <w:rsid w:val="00CD5F5E"/>
    <w:rPr>
      <w:rFonts w:ascii="Times New Roman" w:eastAsia="Times New Roman" w:hAnsi="Times New Roman" w:cs="Times New Roman"/>
      <w:szCs w:val="24"/>
      <w:lang w:val="es-ES" w:eastAsia="es-ES"/>
    </w:rPr>
  </w:style>
  <w:style w:type="character" w:customStyle="1" w:styleId="Ttulo5Car">
    <w:name w:val="Título 5 Car"/>
    <w:aliases w:val="ANEXO NIVEL 2 Car"/>
    <w:basedOn w:val="Fuentedeprrafopredeter"/>
    <w:link w:val="Ttulo5"/>
    <w:rsid w:val="003959B0"/>
    <w:rPr>
      <w:rFonts w:ascii="Times New Roman" w:eastAsia="Arial Unicode MS" w:hAnsi="Times New Roman" w:cs="Arial"/>
      <w:b/>
      <w:lang w:val="es-ES" w:eastAsia="es-ES"/>
    </w:rPr>
  </w:style>
  <w:style w:type="character" w:customStyle="1" w:styleId="Ttulo1Car">
    <w:name w:val="Título 1 Car"/>
    <w:basedOn w:val="Fuentedeprrafopredeter"/>
    <w:link w:val="Ttulo1"/>
    <w:uiPriority w:val="9"/>
    <w:rsid w:val="00DF6B05"/>
    <w:rPr>
      <w:rFonts w:asciiTheme="majorHAnsi" w:eastAsiaTheme="majorEastAsia" w:hAnsiTheme="majorHAnsi" w:cstheme="majorBidi"/>
      <w:color w:val="2F5496" w:themeColor="accent1" w:themeShade="BF"/>
      <w:sz w:val="32"/>
      <w:szCs w:val="32"/>
      <w:lang w:val="es-ES" w:eastAsia="es-ES"/>
    </w:rPr>
  </w:style>
  <w:style w:type="paragraph" w:styleId="Ttulo">
    <w:name w:val="Title"/>
    <w:basedOn w:val="Normal"/>
    <w:link w:val="TtuloCar"/>
    <w:qFormat/>
    <w:rsid w:val="00DF6B05"/>
    <w:pPr>
      <w:widowControl w:val="0"/>
      <w:jc w:val="center"/>
      <w:outlineLvl w:val="0"/>
    </w:pPr>
    <w:rPr>
      <w:rFonts w:ascii="Arial" w:hAnsi="Arial"/>
      <w:b/>
      <w:i/>
      <w:sz w:val="24"/>
      <w:lang w:val="es-CR" w:eastAsia="en-US"/>
    </w:rPr>
  </w:style>
  <w:style w:type="character" w:customStyle="1" w:styleId="TtuloCar">
    <w:name w:val="Título Car"/>
    <w:basedOn w:val="Fuentedeprrafopredeter"/>
    <w:link w:val="Ttulo"/>
    <w:rsid w:val="00DF6B05"/>
    <w:rPr>
      <w:rFonts w:ascii="Arial" w:eastAsia="Times New Roman" w:hAnsi="Arial" w:cs="Times New Roman"/>
      <w:b/>
      <w:i/>
      <w:sz w:val="24"/>
      <w:szCs w:val="24"/>
    </w:rPr>
  </w:style>
  <w:style w:type="character" w:customStyle="1" w:styleId="PrrafodelistaCar">
    <w:name w:val="Párrafo de lista Car"/>
    <w:aliases w:val="Informe Car,Con viñetas Car,Normal con viñetas Car,3 Car,Use Case List Paragraph Car,Bullet 1 Car,List Paragraph 1 Car,Numbered List Paragraph Car,Main numbered paragraph Car,Bullets Car,List Paragraph (numbered (a)) Car"/>
    <w:link w:val="Prrafodelista"/>
    <w:uiPriority w:val="34"/>
    <w:qFormat/>
    <w:locked/>
    <w:rsid w:val="00DF6B05"/>
    <w:rPr>
      <w:rFonts w:ascii="Times New Roman" w:eastAsia="Times New Roman" w:hAnsi="Times New Roman" w:cs="Times New Roman"/>
      <w:szCs w:val="24"/>
      <w:lang w:val="es-ES" w:eastAsia="es-ES"/>
    </w:rPr>
  </w:style>
  <w:style w:type="character" w:customStyle="1" w:styleId="PuestoCar">
    <w:name w:val="Puesto Car"/>
    <w:uiPriority w:val="10"/>
    <w:rsid w:val="00DF6B05"/>
    <w:rPr>
      <w:rFonts w:ascii="Arial" w:eastAsia="Times New Roman" w:hAnsi="Arial" w:cs="Times New Roman"/>
      <w:b/>
      <w:i/>
      <w:sz w:val="24"/>
      <w:szCs w:val="24"/>
      <w:lang w:val="es-CR"/>
    </w:rPr>
  </w:style>
  <w:style w:type="paragraph" w:customStyle="1" w:styleId="incisos">
    <w:name w:val="incisos"/>
    <w:basedOn w:val="Normal"/>
    <w:qFormat/>
    <w:rsid w:val="00DF6B05"/>
    <w:pPr>
      <w:numPr>
        <w:numId w:val="6"/>
      </w:numPr>
      <w:spacing w:before="60"/>
      <w:jc w:val="both"/>
    </w:pPr>
    <w:rPr>
      <w:rFonts w:eastAsiaTheme="minorHAnsi"/>
      <w:szCs w:val="22"/>
      <w:lang w:val="es-CR"/>
    </w:rPr>
  </w:style>
  <w:style w:type="table" w:styleId="Tablaconcuadrcula">
    <w:name w:val="Table Grid"/>
    <w:basedOn w:val="Tablanormal"/>
    <w:uiPriority w:val="39"/>
    <w:rsid w:val="00DF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semiHidden/>
    <w:unhideWhenUsed/>
    <w:rsid w:val="000702E4"/>
    <w:pPr>
      <w:spacing w:after="120" w:line="480" w:lineRule="auto"/>
    </w:pPr>
  </w:style>
  <w:style w:type="character" w:customStyle="1" w:styleId="Textoindependiente2Car">
    <w:name w:val="Texto independiente 2 Car"/>
    <w:basedOn w:val="Fuentedeprrafopredeter"/>
    <w:link w:val="Textoindependiente2"/>
    <w:semiHidden/>
    <w:rsid w:val="000702E4"/>
    <w:rPr>
      <w:rFonts w:ascii="Times New Roman" w:eastAsia="Times New Roman" w:hAnsi="Times New Roman" w:cs="Times New Roman"/>
      <w:szCs w:val="24"/>
      <w:lang w:val="es-ES" w:eastAsia="es-ES"/>
    </w:rPr>
  </w:style>
  <w:style w:type="paragraph" w:styleId="Textoindependiente3">
    <w:name w:val="Body Text 3"/>
    <w:basedOn w:val="Normal"/>
    <w:link w:val="Textoindependiente3Car"/>
    <w:semiHidden/>
    <w:unhideWhenUsed/>
    <w:rsid w:val="000702E4"/>
    <w:pPr>
      <w:spacing w:after="120"/>
    </w:pPr>
    <w:rPr>
      <w:sz w:val="16"/>
      <w:szCs w:val="16"/>
    </w:rPr>
  </w:style>
  <w:style w:type="character" w:customStyle="1" w:styleId="Textoindependiente3Car">
    <w:name w:val="Texto independiente 3 Car"/>
    <w:basedOn w:val="Fuentedeprrafopredeter"/>
    <w:link w:val="Textoindependiente3"/>
    <w:semiHidden/>
    <w:rsid w:val="000702E4"/>
    <w:rPr>
      <w:rFonts w:ascii="Times New Roman" w:eastAsia="Times New Roman" w:hAnsi="Times New Roman" w:cs="Times New Roman"/>
      <w:sz w:val="16"/>
      <w:szCs w:val="16"/>
      <w:lang w:val="es-ES" w:eastAsia="es-ES"/>
    </w:rPr>
  </w:style>
  <w:style w:type="character" w:customStyle="1" w:styleId="Ttulo4Car">
    <w:name w:val="Título 4 Car"/>
    <w:basedOn w:val="Fuentedeprrafopredeter"/>
    <w:link w:val="Ttulo4"/>
    <w:uiPriority w:val="9"/>
    <w:semiHidden/>
    <w:rsid w:val="000702E4"/>
    <w:rPr>
      <w:rFonts w:asciiTheme="majorHAnsi" w:eastAsiaTheme="majorEastAsia" w:hAnsiTheme="majorHAnsi" w:cstheme="majorBidi"/>
      <w:i/>
      <w:iCs/>
      <w:color w:val="2F5496" w:themeColor="accent1" w:themeShade="BF"/>
      <w:szCs w:val="24"/>
      <w:lang w:eastAsia="es-ES"/>
    </w:rPr>
  </w:style>
  <w:style w:type="paragraph" w:customStyle="1" w:styleId="CNV">
    <w:name w:val="CNV"/>
    <w:basedOn w:val="Normal"/>
    <w:rsid w:val="000702E4"/>
    <w:pPr>
      <w:jc w:val="both"/>
    </w:pPr>
    <w:rPr>
      <w:sz w:val="24"/>
      <w:szCs w:val="20"/>
      <w:lang w:val="es-ES_tradnl" w:eastAsia="en-US"/>
    </w:rPr>
  </w:style>
  <w:style w:type="character" w:customStyle="1" w:styleId="Ttulo2Car">
    <w:name w:val="Título 2 Car"/>
    <w:aliases w:val="CAPÍTULO Car,Car10 Car"/>
    <w:basedOn w:val="Fuentedeprrafopredeter"/>
    <w:link w:val="Ttulo2"/>
    <w:uiPriority w:val="1"/>
    <w:semiHidden/>
    <w:rsid w:val="00F87CD2"/>
    <w:rPr>
      <w:rFonts w:ascii="Times New Roman" w:eastAsia="Times New Roman" w:hAnsi="Times New Roman" w:cs="Times New Roman"/>
      <w:sz w:val="28"/>
      <w:szCs w:val="20"/>
      <w:lang w:val="es-ES" w:eastAsia="es-ES"/>
    </w:rPr>
  </w:style>
  <w:style w:type="character" w:styleId="Hipervnculo">
    <w:name w:val="Hyperlink"/>
    <w:basedOn w:val="Fuentedeprrafopredeter"/>
    <w:uiPriority w:val="99"/>
    <w:unhideWhenUsed/>
    <w:rsid w:val="00F87CD2"/>
    <w:rPr>
      <w:color w:val="0563C1" w:themeColor="hyperlink"/>
      <w:u w:val="single"/>
    </w:rPr>
  </w:style>
  <w:style w:type="character" w:styleId="Hipervnculovisitado">
    <w:name w:val="FollowedHyperlink"/>
    <w:basedOn w:val="Fuentedeprrafopredeter"/>
    <w:uiPriority w:val="99"/>
    <w:semiHidden/>
    <w:unhideWhenUsed/>
    <w:rsid w:val="00F87CD2"/>
    <w:rPr>
      <w:color w:val="954F72" w:themeColor="followedHyperlink"/>
      <w:u w:val="single"/>
    </w:rPr>
  </w:style>
  <w:style w:type="character" w:customStyle="1" w:styleId="Ttulo2Car1">
    <w:name w:val="Título 2 Car1"/>
    <w:aliases w:val="CAPÍTULO Car1,Car10 Car1"/>
    <w:basedOn w:val="Fuentedeprrafopredeter"/>
    <w:uiPriority w:val="1"/>
    <w:semiHidden/>
    <w:rsid w:val="00F87CD2"/>
    <w:rPr>
      <w:rFonts w:asciiTheme="majorHAnsi" w:eastAsiaTheme="majorEastAsia" w:hAnsiTheme="majorHAnsi" w:cstheme="majorBidi"/>
      <w:color w:val="2F5496" w:themeColor="accent1" w:themeShade="BF"/>
      <w:sz w:val="26"/>
      <w:szCs w:val="26"/>
      <w:lang w:val="es-ES"/>
    </w:rPr>
  </w:style>
  <w:style w:type="paragraph" w:customStyle="1" w:styleId="msonormal0">
    <w:name w:val="msonormal"/>
    <w:basedOn w:val="Normal"/>
    <w:rsid w:val="00F87CD2"/>
    <w:pPr>
      <w:spacing w:before="100" w:beforeAutospacing="1" w:after="100" w:afterAutospacing="1"/>
    </w:pPr>
    <w:rPr>
      <w:sz w:val="24"/>
    </w:rPr>
  </w:style>
  <w:style w:type="character" w:customStyle="1" w:styleId="TextonotapieCar1">
    <w:name w:val="Texto nota pie Car1"/>
    <w:aliases w:val="Car1 Car1,Footnote Text Char2 Car1,Footnote Text Char1 Char1 Car1,Footnote Text Char Char Char Car1,Footnote Text Char1 Char Char Char Car1,Footnote Text Char Char Char Char Char Car1,Footnote Text Char1 Char Char Char Char Char Car1"/>
    <w:basedOn w:val="Fuentedeprrafopredeter"/>
    <w:semiHidden/>
    <w:rsid w:val="00F87CD2"/>
    <w:rPr>
      <w:rFonts w:ascii="Arial" w:hAnsi="Arial"/>
      <w:sz w:val="20"/>
      <w:szCs w:val="20"/>
      <w:lang w:val="es-ES"/>
    </w:rPr>
  </w:style>
  <w:style w:type="paragraph" w:styleId="Textocomentario">
    <w:name w:val="annotation text"/>
    <w:basedOn w:val="Normal"/>
    <w:link w:val="TextocomentarioCar"/>
    <w:uiPriority w:val="99"/>
    <w:semiHidden/>
    <w:unhideWhenUsed/>
    <w:rsid w:val="00F87CD2"/>
    <w:pPr>
      <w:spacing w:after="160"/>
    </w:pPr>
    <w:rPr>
      <w:rFonts w:ascii="Arial" w:eastAsiaTheme="minorHAnsi" w:hAnsi="Arial" w:cstheme="minorBidi"/>
      <w:sz w:val="20"/>
      <w:szCs w:val="20"/>
      <w:lang w:eastAsia="en-US"/>
    </w:rPr>
  </w:style>
  <w:style w:type="character" w:customStyle="1" w:styleId="TextocomentarioCar">
    <w:name w:val="Texto comentario Car"/>
    <w:basedOn w:val="Fuentedeprrafopredeter"/>
    <w:link w:val="Textocomentario"/>
    <w:uiPriority w:val="99"/>
    <w:semiHidden/>
    <w:rsid w:val="00F87CD2"/>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F87CD2"/>
    <w:rPr>
      <w:b/>
      <w:bCs/>
    </w:rPr>
  </w:style>
  <w:style w:type="character" w:customStyle="1" w:styleId="AsuntodelcomentarioCar">
    <w:name w:val="Asunto del comentario Car"/>
    <w:basedOn w:val="TextocomentarioCar"/>
    <w:link w:val="Asuntodelcomentario"/>
    <w:uiPriority w:val="99"/>
    <w:semiHidden/>
    <w:rsid w:val="00F87CD2"/>
    <w:rPr>
      <w:rFonts w:ascii="Arial" w:hAnsi="Arial"/>
      <w:b/>
      <w:bCs/>
      <w:sz w:val="20"/>
      <w:szCs w:val="20"/>
      <w:lang w:val="es-ES"/>
    </w:rPr>
  </w:style>
  <w:style w:type="paragraph" w:styleId="Textodeglobo">
    <w:name w:val="Balloon Text"/>
    <w:basedOn w:val="Normal"/>
    <w:link w:val="TextodegloboCar"/>
    <w:uiPriority w:val="99"/>
    <w:semiHidden/>
    <w:unhideWhenUsed/>
    <w:rsid w:val="00F87CD2"/>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F87CD2"/>
    <w:rPr>
      <w:rFonts w:ascii="Segoe UI" w:hAnsi="Segoe UI" w:cs="Segoe UI"/>
      <w:sz w:val="18"/>
      <w:szCs w:val="18"/>
      <w:lang w:val="es-ES"/>
    </w:rPr>
  </w:style>
  <w:style w:type="paragraph" w:styleId="Sinespaciado">
    <w:name w:val="No Spacing"/>
    <w:uiPriority w:val="1"/>
    <w:qFormat/>
    <w:rsid w:val="00F87CD2"/>
    <w:pPr>
      <w:spacing w:after="0" w:line="240" w:lineRule="auto"/>
    </w:pPr>
    <w:rPr>
      <w:rFonts w:ascii="Arial" w:hAnsi="Arial"/>
      <w:lang w:val="es-ES"/>
    </w:rPr>
  </w:style>
  <w:style w:type="character" w:styleId="Refdecomentario">
    <w:name w:val="annotation reference"/>
    <w:basedOn w:val="Fuentedeprrafopredeter"/>
    <w:uiPriority w:val="99"/>
    <w:semiHidden/>
    <w:unhideWhenUsed/>
    <w:rsid w:val="00F87CD2"/>
    <w:rPr>
      <w:sz w:val="16"/>
      <w:szCs w:val="16"/>
    </w:rPr>
  </w:style>
  <w:style w:type="table" w:customStyle="1" w:styleId="Tablaconcuadrcula1">
    <w:name w:val="Tabla con cuadrícula1"/>
    <w:basedOn w:val="Tablanormal"/>
    <w:uiPriority w:val="39"/>
    <w:rsid w:val="00F87C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F87C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F87C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E09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79773">
      <w:bodyDiv w:val="1"/>
      <w:marLeft w:val="0"/>
      <w:marRight w:val="0"/>
      <w:marTop w:val="0"/>
      <w:marBottom w:val="0"/>
      <w:divBdr>
        <w:top w:val="none" w:sz="0" w:space="0" w:color="auto"/>
        <w:left w:val="none" w:sz="0" w:space="0" w:color="auto"/>
        <w:bottom w:val="none" w:sz="0" w:space="0" w:color="auto"/>
        <w:right w:val="none" w:sz="0" w:space="0" w:color="auto"/>
      </w:divBdr>
    </w:div>
    <w:div w:id="511183756">
      <w:bodyDiv w:val="1"/>
      <w:marLeft w:val="0"/>
      <w:marRight w:val="0"/>
      <w:marTop w:val="0"/>
      <w:marBottom w:val="0"/>
      <w:divBdr>
        <w:top w:val="none" w:sz="0" w:space="0" w:color="auto"/>
        <w:left w:val="none" w:sz="0" w:space="0" w:color="auto"/>
        <w:bottom w:val="none" w:sz="0" w:space="0" w:color="auto"/>
        <w:right w:val="none" w:sz="0" w:space="0" w:color="auto"/>
      </w:divBdr>
    </w:div>
    <w:div w:id="815806799">
      <w:bodyDiv w:val="1"/>
      <w:marLeft w:val="0"/>
      <w:marRight w:val="0"/>
      <w:marTop w:val="0"/>
      <w:marBottom w:val="0"/>
      <w:divBdr>
        <w:top w:val="none" w:sz="0" w:space="0" w:color="auto"/>
        <w:left w:val="none" w:sz="0" w:space="0" w:color="auto"/>
        <w:bottom w:val="none" w:sz="0" w:space="0" w:color="auto"/>
        <w:right w:val="none" w:sz="0" w:space="0" w:color="auto"/>
      </w:divBdr>
    </w:div>
    <w:div w:id="885524761">
      <w:bodyDiv w:val="1"/>
      <w:marLeft w:val="0"/>
      <w:marRight w:val="0"/>
      <w:marTop w:val="0"/>
      <w:marBottom w:val="0"/>
      <w:divBdr>
        <w:top w:val="none" w:sz="0" w:space="0" w:color="auto"/>
        <w:left w:val="none" w:sz="0" w:space="0" w:color="auto"/>
        <w:bottom w:val="none" w:sz="0" w:space="0" w:color="auto"/>
        <w:right w:val="none" w:sz="0" w:space="0" w:color="auto"/>
      </w:divBdr>
    </w:div>
    <w:div w:id="899709922">
      <w:bodyDiv w:val="1"/>
      <w:marLeft w:val="0"/>
      <w:marRight w:val="0"/>
      <w:marTop w:val="0"/>
      <w:marBottom w:val="0"/>
      <w:divBdr>
        <w:top w:val="none" w:sz="0" w:space="0" w:color="auto"/>
        <w:left w:val="none" w:sz="0" w:space="0" w:color="auto"/>
        <w:bottom w:val="none" w:sz="0" w:space="0" w:color="auto"/>
        <w:right w:val="none" w:sz="0" w:space="0" w:color="auto"/>
      </w:divBdr>
    </w:div>
    <w:div w:id="904490104">
      <w:bodyDiv w:val="1"/>
      <w:marLeft w:val="0"/>
      <w:marRight w:val="0"/>
      <w:marTop w:val="0"/>
      <w:marBottom w:val="0"/>
      <w:divBdr>
        <w:top w:val="none" w:sz="0" w:space="0" w:color="auto"/>
        <w:left w:val="none" w:sz="0" w:space="0" w:color="auto"/>
        <w:bottom w:val="none" w:sz="0" w:space="0" w:color="auto"/>
        <w:right w:val="none" w:sz="0" w:space="0" w:color="auto"/>
      </w:divBdr>
    </w:div>
    <w:div w:id="1916431741">
      <w:bodyDiv w:val="1"/>
      <w:marLeft w:val="0"/>
      <w:marRight w:val="0"/>
      <w:marTop w:val="0"/>
      <w:marBottom w:val="0"/>
      <w:divBdr>
        <w:top w:val="none" w:sz="0" w:space="0" w:color="auto"/>
        <w:left w:val="none" w:sz="0" w:space="0" w:color="auto"/>
        <w:bottom w:val="none" w:sz="0" w:space="0" w:color="auto"/>
        <w:right w:val="none" w:sz="0" w:space="0" w:color="auto"/>
      </w:divBdr>
    </w:div>
    <w:div w:id="21013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Excel_97-2003_Worksheet1.xls"/><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2.xls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3.xlsx"/><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rreo@sugeval.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rreo@sugeval.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_rels/header3.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6477CF232ACD46B93353E93693837C" ma:contentTypeVersion="22" ma:contentTypeDescription="Crear nuevo documento." ma:contentTypeScope="" ma:versionID="771b5d109343a25d4f006d1cf9f2dd89">
  <xsd:schema xmlns:xsd="http://www.w3.org/2001/XMLSchema" xmlns:xs="http://www.w3.org/2001/XMLSchema" xmlns:p="http://schemas.microsoft.com/office/2006/metadata/properties" xmlns:ns2="315842a7-4cff-4ca6-8fb0-a6562d7ae952" xmlns:ns3="fc66ef79-2d66-4fa3-90bd-e4f186d8d369" targetNamespace="http://schemas.microsoft.com/office/2006/metadata/properties" ma:root="true" ma:fieldsID="92001fb5b952c810e9fd9ed66f8f92f8" ns2:_="" ns3:_="">
    <xsd:import namespace="315842a7-4cff-4ca6-8fb0-a6562d7ae952"/>
    <xsd:import namespace="fc66ef79-2d66-4fa3-90bd-e4f186d8d369"/>
    <xsd:element name="properties">
      <xsd:complexType>
        <xsd:sequence>
          <xsd:element name="documentManagement">
            <xsd:complexType>
              <xsd:all>
                <xsd:element ref="ns2:Estado" minOccurs="0"/>
                <xsd:element ref="ns2:Derogado_x0020_por_x003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842a7-4cff-4ca6-8fb0-a6562d7ae952" elementFormDefault="qualified">
    <xsd:import namespace="http://schemas.microsoft.com/office/2006/documentManagement/types"/>
    <xsd:import namespace="http://schemas.microsoft.com/office/infopath/2007/PartnerControls"/>
    <xsd:element name="Estado" ma:index="8" nillable="true" ma:displayName="Estado" ma:default="Consulta" ma:format="Dropdown" ma:internalName="Estado">
      <xsd:simpleType>
        <xsd:restriction base="dms:Choice">
          <xsd:enumeration value="Consulta"/>
          <xsd:enumeration value="Derogado"/>
          <xsd:enumeration value="Vigente"/>
        </xsd:restriction>
      </xsd:simpleType>
    </xsd:element>
    <xsd:element name="Derogado_x0020_por_x003a_" ma:index="9" nillable="true" ma:displayName="Derogado por:" ma:internalName="Derogado_x0020_por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6ef79-2d66-4fa3-90bd-e4f186d8d369"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Acuerd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ado xmlns="315842a7-4cff-4ca6-8fb0-a6562d7ae952">Vigente</Estado>
    <Derogado_x0020_por_x003a_ xmlns="315842a7-4cff-4ca6-8fb0-a6562d7ae952" xsi:nil="true"/>
  </documentManagement>
</p:properties>
</file>

<file path=customXml/itemProps1.xml><?xml version="1.0" encoding="utf-8"?>
<ds:datastoreItem xmlns:ds="http://schemas.openxmlformats.org/officeDocument/2006/customXml" ds:itemID="{B6C07638-A636-4D86-92A7-BC1B43A2C4E1}">
  <ds:schemaRefs>
    <ds:schemaRef ds:uri="http://schemas.openxmlformats.org/officeDocument/2006/bibliography"/>
  </ds:schemaRefs>
</ds:datastoreItem>
</file>

<file path=customXml/itemProps2.xml><?xml version="1.0" encoding="utf-8"?>
<ds:datastoreItem xmlns:ds="http://schemas.openxmlformats.org/officeDocument/2006/customXml" ds:itemID="{617B8116-E11C-4A97-8D81-C5C91E083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842a7-4cff-4ca6-8fb0-a6562d7ae952"/>
    <ds:schemaRef ds:uri="fc66ef79-2d66-4fa3-90bd-e4f186d8d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9F1B5-0751-4BDF-B416-158F280C575E}">
  <ds:schemaRefs>
    <ds:schemaRef ds:uri="http://schemas.microsoft.com/sharepoint/v3/contenttype/forms"/>
  </ds:schemaRefs>
</ds:datastoreItem>
</file>

<file path=customXml/itemProps4.xml><?xml version="1.0" encoding="utf-8"?>
<ds:datastoreItem xmlns:ds="http://schemas.openxmlformats.org/officeDocument/2006/customXml" ds:itemID="{5D50F0A3-A173-4B90-B383-33163E36363F}">
  <ds:schemaRefs>
    <ds:schemaRef ds:uri="http://schemas.microsoft.com/office/2006/metadata/properties"/>
    <ds:schemaRef ds:uri="http://schemas.microsoft.com/office/infopath/2007/PartnerControls"/>
    <ds:schemaRef ds:uri="315842a7-4cff-4ca6-8fb0-a6562d7ae9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2023-05-18T22:57:00Z</dcterms:created>
  <dcterms:modified xsi:type="dcterms:W3CDTF">2023-05-18T22:57:00Z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0x010100C66477CF232ACD46B93353E93693837C</vt:lpwstr>
  </property>
  <property fmtid="{D5CDD505-2E9C-101B-9397-08002B2CF9AE}" pid="3" name="MSIP_Label_b8b4be34-365a-4a68-b9fb-75c1b6874315_Enabled">
    <vt:lpwstr>true</vt:lpwstr>
  </property>
  <property fmtid="{D5CDD505-2E9C-101B-9397-08002B2CF9AE}" pid="4" name="MSIP_Label_b8b4be34-365a-4a68-b9fb-75c1b6874315_SetDate">
    <vt:lpwstr>2023-03-30T17:57:27Z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91647d7f-f71d-46a6-93cd-655aedfbf0bb</vt:lpwstr>
  </property>
  <property fmtid="{D5CDD505-2E9C-101B-9397-08002B2CF9AE}" pid="9" name="MSIP_Label_b8b4be34-365a-4a68-b9fb-75c1b6874315_ContentBits">
    <vt:lpwstr>2</vt:lpwstr>
  </property>
</Properties>
</file>