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21F9" w14:textId="77777777" w:rsidR="0088737C" w:rsidRDefault="0088737C" w:rsidP="0088737C">
      <w:pPr>
        <w:jc w:val="center"/>
        <w:rPr>
          <w:rFonts w:ascii="Arial" w:hAnsi="Arial" w:cs="Arial"/>
          <w:b/>
          <w:sz w:val="22"/>
          <w:szCs w:val="22"/>
          <w:lang w:val="es-MX"/>
        </w:rPr>
      </w:pPr>
      <w:r w:rsidRPr="0088737C">
        <w:rPr>
          <w:rFonts w:ascii="Arial" w:hAnsi="Arial" w:cs="Arial"/>
          <w:b/>
          <w:sz w:val="22"/>
          <w:szCs w:val="22"/>
          <w:lang w:val="es-CR"/>
        </w:rPr>
        <w:t>SGV-A-XXXX R</w:t>
      </w:r>
      <w:r>
        <w:rPr>
          <w:rFonts w:ascii="Arial" w:hAnsi="Arial" w:cs="Arial"/>
          <w:b/>
          <w:sz w:val="22"/>
          <w:szCs w:val="22"/>
          <w:lang w:val="es-CR"/>
        </w:rPr>
        <w:t>e</w:t>
      </w:r>
      <w:r w:rsidRPr="0088737C">
        <w:rPr>
          <w:rFonts w:ascii="Arial" w:hAnsi="Arial" w:cs="Arial"/>
          <w:b/>
          <w:sz w:val="22"/>
          <w:szCs w:val="22"/>
          <w:lang w:val="es-CR"/>
        </w:rPr>
        <w:t>forma int</w:t>
      </w:r>
      <w:r>
        <w:rPr>
          <w:rFonts w:ascii="Arial" w:hAnsi="Arial" w:cs="Arial"/>
          <w:b/>
          <w:sz w:val="22"/>
          <w:szCs w:val="22"/>
          <w:lang w:val="es-CR"/>
        </w:rPr>
        <w:t>egral al “</w:t>
      </w:r>
      <w:r w:rsidRPr="0088737C">
        <w:rPr>
          <w:rFonts w:ascii="Arial" w:hAnsi="Arial" w:cs="Arial"/>
          <w:b/>
          <w:sz w:val="22"/>
          <w:szCs w:val="22"/>
          <w:lang w:val="es-CR"/>
        </w:rPr>
        <w:t xml:space="preserve">SGV-A-161. </w:t>
      </w:r>
      <w:r>
        <w:rPr>
          <w:rFonts w:ascii="Arial" w:hAnsi="Arial" w:cs="Arial"/>
          <w:b/>
          <w:sz w:val="22"/>
          <w:szCs w:val="22"/>
          <w:lang w:val="es-MX"/>
        </w:rPr>
        <w:t>ACUERDO PARA LA IMPLANTACIÓN DEL REGLAMENTO DE COMPENSACIÓN Y LIQUIDACIÓN DE VALORES”</w:t>
      </w:r>
    </w:p>
    <w:p w14:paraId="359B1F21" w14:textId="77777777" w:rsidR="002A65D7" w:rsidRDefault="002A65D7" w:rsidP="002A65D7">
      <w:pPr>
        <w:jc w:val="both"/>
        <w:rPr>
          <w:rFonts w:ascii="Arial" w:hAnsi="Arial" w:cs="Arial"/>
          <w:sz w:val="22"/>
          <w:szCs w:val="22"/>
          <w:lang w:val="es-MX"/>
        </w:rPr>
      </w:pPr>
    </w:p>
    <w:p w14:paraId="1B060E61" w14:textId="77777777" w:rsidR="002A65D7" w:rsidRDefault="002A65D7" w:rsidP="002A65D7">
      <w:pPr>
        <w:rPr>
          <w:rFonts w:ascii="Arial" w:hAnsi="Arial" w:cs="Arial"/>
          <w:color w:val="000000"/>
          <w:sz w:val="18"/>
          <w:lang w:val="es-ES"/>
        </w:rPr>
      </w:pPr>
      <w:r>
        <w:rPr>
          <w:rFonts w:ascii="Arial" w:hAnsi="Arial" w:cs="Arial"/>
          <w:b/>
          <w:color w:val="000000"/>
          <w:sz w:val="22"/>
          <w:lang w:val="es-ES"/>
        </w:rPr>
        <w:t>Considerando</w:t>
      </w:r>
    </w:p>
    <w:p w14:paraId="52626D76" w14:textId="77777777" w:rsidR="002A65D7" w:rsidRDefault="002A65D7" w:rsidP="002A65D7">
      <w:pPr>
        <w:rPr>
          <w:rFonts w:ascii="Arial" w:hAnsi="Arial" w:cs="Arial"/>
          <w:sz w:val="22"/>
          <w:szCs w:val="22"/>
          <w:lang w:val="es-MX"/>
        </w:rPr>
      </w:pPr>
    </w:p>
    <w:p w14:paraId="250E39FC" w14:textId="77777777" w:rsidR="002A65D7" w:rsidRDefault="002A65D7" w:rsidP="002A65D7">
      <w:pPr>
        <w:pStyle w:val="Textoindependiente2"/>
        <w:numPr>
          <w:ilvl w:val="0"/>
          <w:numId w:val="1"/>
        </w:numPr>
        <w:ind w:hanging="540"/>
        <w:rPr>
          <w:rFonts w:ascii="Arial" w:hAnsi="Arial" w:cs="Arial"/>
          <w:szCs w:val="22"/>
        </w:rPr>
      </w:pPr>
      <w:r>
        <w:rPr>
          <w:rFonts w:ascii="Arial" w:hAnsi="Arial" w:cs="Arial"/>
          <w:szCs w:val="22"/>
        </w:rPr>
        <w:t>Mediante Artículo 9, del Acta de la Sesión 786-2009, celebrada el 12 de junio de 2009, el Consejo Nacional de Supervisión del Sistema Financiero aprobó el Reglamento de compensación y liquidación de valores</w:t>
      </w:r>
      <w:r w:rsidR="00E46EC2">
        <w:rPr>
          <w:rFonts w:ascii="Arial" w:hAnsi="Arial" w:cs="Arial"/>
          <w:szCs w:val="22"/>
        </w:rPr>
        <w:t>, Acuerdo SUGEVAL 10-09</w:t>
      </w:r>
      <w:r>
        <w:rPr>
          <w:rFonts w:ascii="Arial" w:hAnsi="Arial" w:cs="Arial"/>
          <w:szCs w:val="22"/>
        </w:rPr>
        <w:t xml:space="preserve">. Este reglamento fue modificado parcialmente mediante el Artículo x, del Acta de la Sesión xxx-2023, celebrada el </w:t>
      </w:r>
      <w:proofErr w:type="spellStart"/>
      <w:r>
        <w:rPr>
          <w:rFonts w:ascii="Arial" w:hAnsi="Arial" w:cs="Arial"/>
          <w:szCs w:val="22"/>
        </w:rPr>
        <w:t>xx</w:t>
      </w:r>
      <w:proofErr w:type="spellEnd"/>
      <w:r>
        <w:rPr>
          <w:rFonts w:ascii="Arial" w:hAnsi="Arial" w:cs="Arial"/>
          <w:szCs w:val="22"/>
        </w:rPr>
        <w:t xml:space="preserve"> de </w:t>
      </w:r>
      <w:proofErr w:type="spellStart"/>
      <w:r>
        <w:rPr>
          <w:rFonts w:ascii="Arial" w:hAnsi="Arial" w:cs="Arial"/>
          <w:szCs w:val="22"/>
        </w:rPr>
        <w:t>xxx</w:t>
      </w:r>
      <w:proofErr w:type="spellEnd"/>
      <w:r>
        <w:rPr>
          <w:rFonts w:ascii="Arial" w:hAnsi="Arial" w:cs="Arial"/>
          <w:szCs w:val="22"/>
        </w:rPr>
        <w:t xml:space="preserve"> de 2023.</w:t>
      </w:r>
    </w:p>
    <w:p w14:paraId="2DD34487" w14:textId="77777777" w:rsidR="002A65D7" w:rsidRDefault="002A65D7" w:rsidP="002A65D7">
      <w:pPr>
        <w:pStyle w:val="Textoindependiente2"/>
        <w:rPr>
          <w:rFonts w:ascii="Arial" w:hAnsi="Arial" w:cs="Arial"/>
          <w:szCs w:val="22"/>
        </w:rPr>
      </w:pPr>
    </w:p>
    <w:p w14:paraId="1CF8A990" w14:textId="77777777" w:rsidR="002A65D7" w:rsidRDefault="002A65D7" w:rsidP="002A65D7">
      <w:pPr>
        <w:pStyle w:val="Textoindependiente2"/>
        <w:numPr>
          <w:ilvl w:val="0"/>
          <w:numId w:val="1"/>
        </w:numPr>
        <w:ind w:hanging="540"/>
        <w:rPr>
          <w:rFonts w:ascii="Arial" w:hAnsi="Arial" w:cs="Arial"/>
          <w:szCs w:val="22"/>
        </w:rPr>
      </w:pPr>
      <w:r>
        <w:rPr>
          <w:rFonts w:ascii="Arial" w:hAnsi="Arial" w:cs="Arial"/>
          <w:szCs w:val="22"/>
        </w:rPr>
        <w:t>En dicho Reglamento se otorga al Superintendente potestad para definir algunos requerimientos operativos y técnicos mínimos a la actividad de compensación y liquidación.</w:t>
      </w:r>
    </w:p>
    <w:p w14:paraId="0A8DCDD6" w14:textId="77777777" w:rsidR="002A65D7" w:rsidRPr="0016403B" w:rsidRDefault="002A65D7" w:rsidP="002A65D7">
      <w:pPr>
        <w:pStyle w:val="Prrafodelista"/>
        <w:rPr>
          <w:rFonts w:ascii="Arial" w:hAnsi="Arial" w:cs="Arial"/>
          <w:szCs w:val="22"/>
          <w:lang w:val="es-CR"/>
        </w:rPr>
      </w:pPr>
    </w:p>
    <w:p w14:paraId="7D1E3A05" w14:textId="77777777" w:rsidR="001603F8" w:rsidRDefault="001603F8" w:rsidP="001603F8">
      <w:pPr>
        <w:pStyle w:val="Textoindependiente2"/>
        <w:numPr>
          <w:ilvl w:val="0"/>
          <w:numId w:val="1"/>
        </w:numPr>
        <w:ind w:hanging="540"/>
        <w:rPr>
          <w:rFonts w:ascii="Arial" w:hAnsi="Arial" w:cs="Arial"/>
          <w:szCs w:val="22"/>
          <w:lang w:val="es-MX"/>
        </w:rPr>
      </w:pPr>
      <w:r w:rsidRPr="001603F8">
        <w:rPr>
          <w:rFonts w:ascii="Arial" w:hAnsi="Arial" w:cs="Arial"/>
          <w:szCs w:val="22"/>
          <w:lang w:val="es-MX"/>
        </w:rPr>
        <w:t xml:space="preserve">El Reglamento General de Gestión de la Tecnología </w:t>
      </w:r>
      <w:r>
        <w:rPr>
          <w:rFonts w:ascii="Arial" w:hAnsi="Arial" w:cs="Arial"/>
          <w:szCs w:val="22"/>
          <w:lang w:val="es-MX"/>
        </w:rPr>
        <w:t>d</w:t>
      </w:r>
      <w:r w:rsidRPr="001603F8">
        <w:rPr>
          <w:rFonts w:ascii="Arial" w:hAnsi="Arial" w:cs="Arial"/>
          <w:szCs w:val="22"/>
          <w:lang w:val="es-MX"/>
        </w:rPr>
        <w:t>e Información, Acuerdo CONASSIF 5-17, aprobado por el CONASSIF mediante los artículos 9 y 11 de las actas de las sesiones 1318-2017 y 1319-2017, celebradas el 13 y el 20 de marzo del 2017 respectivamente, establece los requerimientos mínimos para la gestión de la tecnología de información que deben acatar las entidades supervisadas y reguladas del sistema financiero costarricense.</w:t>
      </w:r>
    </w:p>
    <w:p w14:paraId="0BA4C343" w14:textId="77777777" w:rsidR="001603F8" w:rsidRDefault="001603F8" w:rsidP="001603F8">
      <w:pPr>
        <w:pStyle w:val="Prrafodelista"/>
        <w:rPr>
          <w:rFonts w:ascii="Arial" w:hAnsi="Arial" w:cs="Arial"/>
          <w:szCs w:val="22"/>
          <w:lang w:val="es-MX"/>
        </w:rPr>
      </w:pPr>
    </w:p>
    <w:p w14:paraId="4AE3951D" w14:textId="77777777" w:rsidR="00E46EC2" w:rsidRDefault="00E46EC2" w:rsidP="00E46EC2">
      <w:pPr>
        <w:pStyle w:val="Textoindependiente2"/>
        <w:numPr>
          <w:ilvl w:val="0"/>
          <w:numId w:val="1"/>
        </w:numPr>
        <w:ind w:hanging="540"/>
        <w:rPr>
          <w:rFonts w:ascii="Arial" w:hAnsi="Arial" w:cs="Arial"/>
          <w:szCs w:val="22"/>
        </w:rPr>
      </w:pPr>
      <w:r>
        <w:rPr>
          <w:rFonts w:ascii="Arial" w:hAnsi="Arial" w:cs="Arial"/>
          <w:szCs w:val="22"/>
          <w:lang w:val="es-MX"/>
        </w:rPr>
        <w:t>De conformidad con el artículo 8 de la Ley Reguladora del Mercado de Valores corresponde al Superintendente adoptar todas las acciones necesarias para el cumplimiento efectivo de las funciones de regulación, fiscalización y supervisión que le competen a la Superintendencia General de Valores.</w:t>
      </w:r>
    </w:p>
    <w:p w14:paraId="17DC6715" w14:textId="77777777" w:rsidR="00E46EC2" w:rsidRDefault="00E46EC2" w:rsidP="00E46EC2">
      <w:pPr>
        <w:pStyle w:val="Textoindependiente2"/>
        <w:ind w:left="540"/>
        <w:rPr>
          <w:rFonts w:ascii="Arial" w:hAnsi="Arial" w:cs="Arial"/>
          <w:szCs w:val="22"/>
        </w:rPr>
      </w:pPr>
    </w:p>
    <w:p w14:paraId="7D6B5988" w14:textId="77777777" w:rsidR="002A65D7" w:rsidRDefault="002A65D7" w:rsidP="002A65D7">
      <w:pPr>
        <w:pStyle w:val="Textoindependiente2"/>
        <w:numPr>
          <w:ilvl w:val="0"/>
          <w:numId w:val="1"/>
        </w:numPr>
        <w:ind w:hanging="540"/>
        <w:rPr>
          <w:rFonts w:ascii="Arial" w:hAnsi="Arial" w:cs="Arial"/>
          <w:szCs w:val="22"/>
        </w:rPr>
      </w:pPr>
      <w:r>
        <w:rPr>
          <w:rFonts w:ascii="Arial" w:hAnsi="Arial" w:cs="Arial"/>
          <w:szCs w:val="22"/>
        </w:rPr>
        <w:t xml:space="preserve">El Superintendente </w:t>
      </w:r>
      <w:r w:rsidRPr="002A65D7">
        <w:rPr>
          <w:rFonts w:ascii="Arial" w:hAnsi="Arial" w:cs="Arial"/>
          <w:szCs w:val="22"/>
        </w:rPr>
        <w:t>General de Valores</w:t>
      </w:r>
      <w:r>
        <w:rPr>
          <w:rFonts w:ascii="Arial" w:hAnsi="Arial" w:cs="Arial"/>
          <w:szCs w:val="22"/>
        </w:rPr>
        <w:t xml:space="preserve">, emitió el acuerdo </w:t>
      </w:r>
      <w:r w:rsidRPr="002A65D7">
        <w:rPr>
          <w:rFonts w:ascii="Arial" w:hAnsi="Arial" w:cs="Arial"/>
          <w:szCs w:val="22"/>
        </w:rPr>
        <w:t xml:space="preserve">SGV-A-161 </w:t>
      </w:r>
      <w:r w:rsidRPr="002A65D7">
        <w:rPr>
          <w:rFonts w:ascii="Arial" w:hAnsi="Arial" w:cs="Arial"/>
          <w:i/>
          <w:iCs/>
          <w:szCs w:val="22"/>
        </w:rPr>
        <w:t>Acuerdo para la Implantación del Reglamento de Compensación y Liquidación de Valores</w:t>
      </w:r>
      <w:r w:rsidRPr="002A65D7">
        <w:rPr>
          <w:rFonts w:ascii="Arial" w:hAnsi="Arial" w:cs="Arial"/>
          <w:szCs w:val="22"/>
        </w:rPr>
        <w:t xml:space="preserve"> </w:t>
      </w:r>
      <w:r>
        <w:rPr>
          <w:rFonts w:ascii="Arial" w:hAnsi="Arial" w:cs="Arial"/>
          <w:szCs w:val="22"/>
        </w:rPr>
        <w:t xml:space="preserve">el 13 </w:t>
      </w:r>
      <w:r w:rsidRPr="002A65D7">
        <w:rPr>
          <w:rFonts w:ascii="Arial" w:hAnsi="Arial" w:cs="Arial"/>
          <w:szCs w:val="22"/>
        </w:rPr>
        <w:t xml:space="preserve">de octubre del </w:t>
      </w:r>
      <w:r>
        <w:rPr>
          <w:rFonts w:ascii="Arial" w:hAnsi="Arial" w:cs="Arial"/>
          <w:szCs w:val="22"/>
        </w:rPr>
        <w:t>2009, p</w:t>
      </w:r>
      <w:r w:rsidRPr="002A65D7">
        <w:rPr>
          <w:rFonts w:ascii="Arial" w:hAnsi="Arial" w:cs="Arial"/>
          <w:szCs w:val="22"/>
        </w:rPr>
        <w:t>ublicado en el Diario Oficial La Gaceta No. 43 del 3 de marzo del 2010.</w:t>
      </w:r>
      <w:r w:rsidR="0081133B">
        <w:rPr>
          <w:rFonts w:ascii="Arial" w:hAnsi="Arial" w:cs="Arial"/>
          <w:szCs w:val="22"/>
        </w:rPr>
        <w:t xml:space="preserve"> </w:t>
      </w:r>
      <w:r w:rsidR="002E317E">
        <w:rPr>
          <w:rFonts w:ascii="Arial" w:hAnsi="Arial" w:cs="Arial"/>
          <w:szCs w:val="22"/>
        </w:rPr>
        <w:t xml:space="preserve">En ocasión de la modificación parcial al </w:t>
      </w:r>
      <w:r w:rsidR="00E46EC2">
        <w:rPr>
          <w:rFonts w:ascii="Arial" w:hAnsi="Arial" w:cs="Arial"/>
          <w:szCs w:val="22"/>
        </w:rPr>
        <w:t>Acuerdo SUGEVAL 10-09, se hace necesario realizar una revisión y actualización del acuerdo en referencia.</w:t>
      </w:r>
    </w:p>
    <w:p w14:paraId="1A56AC7F" w14:textId="77777777" w:rsidR="002A65D7" w:rsidRDefault="002A65D7" w:rsidP="002A65D7">
      <w:pPr>
        <w:pStyle w:val="Textoindependiente2"/>
        <w:rPr>
          <w:rFonts w:ascii="Arial" w:hAnsi="Arial" w:cs="Arial"/>
          <w:szCs w:val="22"/>
          <w:lang w:val="es-MX"/>
        </w:rPr>
      </w:pPr>
    </w:p>
    <w:p w14:paraId="0A2441CE" w14:textId="77777777" w:rsidR="002A65D7" w:rsidRDefault="002A65D7" w:rsidP="002A65D7">
      <w:pPr>
        <w:pStyle w:val="Textoindependiente2"/>
        <w:rPr>
          <w:rFonts w:ascii="Arial" w:hAnsi="Arial" w:cs="Arial"/>
          <w:szCs w:val="22"/>
        </w:rPr>
      </w:pPr>
    </w:p>
    <w:p w14:paraId="2BFD421F" w14:textId="77777777" w:rsidR="002A65D7" w:rsidRDefault="002A65D7" w:rsidP="00204E4B">
      <w:pPr>
        <w:jc w:val="both"/>
        <w:outlineLvl w:val="0"/>
        <w:rPr>
          <w:rFonts w:ascii="Arial" w:hAnsi="Arial" w:cs="Arial"/>
          <w:b/>
          <w:sz w:val="22"/>
          <w:szCs w:val="22"/>
          <w:lang w:val="es-MX"/>
        </w:rPr>
      </w:pPr>
      <w:r>
        <w:rPr>
          <w:rFonts w:ascii="Arial" w:hAnsi="Arial" w:cs="Arial"/>
          <w:b/>
          <w:sz w:val="22"/>
          <w:szCs w:val="22"/>
          <w:lang w:val="es-CR"/>
        </w:rPr>
        <w:t xml:space="preserve">Por </w:t>
      </w:r>
      <w:r w:rsidR="00F860ED">
        <w:rPr>
          <w:rFonts w:ascii="Arial" w:hAnsi="Arial" w:cs="Arial"/>
          <w:b/>
          <w:sz w:val="22"/>
          <w:szCs w:val="22"/>
          <w:lang w:val="es-CR"/>
        </w:rPr>
        <w:t>tanto,</w:t>
      </w:r>
      <w:r>
        <w:rPr>
          <w:rFonts w:ascii="Arial" w:hAnsi="Arial" w:cs="Arial"/>
          <w:b/>
          <w:sz w:val="22"/>
          <w:szCs w:val="22"/>
          <w:lang w:val="es-CR"/>
        </w:rPr>
        <w:t xml:space="preserve"> dispone el presente acuerdo</w:t>
      </w:r>
      <w:r w:rsidR="00204E4B">
        <w:rPr>
          <w:rFonts w:ascii="Arial" w:hAnsi="Arial" w:cs="Arial"/>
          <w:b/>
          <w:sz w:val="22"/>
          <w:szCs w:val="22"/>
          <w:lang w:val="es-CR"/>
        </w:rPr>
        <w:t xml:space="preserve"> </w:t>
      </w:r>
      <w:r w:rsidR="0088737C" w:rsidRPr="0088737C">
        <w:rPr>
          <w:rFonts w:ascii="Arial" w:hAnsi="Arial" w:cs="Arial"/>
          <w:b/>
          <w:sz w:val="22"/>
          <w:szCs w:val="22"/>
          <w:lang w:val="es-CR"/>
        </w:rPr>
        <w:t>SGV-A-XXXX</w:t>
      </w:r>
      <w:r w:rsidR="00204E4B">
        <w:rPr>
          <w:rFonts w:ascii="Arial" w:hAnsi="Arial" w:cs="Arial"/>
          <w:b/>
          <w:sz w:val="22"/>
          <w:szCs w:val="22"/>
          <w:lang w:val="es-CR"/>
        </w:rPr>
        <w:t>:</w:t>
      </w:r>
    </w:p>
    <w:p w14:paraId="2DDE6146" w14:textId="77777777" w:rsidR="002E317E" w:rsidRDefault="002E317E" w:rsidP="00865390">
      <w:pPr>
        <w:rPr>
          <w:rFonts w:ascii="Arial" w:hAnsi="Arial" w:cs="Arial"/>
          <w:b/>
          <w:sz w:val="22"/>
          <w:szCs w:val="22"/>
          <w:lang w:val="es-MX"/>
        </w:rPr>
      </w:pPr>
    </w:p>
    <w:p w14:paraId="4746953E" w14:textId="77777777" w:rsidR="00865390" w:rsidRDefault="00865390" w:rsidP="00865390">
      <w:pPr>
        <w:pStyle w:val="Textodereglamento"/>
        <w:numPr>
          <w:ilvl w:val="0"/>
          <w:numId w:val="12"/>
        </w:numPr>
        <w:spacing w:before="0" w:line="276" w:lineRule="auto"/>
        <w:rPr>
          <w:rFonts w:ascii="Arial" w:hAnsi="Arial" w:cs="Arial"/>
          <w:b/>
          <w:szCs w:val="22"/>
          <w:lang w:val="es-CR"/>
        </w:rPr>
      </w:pPr>
      <w:r>
        <w:rPr>
          <w:rFonts w:ascii="Arial" w:hAnsi="Arial" w:cs="Arial"/>
          <w:b/>
          <w:szCs w:val="22"/>
          <w:lang w:val="es-CR"/>
        </w:rPr>
        <w:t>Reformar integralmente el texto del SGV-A-</w:t>
      </w:r>
      <w:r w:rsidR="00204E4B">
        <w:rPr>
          <w:rFonts w:ascii="Arial" w:hAnsi="Arial" w:cs="Arial"/>
          <w:b/>
          <w:szCs w:val="22"/>
          <w:lang w:val="es-CR"/>
        </w:rPr>
        <w:t>161</w:t>
      </w:r>
      <w:r>
        <w:rPr>
          <w:rFonts w:ascii="Arial" w:hAnsi="Arial" w:cs="Arial"/>
          <w:b/>
          <w:szCs w:val="22"/>
          <w:lang w:val="es-CR"/>
        </w:rPr>
        <w:t xml:space="preserve">, </w:t>
      </w:r>
      <w:r w:rsidR="00204E4B" w:rsidRPr="00204E4B">
        <w:rPr>
          <w:rFonts w:ascii="Arial" w:hAnsi="Arial" w:cs="Arial"/>
          <w:b/>
          <w:szCs w:val="22"/>
          <w:lang w:val="es-CR"/>
        </w:rPr>
        <w:t>ACUERDO PARA LA IMPLANTACIÓN DEL REGLAMENTO DE COMPENSACIÓN Y LIQUIDACIÓN DE VALORES</w:t>
      </w:r>
      <w:r>
        <w:rPr>
          <w:rFonts w:ascii="Arial" w:hAnsi="Arial" w:cs="Arial"/>
          <w:b/>
          <w:szCs w:val="22"/>
          <w:lang w:val="es-CR"/>
        </w:rPr>
        <w:t xml:space="preserve">, para que en adelante se lea de la siguiente forma: </w:t>
      </w:r>
    </w:p>
    <w:p w14:paraId="79D84B0E" w14:textId="77777777" w:rsidR="00865390" w:rsidRPr="00865390" w:rsidRDefault="00865390" w:rsidP="00865390">
      <w:pPr>
        <w:rPr>
          <w:rFonts w:ascii="Arial" w:hAnsi="Arial" w:cs="Arial"/>
          <w:b/>
          <w:sz w:val="22"/>
          <w:szCs w:val="22"/>
          <w:lang w:val="es-CR"/>
        </w:rPr>
      </w:pPr>
    </w:p>
    <w:p w14:paraId="79C448A0" w14:textId="77777777" w:rsidR="002E317E" w:rsidRDefault="00204E4B" w:rsidP="002A65D7">
      <w:pPr>
        <w:jc w:val="center"/>
        <w:rPr>
          <w:rFonts w:ascii="Arial" w:hAnsi="Arial" w:cs="Arial"/>
          <w:b/>
          <w:sz w:val="22"/>
          <w:szCs w:val="22"/>
          <w:lang w:val="es-MX"/>
        </w:rPr>
      </w:pPr>
      <w:r>
        <w:rPr>
          <w:rFonts w:ascii="Arial" w:hAnsi="Arial" w:cs="Arial"/>
          <w:b/>
          <w:szCs w:val="22"/>
          <w:lang w:val="es-CR"/>
        </w:rPr>
        <w:t xml:space="preserve">“SGV-A-161, </w:t>
      </w:r>
      <w:r w:rsidRPr="00204E4B">
        <w:rPr>
          <w:rFonts w:ascii="Arial" w:hAnsi="Arial" w:cs="Arial"/>
          <w:b/>
          <w:szCs w:val="22"/>
          <w:lang w:val="es-CR"/>
        </w:rPr>
        <w:t>ACUERDO PARA LA IMPLANTACIÓN DEL REGLAMENTO DE COMPENSACIÓN Y LIQUIDACIÓN DE VALORES</w:t>
      </w:r>
    </w:p>
    <w:p w14:paraId="7A231BBB" w14:textId="77777777" w:rsidR="002A65D7" w:rsidRDefault="002A65D7" w:rsidP="002A65D7">
      <w:pPr>
        <w:rPr>
          <w:rFonts w:ascii="Arial" w:hAnsi="Arial" w:cs="Arial"/>
          <w:b/>
          <w:color w:val="000000"/>
          <w:sz w:val="22"/>
          <w:szCs w:val="22"/>
          <w:lang w:val="es-MX"/>
        </w:rPr>
      </w:pPr>
    </w:p>
    <w:p w14:paraId="2FEBCDA5" w14:textId="77777777" w:rsidR="002A65D7" w:rsidRDefault="002A65D7" w:rsidP="002A65D7">
      <w:pPr>
        <w:rPr>
          <w:rFonts w:ascii="Arial" w:hAnsi="Arial" w:cs="Arial"/>
          <w:b/>
          <w:color w:val="000000"/>
          <w:sz w:val="22"/>
          <w:szCs w:val="22"/>
          <w:lang w:val="es-MX"/>
        </w:rPr>
      </w:pPr>
      <w:r>
        <w:rPr>
          <w:rFonts w:ascii="Arial" w:hAnsi="Arial" w:cs="Arial"/>
          <w:b/>
          <w:color w:val="000000"/>
          <w:sz w:val="22"/>
          <w:szCs w:val="22"/>
          <w:lang w:val="es-MX"/>
        </w:rPr>
        <w:t>Artículo 1.  Objeto</w:t>
      </w:r>
    </w:p>
    <w:p w14:paraId="043CFE66" w14:textId="77777777" w:rsidR="002A65D7" w:rsidRDefault="002A65D7" w:rsidP="002A65D7">
      <w:pPr>
        <w:rPr>
          <w:rFonts w:ascii="Arial" w:hAnsi="Arial" w:cs="Arial"/>
          <w:b/>
          <w:sz w:val="22"/>
          <w:szCs w:val="22"/>
          <w:lang w:val="es-MX"/>
        </w:rPr>
      </w:pPr>
    </w:p>
    <w:p w14:paraId="32F83F29" w14:textId="77777777" w:rsidR="002A65D7" w:rsidRDefault="002A65D7" w:rsidP="002A65D7">
      <w:pPr>
        <w:jc w:val="both"/>
        <w:rPr>
          <w:rFonts w:ascii="Arial" w:hAnsi="Arial" w:cs="Arial"/>
          <w:sz w:val="22"/>
          <w:szCs w:val="22"/>
          <w:lang w:val="es-MX"/>
        </w:rPr>
      </w:pPr>
      <w:r>
        <w:rPr>
          <w:rFonts w:ascii="Arial" w:hAnsi="Arial" w:cs="Arial"/>
          <w:sz w:val="22"/>
          <w:szCs w:val="22"/>
          <w:lang w:val="es-MX"/>
        </w:rPr>
        <w:t>El presente Acuerdo tiene como propósito establecer las disposiciones técnicas, operativas y de control que le han sido encomendadas al Superintendente General de Valores en el Reglamento de compensación y liquidación de valores (en adelante Reglamento).</w:t>
      </w:r>
    </w:p>
    <w:p w14:paraId="789BD2E5" w14:textId="77777777" w:rsidR="002A65D7" w:rsidRDefault="002A65D7" w:rsidP="002A65D7">
      <w:pPr>
        <w:jc w:val="both"/>
        <w:rPr>
          <w:rFonts w:ascii="Arial" w:hAnsi="Arial" w:cs="Arial"/>
          <w:b/>
          <w:sz w:val="22"/>
          <w:szCs w:val="22"/>
          <w:lang w:val="es-MX"/>
        </w:rPr>
      </w:pPr>
    </w:p>
    <w:p w14:paraId="0CF69494" w14:textId="77777777" w:rsidR="002A65D7" w:rsidRDefault="002A65D7" w:rsidP="002A65D7">
      <w:pPr>
        <w:jc w:val="both"/>
        <w:rPr>
          <w:rFonts w:ascii="Arial" w:hAnsi="Arial" w:cs="Arial"/>
          <w:b/>
          <w:bCs/>
          <w:color w:val="000000"/>
          <w:sz w:val="22"/>
          <w:szCs w:val="22"/>
          <w:lang w:val="es-MX"/>
        </w:rPr>
      </w:pPr>
      <w:r>
        <w:rPr>
          <w:rFonts w:ascii="Arial" w:hAnsi="Arial" w:cs="Arial"/>
          <w:b/>
          <w:bCs/>
          <w:color w:val="000000"/>
          <w:sz w:val="22"/>
          <w:szCs w:val="22"/>
          <w:lang w:val="es-MX"/>
        </w:rPr>
        <w:lastRenderedPageBreak/>
        <w:t>Artículo 2.  Requerimientos de tecnología de información para las entidades de compensación y liquidación.</w:t>
      </w:r>
    </w:p>
    <w:p w14:paraId="6AAEAF21" w14:textId="77777777" w:rsidR="002A65D7" w:rsidRDefault="002A65D7" w:rsidP="002A65D7">
      <w:pPr>
        <w:jc w:val="both"/>
        <w:rPr>
          <w:rFonts w:ascii="Arial" w:hAnsi="Arial" w:cs="Arial"/>
          <w:b/>
          <w:bCs/>
          <w:sz w:val="22"/>
          <w:szCs w:val="22"/>
          <w:lang w:val="es-MX"/>
        </w:rPr>
      </w:pPr>
    </w:p>
    <w:p w14:paraId="4A817C20" w14:textId="77777777" w:rsidR="009A3106" w:rsidRPr="009A3106" w:rsidRDefault="009A3106" w:rsidP="009A3106">
      <w:pPr>
        <w:jc w:val="both"/>
        <w:rPr>
          <w:rFonts w:ascii="Arial" w:hAnsi="Arial" w:cs="Arial"/>
          <w:sz w:val="22"/>
          <w:szCs w:val="22"/>
          <w:lang w:val="es-MX"/>
        </w:rPr>
      </w:pPr>
      <w:r w:rsidRPr="009A3106">
        <w:rPr>
          <w:rFonts w:ascii="Arial" w:hAnsi="Arial" w:cs="Arial"/>
          <w:sz w:val="22"/>
          <w:szCs w:val="22"/>
          <w:lang w:val="es-MX"/>
        </w:rPr>
        <w:t xml:space="preserve">Las </w:t>
      </w:r>
      <w:r>
        <w:rPr>
          <w:rFonts w:ascii="Arial" w:hAnsi="Arial" w:cs="Arial"/>
          <w:sz w:val="22"/>
          <w:szCs w:val="22"/>
          <w:lang w:val="es-MX"/>
        </w:rPr>
        <w:t>entidades de compensación y liquidación</w:t>
      </w:r>
      <w:r w:rsidRPr="009A3106">
        <w:rPr>
          <w:rFonts w:ascii="Arial" w:hAnsi="Arial" w:cs="Arial"/>
          <w:sz w:val="22"/>
          <w:szCs w:val="22"/>
          <w:lang w:val="es-MX"/>
        </w:rPr>
        <w:t xml:space="preserve"> deben establecer marcos de gestión de la Tecnología de la Información en atención a lo dispuesto en el Acuerdo CONASSIF 5-17 Reglamento General de Gestión de la Tecnología de Información.</w:t>
      </w:r>
    </w:p>
    <w:p w14:paraId="6483AA1F" w14:textId="77777777" w:rsidR="004A5400" w:rsidRDefault="004A5400" w:rsidP="009A3106">
      <w:pPr>
        <w:jc w:val="both"/>
        <w:rPr>
          <w:rFonts w:ascii="Arial" w:hAnsi="Arial" w:cs="Arial"/>
          <w:sz w:val="22"/>
          <w:szCs w:val="22"/>
          <w:lang w:val="es-MX"/>
        </w:rPr>
      </w:pPr>
    </w:p>
    <w:p w14:paraId="2A224094" w14:textId="77777777" w:rsidR="009A3106" w:rsidRPr="009A3106" w:rsidRDefault="00EE5CFC" w:rsidP="009A3106">
      <w:pPr>
        <w:jc w:val="both"/>
        <w:rPr>
          <w:rFonts w:ascii="Arial" w:hAnsi="Arial" w:cs="Arial"/>
          <w:sz w:val="22"/>
          <w:szCs w:val="22"/>
          <w:lang w:val="es-MX"/>
        </w:rPr>
      </w:pPr>
      <w:r>
        <w:rPr>
          <w:rFonts w:ascii="Arial" w:hAnsi="Arial" w:cs="Arial"/>
          <w:sz w:val="22"/>
          <w:szCs w:val="22"/>
          <w:lang w:val="es-MX"/>
        </w:rPr>
        <w:t xml:space="preserve">Además, </w:t>
      </w:r>
      <w:r w:rsidR="009A3106" w:rsidRPr="009A3106">
        <w:rPr>
          <w:rFonts w:ascii="Arial" w:hAnsi="Arial" w:cs="Arial"/>
          <w:sz w:val="22"/>
          <w:szCs w:val="22"/>
          <w:lang w:val="es-MX"/>
        </w:rPr>
        <w:t xml:space="preserve">las </w:t>
      </w:r>
      <w:r w:rsidR="004A5400">
        <w:rPr>
          <w:rFonts w:ascii="Arial" w:hAnsi="Arial" w:cs="Arial"/>
          <w:sz w:val="22"/>
          <w:szCs w:val="22"/>
          <w:lang w:val="es-MX"/>
        </w:rPr>
        <w:t>entidades de compensación y liquidación</w:t>
      </w:r>
      <w:r w:rsidR="004A5400" w:rsidRPr="009A3106">
        <w:rPr>
          <w:rFonts w:ascii="Arial" w:hAnsi="Arial" w:cs="Arial"/>
          <w:sz w:val="22"/>
          <w:szCs w:val="22"/>
          <w:lang w:val="es-MX"/>
        </w:rPr>
        <w:t xml:space="preserve"> </w:t>
      </w:r>
      <w:r w:rsidR="009A3106" w:rsidRPr="009A3106">
        <w:rPr>
          <w:rFonts w:ascii="Arial" w:hAnsi="Arial" w:cs="Arial"/>
          <w:sz w:val="22"/>
          <w:szCs w:val="22"/>
          <w:lang w:val="es-MX"/>
        </w:rPr>
        <w:t xml:space="preserve">deben considerar los siguientes </w:t>
      </w:r>
      <w:r w:rsidR="004A5400">
        <w:rPr>
          <w:rFonts w:ascii="Arial" w:hAnsi="Arial" w:cs="Arial"/>
          <w:sz w:val="22"/>
          <w:szCs w:val="22"/>
          <w:lang w:val="es-MX"/>
        </w:rPr>
        <w:t>requisitos tecnológicos</w:t>
      </w:r>
      <w:r w:rsidR="009A3106" w:rsidRPr="009A3106">
        <w:rPr>
          <w:rFonts w:ascii="Arial" w:hAnsi="Arial" w:cs="Arial"/>
          <w:sz w:val="22"/>
          <w:szCs w:val="22"/>
          <w:lang w:val="es-MX"/>
        </w:rPr>
        <w:t>:</w:t>
      </w:r>
    </w:p>
    <w:p w14:paraId="7F143505" w14:textId="77777777" w:rsidR="009A3106" w:rsidRDefault="009A3106" w:rsidP="002A65D7">
      <w:pPr>
        <w:jc w:val="both"/>
        <w:rPr>
          <w:rFonts w:ascii="Arial" w:hAnsi="Arial" w:cs="Arial"/>
          <w:sz w:val="22"/>
          <w:szCs w:val="22"/>
          <w:lang w:val="es-MX"/>
        </w:rPr>
      </w:pPr>
    </w:p>
    <w:p w14:paraId="4542F70E" w14:textId="77777777" w:rsidR="00874C12" w:rsidRDefault="00874C12" w:rsidP="002A65D7">
      <w:pPr>
        <w:jc w:val="both"/>
        <w:rPr>
          <w:rFonts w:ascii="Arial" w:hAnsi="Arial" w:cs="Arial"/>
          <w:sz w:val="22"/>
          <w:szCs w:val="22"/>
          <w:lang w:val="es-MX"/>
        </w:rPr>
      </w:pPr>
    </w:p>
    <w:p w14:paraId="350C9FD7" w14:textId="77777777" w:rsidR="002A65D7" w:rsidRDefault="002A65D7" w:rsidP="002A65D7">
      <w:pPr>
        <w:pStyle w:val="Prrafodelista"/>
        <w:numPr>
          <w:ilvl w:val="0"/>
          <w:numId w:val="2"/>
        </w:numPr>
        <w:ind w:left="567" w:hanging="501"/>
        <w:jc w:val="both"/>
        <w:rPr>
          <w:rFonts w:ascii="Arial" w:hAnsi="Arial" w:cs="Arial"/>
          <w:sz w:val="22"/>
          <w:szCs w:val="22"/>
          <w:lang w:val="es-MX"/>
        </w:rPr>
      </w:pPr>
      <w:r>
        <w:rPr>
          <w:rFonts w:ascii="Arial" w:hAnsi="Arial" w:cs="Arial"/>
          <w:sz w:val="22"/>
          <w:szCs w:val="22"/>
          <w:lang w:val="es-MX"/>
        </w:rPr>
        <w:t xml:space="preserve">Aseguramiento de los canales de comunicación por medio de mecanismos que garanticen la privacidad de la información. </w:t>
      </w:r>
    </w:p>
    <w:p w14:paraId="405CC715" w14:textId="77777777" w:rsidR="002A65D7" w:rsidRDefault="002A65D7" w:rsidP="004701AA">
      <w:pPr>
        <w:pStyle w:val="Prrafodelista"/>
        <w:ind w:left="567"/>
        <w:jc w:val="both"/>
        <w:rPr>
          <w:rFonts w:ascii="Arial" w:hAnsi="Arial" w:cs="Arial"/>
          <w:sz w:val="22"/>
          <w:szCs w:val="22"/>
          <w:lang w:val="es-MX"/>
        </w:rPr>
      </w:pPr>
    </w:p>
    <w:p w14:paraId="424E5183" w14:textId="77777777" w:rsidR="00F14284" w:rsidRPr="004701AA" w:rsidRDefault="00F14284" w:rsidP="004701AA">
      <w:pPr>
        <w:pStyle w:val="Prrafodelista"/>
        <w:numPr>
          <w:ilvl w:val="0"/>
          <w:numId w:val="2"/>
        </w:numPr>
        <w:ind w:left="567" w:hanging="501"/>
        <w:jc w:val="both"/>
        <w:rPr>
          <w:rFonts w:ascii="Arial" w:hAnsi="Arial" w:cs="Arial"/>
          <w:sz w:val="22"/>
          <w:szCs w:val="22"/>
          <w:lang w:val="es-MX"/>
        </w:rPr>
      </w:pPr>
      <w:r w:rsidRPr="004701AA">
        <w:rPr>
          <w:rFonts w:ascii="Arial" w:hAnsi="Arial" w:cs="Arial"/>
          <w:sz w:val="22"/>
          <w:szCs w:val="22"/>
          <w:lang w:val="es-MX"/>
        </w:rPr>
        <w:t>Contar con mecanismos de seguridad física y lógica de la información que le permitan preservar y garantizar su inviolabilidad, integridad y confidencialidad, que impidan la alteración de la información.</w:t>
      </w:r>
    </w:p>
    <w:p w14:paraId="5199E31C" w14:textId="77777777" w:rsidR="002A65D7" w:rsidRPr="004701AA" w:rsidRDefault="002A65D7" w:rsidP="00CB3407">
      <w:pPr>
        <w:pStyle w:val="Prrafodelista"/>
        <w:ind w:left="567"/>
        <w:jc w:val="both"/>
        <w:rPr>
          <w:rFonts w:ascii="Arial" w:hAnsi="Arial" w:cs="Arial"/>
          <w:sz w:val="22"/>
          <w:szCs w:val="22"/>
          <w:lang w:val="es-MX"/>
        </w:rPr>
      </w:pPr>
    </w:p>
    <w:p w14:paraId="17AA7ED1" w14:textId="77777777" w:rsidR="00CB3407" w:rsidRPr="00CB3407" w:rsidRDefault="00CB3407" w:rsidP="00CB3407">
      <w:pPr>
        <w:pStyle w:val="Prrafodelista"/>
        <w:numPr>
          <w:ilvl w:val="0"/>
          <w:numId w:val="2"/>
        </w:numPr>
        <w:ind w:left="567" w:hanging="501"/>
        <w:jc w:val="both"/>
        <w:rPr>
          <w:rFonts w:ascii="Arial" w:hAnsi="Arial" w:cs="Arial"/>
          <w:sz w:val="22"/>
          <w:szCs w:val="22"/>
          <w:lang w:val="es-MX"/>
        </w:rPr>
      </w:pPr>
      <w:r w:rsidRPr="00CB3407">
        <w:rPr>
          <w:rFonts w:ascii="Arial" w:hAnsi="Arial" w:cs="Arial"/>
          <w:sz w:val="22"/>
          <w:szCs w:val="22"/>
          <w:lang w:val="es-MX"/>
        </w:rPr>
        <w:t>Mecanismos de gestión del riesgo específicos en el ámbito de las tecnologías de la información y la comunicación.</w:t>
      </w:r>
    </w:p>
    <w:p w14:paraId="02CFE302" w14:textId="77777777" w:rsidR="00CB3407" w:rsidRDefault="00CB3407" w:rsidP="00CB3407">
      <w:pPr>
        <w:pStyle w:val="Prrafodelista"/>
        <w:ind w:left="567"/>
        <w:jc w:val="both"/>
        <w:rPr>
          <w:rFonts w:ascii="Arial" w:hAnsi="Arial" w:cs="Arial"/>
          <w:sz w:val="22"/>
          <w:szCs w:val="22"/>
          <w:lang w:val="es-MX"/>
        </w:rPr>
      </w:pPr>
    </w:p>
    <w:p w14:paraId="7C447759" w14:textId="77777777" w:rsidR="00CB3407" w:rsidRPr="00CB3407" w:rsidRDefault="00CB3407" w:rsidP="00CB3407">
      <w:pPr>
        <w:pStyle w:val="Prrafodelista"/>
        <w:numPr>
          <w:ilvl w:val="0"/>
          <w:numId w:val="2"/>
        </w:numPr>
        <w:ind w:left="567" w:hanging="501"/>
        <w:jc w:val="both"/>
        <w:rPr>
          <w:rFonts w:ascii="Arial" w:hAnsi="Arial" w:cs="Arial"/>
          <w:sz w:val="22"/>
          <w:szCs w:val="22"/>
          <w:lang w:val="es-MX"/>
        </w:rPr>
      </w:pPr>
      <w:r w:rsidRPr="00CB3407">
        <w:rPr>
          <w:rFonts w:ascii="Arial" w:hAnsi="Arial" w:cs="Arial"/>
          <w:sz w:val="22"/>
          <w:szCs w:val="22"/>
          <w:lang w:val="es-MX"/>
        </w:rPr>
        <w:t>Considerar el riesgo de terceros relacionado con las tecnologías de información dentro de su marco de gestión del riesgo.</w:t>
      </w:r>
    </w:p>
    <w:p w14:paraId="69A3974E" w14:textId="77777777" w:rsidR="00CB3407" w:rsidRDefault="00CB3407" w:rsidP="00CB3407">
      <w:pPr>
        <w:pStyle w:val="Prrafodelista"/>
        <w:ind w:left="567"/>
        <w:jc w:val="both"/>
        <w:rPr>
          <w:rFonts w:ascii="Arial" w:hAnsi="Arial" w:cs="Arial"/>
          <w:sz w:val="22"/>
          <w:szCs w:val="22"/>
          <w:lang w:val="es-MX"/>
        </w:rPr>
      </w:pPr>
    </w:p>
    <w:p w14:paraId="43F07390" w14:textId="77777777" w:rsidR="00CB3407" w:rsidRPr="00CB3407" w:rsidRDefault="00CB3407" w:rsidP="00CB3407">
      <w:pPr>
        <w:pStyle w:val="Prrafodelista"/>
        <w:numPr>
          <w:ilvl w:val="0"/>
          <w:numId w:val="2"/>
        </w:numPr>
        <w:ind w:left="567" w:hanging="501"/>
        <w:jc w:val="both"/>
        <w:rPr>
          <w:rFonts w:ascii="Arial" w:hAnsi="Arial" w:cs="Arial"/>
          <w:sz w:val="22"/>
          <w:szCs w:val="22"/>
          <w:lang w:val="es-MX"/>
        </w:rPr>
      </w:pPr>
      <w:r w:rsidRPr="00CB3407">
        <w:rPr>
          <w:rFonts w:ascii="Arial" w:hAnsi="Arial" w:cs="Arial"/>
          <w:sz w:val="22"/>
          <w:szCs w:val="22"/>
          <w:lang w:val="es-MX"/>
        </w:rPr>
        <w:t>Disponer de mecanismos para detectar rápidamente las actividades anómalas e incidentes relacionados con los sistemas informáticos, así como de criterios y umbrales de alerta para activar los procesos de detección de incidentes.</w:t>
      </w:r>
    </w:p>
    <w:p w14:paraId="7A8E2830" w14:textId="77777777" w:rsidR="00CB3407" w:rsidRDefault="00CB3407" w:rsidP="00CB3407">
      <w:pPr>
        <w:pStyle w:val="Prrafodelista"/>
        <w:ind w:left="567"/>
        <w:jc w:val="both"/>
        <w:rPr>
          <w:rFonts w:ascii="Arial" w:hAnsi="Arial" w:cs="Arial"/>
          <w:sz w:val="22"/>
          <w:szCs w:val="22"/>
          <w:lang w:val="es-MX"/>
        </w:rPr>
      </w:pPr>
    </w:p>
    <w:p w14:paraId="3AA8A137" w14:textId="77777777" w:rsidR="00CB3407" w:rsidRPr="00F860ED" w:rsidRDefault="00CB3407" w:rsidP="00CB3407">
      <w:pPr>
        <w:pStyle w:val="Prrafodelista"/>
        <w:numPr>
          <w:ilvl w:val="0"/>
          <w:numId w:val="2"/>
        </w:numPr>
        <w:ind w:left="567" w:hanging="501"/>
        <w:jc w:val="both"/>
        <w:rPr>
          <w:rFonts w:ascii="Arial" w:hAnsi="Arial" w:cs="Arial"/>
          <w:sz w:val="22"/>
          <w:szCs w:val="22"/>
          <w:lang w:val="es-MX"/>
        </w:rPr>
      </w:pPr>
      <w:r w:rsidRPr="00CB3407">
        <w:rPr>
          <w:rFonts w:ascii="Arial" w:hAnsi="Arial" w:cs="Arial"/>
          <w:sz w:val="22"/>
          <w:szCs w:val="22"/>
          <w:lang w:val="es-MX"/>
        </w:rPr>
        <w:t xml:space="preserve">Atender las posibles causas de vulnerabilidad informática, procurando evitar la </w:t>
      </w:r>
      <w:r w:rsidRPr="00F860ED">
        <w:rPr>
          <w:rFonts w:ascii="Arial" w:hAnsi="Arial" w:cs="Arial"/>
          <w:sz w:val="22"/>
          <w:szCs w:val="22"/>
          <w:lang w:val="es-MX"/>
        </w:rPr>
        <w:t xml:space="preserve">ausencia o deficiencia de controles que permiten el acceso no autorizado a los canales o a los sistemas informáticos de la entidad. </w:t>
      </w:r>
    </w:p>
    <w:p w14:paraId="723D847B" w14:textId="77777777" w:rsidR="00CB3407" w:rsidRPr="00F860ED" w:rsidRDefault="00CB3407" w:rsidP="00CB3407">
      <w:pPr>
        <w:pStyle w:val="Prrafodelista"/>
        <w:ind w:left="567"/>
        <w:jc w:val="both"/>
        <w:rPr>
          <w:rFonts w:ascii="Arial" w:hAnsi="Arial" w:cs="Arial"/>
          <w:sz w:val="22"/>
          <w:szCs w:val="22"/>
          <w:lang w:val="es-MX"/>
        </w:rPr>
      </w:pPr>
    </w:p>
    <w:p w14:paraId="3D106A28" w14:textId="77777777" w:rsidR="002A65D7" w:rsidRPr="00F860ED" w:rsidRDefault="00CB3407" w:rsidP="002A65D7">
      <w:pPr>
        <w:pStyle w:val="Prrafodelista"/>
        <w:numPr>
          <w:ilvl w:val="0"/>
          <w:numId w:val="2"/>
        </w:numPr>
        <w:ind w:left="567" w:hanging="501"/>
        <w:jc w:val="both"/>
        <w:rPr>
          <w:rFonts w:ascii="Arial" w:hAnsi="Arial" w:cs="Arial"/>
          <w:sz w:val="22"/>
          <w:szCs w:val="22"/>
          <w:lang w:val="es-MX"/>
        </w:rPr>
      </w:pPr>
      <w:r w:rsidRPr="00F860ED">
        <w:rPr>
          <w:rFonts w:ascii="Arial" w:hAnsi="Arial" w:cs="Arial"/>
          <w:sz w:val="22"/>
          <w:szCs w:val="22"/>
          <w:lang w:val="es-MX"/>
        </w:rPr>
        <w:t>P</w:t>
      </w:r>
      <w:r w:rsidR="002A65D7" w:rsidRPr="00F860ED">
        <w:rPr>
          <w:rFonts w:ascii="Arial" w:hAnsi="Arial" w:cs="Arial"/>
          <w:sz w:val="22"/>
          <w:szCs w:val="22"/>
          <w:lang w:val="es-MX"/>
        </w:rPr>
        <w:t>olíticas y procedimientos para la gestión de “llaves electrónicas”.</w:t>
      </w:r>
    </w:p>
    <w:p w14:paraId="39C54398" w14:textId="77777777" w:rsidR="002A65D7" w:rsidRPr="00F860ED" w:rsidRDefault="002A65D7" w:rsidP="00CB3407">
      <w:pPr>
        <w:pStyle w:val="Prrafodelista"/>
        <w:ind w:left="567"/>
        <w:jc w:val="both"/>
        <w:rPr>
          <w:rFonts w:ascii="Arial" w:hAnsi="Arial" w:cs="Arial"/>
          <w:sz w:val="22"/>
          <w:szCs w:val="22"/>
          <w:lang w:val="es-MX"/>
        </w:rPr>
      </w:pPr>
    </w:p>
    <w:p w14:paraId="5FBEE77F" w14:textId="77777777" w:rsidR="002A65D7" w:rsidRDefault="002A65D7" w:rsidP="002A65D7">
      <w:pPr>
        <w:pStyle w:val="Prrafodelista"/>
        <w:numPr>
          <w:ilvl w:val="0"/>
          <w:numId w:val="2"/>
        </w:numPr>
        <w:ind w:left="567" w:hanging="501"/>
        <w:jc w:val="both"/>
        <w:rPr>
          <w:rFonts w:ascii="Arial" w:hAnsi="Arial" w:cs="Arial"/>
          <w:sz w:val="22"/>
          <w:szCs w:val="22"/>
          <w:lang w:val="es-MX"/>
        </w:rPr>
      </w:pPr>
      <w:r w:rsidRPr="00F860ED">
        <w:rPr>
          <w:rFonts w:ascii="Arial" w:hAnsi="Arial" w:cs="Arial"/>
          <w:sz w:val="22"/>
          <w:szCs w:val="22"/>
          <w:lang w:val="es-MX"/>
        </w:rPr>
        <w:t>Políticas y procedimientos para el monitoreo de la plataforma</w:t>
      </w:r>
      <w:r>
        <w:rPr>
          <w:rFonts w:ascii="Arial" w:hAnsi="Arial" w:cs="Arial"/>
          <w:sz w:val="22"/>
          <w:szCs w:val="22"/>
          <w:lang w:val="es-MX"/>
        </w:rPr>
        <w:t xml:space="preserve"> tecnológica que soporta el sistema de compensación y liquidación.</w:t>
      </w:r>
    </w:p>
    <w:p w14:paraId="39C3E5B4" w14:textId="77777777" w:rsidR="002A65D7" w:rsidRDefault="002A65D7" w:rsidP="004701AA">
      <w:pPr>
        <w:pStyle w:val="Prrafodelista"/>
        <w:ind w:left="567"/>
        <w:jc w:val="both"/>
        <w:rPr>
          <w:rFonts w:ascii="Arial" w:hAnsi="Arial" w:cs="Arial"/>
          <w:sz w:val="22"/>
          <w:szCs w:val="22"/>
          <w:lang w:val="es-MX"/>
        </w:rPr>
      </w:pPr>
    </w:p>
    <w:p w14:paraId="2B4FF9D1" w14:textId="77777777" w:rsidR="002A65D7" w:rsidRDefault="002A65D7" w:rsidP="002A65D7">
      <w:pPr>
        <w:pStyle w:val="Prrafodelista"/>
        <w:numPr>
          <w:ilvl w:val="0"/>
          <w:numId w:val="2"/>
        </w:numPr>
        <w:ind w:left="567" w:hanging="501"/>
        <w:jc w:val="both"/>
        <w:rPr>
          <w:rFonts w:ascii="Arial" w:hAnsi="Arial" w:cs="Arial"/>
          <w:sz w:val="22"/>
          <w:szCs w:val="22"/>
          <w:lang w:val="es-MX"/>
        </w:rPr>
      </w:pPr>
      <w:r>
        <w:rPr>
          <w:rFonts w:ascii="Arial" w:hAnsi="Arial" w:cs="Arial"/>
          <w:sz w:val="22"/>
          <w:szCs w:val="22"/>
          <w:lang w:val="es-MX"/>
        </w:rPr>
        <w:t>Políticas y procedimientos que garanticen que los mecanismos instalados autentiquen el origen y el destino de la información que se recibe y envía de la entidad de compensación y liquidación hacia los participantes del mercado.</w:t>
      </w:r>
    </w:p>
    <w:p w14:paraId="362F8F15" w14:textId="77777777" w:rsidR="002A65D7" w:rsidRDefault="002A65D7" w:rsidP="004701AA">
      <w:pPr>
        <w:pStyle w:val="Prrafodelista"/>
        <w:ind w:left="567"/>
        <w:jc w:val="both"/>
        <w:rPr>
          <w:rFonts w:ascii="Arial" w:hAnsi="Arial" w:cs="Arial"/>
          <w:sz w:val="22"/>
          <w:szCs w:val="22"/>
          <w:lang w:val="es-MX"/>
        </w:rPr>
      </w:pPr>
    </w:p>
    <w:p w14:paraId="5990EF65" w14:textId="77777777" w:rsidR="002A65D7" w:rsidRPr="00F860ED" w:rsidRDefault="002A65D7" w:rsidP="002A65D7">
      <w:pPr>
        <w:pStyle w:val="Prrafodelista"/>
        <w:numPr>
          <w:ilvl w:val="0"/>
          <w:numId w:val="2"/>
        </w:numPr>
        <w:ind w:left="567" w:hanging="501"/>
        <w:jc w:val="both"/>
        <w:rPr>
          <w:rFonts w:ascii="Arial" w:hAnsi="Arial" w:cs="Arial"/>
          <w:sz w:val="22"/>
          <w:szCs w:val="22"/>
          <w:lang w:val="es-MX"/>
        </w:rPr>
      </w:pPr>
      <w:r>
        <w:rPr>
          <w:rFonts w:ascii="Arial" w:hAnsi="Arial" w:cs="Arial"/>
          <w:sz w:val="22"/>
          <w:szCs w:val="22"/>
          <w:lang w:val="es-MX"/>
        </w:rPr>
        <w:t xml:space="preserve">Políticas y procedimientos que establezcan los mecanismos para asegurar que la información solicitada por los </w:t>
      </w:r>
      <w:r w:rsidR="0073007A">
        <w:rPr>
          <w:rFonts w:ascii="Arial" w:hAnsi="Arial" w:cs="Arial"/>
          <w:sz w:val="22"/>
          <w:szCs w:val="22"/>
          <w:lang w:val="es-MX"/>
        </w:rPr>
        <w:t>usuarios</w:t>
      </w:r>
      <w:r>
        <w:rPr>
          <w:rFonts w:ascii="Arial" w:hAnsi="Arial" w:cs="Arial"/>
          <w:sz w:val="22"/>
          <w:szCs w:val="22"/>
          <w:lang w:val="es-MX"/>
        </w:rPr>
        <w:t xml:space="preserve"> se realice desde equipos autorizados y que dichos equipos cuenten con los requerimientos mínimos de hardware y software para </w:t>
      </w:r>
      <w:r w:rsidRPr="00F860ED">
        <w:rPr>
          <w:rFonts w:ascii="Arial" w:hAnsi="Arial" w:cs="Arial"/>
          <w:sz w:val="22"/>
          <w:szCs w:val="22"/>
          <w:lang w:val="es-MX"/>
        </w:rPr>
        <w:t>garantizar la continuidad y eficiencia del servicio.</w:t>
      </w:r>
    </w:p>
    <w:p w14:paraId="283CDC92" w14:textId="77777777" w:rsidR="002A65D7" w:rsidRPr="00F860ED" w:rsidRDefault="002A65D7" w:rsidP="004701AA">
      <w:pPr>
        <w:pStyle w:val="Prrafodelista"/>
        <w:ind w:left="567"/>
        <w:jc w:val="both"/>
        <w:rPr>
          <w:rFonts w:ascii="Arial" w:hAnsi="Arial" w:cs="Arial"/>
          <w:sz w:val="22"/>
          <w:szCs w:val="22"/>
          <w:lang w:val="es-MX"/>
        </w:rPr>
      </w:pPr>
    </w:p>
    <w:p w14:paraId="41E68F93" w14:textId="77777777" w:rsidR="002A65D7" w:rsidRPr="00F860ED" w:rsidRDefault="002A65D7" w:rsidP="002A65D7">
      <w:pPr>
        <w:pStyle w:val="Prrafodelista"/>
        <w:numPr>
          <w:ilvl w:val="0"/>
          <w:numId w:val="2"/>
        </w:numPr>
        <w:ind w:left="567" w:hanging="501"/>
        <w:jc w:val="both"/>
        <w:rPr>
          <w:rFonts w:ascii="Arial" w:hAnsi="Arial" w:cs="Arial"/>
          <w:sz w:val="22"/>
          <w:szCs w:val="22"/>
          <w:lang w:val="es-MX"/>
        </w:rPr>
      </w:pPr>
      <w:r w:rsidRPr="00F860ED">
        <w:rPr>
          <w:rFonts w:ascii="Arial" w:hAnsi="Arial" w:cs="Arial"/>
          <w:sz w:val="22"/>
          <w:szCs w:val="22"/>
          <w:lang w:val="es-MX"/>
        </w:rPr>
        <w:t>Estudios anuales que evalúen la capacidad que tiene la plataforma de comunicaciones para soportar la demanda actual y potencial, según el crecimiento del tráfico de información, que garantice la continuidad y la eficiencia del servicio.</w:t>
      </w:r>
    </w:p>
    <w:p w14:paraId="451EDFA1" w14:textId="77777777" w:rsidR="002A65D7" w:rsidRPr="00F860ED" w:rsidRDefault="002A65D7" w:rsidP="004701AA">
      <w:pPr>
        <w:pStyle w:val="Prrafodelista"/>
        <w:ind w:left="567"/>
        <w:jc w:val="both"/>
        <w:rPr>
          <w:rFonts w:ascii="Arial" w:hAnsi="Arial" w:cs="Arial"/>
          <w:sz w:val="22"/>
          <w:szCs w:val="22"/>
          <w:lang w:val="es-MX"/>
        </w:rPr>
      </w:pPr>
    </w:p>
    <w:p w14:paraId="4C760C8A" w14:textId="77777777" w:rsidR="002A65D7" w:rsidRPr="00F860ED" w:rsidRDefault="002A65D7" w:rsidP="002A65D7">
      <w:pPr>
        <w:pStyle w:val="Prrafodelista"/>
        <w:numPr>
          <w:ilvl w:val="0"/>
          <w:numId w:val="2"/>
        </w:numPr>
        <w:ind w:left="567" w:hanging="501"/>
        <w:jc w:val="both"/>
        <w:rPr>
          <w:rFonts w:ascii="Arial" w:hAnsi="Arial" w:cs="Arial"/>
          <w:sz w:val="22"/>
          <w:szCs w:val="22"/>
          <w:lang w:val="es-MX"/>
        </w:rPr>
      </w:pPr>
      <w:r w:rsidRPr="00F860ED">
        <w:rPr>
          <w:rFonts w:ascii="Arial" w:hAnsi="Arial" w:cs="Arial"/>
          <w:sz w:val="22"/>
          <w:szCs w:val="22"/>
          <w:lang w:val="es-MX"/>
        </w:rPr>
        <w:lastRenderedPageBreak/>
        <w:t xml:space="preserve">Estudios anuales que evalúen la capacidad que tiene la plataforma de hardware y software para procesar y almacenar la demanda actual y potencial, según el crecimiento de la información, que garantice la continuidad y la eficiencia del servicio. </w:t>
      </w:r>
    </w:p>
    <w:p w14:paraId="67CBD6EF" w14:textId="77777777" w:rsidR="002A65D7" w:rsidRDefault="002A65D7" w:rsidP="002A65D7">
      <w:pPr>
        <w:pStyle w:val="Prrafodelista"/>
        <w:rPr>
          <w:rFonts w:ascii="Arial" w:hAnsi="Arial" w:cs="Arial"/>
          <w:sz w:val="22"/>
          <w:szCs w:val="22"/>
          <w:lang w:val="es-MX"/>
        </w:rPr>
      </w:pPr>
    </w:p>
    <w:p w14:paraId="12016FA2" w14:textId="77777777" w:rsidR="002A65D7" w:rsidRDefault="002A65D7" w:rsidP="002A65D7">
      <w:pPr>
        <w:rPr>
          <w:rFonts w:ascii="Arial" w:hAnsi="Arial" w:cs="Arial"/>
          <w:sz w:val="22"/>
          <w:szCs w:val="22"/>
          <w:lang w:val="es-MX"/>
        </w:rPr>
      </w:pPr>
    </w:p>
    <w:p w14:paraId="5C246767" w14:textId="77777777" w:rsidR="002A65D7" w:rsidRDefault="002A65D7" w:rsidP="002A65D7">
      <w:pPr>
        <w:ind w:left="3"/>
        <w:jc w:val="both"/>
        <w:rPr>
          <w:rFonts w:ascii="Arial" w:hAnsi="Arial" w:cs="Arial"/>
          <w:b/>
          <w:color w:val="000000"/>
          <w:sz w:val="22"/>
          <w:szCs w:val="22"/>
          <w:lang w:val="es-MX"/>
        </w:rPr>
      </w:pPr>
      <w:r>
        <w:rPr>
          <w:rFonts w:ascii="Arial" w:hAnsi="Arial" w:cs="Arial"/>
          <w:b/>
          <w:color w:val="000000"/>
          <w:sz w:val="22"/>
          <w:szCs w:val="22"/>
          <w:lang w:val="es-MX"/>
        </w:rPr>
        <w:t>Artículo 3.  Actividades mínimas de control interno de las entidades de compensación y liquidación</w:t>
      </w:r>
    </w:p>
    <w:p w14:paraId="7B9FB42E" w14:textId="77777777" w:rsidR="002A65D7" w:rsidRDefault="002A65D7" w:rsidP="002A65D7">
      <w:pPr>
        <w:rPr>
          <w:rFonts w:ascii="Arial" w:hAnsi="Arial" w:cs="Arial"/>
          <w:sz w:val="22"/>
          <w:szCs w:val="22"/>
          <w:lang w:val="es-MX"/>
        </w:rPr>
      </w:pPr>
    </w:p>
    <w:p w14:paraId="38D039C7" w14:textId="77777777" w:rsidR="002A65D7" w:rsidRDefault="002A65D7" w:rsidP="002A65D7">
      <w:pPr>
        <w:ind w:left="3"/>
        <w:jc w:val="both"/>
        <w:rPr>
          <w:rFonts w:ascii="Arial" w:hAnsi="Arial" w:cs="Arial"/>
          <w:sz w:val="22"/>
          <w:szCs w:val="22"/>
          <w:lang w:val="es-MX"/>
        </w:rPr>
      </w:pPr>
      <w:r>
        <w:rPr>
          <w:rFonts w:ascii="Arial" w:hAnsi="Arial" w:cs="Arial"/>
          <w:sz w:val="22"/>
          <w:szCs w:val="22"/>
          <w:lang w:val="es-MX"/>
        </w:rPr>
        <w:t>Las entidades de compensación y liquidación deben cumplir con al menos las siguientes actividades de control interno:</w:t>
      </w:r>
    </w:p>
    <w:p w14:paraId="274564E1" w14:textId="77777777" w:rsidR="002A65D7" w:rsidRDefault="002A65D7" w:rsidP="002A65D7">
      <w:pPr>
        <w:jc w:val="both"/>
        <w:rPr>
          <w:rFonts w:ascii="Arial" w:hAnsi="Arial" w:cs="Arial"/>
          <w:sz w:val="22"/>
          <w:szCs w:val="22"/>
          <w:lang w:val="es-MX"/>
        </w:rPr>
      </w:pPr>
    </w:p>
    <w:p w14:paraId="2C3BE08F" w14:textId="77777777" w:rsidR="002A65D7" w:rsidRDefault="002A65D7" w:rsidP="002A65D7">
      <w:pPr>
        <w:numPr>
          <w:ilvl w:val="0"/>
          <w:numId w:val="3"/>
        </w:numPr>
        <w:tabs>
          <w:tab w:val="clear" w:pos="363"/>
          <w:tab w:val="left" w:pos="540"/>
        </w:tabs>
        <w:ind w:left="540" w:hanging="537"/>
        <w:jc w:val="both"/>
        <w:rPr>
          <w:rFonts w:ascii="Arial" w:hAnsi="Arial" w:cs="Arial"/>
          <w:sz w:val="22"/>
          <w:szCs w:val="22"/>
          <w:lang w:val="es-MX"/>
        </w:rPr>
      </w:pPr>
      <w:r>
        <w:rPr>
          <w:rFonts w:ascii="Arial" w:hAnsi="Arial" w:cs="Arial"/>
          <w:sz w:val="22"/>
          <w:szCs w:val="22"/>
          <w:lang w:val="es-MX"/>
        </w:rPr>
        <w:t>Separación de tareas y responsabilidades.</w:t>
      </w:r>
    </w:p>
    <w:p w14:paraId="1022991B" w14:textId="77777777" w:rsidR="002A65D7" w:rsidRDefault="002A65D7" w:rsidP="002A65D7">
      <w:pPr>
        <w:numPr>
          <w:ilvl w:val="0"/>
          <w:numId w:val="3"/>
        </w:numPr>
        <w:tabs>
          <w:tab w:val="clear" w:pos="363"/>
          <w:tab w:val="left" w:pos="540"/>
        </w:tabs>
        <w:ind w:left="540" w:hanging="537"/>
        <w:jc w:val="both"/>
        <w:rPr>
          <w:rFonts w:ascii="Arial" w:hAnsi="Arial" w:cs="Arial"/>
          <w:sz w:val="22"/>
          <w:szCs w:val="22"/>
          <w:lang w:val="es-MX"/>
        </w:rPr>
      </w:pPr>
      <w:r>
        <w:rPr>
          <w:rFonts w:ascii="Arial" w:hAnsi="Arial" w:cs="Arial"/>
          <w:sz w:val="22"/>
          <w:szCs w:val="22"/>
          <w:lang w:val="es-MX"/>
        </w:rPr>
        <w:t>Coordinación entre áreas.</w:t>
      </w:r>
    </w:p>
    <w:p w14:paraId="1A585B68" w14:textId="77777777" w:rsidR="002A65D7" w:rsidRDefault="002A65D7" w:rsidP="002A65D7">
      <w:pPr>
        <w:numPr>
          <w:ilvl w:val="0"/>
          <w:numId w:val="3"/>
        </w:numPr>
        <w:tabs>
          <w:tab w:val="clear" w:pos="363"/>
          <w:tab w:val="left" w:pos="540"/>
        </w:tabs>
        <w:ind w:left="540" w:hanging="537"/>
        <w:jc w:val="both"/>
        <w:rPr>
          <w:rFonts w:ascii="Arial" w:hAnsi="Arial" w:cs="Arial"/>
          <w:sz w:val="22"/>
          <w:szCs w:val="22"/>
          <w:lang w:val="es-MX"/>
        </w:rPr>
      </w:pPr>
      <w:r>
        <w:rPr>
          <w:rFonts w:ascii="Arial" w:hAnsi="Arial" w:cs="Arial"/>
          <w:sz w:val="22"/>
          <w:szCs w:val="22"/>
          <w:lang w:val="es-MX"/>
        </w:rPr>
        <w:t>Disponibilidad de documentación suficiente de las transacciones y hechos significativos.</w:t>
      </w:r>
    </w:p>
    <w:p w14:paraId="4AB759E8" w14:textId="77777777" w:rsidR="002A65D7" w:rsidRDefault="002A65D7" w:rsidP="002A65D7">
      <w:pPr>
        <w:numPr>
          <w:ilvl w:val="0"/>
          <w:numId w:val="3"/>
        </w:numPr>
        <w:tabs>
          <w:tab w:val="clear" w:pos="363"/>
          <w:tab w:val="left" w:pos="540"/>
        </w:tabs>
        <w:ind w:left="540" w:hanging="537"/>
        <w:jc w:val="both"/>
        <w:rPr>
          <w:rFonts w:ascii="Arial" w:hAnsi="Arial" w:cs="Arial"/>
          <w:color w:val="000000"/>
          <w:sz w:val="22"/>
          <w:szCs w:val="22"/>
          <w:lang w:val="es-MX"/>
        </w:rPr>
      </w:pPr>
      <w:r>
        <w:rPr>
          <w:rFonts w:ascii="Arial" w:hAnsi="Arial" w:cs="Arial"/>
          <w:color w:val="000000"/>
          <w:sz w:val="22"/>
          <w:szCs w:val="22"/>
          <w:lang w:val="es-MX"/>
        </w:rPr>
        <w:t>Definición de niveles de supervisión.</w:t>
      </w:r>
    </w:p>
    <w:p w14:paraId="7700EACD" w14:textId="77777777" w:rsidR="002A65D7" w:rsidRDefault="002A65D7" w:rsidP="002A65D7">
      <w:pPr>
        <w:numPr>
          <w:ilvl w:val="0"/>
          <w:numId w:val="3"/>
        </w:numPr>
        <w:tabs>
          <w:tab w:val="clear" w:pos="363"/>
          <w:tab w:val="left" w:pos="540"/>
        </w:tabs>
        <w:ind w:left="540" w:hanging="537"/>
        <w:jc w:val="both"/>
        <w:rPr>
          <w:rFonts w:ascii="Arial" w:hAnsi="Arial" w:cs="Arial"/>
          <w:bCs/>
          <w:color w:val="000000"/>
          <w:sz w:val="22"/>
          <w:szCs w:val="22"/>
          <w:lang w:val="es-MX"/>
        </w:rPr>
      </w:pPr>
      <w:r>
        <w:rPr>
          <w:rFonts w:ascii="Arial" w:hAnsi="Arial" w:cs="Arial"/>
          <w:bCs/>
          <w:color w:val="000000"/>
          <w:sz w:val="22"/>
          <w:szCs w:val="22"/>
          <w:lang w:val="es-MX"/>
        </w:rPr>
        <w:t>Registro oportuno de las transacciones y hechos.</w:t>
      </w:r>
    </w:p>
    <w:p w14:paraId="793CAC49" w14:textId="77777777" w:rsidR="002A65D7" w:rsidRDefault="002A65D7" w:rsidP="002A65D7">
      <w:pPr>
        <w:numPr>
          <w:ilvl w:val="0"/>
          <w:numId w:val="3"/>
        </w:numPr>
        <w:tabs>
          <w:tab w:val="clear" w:pos="363"/>
          <w:tab w:val="left" w:pos="540"/>
        </w:tabs>
        <w:ind w:left="540" w:hanging="537"/>
        <w:jc w:val="both"/>
        <w:rPr>
          <w:rFonts w:ascii="Arial" w:hAnsi="Arial" w:cs="Arial"/>
          <w:sz w:val="22"/>
          <w:szCs w:val="22"/>
          <w:lang w:val="es-MX"/>
        </w:rPr>
      </w:pPr>
      <w:r>
        <w:rPr>
          <w:rFonts w:ascii="Arial" w:hAnsi="Arial" w:cs="Arial"/>
          <w:sz w:val="22"/>
          <w:szCs w:val="22"/>
          <w:lang w:val="es-MX"/>
        </w:rPr>
        <w:t>Rotación de personal en actividades clave.</w:t>
      </w:r>
    </w:p>
    <w:p w14:paraId="27AA696D" w14:textId="77777777" w:rsidR="002A65D7" w:rsidRDefault="002A65D7" w:rsidP="002A65D7">
      <w:pPr>
        <w:numPr>
          <w:ilvl w:val="0"/>
          <w:numId w:val="3"/>
        </w:numPr>
        <w:tabs>
          <w:tab w:val="clear" w:pos="363"/>
          <w:tab w:val="left" w:pos="540"/>
        </w:tabs>
        <w:ind w:left="540" w:hanging="537"/>
        <w:jc w:val="both"/>
        <w:rPr>
          <w:rFonts w:ascii="Arial" w:hAnsi="Arial" w:cs="Arial"/>
          <w:sz w:val="22"/>
          <w:szCs w:val="22"/>
          <w:lang w:val="es-MX"/>
        </w:rPr>
      </w:pPr>
      <w:r>
        <w:rPr>
          <w:rFonts w:ascii="Arial" w:hAnsi="Arial" w:cs="Arial"/>
          <w:sz w:val="22"/>
          <w:szCs w:val="22"/>
          <w:lang w:val="es-MX"/>
        </w:rPr>
        <w:t>Programa de evaluación de control interno que cuente con canales de comunicación al órgano competente, sobre los resultados y su seguimiento.</w:t>
      </w:r>
    </w:p>
    <w:p w14:paraId="4F9B4CA5" w14:textId="77777777" w:rsidR="002A65D7" w:rsidRDefault="002A65D7" w:rsidP="002A65D7">
      <w:pPr>
        <w:numPr>
          <w:ilvl w:val="0"/>
          <w:numId w:val="3"/>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 xml:space="preserve">Auxiliares contables. </w:t>
      </w:r>
    </w:p>
    <w:p w14:paraId="13D82BD0" w14:textId="77777777" w:rsidR="002A65D7" w:rsidRDefault="002A65D7" w:rsidP="002A65D7">
      <w:pPr>
        <w:ind w:left="3"/>
        <w:rPr>
          <w:rFonts w:ascii="Arial" w:hAnsi="Arial" w:cs="Arial"/>
          <w:b/>
          <w:color w:val="000000"/>
          <w:sz w:val="22"/>
          <w:szCs w:val="22"/>
          <w:lang w:val="es-MX"/>
        </w:rPr>
      </w:pPr>
    </w:p>
    <w:p w14:paraId="6715842E" w14:textId="77777777" w:rsidR="002A65D7" w:rsidRDefault="002A65D7" w:rsidP="002A65D7">
      <w:pPr>
        <w:ind w:left="3"/>
        <w:rPr>
          <w:rFonts w:ascii="Arial" w:hAnsi="Arial" w:cs="Arial"/>
          <w:color w:val="000000"/>
          <w:szCs w:val="22"/>
          <w:lang w:val="es-MX"/>
        </w:rPr>
      </w:pPr>
      <w:r>
        <w:rPr>
          <w:rFonts w:ascii="Arial" w:hAnsi="Arial" w:cs="Arial"/>
          <w:b/>
          <w:color w:val="000000"/>
          <w:sz w:val="22"/>
          <w:szCs w:val="22"/>
          <w:lang w:val="es-MX"/>
        </w:rPr>
        <w:t>Artículo 4.  Contenido mínimo de los procedimientos</w:t>
      </w:r>
    </w:p>
    <w:p w14:paraId="3F7CCCB3" w14:textId="77777777" w:rsidR="00B31471" w:rsidRDefault="00B31471" w:rsidP="002A65D7">
      <w:pPr>
        <w:jc w:val="both"/>
        <w:rPr>
          <w:rFonts w:ascii="Arial" w:hAnsi="Arial" w:cs="Arial"/>
          <w:sz w:val="22"/>
          <w:szCs w:val="22"/>
          <w:lang w:val="es-MX"/>
        </w:rPr>
      </w:pPr>
    </w:p>
    <w:p w14:paraId="31C5CFC3" w14:textId="77777777" w:rsidR="002A65D7" w:rsidRDefault="002A65D7" w:rsidP="002A65D7">
      <w:pPr>
        <w:jc w:val="both"/>
        <w:rPr>
          <w:rFonts w:ascii="Arial" w:hAnsi="Arial" w:cs="Arial"/>
          <w:sz w:val="22"/>
          <w:szCs w:val="22"/>
          <w:lang w:val="es-MX"/>
        </w:rPr>
      </w:pPr>
      <w:r>
        <w:rPr>
          <w:rFonts w:ascii="Arial" w:hAnsi="Arial" w:cs="Arial"/>
          <w:sz w:val="22"/>
          <w:szCs w:val="22"/>
          <w:lang w:val="es-MX"/>
        </w:rPr>
        <w:t>Las entidades de compensación y liquidación deben contar con procedimientos internos para cada proceso de compensación y liquidación de valores, de manera que consideren como mínimo:</w:t>
      </w:r>
    </w:p>
    <w:p w14:paraId="0CC0326D" w14:textId="77777777" w:rsidR="002A65D7" w:rsidRDefault="002A65D7" w:rsidP="002A65D7">
      <w:pPr>
        <w:ind w:left="3"/>
        <w:jc w:val="both"/>
        <w:rPr>
          <w:rFonts w:ascii="Arial" w:hAnsi="Arial" w:cs="Arial"/>
          <w:sz w:val="22"/>
          <w:szCs w:val="22"/>
          <w:lang w:val="es-MX"/>
        </w:rPr>
      </w:pPr>
    </w:p>
    <w:p w14:paraId="445B371F" w14:textId="77777777" w:rsidR="002A65D7" w:rsidRDefault="002A65D7" w:rsidP="002A65D7">
      <w:pPr>
        <w:numPr>
          <w:ilvl w:val="0"/>
          <w:numId w:val="4"/>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Objetivo</w:t>
      </w:r>
    </w:p>
    <w:p w14:paraId="7A5E6A96" w14:textId="77777777" w:rsidR="002A65D7" w:rsidRDefault="002A65D7" w:rsidP="002A65D7">
      <w:pPr>
        <w:numPr>
          <w:ilvl w:val="0"/>
          <w:numId w:val="4"/>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Alcance</w:t>
      </w:r>
    </w:p>
    <w:p w14:paraId="132C03E4" w14:textId="77777777" w:rsidR="002A65D7" w:rsidRDefault="002A65D7" w:rsidP="002A65D7">
      <w:pPr>
        <w:numPr>
          <w:ilvl w:val="0"/>
          <w:numId w:val="4"/>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Políticas de control interno</w:t>
      </w:r>
    </w:p>
    <w:p w14:paraId="1A9DFE00" w14:textId="77777777" w:rsidR="002A65D7" w:rsidRDefault="002A65D7" w:rsidP="002A65D7">
      <w:pPr>
        <w:numPr>
          <w:ilvl w:val="0"/>
          <w:numId w:val="4"/>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Descripción del procedimiento</w:t>
      </w:r>
    </w:p>
    <w:p w14:paraId="3A25F402" w14:textId="77777777" w:rsidR="002A65D7" w:rsidRDefault="002A65D7" w:rsidP="002A65D7">
      <w:pPr>
        <w:numPr>
          <w:ilvl w:val="0"/>
          <w:numId w:val="4"/>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Funcionarios responsables</w:t>
      </w:r>
    </w:p>
    <w:p w14:paraId="5D0EB86E" w14:textId="77777777" w:rsidR="002A65D7" w:rsidRDefault="002A65D7" w:rsidP="002A65D7">
      <w:pPr>
        <w:numPr>
          <w:ilvl w:val="0"/>
          <w:numId w:val="4"/>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Codificación que identifique cada macroproceso de la actividad de compensación y liquidación</w:t>
      </w:r>
    </w:p>
    <w:p w14:paraId="18C64DA6" w14:textId="77777777" w:rsidR="002A65D7" w:rsidRDefault="002A65D7" w:rsidP="002A65D7">
      <w:pPr>
        <w:numPr>
          <w:ilvl w:val="0"/>
          <w:numId w:val="4"/>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Referencias legales y marco normativo</w:t>
      </w:r>
    </w:p>
    <w:p w14:paraId="0A9D8C2F" w14:textId="77777777" w:rsidR="002A65D7" w:rsidRDefault="002A65D7" w:rsidP="002A65D7">
      <w:pPr>
        <w:numPr>
          <w:ilvl w:val="0"/>
          <w:numId w:val="4"/>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Referencias al sistema electrónico de información</w:t>
      </w:r>
    </w:p>
    <w:p w14:paraId="5917A75D" w14:textId="77777777" w:rsidR="002A65D7" w:rsidRDefault="002A65D7" w:rsidP="002A65D7">
      <w:pPr>
        <w:numPr>
          <w:ilvl w:val="0"/>
          <w:numId w:val="4"/>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Diagrama del procedimiento</w:t>
      </w:r>
    </w:p>
    <w:p w14:paraId="7B7C6EC7" w14:textId="77777777" w:rsidR="002A65D7" w:rsidRDefault="002A65D7" w:rsidP="002A65D7">
      <w:pPr>
        <w:numPr>
          <w:ilvl w:val="0"/>
          <w:numId w:val="4"/>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Fecha de elaboración</w:t>
      </w:r>
    </w:p>
    <w:p w14:paraId="6FB2B9E2" w14:textId="77777777" w:rsidR="002A65D7" w:rsidRDefault="002A65D7" w:rsidP="002A65D7">
      <w:pPr>
        <w:numPr>
          <w:ilvl w:val="0"/>
          <w:numId w:val="4"/>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Fecha de última actualización</w:t>
      </w:r>
    </w:p>
    <w:p w14:paraId="3691FB07" w14:textId="77777777" w:rsidR="002A65D7" w:rsidRDefault="002A65D7" w:rsidP="002A65D7">
      <w:pPr>
        <w:jc w:val="both"/>
        <w:rPr>
          <w:rFonts w:ascii="Arial" w:hAnsi="Arial" w:cs="Arial"/>
          <w:sz w:val="22"/>
          <w:szCs w:val="22"/>
          <w:lang w:val="es-MX"/>
        </w:rPr>
      </w:pPr>
    </w:p>
    <w:p w14:paraId="195812FD" w14:textId="77777777" w:rsidR="002A65D7" w:rsidRPr="00F860ED" w:rsidRDefault="002A65D7" w:rsidP="002A65D7">
      <w:pPr>
        <w:jc w:val="both"/>
        <w:rPr>
          <w:rFonts w:ascii="Arial" w:hAnsi="Arial" w:cs="Arial"/>
          <w:sz w:val="22"/>
          <w:szCs w:val="22"/>
          <w:lang w:val="es-MX"/>
        </w:rPr>
      </w:pPr>
      <w:r>
        <w:rPr>
          <w:rFonts w:ascii="Arial" w:hAnsi="Arial" w:cs="Arial"/>
          <w:sz w:val="22"/>
          <w:szCs w:val="22"/>
          <w:lang w:val="es-MX"/>
        </w:rPr>
        <w:t xml:space="preserve">Los procedimientos deben revisarse y actualizarse al menos una vez al año y deben estar revisados y aprobados, de conformidad con las políticas de la entidad.  </w:t>
      </w:r>
      <w:r w:rsidR="0073007A">
        <w:rPr>
          <w:rFonts w:ascii="Arial" w:hAnsi="Arial" w:cs="Arial"/>
          <w:sz w:val="22"/>
          <w:szCs w:val="22"/>
          <w:lang w:val="es-MX"/>
        </w:rPr>
        <w:t>Asimismo, deben</w:t>
      </w:r>
      <w:r>
        <w:rPr>
          <w:rFonts w:ascii="Arial" w:hAnsi="Arial" w:cs="Arial"/>
          <w:sz w:val="22"/>
          <w:szCs w:val="22"/>
          <w:lang w:val="es-MX"/>
        </w:rPr>
        <w:t xml:space="preserve"> encontrarse </w:t>
      </w:r>
      <w:r w:rsidRPr="00F860ED">
        <w:rPr>
          <w:rFonts w:ascii="Arial" w:hAnsi="Arial" w:cs="Arial"/>
          <w:sz w:val="22"/>
          <w:szCs w:val="22"/>
          <w:lang w:val="es-MX"/>
        </w:rPr>
        <w:t xml:space="preserve">actualizados, documentados </w:t>
      </w:r>
      <w:r w:rsidR="00B31471" w:rsidRPr="00F860ED">
        <w:rPr>
          <w:rFonts w:ascii="Arial" w:hAnsi="Arial" w:cs="Arial"/>
          <w:sz w:val="22"/>
          <w:szCs w:val="22"/>
          <w:lang w:val="es-MX"/>
        </w:rPr>
        <w:t>electrónica o física</w:t>
      </w:r>
      <w:r w:rsidRPr="00F860ED">
        <w:rPr>
          <w:rFonts w:ascii="Arial" w:hAnsi="Arial" w:cs="Arial"/>
          <w:sz w:val="22"/>
          <w:szCs w:val="22"/>
          <w:lang w:val="es-MX"/>
        </w:rPr>
        <w:t xml:space="preserve">mente y disponibles en todo momento, tanto para las auditorías internas y externas como para la Superintendencia General de Valores. </w:t>
      </w:r>
    </w:p>
    <w:p w14:paraId="62DD2669" w14:textId="77777777" w:rsidR="002A65D7" w:rsidRPr="00F860ED" w:rsidRDefault="002A65D7" w:rsidP="002A65D7">
      <w:pPr>
        <w:jc w:val="both"/>
        <w:rPr>
          <w:rFonts w:ascii="Arial" w:hAnsi="Arial" w:cs="Arial"/>
          <w:sz w:val="22"/>
          <w:szCs w:val="22"/>
          <w:lang w:val="es-MX"/>
        </w:rPr>
      </w:pPr>
    </w:p>
    <w:p w14:paraId="59177451" w14:textId="77777777" w:rsidR="002A65D7" w:rsidRPr="00F860ED" w:rsidRDefault="002A65D7" w:rsidP="002A65D7">
      <w:pPr>
        <w:jc w:val="both"/>
        <w:rPr>
          <w:rFonts w:ascii="Arial" w:hAnsi="Arial" w:cs="Arial"/>
          <w:b/>
          <w:sz w:val="22"/>
          <w:szCs w:val="22"/>
          <w:lang w:val="es-MX"/>
        </w:rPr>
      </w:pPr>
      <w:r w:rsidRPr="00F860ED">
        <w:rPr>
          <w:rFonts w:ascii="Arial" w:hAnsi="Arial" w:cs="Arial"/>
          <w:b/>
          <w:sz w:val="22"/>
          <w:szCs w:val="22"/>
          <w:lang w:val="es-MX"/>
        </w:rPr>
        <w:t>Artículo 5.  Pólizas de seguros</w:t>
      </w:r>
    </w:p>
    <w:p w14:paraId="73D63006" w14:textId="77777777" w:rsidR="002A65D7" w:rsidRPr="00F860ED" w:rsidRDefault="002A65D7" w:rsidP="002A65D7">
      <w:pPr>
        <w:jc w:val="both"/>
        <w:rPr>
          <w:rFonts w:ascii="Arial" w:hAnsi="Arial" w:cs="Arial"/>
          <w:sz w:val="22"/>
          <w:szCs w:val="22"/>
          <w:lang w:val="es-MX"/>
        </w:rPr>
      </w:pPr>
    </w:p>
    <w:p w14:paraId="7AFD45E5" w14:textId="77777777" w:rsidR="002A65D7" w:rsidRDefault="002A65D7" w:rsidP="002A65D7">
      <w:pPr>
        <w:jc w:val="both"/>
        <w:rPr>
          <w:rFonts w:ascii="Arial" w:hAnsi="Arial" w:cs="Arial"/>
          <w:sz w:val="22"/>
          <w:szCs w:val="22"/>
          <w:lang w:val="es-MX"/>
        </w:rPr>
      </w:pPr>
      <w:r w:rsidRPr="00F860ED">
        <w:rPr>
          <w:rFonts w:ascii="Arial" w:hAnsi="Arial" w:cs="Arial"/>
          <w:sz w:val="22"/>
          <w:szCs w:val="22"/>
          <w:lang w:val="es-MX"/>
        </w:rPr>
        <w:t>Las entidades de compensación y liquidación y las instituciones públicas liquidadoras deben contar con pólizas de seguros</w:t>
      </w:r>
      <w:r>
        <w:rPr>
          <w:rFonts w:ascii="Arial" w:hAnsi="Arial" w:cs="Arial"/>
          <w:sz w:val="22"/>
          <w:szCs w:val="22"/>
          <w:lang w:val="es-MX"/>
        </w:rPr>
        <w:t xml:space="preserve"> que tengan como mínimo las siguientes coberturas:</w:t>
      </w:r>
    </w:p>
    <w:p w14:paraId="616F5BCC" w14:textId="77777777" w:rsidR="002A65D7" w:rsidRDefault="002A65D7" w:rsidP="002A65D7">
      <w:pPr>
        <w:jc w:val="both"/>
        <w:rPr>
          <w:rFonts w:ascii="Arial" w:hAnsi="Arial" w:cs="Arial"/>
          <w:sz w:val="22"/>
          <w:szCs w:val="22"/>
          <w:lang w:val="es-MX"/>
        </w:rPr>
      </w:pPr>
    </w:p>
    <w:p w14:paraId="082199D3" w14:textId="77777777" w:rsidR="002A65D7" w:rsidRDefault="002A65D7" w:rsidP="002A65D7">
      <w:pPr>
        <w:numPr>
          <w:ilvl w:val="0"/>
          <w:numId w:val="5"/>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Cobertura de incendio para:</w:t>
      </w:r>
    </w:p>
    <w:p w14:paraId="0C16D8AC" w14:textId="77777777" w:rsidR="002A65D7" w:rsidRDefault="002A65D7" w:rsidP="002A65D7">
      <w:pPr>
        <w:numPr>
          <w:ilvl w:val="2"/>
          <w:numId w:val="5"/>
        </w:numPr>
        <w:tabs>
          <w:tab w:val="left" w:pos="1080"/>
        </w:tabs>
        <w:ind w:left="1080" w:hanging="540"/>
        <w:jc w:val="both"/>
        <w:rPr>
          <w:rFonts w:ascii="Arial" w:hAnsi="Arial" w:cs="Arial"/>
          <w:sz w:val="22"/>
          <w:szCs w:val="22"/>
          <w:lang w:val="es-MX"/>
        </w:rPr>
      </w:pPr>
      <w:r>
        <w:rPr>
          <w:rFonts w:ascii="Arial" w:hAnsi="Arial" w:cs="Arial"/>
          <w:sz w:val="22"/>
          <w:szCs w:val="22"/>
          <w:lang w:val="es-MX"/>
        </w:rPr>
        <w:t xml:space="preserve">Las instalaciones físicas donde se ubique el sistema central de compensación y liquidación y el sistema alterno. </w:t>
      </w:r>
    </w:p>
    <w:p w14:paraId="6382E79E" w14:textId="77777777" w:rsidR="002A65D7" w:rsidRDefault="002A65D7" w:rsidP="002A65D7">
      <w:pPr>
        <w:numPr>
          <w:ilvl w:val="2"/>
          <w:numId w:val="5"/>
        </w:numPr>
        <w:tabs>
          <w:tab w:val="left" w:pos="1080"/>
        </w:tabs>
        <w:ind w:left="1080" w:hanging="540"/>
        <w:jc w:val="both"/>
        <w:rPr>
          <w:rFonts w:ascii="Arial" w:hAnsi="Arial" w:cs="Arial"/>
          <w:sz w:val="22"/>
          <w:szCs w:val="22"/>
          <w:lang w:val="es-MX"/>
        </w:rPr>
      </w:pPr>
      <w:r>
        <w:rPr>
          <w:rFonts w:ascii="Arial" w:hAnsi="Arial" w:cs="Arial"/>
          <w:sz w:val="22"/>
          <w:szCs w:val="22"/>
          <w:lang w:val="es-MX"/>
        </w:rPr>
        <w:t>Los equipos de cómputo en donde se encuentre registrada la información almacenada en el sistema de compensación y liquidación.</w:t>
      </w:r>
    </w:p>
    <w:p w14:paraId="2FFC8DE3" w14:textId="77777777" w:rsidR="002A65D7" w:rsidRDefault="002A65D7" w:rsidP="002A65D7">
      <w:pPr>
        <w:tabs>
          <w:tab w:val="left" w:pos="1080"/>
        </w:tabs>
        <w:ind w:left="537"/>
        <w:jc w:val="both"/>
        <w:rPr>
          <w:rFonts w:ascii="Arial" w:hAnsi="Arial" w:cs="Arial"/>
          <w:sz w:val="22"/>
          <w:szCs w:val="22"/>
          <w:lang w:val="es-MX"/>
        </w:rPr>
      </w:pPr>
    </w:p>
    <w:p w14:paraId="06DC101D" w14:textId="77777777" w:rsidR="002A65D7" w:rsidRDefault="002A65D7" w:rsidP="002A65D7">
      <w:pPr>
        <w:numPr>
          <w:ilvl w:val="0"/>
          <w:numId w:val="5"/>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Coberturas para el equipo de cómputo en donde se encuentra registrada la información almacenada en el sistema de compensación y liquidación, por daños derivados de eventos naturales, robo y otros que la administración considere importantes.</w:t>
      </w:r>
    </w:p>
    <w:p w14:paraId="4362E96C" w14:textId="77777777" w:rsidR="002A65D7" w:rsidRDefault="002A65D7" w:rsidP="002A65D7">
      <w:pPr>
        <w:jc w:val="both"/>
        <w:rPr>
          <w:rFonts w:ascii="Arial" w:hAnsi="Arial" w:cs="Arial"/>
          <w:sz w:val="22"/>
          <w:szCs w:val="22"/>
          <w:lang w:val="es-MX"/>
        </w:rPr>
      </w:pPr>
    </w:p>
    <w:p w14:paraId="44A1B99D" w14:textId="77777777" w:rsidR="002A65D7" w:rsidRDefault="002A65D7" w:rsidP="002A65D7">
      <w:pPr>
        <w:numPr>
          <w:ilvl w:val="0"/>
          <w:numId w:val="5"/>
        </w:numPr>
        <w:tabs>
          <w:tab w:val="clear" w:pos="363"/>
          <w:tab w:val="num" w:pos="540"/>
        </w:tabs>
        <w:ind w:left="540" w:hanging="540"/>
        <w:jc w:val="both"/>
        <w:rPr>
          <w:rFonts w:ascii="Arial" w:hAnsi="Arial" w:cs="Arial"/>
          <w:sz w:val="22"/>
          <w:szCs w:val="22"/>
          <w:lang w:val="es-MX"/>
        </w:rPr>
      </w:pPr>
      <w:r>
        <w:rPr>
          <w:rFonts w:ascii="Arial" w:hAnsi="Arial" w:cs="Arial"/>
          <w:sz w:val="22"/>
          <w:szCs w:val="22"/>
          <w:lang w:val="es-MX"/>
        </w:rPr>
        <w:t>Coberturas por actos dolosos, fraudulentos y manejo indebido de fondos por parte de los funcionarios de la entidad de compensación y liquidación.</w:t>
      </w:r>
    </w:p>
    <w:p w14:paraId="0B5A8CA9" w14:textId="77777777" w:rsidR="002A65D7" w:rsidRDefault="002A65D7" w:rsidP="002A65D7">
      <w:pPr>
        <w:jc w:val="both"/>
        <w:rPr>
          <w:rFonts w:ascii="Arial" w:hAnsi="Arial" w:cs="Arial"/>
          <w:sz w:val="22"/>
          <w:szCs w:val="22"/>
          <w:lang w:val="es-MX"/>
        </w:rPr>
      </w:pPr>
    </w:p>
    <w:p w14:paraId="2BD2F3F5" w14:textId="77777777" w:rsidR="002A65D7" w:rsidRDefault="002A65D7" w:rsidP="002A65D7">
      <w:pPr>
        <w:numPr>
          <w:ilvl w:val="0"/>
          <w:numId w:val="5"/>
        </w:numPr>
        <w:tabs>
          <w:tab w:val="clear" w:pos="363"/>
          <w:tab w:val="num" w:pos="540"/>
        </w:tabs>
        <w:ind w:left="540" w:hanging="540"/>
        <w:jc w:val="both"/>
        <w:rPr>
          <w:rFonts w:ascii="Arial" w:hAnsi="Arial" w:cs="Arial"/>
          <w:sz w:val="22"/>
          <w:szCs w:val="22"/>
          <w:lang w:val="es-MX"/>
        </w:rPr>
      </w:pPr>
      <w:r>
        <w:rPr>
          <w:rFonts w:ascii="Arial" w:hAnsi="Arial" w:cs="Arial"/>
          <w:sz w:val="22"/>
          <w:szCs w:val="22"/>
          <w:lang w:val="es-MX"/>
        </w:rPr>
        <w:t>Coberturas por daños resultantes de la entrada, modificación o destrucción de datos registrados electrónicamente, realizadas por personas ajenas a la administración.</w:t>
      </w:r>
    </w:p>
    <w:p w14:paraId="56E5B932" w14:textId="77777777" w:rsidR="002A65D7" w:rsidRDefault="002A65D7" w:rsidP="002A65D7">
      <w:pPr>
        <w:rPr>
          <w:rFonts w:ascii="Arial" w:hAnsi="Arial" w:cs="Arial"/>
          <w:sz w:val="22"/>
          <w:szCs w:val="22"/>
          <w:lang w:val="es-MX"/>
        </w:rPr>
      </w:pPr>
    </w:p>
    <w:p w14:paraId="45FEA009" w14:textId="77777777" w:rsidR="002A65D7" w:rsidRDefault="002A65D7" w:rsidP="002A65D7">
      <w:pPr>
        <w:jc w:val="both"/>
        <w:rPr>
          <w:rFonts w:ascii="Arial" w:hAnsi="Arial" w:cs="Arial"/>
          <w:b/>
          <w:color w:val="000000"/>
          <w:sz w:val="22"/>
          <w:szCs w:val="22"/>
          <w:lang w:val="es-MX"/>
        </w:rPr>
      </w:pPr>
      <w:r>
        <w:rPr>
          <w:rFonts w:ascii="Arial" w:hAnsi="Arial" w:cs="Arial"/>
          <w:b/>
          <w:color w:val="000000"/>
          <w:sz w:val="22"/>
          <w:szCs w:val="22"/>
          <w:lang w:val="es-MX"/>
        </w:rPr>
        <w:t>Artículo 6.  Contenido del reglamento operativo de las entidades de compensación y liquidación</w:t>
      </w:r>
    </w:p>
    <w:p w14:paraId="544E502F" w14:textId="77777777" w:rsidR="002A65D7" w:rsidRDefault="002A65D7" w:rsidP="002A65D7">
      <w:pPr>
        <w:rPr>
          <w:rFonts w:ascii="Arial" w:hAnsi="Arial" w:cs="Arial"/>
          <w:sz w:val="22"/>
          <w:szCs w:val="22"/>
          <w:lang w:val="es-MX"/>
        </w:rPr>
      </w:pPr>
    </w:p>
    <w:p w14:paraId="5B670FE3" w14:textId="77777777" w:rsidR="002A65D7" w:rsidRDefault="002A65D7" w:rsidP="002A65D7">
      <w:pPr>
        <w:jc w:val="both"/>
        <w:rPr>
          <w:rFonts w:ascii="Arial" w:hAnsi="Arial" w:cs="Arial"/>
          <w:sz w:val="22"/>
          <w:szCs w:val="22"/>
          <w:lang w:val="es-MX"/>
        </w:rPr>
      </w:pPr>
      <w:r>
        <w:rPr>
          <w:rFonts w:ascii="Arial" w:hAnsi="Arial" w:cs="Arial"/>
          <w:sz w:val="22"/>
          <w:szCs w:val="22"/>
          <w:lang w:val="es-MX"/>
        </w:rPr>
        <w:t>Las entidades de compensación y liquidación deben contar con un reglamento operativo que considere como mínimo lo siguiente:</w:t>
      </w:r>
    </w:p>
    <w:p w14:paraId="1BD95820" w14:textId="77777777" w:rsidR="002A65D7" w:rsidRDefault="002A65D7" w:rsidP="002A65D7">
      <w:pPr>
        <w:ind w:left="3"/>
        <w:jc w:val="both"/>
        <w:rPr>
          <w:rFonts w:ascii="Arial" w:hAnsi="Arial" w:cs="Arial"/>
          <w:sz w:val="22"/>
          <w:szCs w:val="22"/>
          <w:lang w:val="es-MX"/>
        </w:rPr>
      </w:pPr>
    </w:p>
    <w:p w14:paraId="7C16833C" w14:textId="77777777" w:rsidR="002A65D7" w:rsidRDefault="002A65D7" w:rsidP="002A65D7">
      <w:pPr>
        <w:numPr>
          <w:ilvl w:val="0"/>
          <w:numId w:val="6"/>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Servicios prestados por la entidad de compensación y liquidación.</w:t>
      </w:r>
    </w:p>
    <w:p w14:paraId="06B59D2C" w14:textId="77777777" w:rsidR="002A65D7" w:rsidRDefault="002A65D7" w:rsidP="002A65D7">
      <w:pPr>
        <w:numPr>
          <w:ilvl w:val="0"/>
          <w:numId w:val="6"/>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Funciones, deberes y obligaciones de los responsables de las distintas áreas de la estructura organizativa de la entidad de compensación y liquidación.</w:t>
      </w:r>
    </w:p>
    <w:p w14:paraId="005B4494" w14:textId="77777777" w:rsidR="002A65D7" w:rsidRDefault="002A65D7" w:rsidP="002A65D7">
      <w:pPr>
        <w:numPr>
          <w:ilvl w:val="0"/>
          <w:numId w:val="6"/>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Funciones, derechos y obligaciones de la entidad de compensación y liquidación.</w:t>
      </w:r>
    </w:p>
    <w:p w14:paraId="48629FF5" w14:textId="77777777" w:rsidR="002A65D7" w:rsidRDefault="002A65D7" w:rsidP="002A65D7">
      <w:pPr>
        <w:numPr>
          <w:ilvl w:val="0"/>
          <w:numId w:val="6"/>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Normas del proceso de liquidación</w:t>
      </w:r>
    </w:p>
    <w:p w14:paraId="0A9F4AB5" w14:textId="77777777" w:rsidR="002A65D7" w:rsidRDefault="002A65D7" w:rsidP="002A65D7">
      <w:pPr>
        <w:numPr>
          <w:ilvl w:val="2"/>
          <w:numId w:val="6"/>
        </w:numPr>
        <w:tabs>
          <w:tab w:val="left" w:pos="1080"/>
        </w:tabs>
        <w:ind w:left="1080" w:hanging="540"/>
        <w:jc w:val="both"/>
        <w:rPr>
          <w:rFonts w:ascii="Arial" w:hAnsi="Arial" w:cs="Arial"/>
          <w:sz w:val="22"/>
          <w:szCs w:val="22"/>
          <w:lang w:val="es-MX"/>
        </w:rPr>
      </w:pPr>
      <w:r>
        <w:rPr>
          <w:rFonts w:ascii="Arial" w:hAnsi="Arial" w:cs="Arial"/>
          <w:sz w:val="22"/>
          <w:szCs w:val="22"/>
          <w:lang w:val="es-MX"/>
        </w:rPr>
        <w:t>Asignación</w:t>
      </w:r>
    </w:p>
    <w:p w14:paraId="1C01B54F" w14:textId="77777777" w:rsidR="002A65D7" w:rsidRDefault="002A65D7" w:rsidP="002A65D7">
      <w:pPr>
        <w:numPr>
          <w:ilvl w:val="2"/>
          <w:numId w:val="6"/>
        </w:numPr>
        <w:tabs>
          <w:tab w:val="left" w:pos="1080"/>
        </w:tabs>
        <w:ind w:left="1080" w:hanging="540"/>
        <w:jc w:val="both"/>
        <w:rPr>
          <w:rFonts w:ascii="Arial" w:hAnsi="Arial" w:cs="Arial"/>
          <w:sz w:val="22"/>
          <w:szCs w:val="22"/>
          <w:lang w:val="es-MX"/>
        </w:rPr>
      </w:pPr>
      <w:r>
        <w:rPr>
          <w:rFonts w:ascii="Arial" w:hAnsi="Arial" w:cs="Arial"/>
          <w:sz w:val="22"/>
          <w:szCs w:val="22"/>
          <w:lang w:val="es-MX"/>
        </w:rPr>
        <w:t>Confirmación</w:t>
      </w:r>
    </w:p>
    <w:p w14:paraId="089549FB" w14:textId="77777777" w:rsidR="002A65D7" w:rsidRDefault="002A65D7" w:rsidP="002A65D7">
      <w:pPr>
        <w:numPr>
          <w:ilvl w:val="2"/>
          <w:numId w:val="6"/>
        </w:numPr>
        <w:tabs>
          <w:tab w:val="left" w:pos="1080"/>
        </w:tabs>
        <w:ind w:left="1080" w:hanging="540"/>
        <w:jc w:val="both"/>
        <w:rPr>
          <w:rFonts w:ascii="Arial" w:hAnsi="Arial" w:cs="Arial"/>
          <w:sz w:val="22"/>
          <w:szCs w:val="22"/>
          <w:lang w:val="es-MX"/>
        </w:rPr>
      </w:pPr>
      <w:r>
        <w:rPr>
          <w:rFonts w:ascii="Arial" w:hAnsi="Arial" w:cs="Arial"/>
          <w:sz w:val="22"/>
          <w:szCs w:val="22"/>
          <w:lang w:val="es-MX"/>
        </w:rPr>
        <w:t>Compensación</w:t>
      </w:r>
    </w:p>
    <w:p w14:paraId="6243D116" w14:textId="77777777" w:rsidR="002A65D7" w:rsidRDefault="002A65D7" w:rsidP="002A65D7">
      <w:pPr>
        <w:numPr>
          <w:ilvl w:val="2"/>
          <w:numId w:val="6"/>
        </w:numPr>
        <w:tabs>
          <w:tab w:val="left" w:pos="1080"/>
        </w:tabs>
        <w:ind w:left="1080" w:hanging="540"/>
        <w:jc w:val="both"/>
        <w:rPr>
          <w:rFonts w:ascii="Arial" w:hAnsi="Arial" w:cs="Arial"/>
          <w:sz w:val="22"/>
          <w:szCs w:val="22"/>
          <w:lang w:val="es-MX"/>
        </w:rPr>
      </w:pPr>
      <w:r>
        <w:rPr>
          <w:rFonts w:ascii="Arial" w:hAnsi="Arial" w:cs="Arial"/>
          <w:sz w:val="22"/>
          <w:szCs w:val="22"/>
          <w:lang w:val="es-MX"/>
        </w:rPr>
        <w:t>Mecanismos para la solución de incidencias</w:t>
      </w:r>
    </w:p>
    <w:p w14:paraId="5EB92DF4" w14:textId="77777777" w:rsidR="002A65D7" w:rsidRDefault="002A65D7" w:rsidP="002A65D7">
      <w:pPr>
        <w:numPr>
          <w:ilvl w:val="2"/>
          <w:numId w:val="6"/>
        </w:numPr>
        <w:tabs>
          <w:tab w:val="left" w:pos="1080"/>
        </w:tabs>
        <w:ind w:left="1080" w:hanging="540"/>
        <w:jc w:val="both"/>
        <w:rPr>
          <w:rFonts w:ascii="Arial" w:hAnsi="Arial" w:cs="Arial"/>
          <w:sz w:val="22"/>
          <w:szCs w:val="22"/>
          <w:lang w:val="es-MX"/>
        </w:rPr>
      </w:pPr>
      <w:r>
        <w:rPr>
          <w:rFonts w:ascii="Arial" w:hAnsi="Arial" w:cs="Arial"/>
          <w:sz w:val="22"/>
          <w:szCs w:val="22"/>
          <w:lang w:val="es-MX"/>
        </w:rPr>
        <w:t>Liquidación</w:t>
      </w:r>
    </w:p>
    <w:p w14:paraId="0124D83D" w14:textId="77777777" w:rsidR="002A65D7" w:rsidRDefault="002A65D7" w:rsidP="002A65D7">
      <w:pPr>
        <w:numPr>
          <w:ilvl w:val="2"/>
          <w:numId w:val="6"/>
        </w:numPr>
        <w:tabs>
          <w:tab w:val="left" w:pos="1080"/>
        </w:tabs>
        <w:ind w:left="1080" w:hanging="540"/>
        <w:jc w:val="both"/>
        <w:rPr>
          <w:rFonts w:ascii="Arial" w:hAnsi="Arial" w:cs="Arial"/>
          <w:sz w:val="22"/>
          <w:szCs w:val="22"/>
          <w:lang w:val="es-MX"/>
        </w:rPr>
      </w:pPr>
      <w:r>
        <w:rPr>
          <w:rFonts w:ascii="Arial" w:hAnsi="Arial" w:cs="Arial"/>
          <w:sz w:val="22"/>
          <w:szCs w:val="22"/>
          <w:lang w:val="es-MX"/>
        </w:rPr>
        <w:t>Incumplimientos</w:t>
      </w:r>
    </w:p>
    <w:p w14:paraId="7D885387" w14:textId="77777777" w:rsidR="002A65D7" w:rsidRDefault="002A65D7" w:rsidP="002A65D7">
      <w:pPr>
        <w:numPr>
          <w:ilvl w:val="0"/>
          <w:numId w:val="6"/>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 xml:space="preserve">Normas de divulgación de la gestión de los </w:t>
      </w:r>
      <w:r w:rsidR="00F860ED">
        <w:rPr>
          <w:rFonts w:ascii="Arial" w:hAnsi="Arial" w:cs="Arial"/>
          <w:sz w:val="22"/>
          <w:szCs w:val="22"/>
          <w:lang w:val="es-MX"/>
        </w:rPr>
        <w:t>principales riesgos</w:t>
      </w:r>
      <w:r>
        <w:rPr>
          <w:rFonts w:ascii="Arial" w:hAnsi="Arial" w:cs="Arial"/>
          <w:sz w:val="22"/>
          <w:szCs w:val="22"/>
          <w:lang w:val="es-MX"/>
        </w:rPr>
        <w:t>.</w:t>
      </w:r>
    </w:p>
    <w:p w14:paraId="71F96B29" w14:textId="77777777" w:rsidR="002A65D7" w:rsidRDefault="002A65D7" w:rsidP="002A65D7">
      <w:pPr>
        <w:numPr>
          <w:ilvl w:val="0"/>
          <w:numId w:val="6"/>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Normas de revisión y divulgación de tarifas.</w:t>
      </w:r>
    </w:p>
    <w:p w14:paraId="0890F8B6" w14:textId="77777777" w:rsidR="002A65D7" w:rsidRDefault="002A65D7" w:rsidP="002A65D7">
      <w:pPr>
        <w:numPr>
          <w:ilvl w:val="0"/>
          <w:numId w:val="6"/>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Requerimientos de funcionamiento operativos, de comunicación y de tecnología de información necesarios para adquirir y mantener la condición de miembro liquidador.</w:t>
      </w:r>
    </w:p>
    <w:p w14:paraId="3CA2187D" w14:textId="77777777" w:rsidR="002A65D7" w:rsidRDefault="002A65D7" w:rsidP="002A65D7">
      <w:pPr>
        <w:numPr>
          <w:ilvl w:val="0"/>
          <w:numId w:val="6"/>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Funciones, derechos y obligaciones de los miembros liquidadores.</w:t>
      </w:r>
    </w:p>
    <w:p w14:paraId="319239FE" w14:textId="77777777" w:rsidR="002A65D7" w:rsidRDefault="002A65D7" w:rsidP="002A65D7">
      <w:pPr>
        <w:numPr>
          <w:ilvl w:val="0"/>
          <w:numId w:val="6"/>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Demás requerimientos establecidos en el Reglamento.</w:t>
      </w:r>
    </w:p>
    <w:p w14:paraId="51C7A328" w14:textId="77777777" w:rsidR="002A65D7" w:rsidRDefault="002A65D7" w:rsidP="002A65D7">
      <w:pPr>
        <w:rPr>
          <w:rFonts w:ascii="Arial" w:hAnsi="Arial" w:cs="Arial"/>
          <w:sz w:val="22"/>
          <w:szCs w:val="22"/>
          <w:lang w:val="es-MX"/>
        </w:rPr>
      </w:pPr>
    </w:p>
    <w:p w14:paraId="72CB2638" w14:textId="77777777" w:rsidR="002A65D7" w:rsidRDefault="002A65D7" w:rsidP="002A65D7">
      <w:pPr>
        <w:jc w:val="both"/>
        <w:rPr>
          <w:rFonts w:ascii="Arial" w:hAnsi="Arial" w:cs="Arial"/>
          <w:sz w:val="22"/>
          <w:szCs w:val="22"/>
          <w:lang w:val="es-MX"/>
        </w:rPr>
      </w:pPr>
      <w:r>
        <w:rPr>
          <w:rFonts w:ascii="Arial" w:hAnsi="Arial" w:cs="Arial"/>
          <w:sz w:val="22"/>
          <w:szCs w:val="22"/>
          <w:lang w:val="es-MX"/>
        </w:rPr>
        <w:t>Este Reglamento operativo debe encontrarse actualizado, documentado electrónica</w:t>
      </w:r>
      <w:r w:rsidR="007716F9">
        <w:rPr>
          <w:rFonts w:ascii="Arial" w:hAnsi="Arial" w:cs="Arial"/>
          <w:sz w:val="22"/>
          <w:szCs w:val="22"/>
          <w:lang w:val="es-MX"/>
        </w:rPr>
        <w:t xml:space="preserve"> o física</w:t>
      </w:r>
      <w:r>
        <w:rPr>
          <w:rFonts w:ascii="Arial" w:hAnsi="Arial" w:cs="Arial"/>
          <w:sz w:val="22"/>
          <w:szCs w:val="22"/>
          <w:lang w:val="es-MX"/>
        </w:rPr>
        <w:t xml:space="preserve">mente y disponible en todo momento, tanto para los participantes, como para las auditorías interna y externa y la Superintendencia General de Valores. </w:t>
      </w:r>
    </w:p>
    <w:p w14:paraId="768639BC" w14:textId="77777777" w:rsidR="002A65D7" w:rsidRDefault="002A65D7" w:rsidP="002A65D7">
      <w:pPr>
        <w:jc w:val="both"/>
        <w:rPr>
          <w:rFonts w:ascii="Arial" w:hAnsi="Arial" w:cs="Arial"/>
          <w:sz w:val="22"/>
          <w:szCs w:val="22"/>
          <w:lang w:val="es-MX"/>
        </w:rPr>
      </w:pPr>
    </w:p>
    <w:p w14:paraId="1661EA32" w14:textId="77777777" w:rsidR="008F686A" w:rsidRDefault="008F686A" w:rsidP="00087EB0">
      <w:pPr>
        <w:shd w:val="clear" w:color="auto" w:fill="FFFFFF" w:themeFill="background1"/>
        <w:jc w:val="both"/>
        <w:rPr>
          <w:rFonts w:ascii="Arial" w:hAnsi="Arial" w:cs="Arial"/>
          <w:sz w:val="22"/>
          <w:szCs w:val="22"/>
          <w:lang w:val="es-MX"/>
        </w:rPr>
      </w:pPr>
    </w:p>
    <w:p w14:paraId="45622E3F" w14:textId="77777777" w:rsidR="00087EB0" w:rsidRDefault="00087EB0">
      <w:pPr>
        <w:spacing w:after="160" w:line="259" w:lineRule="auto"/>
        <w:rPr>
          <w:rFonts w:ascii="Arial" w:hAnsi="Arial" w:cs="Arial"/>
          <w:b/>
          <w:color w:val="000000"/>
          <w:sz w:val="22"/>
          <w:szCs w:val="22"/>
          <w:lang w:val="es-MX"/>
        </w:rPr>
      </w:pPr>
      <w:r>
        <w:rPr>
          <w:rFonts w:ascii="Arial" w:hAnsi="Arial" w:cs="Arial"/>
          <w:b/>
          <w:color w:val="000000"/>
          <w:sz w:val="22"/>
          <w:szCs w:val="22"/>
          <w:lang w:val="es-MX"/>
        </w:rPr>
        <w:br w:type="page"/>
      </w:r>
    </w:p>
    <w:p w14:paraId="6294F58F" w14:textId="77777777" w:rsidR="007716F9" w:rsidRPr="00087EB0" w:rsidRDefault="007716F9" w:rsidP="00087EB0">
      <w:pPr>
        <w:shd w:val="clear" w:color="auto" w:fill="FFFFFF" w:themeFill="background1"/>
        <w:jc w:val="both"/>
        <w:rPr>
          <w:rFonts w:ascii="Arial" w:hAnsi="Arial" w:cs="Arial"/>
          <w:b/>
          <w:color w:val="000000"/>
          <w:sz w:val="22"/>
          <w:szCs w:val="22"/>
          <w:lang w:val="es-MX"/>
        </w:rPr>
      </w:pPr>
      <w:r w:rsidRPr="00087EB0">
        <w:rPr>
          <w:rFonts w:ascii="Arial" w:hAnsi="Arial" w:cs="Arial"/>
          <w:b/>
          <w:color w:val="000000"/>
          <w:sz w:val="22"/>
          <w:szCs w:val="22"/>
          <w:lang w:val="es-MX"/>
        </w:rPr>
        <w:lastRenderedPageBreak/>
        <w:t xml:space="preserve">Artículo </w:t>
      </w:r>
      <w:r w:rsidR="00D8731F" w:rsidRPr="00087EB0">
        <w:rPr>
          <w:rFonts w:ascii="Arial" w:hAnsi="Arial" w:cs="Arial"/>
          <w:b/>
          <w:color w:val="000000"/>
          <w:sz w:val="22"/>
          <w:szCs w:val="22"/>
          <w:lang w:val="es-MX"/>
        </w:rPr>
        <w:t>7</w:t>
      </w:r>
      <w:r w:rsidRPr="00087EB0">
        <w:rPr>
          <w:rFonts w:ascii="Arial" w:hAnsi="Arial" w:cs="Arial"/>
          <w:b/>
          <w:color w:val="000000"/>
          <w:sz w:val="22"/>
          <w:szCs w:val="22"/>
          <w:lang w:val="es-MX"/>
        </w:rPr>
        <w:t xml:space="preserve">.  </w:t>
      </w:r>
      <w:r w:rsidR="00F31CF4" w:rsidRPr="00087EB0">
        <w:rPr>
          <w:rFonts w:ascii="Arial" w:hAnsi="Arial" w:cs="Arial"/>
          <w:b/>
          <w:color w:val="000000"/>
          <w:sz w:val="22"/>
          <w:szCs w:val="22"/>
          <w:lang w:val="es-MX"/>
        </w:rPr>
        <w:t xml:space="preserve">Determinación del monto </w:t>
      </w:r>
      <w:r w:rsidR="00920280" w:rsidRPr="00087EB0">
        <w:rPr>
          <w:rFonts w:ascii="Arial" w:hAnsi="Arial" w:cs="Arial"/>
          <w:b/>
          <w:color w:val="000000"/>
          <w:sz w:val="22"/>
          <w:szCs w:val="22"/>
          <w:lang w:val="es-MX"/>
        </w:rPr>
        <w:t>del fondo</w:t>
      </w:r>
      <w:r w:rsidR="003E21A1" w:rsidRPr="00087EB0">
        <w:rPr>
          <w:rFonts w:ascii="Arial" w:hAnsi="Arial" w:cs="Arial"/>
          <w:b/>
          <w:color w:val="000000"/>
          <w:sz w:val="22"/>
          <w:szCs w:val="22"/>
          <w:lang w:val="es-MX"/>
        </w:rPr>
        <w:t xml:space="preserve"> de garantía</w:t>
      </w:r>
      <w:r w:rsidR="00920280" w:rsidRPr="00087EB0">
        <w:rPr>
          <w:rFonts w:ascii="Arial" w:hAnsi="Arial" w:cs="Arial"/>
          <w:b/>
          <w:color w:val="000000"/>
          <w:sz w:val="22"/>
          <w:szCs w:val="22"/>
          <w:lang w:val="es-MX"/>
        </w:rPr>
        <w:t xml:space="preserve"> para la solución de incumplimientos</w:t>
      </w:r>
      <w:r w:rsidR="00F31CF4" w:rsidRPr="00087EB0">
        <w:rPr>
          <w:rFonts w:ascii="Arial" w:hAnsi="Arial" w:cs="Arial"/>
          <w:b/>
          <w:color w:val="000000"/>
          <w:sz w:val="22"/>
          <w:szCs w:val="22"/>
          <w:lang w:val="es-MX"/>
        </w:rPr>
        <w:t xml:space="preserve"> </w:t>
      </w:r>
    </w:p>
    <w:p w14:paraId="079D6484" w14:textId="77777777" w:rsidR="007716F9" w:rsidRPr="00087EB0" w:rsidRDefault="007716F9" w:rsidP="00087EB0">
      <w:pPr>
        <w:shd w:val="clear" w:color="auto" w:fill="FFFFFF" w:themeFill="background1"/>
        <w:rPr>
          <w:rFonts w:ascii="Arial" w:hAnsi="Arial" w:cs="Arial"/>
          <w:sz w:val="22"/>
          <w:szCs w:val="22"/>
          <w:lang w:val="es-MX"/>
        </w:rPr>
      </w:pPr>
    </w:p>
    <w:p w14:paraId="3C25CF34" w14:textId="77777777" w:rsidR="008F686A" w:rsidRPr="00087EB0" w:rsidRDefault="007716F9" w:rsidP="00087EB0">
      <w:pPr>
        <w:shd w:val="clear" w:color="auto" w:fill="FFFFFF" w:themeFill="background1"/>
        <w:jc w:val="both"/>
        <w:rPr>
          <w:rFonts w:ascii="Arial" w:hAnsi="Arial" w:cs="Arial"/>
          <w:sz w:val="22"/>
          <w:szCs w:val="22"/>
          <w:lang w:val="es-MX"/>
        </w:rPr>
      </w:pPr>
      <w:r w:rsidRPr="00087EB0">
        <w:rPr>
          <w:rFonts w:ascii="Arial" w:hAnsi="Arial" w:cs="Arial"/>
          <w:sz w:val="22"/>
          <w:szCs w:val="22"/>
          <w:lang w:val="es-MX"/>
        </w:rPr>
        <w:t xml:space="preserve">Las entidades de compensación y liquidación deben </w:t>
      </w:r>
      <w:r w:rsidR="00167C1C" w:rsidRPr="00087EB0">
        <w:rPr>
          <w:rFonts w:ascii="Arial" w:hAnsi="Arial" w:cs="Arial"/>
          <w:sz w:val="22"/>
          <w:szCs w:val="22"/>
          <w:lang w:val="es-MX"/>
        </w:rPr>
        <w:t>considerar para la determinación del monto del fondo</w:t>
      </w:r>
      <w:r w:rsidR="00F31CF4" w:rsidRPr="00087EB0">
        <w:rPr>
          <w:rFonts w:ascii="Arial" w:hAnsi="Arial" w:cs="Arial"/>
          <w:sz w:val="22"/>
          <w:szCs w:val="22"/>
          <w:lang w:val="es-MX"/>
        </w:rPr>
        <w:t xml:space="preserve"> que sirva como mecanismo para la solución de incumplimientos en el proceso de</w:t>
      </w:r>
      <w:r w:rsidR="00F860ED" w:rsidRPr="00087EB0">
        <w:rPr>
          <w:rFonts w:ascii="Arial" w:hAnsi="Arial" w:cs="Arial"/>
          <w:sz w:val="22"/>
          <w:szCs w:val="22"/>
          <w:lang w:val="es-MX"/>
        </w:rPr>
        <w:t xml:space="preserve"> compensación y</w:t>
      </w:r>
      <w:r w:rsidR="00F31CF4" w:rsidRPr="00087EB0">
        <w:rPr>
          <w:rFonts w:ascii="Arial" w:hAnsi="Arial" w:cs="Arial"/>
          <w:sz w:val="22"/>
          <w:szCs w:val="22"/>
          <w:lang w:val="es-MX"/>
        </w:rPr>
        <w:t xml:space="preserve"> liquidación de los contratos bursátiles, los siguientes parámetros:</w:t>
      </w:r>
    </w:p>
    <w:p w14:paraId="118AE106" w14:textId="77777777" w:rsidR="00C35BA3" w:rsidRPr="0016403B" w:rsidRDefault="00C35BA3" w:rsidP="007716F9">
      <w:pPr>
        <w:jc w:val="both"/>
        <w:rPr>
          <w:rFonts w:ascii="Arial" w:hAnsi="Arial" w:cs="Arial"/>
          <w:sz w:val="22"/>
          <w:szCs w:val="22"/>
          <w:highlight w:val="yellow"/>
          <w:lang w:val="es-MX"/>
        </w:rPr>
      </w:pPr>
    </w:p>
    <w:p w14:paraId="17E76292" w14:textId="77777777" w:rsidR="003E21A1" w:rsidRPr="00087EB0" w:rsidRDefault="00F860ED" w:rsidP="00CB55D9">
      <w:pPr>
        <w:pStyle w:val="Prrafodelista"/>
        <w:widowControl w:val="0"/>
        <w:numPr>
          <w:ilvl w:val="0"/>
          <w:numId w:val="15"/>
        </w:numPr>
        <w:jc w:val="both"/>
        <w:rPr>
          <w:rFonts w:ascii="Arial" w:hAnsi="Arial" w:cs="Arial"/>
          <w:sz w:val="22"/>
          <w:szCs w:val="22"/>
          <w:lang w:val="es-MX"/>
        </w:rPr>
      </w:pPr>
      <w:r w:rsidRPr="00087EB0">
        <w:rPr>
          <w:rFonts w:ascii="Arial" w:hAnsi="Arial" w:cs="Arial"/>
          <w:sz w:val="22"/>
          <w:szCs w:val="22"/>
          <w:lang w:val="es-MX"/>
        </w:rPr>
        <w:t>L</w:t>
      </w:r>
      <w:r w:rsidR="003E21A1" w:rsidRPr="00087EB0">
        <w:rPr>
          <w:rFonts w:ascii="Arial" w:hAnsi="Arial" w:cs="Arial"/>
          <w:sz w:val="22"/>
          <w:szCs w:val="22"/>
          <w:lang w:val="es-MX"/>
        </w:rPr>
        <w:t xml:space="preserve">os contratos de </w:t>
      </w:r>
      <w:proofErr w:type="gramStart"/>
      <w:r w:rsidR="003E21A1" w:rsidRPr="00087EB0">
        <w:rPr>
          <w:rFonts w:ascii="Arial" w:hAnsi="Arial" w:cs="Arial"/>
          <w:sz w:val="22"/>
          <w:szCs w:val="22"/>
          <w:lang w:val="es-MX"/>
        </w:rPr>
        <w:t>compra venta</w:t>
      </w:r>
      <w:proofErr w:type="gramEnd"/>
      <w:r w:rsidR="003E21A1" w:rsidRPr="00087EB0">
        <w:rPr>
          <w:rFonts w:ascii="Arial" w:hAnsi="Arial" w:cs="Arial"/>
          <w:sz w:val="22"/>
          <w:szCs w:val="22"/>
          <w:lang w:val="es-MX"/>
        </w:rPr>
        <w:t xml:space="preserve"> de contado y a plazo efectuad</w:t>
      </w:r>
      <w:r w:rsidR="00833267">
        <w:rPr>
          <w:rFonts w:ascii="Arial" w:hAnsi="Arial" w:cs="Arial"/>
          <w:sz w:val="22"/>
          <w:szCs w:val="22"/>
          <w:lang w:val="es-MX"/>
        </w:rPr>
        <w:t>o</w:t>
      </w:r>
      <w:r w:rsidR="003E21A1" w:rsidRPr="00087EB0">
        <w:rPr>
          <w:rFonts w:ascii="Arial" w:hAnsi="Arial" w:cs="Arial"/>
          <w:sz w:val="22"/>
          <w:szCs w:val="22"/>
          <w:lang w:val="es-MX"/>
        </w:rPr>
        <w:t>s en el mercado secundario organizado por las bolsas de valores</w:t>
      </w:r>
      <w:r w:rsidR="00AE0EDC" w:rsidRPr="00087EB0">
        <w:rPr>
          <w:rFonts w:ascii="Arial" w:hAnsi="Arial" w:cs="Arial"/>
          <w:sz w:val="22"/>
          <w:szCs w:val="22"/>
          <w:lang w:val="es-MX"/>
        </w:rPr>
        <w:t>.</w:t>
      </w:r>
      <w:r w:rsidR="00833267">
        <w:rPr>
          <w:rFonts w:ascii="Arial" w:hAnsi="Arial" w:cs="Arial"/>
          <w:sz w:val="22"/>
          <w:szCs w:val="22"/>
          <w:lang w:val="es-MX"/>
        </w:rPr>
        <w:t xml:space="preserve"> </w:t>
      </w:r>
      <w:r w:rsidR="00833267" w:rsidRPr="00087EB0">
        <w:rPr>
          <w:rFonts w:ascii="Arial" w:hAnsi="Arial" w:cs="Arial"/>
          <w:sz w:val="22"/>
          <w:szCs w:val="22"/>
          <w:lang w:val="es-MX"/>
        </w:rPr>
        <w:t>Considerar los saldos de los tres meses anteriores a la realización del cálculo</w:t>
      </w:r>
    </w:p>
    <w:p w14:paraId="22BD4824" w14:textId="77777777" w:rsidR="00AE0EDC" w:rsidRPr="00087EB0" w:rsidRDefault="00AE0EDC" w:rsidP="00087EB0">
      <w:pPr>
        <w:pStyle w:val="Prrafodelista"/>
        <w:widowControl w:val="0"/>
        <w:shd w:val="clear" w:color="auto" w:fill="FFFFFF" w:themeFill="background1"/>
        <w:jc w:val="both"/>
        <w:rPr>
          <w:rFonts w:ascii="Arial" w:hAnsi="Arial" w:cs="Arial"/>
          <w:sz w:val="22"/>
          <w:szCs w:val="22"/>
          <w:lang w:val="es-MX"/>
        </w:rPr>
      </w:pPr>
    </w:p>
    <w:p w14:paraId="52856365" w14:textId="77777777" w:rsidR="00AE0EDC" w:rsidRPr="00087EB0" w:rsidRDefault="00167C1C" w:rsidP="00087EB0">
      <w:pPr>
        <w:pStyle w:val="Prrafodelista"/>
        <w:widowControl w:val="0"/>
        <w:numPr>
          <w:ilvl w:val="0"/>
          <w:numId w:val="15"/>
        </w:numPr>
        <w:shd w:val="clear" w:color="auto" w:fill="FFFFFF" w:themeFill="background1"/>
        <w:jc w:val="both"/>
        <w:rPr>
          <w:rFonts w:ascii="Arial" w:hAnsi="Arial" w:cs="Arial"/>
          <w:sz w:val="22"/>
          <w:szCs w:val="22"/>
          <w:lang w:val="es-MX"/>
        </w:rPr>
      </w:pPr>
      <w:r w:rsidRPr="00087EB0">
        <w:rPr>
          <w:rFonts w:ascii="Arial" w:hAnsi="Arial" w:cs="Arial"/>
          <w:sz w:val="22"/>
          <w:szCs w:val="22"/>
          <w:lang w:val="es-MX"/>
        </w:rPr>
        <w:t>El monto del fondo debe ser igual al monto de la posición neta compradora que ocupe como mínimo el percentil 95</w:t>
      </w:r>
      <w:r w:rsidR="00AE0EDC" w:rsidRPr="00087EB0">
        <w:rPr>
          <w:rFonts w:ascii="Arial" w:hAnsi="Arial" w:cs="Arial"/>
          <w:sz w:val="22"/>
          <w:szCs w:val="22"/>
          <w:lang w:val="es-MX"/>
        </w:rPr>
        <w:t xml:space="preserve"> </w:t>
      </w:r>
      <w:r w:rsidRPr="00087EB0">
        <w:rPr>
          <w:rFonts w:ascii="Arial" w:hAnsi="Arial" w:cs="Arial"/>
          <w:sz w:val="22"/>
          <w:szCs w:val="22"/>
          <w:lang w:val="es-MX"/>
        </w:rPr>
        <w:t xml:space="preserve">de las posiciones diarias netas de compra para cada miembro liquidador perteneciente a la entidad de compensación y liquidación respectiva. </w:t>
      </w:r>
    </w:p>
    <w:p w14:paraId="6242FD1F" w14:textId="77777777" w:rsidR="000675D2" w:rsidRPr="00683938" w:rsidRDefault="000675D2" w:rsidP="00683938">
      <w:pPr>
        <w:pStyle w:val="Prrafodelista"/>
        <w:shd w:val="clear" w:color="auto" w:fill="FFFFFF" w:themeFill="background1"/>
        <w:rPr>
          <w:rFonts w:ascii="Arial" w:hAnsi="Arial" w:cs="Arial"/>
          <w:sz w:val="22"/>
          <w:szCs w:val="22"/>
          <w:lang w:val="es-MX"/>
        </w:rPr>
      </w:pPr>
    </w:p>
    <w:p w14:paraId="3EF56986" w14:textId="77777777" w:rsidR="000675D2" w:rsidRPr="00683938" w:rsidRDefault="000675D2" w:rsidP="00683938">
      <w:pPr>
        <w:pStyle w:val="Prrafodelista"/>
        <w:widowControl w:val="0"/>
        <w:numPr>
          <w:ilvl w:val="0"/>
          <w:numId w:val="15"/>
        </w:numPr>
        <w:shd w:val="clear" w:color="auto" w:fill="FFFFFF" w:themeFill="background1"/>
        <w:jc w:val="both"/>
        <w:rPr>
          <w:rFonts w:ascii="Arial" w:hAnsi="Arial" w:cs="Arial"/>
          <w:sz w:val="22"/>
          <w:szCs w:val="22"/>
          <w:lang w:val="es-MX"/>
        </w:rPr>
      </w:pPr>
      <w:r w:rsidRPr="00683938">
        <w:rPr>
          <w:rFonts w:ascii="Arial" w:hAnsi="Arial" w:cs="Arial"/>
          <w:sz w:val="22"/>
          <w:szCs w:val="22"/>
          <w:lang w:val="es-MX"/>
        </w:rPr>
        <w:t>El monto se actualizará en los primeros cinco días hábiles siguientes al corte de cada mes calendario.</w:t>
      </w:r>
    </w:p>
    <w:p w14:paraId="67DE1CA8" w14:textId="77777777" w:rsidR="00167C1C" w:rsidRPr="003E21A1" w:rsidRDefault="00167C1C" w:rsidP="00167C1C">
      <w:pPr>
        <w:widowControl w:val="0"/>
        <w:jc w:val="both"/>
        <w:rPr>
          <w:rFonts w:ascii="Arial" w:hAnsi="Arial" w:cs="Arial"/>
          <w:sz w:val="22"/>
          <w:szCs w:val="22"/>
          <w:lang w:val="es-MX"/>
        </w:rPr>
      </w:pPr>
    </w:p>
    <w:p w14:paraId="4EFE5736" w14:textId="77777777" w:rsidR="008F686A" w:rsidRDefault="008F686A" w:rsidP="002A65D7">
      <w:pPr>
        <w:jc w:val="both"/>
        <w:rPr>
          <w:rFonts w:ascii="Arial" w:hAnsi="Arial" w:cs="Arial"/>
          <w:sz w:val="22"/>
          <w:szCs w:val="22"/>
          <w:lang w:val="es-MX"/>
        </w:rPr>
      </w:pPr>
    </w:p>
    <w:p w14:paraId="0E6487F7" w14:textId="77777777" w:rsidR="002A65D7" w:rsidRDefault="002A65D7" w:rsidP="002A65D7">
      <w:pPr>
        <w:jc w:val="both"/>
        <w:rPr>
          <w:rFonts w:ascii="Arial" w:hAnsi="Arial" w:cs="Arial"/>
          <w:b/>
          <w:color w:val="000000"/>
          <w:sz w:val="22"/>
          <w:szCs w:val="22"/>
          <w:lang w:val="es-MX"/>
        </w:rPr>
      </w:pPr>
      <w:r>
        <w:rPr>
          <w:rFonts w:ascii="Arial" w:hAnsi="Arial" w:cs="Arial"/>
          <w:b/>
          <w:color w:val="000000"/>
          <w:sz w:val="22"/>
          <w:szCs w:val="22"/>
          <w:lang w:val="es-MX"/>
        </w:rPr>
        <w:t xml:space="preserve">Artículo </w:t>
      </w:r>
      <w:r w:rsidR="0081133B">
        <w:rPr>
          <w:rFonts w:ascii="Arial" w:hAnsi="Arial" w:cs="Arial"/>
          <w:b/>
          <w:color w:val="000000"/>
          <w:sz w:val="22"/>
          <w:szCs w:val="22"/>
          <w:lang w:val="es-MX"/>
        </w:rPr>
        <w:t>8</w:t>
      </w:r>
      <w:r>
        <w:rPr>
          <w:rFonts w:ascii="Arial" w:hAnsi="Arial" w:cs="Arial"/>
          <w:b/>
          <w:color w:val="000000"/>
          <w:sz w:val="22"/>
          <w:szCs w:val="22"/>
          <w:lang w:val="es-MX"/>
        </w:rPr>
        <w:t>.  Comunicación de tarifas de las entidades de compensación y liquidación</w:t>
      </w:r>
    </w:p>
    <w:p w14:paraId="41C0BDEF" w14:textId="77777777" w:rsidR="002A65D7" w:rsidRDefault="002A65D7" w:rsidP="002A65D7">
      <w:pPr>
        <w:rPr>
          <w:rFonts w:ascii="Arial" w:hAnsi="Arial" w:cs="Arial"/>
          <w:sz w:val="22"/>
          <w:szCs w:val="22"/>
          <w:lang w:val="es-MX"/>
        </w:rPr>
      </w:pPr>
    </w:p>
    <w:p w14:paraId="1A43644D" w14:textId="77777777" w:rsidR="002A65D7" w:rsidRDefault="002A65D7" w:rsidP="002A65D7">
      <w:pPr>
        <w:jc w:val="both"/>
        <w:rPr>
          <w:rFonts w:ascii="Arial" w:hAnsi="Arial" w:cs="Arial"/>
          <w:sz w:val="22"/>
          <w:szCs w:val="22"/>
          <w:lang w:val="es-MX"/>
        </w:rPr>
      </w:pPr>
      <w:r>
        <w:rPr>
          <w:rFonts w:ascii="Arial" w:hAnsi="Arial" w:cs="Arial"/>
          <w:sz w:val="22"/>
          <w:szCs w:val="22"/>
          <w:lang w:val="es-MX"/>
        </w:rPr>
        <w:t xml:space="preserve">Las entidades de compensación y liquidación deben comunicar la aplicación de tarifas y sus modificaciones, con al menos treinta días naturales previos a su </w:t>
      </w:r>
      <w:proofErr w:type="gramStart"/>
      <w:r>
        <w:rPr>
          <w:rFonts w:ascii="Arial" w:hAnsi="Arial" w:cs="Arial"/>
          <w:sz w:val="22"/>
          <w:szCs w:val="22"/>
          <w:lang w:val="es-MX"/>
        </w:rPr>
        <w:t>entrada en vigencia</w:t>
      </w:r>
      <w:proofErr w:type="gramEnd"/>
      <w:r>
        <w:rPr>
          <w:rFonts w:ascii="Arial" w:hAnsi="Arial" w:cs="Arial"/>
          <w:sz w:val="22"/>
          <w:szCs w:val="22"/>
          <w:lang w:val="es-MX"/>
        </w:rPr>
        <w:t>, por los siguientes medios:</w:t>
      </w:r>
    </w:p>
    <w:p w14:paraId="266B95B9" w14:textId="77777777" w:rsidR="002A65D7" w:rsidRDefault="002A65D7" w:rsidP="002A65D7">
      <w:pPr>
        <w:jc w:val="both"/>
        <w:rPr>
          <w:rFonts w:ascii="Arial" w:hAnsi="Arial" w:cs="Arial"/>
          <w:sz w:val="22"/>
          <w:szCs w:val="22"/>
          <w:lang w:val="es-MX"/>
        </w:rPr>
      </w:pPr>
    </w:p>
    <w:p w14:paraId="085B9315" w14:textId="77777777" w:rsidR="002A65D7" w:rsidRDefault="002A65D7" w:rsidP="002A65D7">
      <w:pPr>
        <w:numPr>
          <w:ilvl w:val="0"/>
          <w:numId w:val="7"/>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Notificación que incluya el detalle de las nuevas tarifas o de las tarifas actuales y las propuestas</w:t>
      </w:r>
      <w:r w:rsidR="0016403B">
        <w:rPr>
          <w:rFonts w:ascii="Arial" w:hAnsi="Arial" w:cs="Arial"/>
          <w:sz w:val="22"/>
          <w:szCs w:val="22"/>
          <w:lang w:val="es-MX"/>
        </w:rPr>
        <w:t xml:space="preserve"> a los participantes</w:t>
      </w:r>
      <w:r>
        <w:rPr>
          <w:rFonts w:ascii="Arial" w:hAnsi="Arial" w:cs="Arial"/>
          <w:sz w:val="22"/>
          <w:szCs w:val="22"/>
          <w:lang w:val="es-MX"/>
        </w:rPr>
        <w:t xml:space="preserve">, según sea el caso, y la fecha a partir de la cual </w:t>
      </w:r>
      <w:proofErr w:type="gramStart"/>
      <w:r>
        <w:rPr>
          <w:rFonts w:ascii="Arial" w:hAnsi="Arial" w:cs="Arial"/>
          <w:sz w:val="22"/>
          <w:szCs w:val="22"/>
          <w:lang w:val="es-MX"/>
        </w:rPr>
        <w:t>entrarán en vigencia</w:t>
      </w:r>
      <w:proofErr w:type="gramEnd"/>
      <w:r>
        <w:rPr>
          <w:rFonts w:ascii="Arial" w:hAnsi="Arial" w:cs="Arial"/>
          <w:sz w:val="22"/>
          <w:szCs w:val="22"/>
          <w:lang w:val="es-MX"/>
        </w:rPr>
        <w:t xml:space="preserve">. </w:t>
      </w:r>
    </w:p>
    <w:p w14:paraId="3C263AEF" w14:textId="77777777" w:rsidR="002A65D7" w:rsidRDefault="002A65D7" w:rsidP="002A65D7">
      <w:pPr>
        <w:tabs>
          <w:tab w:val="num" w:pos="540"/>
        </w:tabs>
        <w:ind w:left="540" w:hanging="537"/>
        <w:jc w:val="both"/>
        <w:rPr>
          <w:rFonts w:ascii="Arial" w:hAnsi="Arial" w:cs="Arial"/>
          <w:sz w:val="22"/>
          <w:szCs w:val="22"/>
          <w:lang w:val="es-MX"/>
        </w:rPr>
      </w:pPr>
    </w:p>
    <w:p w14:paraId="21AFC668" w14:textId="77777777" w:rsidR="002A65D7" w:rsidRDefault="002A65D7" w:rsidP="002A65D7">
      <w:pPr>
        <w:numPr>
          <w:ilvl w:val="0"/>
          <w:numId w:val="7"/>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Publicación de las tarifas en el sitio web de la entidad.</w:t>
      </w:r>
    </w:p>
    <w:p w14:paraId="6F5B469D" w14:textId="77777777" w:rsidR="002A65D7" w:rsidRDefault="002A65D7" w:rsidP="002A65D7">
      <w:pPr>
        <w:jc w:val="both"/>
        <w:rPr>
          <w:rFonts w:ascii="Arial" w:hAnsi="Arial" w:cs="Arial"/>
          <w:b/>
          <w:color w:val="000000"/>
          <w:sz w:val="22"/>
          <w:szCs w:val="22"/>
          <w:lang w:val="es-MX"/>
        </w:rPr>
      </w:pPr>
    </w:p>
    <w:p w14:paraId="1BB0F624" w14:textId="77777777" w:rsidR="002A65D7" w:rsidRDefault="002A65D7" w:rsidP="002A65D7">
      <w:pPr>
        <w:jc w:val="both"/>
        <w:rPr>
          <w:rFonts w:ascii="Arial" w:hAnsi="Arial" w:cs="Arial"/>
          <w:b/>
          <w:color w:val="000000"/>
          <w:sz w:val="22"/>
          <w:szCs w:val="22"/>
          <w:lang w:val="es-MX"/>
        </w:rPr>
      </w:pPr>
      <w:r>
        <w:rPr>
          <w:rFonts w:ascii="Arial" w:hAnsi="Arial" w:cs="Arial"/>
          <w:b/>
          <w:color w:val="000000"/>
          <w:sz w:val="22"/>
          <w:szCs w:val="22"/>
          <w:lang w:val="es-MX"/>
        </w:rPr>
        <w:t xml:space="preserve">Artículo </w:t>
      </w:r>
      <w:r w:rsidR="0081133B">
        <w:rPr>
          <w:rFonts w:ascii="Arial" w:hAnsi="Arial" w:cs="Arial"/>
          <w:b/>
          <w:color w:val="000000"/>
          <w:sz w:val="22"/>
          <w:szCs w:val="22"/>
          <w:lang w:val="es-MX"/>
        </w:rPr>
        <w:t>9</w:t>
      </w:r>
      <w:r>
        <w:rPr>
          <w:rFonts w:ascii="Arial" w:hAnsi="Arial" w:cs="Arial"/>
          <w:b/>
          <w:color w:val="000000"/>
          <w:sz w:val="22"/>
          <w:szCs w:val="22"/>
          <w:lang w:val="es-MX"/>
        </w:rPr>
        <w:t>.  Información sobre incumplimientos en la liquidación de los contratos bursátiles</w:t>
      </w:r>
    </w:p>
    <w:p w14:paraId="6EDF755A" w14:textId="77777777" w:rsidR="002A65D7" w:rsidRDefault="002A65D7" w:rsidP="002A65D7">
      <w:pPr>
        <w:rPr>
          <w:rFonts w:ascii="Arial" w:hAnsi="Arial" w:cs="Arial"/>
          <w:sz w:val="22"/>
          <w:szCs w:val="22"/>
          <w:lang w:val="es-MX"/>
        </w:rPr>
      </w:pPr>
    </w:p>
    <w:p w14:paraId="0DA5F955" w14:textId="77777777" w:rsidR="002A65D7" w:rsidRDefault="002A65D7" w:rsidP="002A65D7">
      <w:pPr>
        <w:jc w:val="both"/>
        <w:rPr>
          <w:rFonts w:ascii="Arial" w:hAnsi="Arial" w:cs="Arial"/>
          <w:sz w:val="22"/>
          <w:szCs w:val="22"/>
          <w:lang w:val="es-MX"/>
        </w:rPr>
      </w:pPr>
      <w:r>
        <w:rPr>
          <w:rFonts w:ascii="Arial" w:hAnsi="Arial" w:cs="Arial"/>
          <w:sz w:val="22"/>
          <w:szCs w:val="22"/>
          <w:lang w:val="es-MX"/>
        </w:rPr>
        <w:t>Las entidades de compensación y liquidación deben comunicar a la Superintendencia, el mismo día, los incumplimientos en el proceso de liquidación de los contratos bursátiles.  En dicho comunicado deben informar lo siguiente:</w:t>
      </w:r>
    </w:p>
    <w:p w14:paraId="335ADA44" w14:textId="77777777" w:rsidR="002A65D7" w:rsidRDefault="002A65D7" w:rsidP="002A65D7">
      <w:pPr>
        <w:jc w:val="both"/>
        <w:rPr>
          <w:rFonts w:ascii="Arial" w:hAnsi="Arial" w:cs="Arial"/>
          <w:sz w:val="22"/>
          <w:szCs w:val="22"/>
          <w:lang w:val="es-MX"/>
        </w:rPr>
      </w:pPr>
    </w:p>
    <w:p w14:paraId="3F7438DF" w14:textId="77777777" w:rsidR="002A65D7" w:rsidRDefault="002A65D7" w:rsidP="002A65D7">
      <w:pPr>
        <w:numPr>
          <w:ilvl w:val="0"/>
          <w:numId w:val="8"/>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Número de contrato</w:t>
      </w:r>
    </w:p>
    <w:p w14:paraId="68B69881" w14:textId="77777777" w:rsidR="002A65D7" w:rsidRDefault="002A65D7" w:rsidP="002A65D7">
      <w:pPr>
        <w:numPr>
          <w:ilvl w:val="0"/>
          <w:numId w:val="8"/>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Fecha del contrato</w:t>
      </w:r>
    </w:p>
    <w:p w14:paraId="4005705E" w14:textId="77777777" w:rsidR="002A65D7" w:rsidRDefault="002A65D7" w:rsidP="002A65D7">
      <w:pPr>
        <w:numPr>
          <w:ilvl w:val="0"/>
          <w:numId w:val="8"/>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Instrumento</w:t>
      </w:r>
    </w:p>
    <w:p w14:paraId="2BB4A862" w14:textId="77777777" w:rsidR="002A65D7" w:rsidRDefault="002A65D7" w:rsidP="002A65D7">
      <w:pPr>
        <w:numPr>
          <w:ilvl w:val="0"/>
          <w:numId w:val="8"/>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Emisor</w:t>
      </w:r>
    </w:p>
    <w:p w14:paraId="4CAC7019" w14:textId="77777777" w:rsidR="002A65D7" w:rsidRDefault="002A65D7" w:rsidP="002A65D7">
      <w:pPr>
        <w:numPr>
          <w:ilvl w:val="0"/>
          <w:numId w:val="8"/>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Valor facial</w:t>
      </w:r>
    </w:p>
    <w:p w14:paraId="0E554747" w14:textId="77777777" w:rsidR="002A65D7" w:rsidRDefault="002A65D7" w:rsidP="002A65D7">
      <w:pPr>
        <w:numPr>
          <w:ilvl w:val="0"/>
          <w:numId w:val="8"/>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Valor transado</w:t>
      </w:r>
    </w:p>
    <w:p w14:paraId="789C1A40" w14:textId="77777777" w:rsidR="002A65D7" w:rsidRDefault="002A65D7" w:rsidP="002A65D7">
      <w:pPr>
        <w:numPr>
          <w:ilvl w:val="0"/>
          <w:numId w:val="8"/>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Tipo de operación</w:t>
      </w:r>
    </w:p>
    <w:p w14:paraId="17A7F094" w14:textId="77777777" w:rsidR="002A65D7" w:rsidRDefault="002A65D7" w:rsidP="002A65D7">
      <w:pPr>
        <w:numPr>
          <w:ilvl w:val="0"/>
          <w:numId w:val="8"/>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Tipo de incumplimiento</w:t>
      </w:r>
    </w:p>
    <w:p w14:paraId="20C523D3" w14:textId="77777777" w:rsidR="002A65D7" w:rsidRDefault="002A65D7" w:rsidP="002A65D7">
      <w:pPr>
        <w:numPr>
          <w:ilvl w:val="0"/>
          <w:numId w:val="8"/>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 xml:space="preserve">Miembro liquidador </w:t>
      </w:r>
      <w:proofErr w:type="spellStart"/>
      <w:r>
        <w:rPr>
          <w:rFonts w:ascii="Arial" w:hAnsi="Arial" w:cs="Arial"/>
          <w:sz w:val="22"/>
          <w:szCs w:val="22"/>
          <w:lang w:val="es-MX"/>
        </w:rPr>
        <w:t>incumpliente</w:t>
      </w:r>
      <w:proofErr w:type="spellEnd"/>
    </w:p>
    <w:p w14:paraId="45FC291F" w14:textId="77777777" w:rsidR="002A65D7" w:rsidRDefault="002A65D7" w:rsidP="002A65D7">
      <w:pPr>
        <w:numPr>
          <w:ilvl w:val="0"/>
          <w:numId w:val="8"/>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t xml:space="preserve">Miembro liquidador </w:t>
      </w:r>
      <w:proofErr w:type="spellStart"/>
      <w:r>
        <w:rPr>
          <w:rFonts w:ascii="Arial" w:hAnsi="Arial" w:cs="Arial"/>
          <w:sz w:val="22"/>
          <w:szCs w:val="22"/>
          <w:lang w:val="es-MX"/>
        </w:rPr>
        <w:t>cumpliente</w:t>
      </w:r>
      <w:proofErr w:type="spellEnd"/>
    </w:p>
    <w:p w14:paraId="75C2716F" w14:textId="77777777" w:rsidR="002A65D7" w:rsidRDefault="002A65D7" w:rsidP="002A65D7">
      <w:pPr>
        <w:jc w:val="both"/>
        <w:rPr>
          <w:rFonts w:ascii="Arial" w:hAnsi="Arial" w:cs="Arial"/>
          <w:sz w:val="22"/>
          <w:szCs w:val="22"/>
          <w:lang w:val="es-MX"/>
        </w:rPr>
      </w:pPr>
    </w:p>
    <w:p w14:paraId="3F86B419" w14:textId="77777777" w:rsidR="002A65D7" w:rsidRDefault="002A65D7" w:rsidP="002A65D7">
      <w:pPr>
        <w:jc w:val="both"/>
        <w:rPr>
          <w:rFonts w:ascii="Arial" w:hAnsi="Arial" w:cs="Arial"/>
          <w:sz w:val="22"/>
          <w:szCs w:val="22"/>
          <w:lang w:val="es-MX"/>
        </w:rPr>
      </w:pPr>
      <w:r>
        <w:rPr>
          <w:rFonts w:ascii="Arial" w:hAnsi="Arial" w:cs="Arial"/>
          <w:sz w:val="22"/>
          <w:szCs w:val="22"/>
          <w:lang w:val="es-MX"/>
        </w:rPr>
        <w:lastRenderedPageBreak/>
        <w:t>Adicionalmente, deben comunicar los atrasos en el proceso de liquidación, de conformidad con el horario establecido.</w:t>
      </w:r>
    </w:p>
    <w:p w14:paraId="2DB7F7D4" w14:textId="77777777" w:rsidR="002A65D7" w:rsidRDefault="002A65D7" w:rsidP="002A65D7">
      <w:pPr>
        <w:jc w:val="both"/>
        <w:rPr>
          <w:rFonts w:ascii="Arial" w:hAnsi="Arial" w:cs="Arial"/>
          <w:b/>
          <w:color w:val="000000"/>
          <w:sz w:val="22"/>
          <w:szCs w:val="22"/>
          <w:lang w:val="es-MX"/>
        </w:rPr>
      </w:pPr>
    </w:p>
    <w:p w14:paraId="05AB4434" w14:textId="77777777" w:rsidR="002A65D7" w:rsidRDefault="002A65D7" w:rsidP="002A65D7">
      <w:pPr>
        <w:jc w:val="both"/>
        <w:rPr>
          <w:rFonts w:ascii="Arial" w:hAnsi="Arial" w:cs="Arial"/>
          <w:b/>
          <w:color w:val="000000"/>
          <w:sz w:val="22"/>
          <w:szCs w:val="22"/>
          <w:lang w:val="es-MX"/>
        </w:rPr>
      </w:pPr>
      <w:r>
        <w:rPr>
          <w:rFonts w:ascii="Arial" w:hAnsi="Arial" w:cs="Arial"/>
          <w:b/>
          <w:color w:val="000000"/>
          <w:sz w:val="22"/>
          <w:szCs w:val="22"/>
          <w:lang w:val="es-MX"/>
        </w:rPr>
        <w:t>Artículo 10.  Comunicación de incidencias, incumplimientos, resoluciones contractuales</w:t>
      </w:r>
      <w:r w:rsidR="000675D2">
        <w:rPr>
          <w:rFonts w:ascii="Arial" w:hAnsi="Arial" w:cs="Arial"/>
          <w:b/>
          <w:color w:val="000000"/>
          <w:sz w:val="22"/>
          <w:szCs w:val="22"/>
          <w:lang w:val="es-MX"/>
        </w:rPr>
        <w:t>,</w:t>
      </w:r>
      <w:r>
        <w:rPr>
          <w:rFonts w:ascii="Arial" w:hAnsi="Arial" w:cs="Arial"/>
          <w:b/>
          <w:color w:val="000000"/>
          <w:sz w:val="22"/>
          <w:szCs w:val="22"/>
          <w:lang w:val="es-MX"/>
        </w:rPr>
        <w:t xml:space="preserve"> ejecuciones coactivas</w:t>
      </w:r>
      <w:r w:rsidR="000675D2">
        <w:rPr>
          <w:rFonts w:ascii="Arial" w:hAnsi="Arial" w:cs="Arial"/>
          <w:b/>
          <w:color w:val="000000"/>
          <w:sz w:val="22"/>
          <w:szCs w:val="22"/>
          <w:lang w:val="es-MX"/>
        </w:rPr>
        <w:t xml:space="preserve"> y exclusión de contratos.</w:t>
      </w:r>
      <w:r>
        <w:rPr>
          <w:rFonts w:ascii="Arial" w:hAnsi="Arial" w:cs="Arial"/>
          <w:b/>
          <w:color w:val="000000"/>
          <w:sz w:val="22"/>
          <w:szCs w:val="22"/>
          <w:lang w:val="es-MX"/>
        </w:rPr>
        <w:t xml:space="preserve"> </w:t>
      </w:r>
    </w:p>
    <w:p w14:paraId="16643D9C" w14:textId="77777777" w:rsidR="002A65D7" w:rsidRDefault="002A65D7" w:rsidP="002A65D7">
      <w:pPr>
        <w:jc w:val="both"/>
        <w:rPr>
          <w:rFonts w:ascii="Arial" w:hAnsi="Arial" w:cs="Arial"/>
          <w:sz w:val="22"/>
          <w:szCs w:val="22"/>
          <w:lang w:val="es-MX"/>
        </w:rPr>
      </w:pPr>
    </w:p>
    <w:p w14:paraId="1E9C3E6C" w14:textId="77777777" w:rsidR="000675D2" w:rsidRDefault="002A65D7" w:rsidP="002A65D7">
      <w:pPr>
        <w:jc w:val="both"/>
        <w:rPr>
          <w:rFonts w:ascii="Arial" w:hAnsi="Arial" w:cs="Arial"/>
          <w:sz w:val="22"/>
          <w:szCs w:val="22"/>
          <w:lang w:val="es-MX"/>
        </w:rPr>
      </w:pPr>
      <w:r>
        <w:rPr>
          <w:rFonts w:ascii="Arial" w:hAnsi="Arial" w:cs="Arial"/>
          <w:sz w:val="22"/>
          <w:szCs w:val="22"/>
          <w:lang w:val="es-MX"/>
        </w:rPr>
        <w:t>Las entidades de compensación y liquidación deben comunicar a la Superintendencia, las incidencias, incumplimient</w:t>
      </w:r>
      <w:r w:rsidR="0016403B">
        <w:rPr>
          <w:rFonts w:ascii="Arial" w:hAnsi="Arial" w:cs="Arial"/>
          <w:sz w:val="22"/>
          <w:szCs w:val="22"/>
          <w:lang w:val="es-MX"/>
        </w:rPr>
        <w:t>o</w:t>
      </w:r>
      <w:r>
        <w:rPr>
          <w:rFonts w:ascii="Arial" w:hAnsi="Arial" w:cs="Arial"/>
          <w:sz w:val="22"/>
          <w:szCs w:val="22"/>
          <w:lang w:val="es-MX"/>
        </w:rPr>
        <w:t>s, resoluciones contractuales</w:t>
      </w:r>
      <w:r w:rsidR="000675D2">
        <w:rPr>
          <w:rFonts w:ascii="Arial" w:hAnsi="Arial" w:cs="Arial"/>
          <w:sz w:val="22"/>
          <w:szCs w:val="22"/>
          <w:lang w:val="es-MX"/>
        </w:rPr>
        <w:t>,</w:t>
      </w:r>
      <w:r>
        <w:rPr>
          <w:rFonts w:ascii="Arial" w:hAnsi="Arial" w:cs="Arial"/>
          <w:sz w:val="22"/>
          <w:szCs w:val="22"/>
          <w:lang w:val="es-MX"/>
        </w:rPr>
        <w:t xml:space="preserve"> ejecuciones coactivas</w:t>
      </w:r>
      <w:r w:rsidR="0073007A">
        <w:rPr>
          <w:rFonts w:ascii="Arial" w:hAnsi="Arial" w:cs="Arial"/>
          <w:sz w:val="22"/>
          <w:szCs w:val="22"/>
          <w:lang w:val="es-MX"/>
        </w:rPr>
        <w:t>,</w:t>
      </w:r>
      <w:r>
        <w:rPr>
          <w:rFonts w:ascii="Arial" w:hAnsi="Arial" w:cs="Arial"/>
          <w:sz w:val="22"/>
          <w:szCs w:val="22"/>
          <w:lang w:val="es-MX"/>
        </w:rPr>
        <w:t xml:space="preserve"> </w:t>
      </w:r>
      <w:r w:rsidR="000675D2">
        <w:rPr>
          <w:rFonts w:ascii="Arial" w:hAnsi="Arial" w:cs="Arial"/>
          <w:sz w:val="22"/>
          <w:szCs w:val="22"/>
          <w:lang w:val="es-MX"/>
        </w:rPr>
        <w:t>exclusión de contratos</w:t>
      </w:r>
      <w:r w:rsidR="0073007A">
        <w:rPr>
          <w:rFonts w:ascii="Arial" w:hAnsi="Arial" w:cs="Arial"/>
          <w:sz w:val="22"/>
          <w:szCs w:val="22"/>
          <w:lang w:val="es-MX"/>
        </w:rPr>
        <w:t>, dación en pago y entrega de valores</w:t>
      </w:r>
      <w:r w:rsidR="000675D2">
        <w:rPr>
          <w:rFonts w:ascii="Arial" w:hAnsi="Arial" w:cs="Arial"/>
          <w:sz w:val="22"/>
          <w:szCs w:val="22"/>
          <w:lang w:val="es-MX"/>
        </w:rPr>
        <w:t xml:space="preserve"> </w:t>
      </w:r>
      <w:r>
        <w:rPr>
          <w:rFonts w:ascii="Arial" w:hAnsi="Arial" w:cs="Arial"/>
          <w:sz w:val="22"/>
          <w:szCs w:val="22"/>
          <w:lang w:val="es-MX"/>
        </w:rPr>
        <w:t xml:space="preserve">que se presenten en el proceso de liquidación de los contratos bursátiles el mismo día en que se presenten.  </w:t>
      </w:r>
    </w:p>
    <w:p w14:paraId="6B138A47" w14:textId="77777777" w:rsidR="000675D2" w:rsidRDefault="000675D2" w:rsidP="002A65D7">
      <w:pPr>
        <w:jc w:val="both"/>
        <w:rPr>
          <w:rFonts w:ascii="Arial" w:hAnsi="Arial" w:cs="Arial"/>
          <w:sz w:val="22"/>
          <w:szCs w:val="22"/>
          <w:lang w:val="es-MX"/>
        </w:rPr>
      </w:pPr>
    </w:p>
    <w:p w14:paraId="67ACA5D9" w14:textId="77777777" w:rsidR="002A65D7" w:rsidRDefault="002A65D7" w:rsidP="002A65D7">
      <w:pPr>
        <w:jc w:val="both"/>
        <w:rPr>
          <w:rFonts w:ascii="Arial" w:hAnsi="Arial" w:cs="Arial"/>
          <w:sz w:val="22"/>
          <w:szCs w:val="22"/>
          <w:lang w:val="es-MX"/>
        </w:rPr>
      </w:pPr>
      <w:r>
        <w:rPr>
          <w:rFonts w:ascii="Arial" w:hAnsi="Arial" w:cs="Arial"/>
          <w:sz w:val="22"/>
          <w:szCs w:val="22"/>
          <w:lang w:val="es-MX"/>
        </w:rPr>
        <w:t>En dicho comunicado deben informar lo siguiente:</w:t>
      </w:r>
    </w:p>
    <w:p w14:paraId="656370F0" w14:textId="77777777" w:rsidR="002A65D7" w:rsidRDefault="002A65D7" w:rsidP="002A65D7">
      <w:pPr>
        <w:jc w:val="both"/>
        <w:rPr>
          <w:rFonts w:ascii="Arial" w:hAnsi="Arial" w:cs="Arial"/>
          <w:sz w:val="22"/>
          <w:szCs w:val="22"/>
          <w:lang w:val="es-MX"/>
        </w:rPr>
      </w:pPr>
    </w:p>
    <w:p w14:paraId="32F091BD" w14:textId="77777777" w:rsidR="002A65D7" w:rsidRDefault="002A65D7" w:rsidP="002A65D7">
      <w:pPr>
        <w:numPr>
          <w:ilvl w:val="0"/>
          <w:numId w:val="11"/>
        </w:numPr>
        <w:ind w:left="540" w:hanging="537"/>
        <w:jc w:val="both"/>
        <w:rPr>
          <w:rFonts w:ascii="Arial" w:hAnsi="Arial" w:cs="Arial"/>
          <w:sz w:val="22"/>
          <w:szCs w:val="22"/>
          <w:lang w:val="es-MX"/>
        </w:rPr>
      </w:pPr>
      <w:r>
        <w:rPr>
          <w:rFonts w:ascii="Arial" w:hAnsi="Arial" w:cs="Arial"/>
          <w:sz w:val="22"/>
          <w:szCs w:val="22"/>
          <w:lang w:val="es-MX"/>
        </w:rPr>
        <w:t>Número(s) de contrato(s)</w:t>
      </w:r>
    </w:p>
    <w:p w14:paraId="5213BE60" w14:textId="77777777" w:rsidR="002A65D7" w:rsidRDefault="002A65D7" w:rsidP="002A65D7">
      <w:pPr>
        <w:numPr>
          <w:ilvl w:val="0"/>
          <w:numId w:val="11"/>
        </w:numPr>
        <w:ind w:left="540" w:hanging="537"/>
        <w:jc w:val="both"/>
        <w:rPr>
          <w:rFonts w:ascii="Arial" w:hAnsi="Arial" w:cs="Arial"/>
          <w:sz w:val="22"/>
          <w:szCs w:val="22"/>
          <w:lang w:val="es-MX"/>
        </w:rPr>
      </w:pPr>
      <w:r>
        <w:rPr>
          <w:rFonts w:ascii="Arial" w:hAnsi="Arial" w:cs="Arial"/>
          <w:sz w:val="22"/>
          <w:szCs w:val="22"/>
          <w:lang w:val="es-MX"/>
        </w:rPr>
        <w:t>Fecha de negociación</w:t>
      </w:r>
    </w:p>
    <w:p w14:paraId="5A7B43FD" w14:textId="77777777" w:rsidR="002A65D7" w:rsidRDefault="002A65D7" w:rsidP="002A65D7">
      <w:pPr>
        <w:numPr>
          <w:ilvl w:val="0"/>
          <w:numId w:val="11"/>
        </w:numPr>
        <w:ind w:left="540" w:hanging="537"/>
        <w:jc w:val="both"/>
        <w:rPr>
          <w:rFonts w:ascii="Arial" w:hAnsi="Arial" w:cs="Arial"/>
          <w:sz w:val="22"/>
          <w:szCs w:val="22"/>
          <w:lang w:val="es-MX"/>
        </w:rPr>
      </w:pPr>
      <w:r>
        <w:rPr>
          <w:rFonts w:ascii="Arial" w:hAnsi="Arial" w:cs="Arial"/>
          <w:sz w:val="22"/>
          <w:szCs w:val="22"/>
          <w:lang w:val="es-MX"/>
        </w:rPr>
        <w:t>Fecha de liquidación</w:t>
      </w:r>
    </w:p>
    <w:p w14:paraId="45EC15F4" w14:textId="77777777" w:rsidR="002A65D7" w:rsidRDefault="002A65D7" w:rsidP="002A65D7">
      <w:pPr>
        <w:numPr>
          <w:ilvl w:val="0"/>
          <w:numId w:val="11"/>
        </w:numPr>
        <w:ind w:left="540" w:hanging="537"/>
        <w:jc w:val="both"/>
        <w:rPr>
          <w:rFonts w:ascii="Arial" w:hAnsi="Arial" w:cs="Arial"/>
          <w:sz w:val="22"/>
          <w:szCs w:val="22"/>
          <w:lang w:val="es-MX"/>
        </w:rPr>
      </w:pPr>
      <w:r>
        <w:rPr>
          <w:rFonts w:ascii="Arial" w:hAnsi="Arial" w:cs="Arial"/>
          <w:sz w:val="22"/>
          <w:szCs w:val="22"/>
          <w:lang w:val="es-MX"/>
        </w:rPr>
        <w:t>Instrumento/ISIN</w:t>
      </w:r>
    </w:p>
    <w:p w14:paraId="0D1311B4" w14:textId="77777777" w:rsidR="002A65D7" w:rsidRDefault="002A65D7" w:rsidP="002A65D7">
      <w:pPr>
        <w:numPr>
          <w:ilvl w:val="0"/>
          <w:numId w:val="11"/>
        </w:numPr>
        <w:ind w:left="540" w:hanging="537"/>
        <w:jc w:val="both"/>
        <w:rPr>
          <w:rFonts w:ascii="Arial" w:hAnsi="Arial" w:cs="Arial"/>
          <w:sz w:val="22"/>
          <w:szCs w:val="22"/>
          <w:lang w:val="es-MX"/>
        </w:rPr>
      </w:pPr>
      <w:r>
        <w:rPr>
          <w:rFonts w:ascii="Arial" w:hAnsi="Arial" w:cs="Arial"/>
          <w:sz w:val="22"/>
          <w:szCs w:val="22"/>
          <w:lang w:val="es-MX"/>
        </w:rPr>
        <w:t>Emisor</w:t>
      </w:r>
    </w:p>
    <w:p w14:paraId="2F9AD49F" w14:textId="77777777" w:rsidR="002A65D7" w:rsidRDefault="002A65D7" w:rsidP="002A65D7">
      <w:pPr>
        <w:numPr>
          <w:ilvl w:val="0"/>
          <w:numId w:val="11"/>
        </w:numPr>
        <w:ind w:left="540" w:hanging="537"/>
        <w:jc w:val="both"/>
        <w:rPr>
          <w:rFonts w:ascii="Arial" w:hAnsi="Arial" w:cs="Arial"/>
          <w:sz w:val="22"/>
          <w:szCs w:val="22"/>
          <w:lang w:val="es-MX"/>
        </w:rPr>
      </w:pPr>
      <w:r>
        <w:rPr>
          <w:rFonts w:ascii="Arial" w:hAnsi="Arial" w:cs="Arial"/>
          <w:sz w:val="22"/>
          <w:szCs w:val="22"/>
          <w:lang w:val="es-MX"/>
        </w:rPr>
        <w:t>Valor facial</w:t>
      </w:r>
    </w:p>
    <w:p w14:paraId="61DBB45F" w14:textId="77777777" w:rsidR="002A65D7" w:rsidRDefault="002A65D7" w:rsidP="002A65D7">
      <w:pPr>
        <w:numPr>
          <w:ilvl w:val="0"/>
          <w:numId w:val="11"/>
        </w:numPr>
        <w:ind w:left="540" w:hanging="537"/>
        <w:jc w:val="both"/>
        <w:rPr>
          <w:rFonts w:ascii="Arial" w:hAnsi="Arial" w:cs="Arial"/>
          <w:sz w:val="22"/>
          <w:szCs w:val="22"/>
          <w:lang w:val="es-MX"/>
        </w:rPr>
      </w:pPr>
      <w:r>
        <w:rPr>
          <w:rFonts w:ascii="Arial" w:hAnsi="Arial" w:cs="Arial"/>
          <w:sz w:val="22"/>
          <w:szCs w:val="22"/>
          <w:lang w:val="es-MX"/>
        </w:rPr>
        <w:t>Valor transado</w:t>
      </w:r>
    </w:p>
    <w:p w14:paraId="44A38DD5" w14:textId="77777777" w:rsidR="002A65D7" w:rsidRDefault="002A65D7" w:rsidP="002A65D7">
      <w:pPr>
        <w:numPr>
          <w:ilvl w:val="0"/>
          <w:numId w:val="11"/>
        </w:numPr>
        <w:ind w:left="540" w:hanging="537"/>
        <w:jc w:val="both"/>
        <w:rPr>
          <w:rFonts w:ascii="Arial" w:hAnsi="Arial" w:cs="Arial"/>
          <w:sz w:val="22"/>
          <w:szCs w:val="22"/>
          <w:lang w:val="es-MX"/>
        </w:rPr>
      </w:pPr>
      <w:r>
        <w:rPr>
          <w:rFonts w:ascii="Arial" w:hAnsi="Arial" w:cs="Arial"/>
          <w:sz w:val="22"/>
          <w:szCs w:val="22"/>
          <w:lang w:val="es-MX"/>
        </w:rPr>
        <w:t>Tipo de operación</w:t>
      </w:r>
    </w:p>
    <w:p w14:paraId="5184FEBE" w14:textId="77777777" w:rsidR="002A65D7" w:rsidRDefault="002A65D7" w:rsidP="002A65D7">
      <w:pPr>
        <w:numPr>
          <w:ilvl w:val="0"/>
          <w:numId w:val="11"/>
        </w:numPr>
        <w:ind w:left="540" w:hanging="537"/>
        <w:jc w:val="both"/>
        <w:rPr>
          <w:rFonts w:ascii="Arial" w:hAnsi="Arial" w:cs="Arial"/>
          <w:sz w:val="22"/>
          <w:szCs w:val="22"/>
          <w:lang w:val="es-MX"/>
        </w:rPr>
      </w:pPr>
      <w:r>
        <w:rPr>
          <w:rFonts w:ascii="Arial" w:hAnsi="Arial" w:cs="Arial"/>
          <w:sz w:val="22"/>
          <w:szCs w:val="22"/>
          <w:lang w:val="es-MX"/>
        </w:rPr>
        <w:t xml:space="preserve">Miembro liquidador </w:t>
      </w:r>
      <w:proofErr w:type="spellStart"/>
      <w:r>
        <w:rPr>
          <w:rFonts w:ascii="Arial" w:hAnsi="Arial" w:cs="Arial"/>
          <w:sz w:val="22"/>
          <w:szCs w:val="22"/>
          <w:lang w:val="es-MX"/>
        </w:rPr>
        <w:t>incumpliente</w:t>
      </w:r>
      <w:proofErr w:type="spellEnd"/>
    </w:p>
    <w:p w14:paraId="762D9B1B" w14:textId="77777777" w:rsidR="002A65D7" w:rsidRDefault="002A65D7" w:rsidP="002A65D7">
      <w:pPr>
        <w:numPr>
          <w:ilvl w:val="0"/>
          <w:numId w:val="11"/>
        </w:numPr>
        <w:ind w:left="540" w:hanging="537"/>
        <w:jc w:val="both"/>
        <w:rPr>
          <w:rFonts w:ascii="Arial" w:hAnsi="Arial" w:cs="Arial"/>
          <w:sz w:val="22"/>
          <w:szCs w:val="22"/>
          <w:lang w:val="es-MX"/>
        </w:rPr>
      </w:pPr>
      <w:r>
        <w:rPr>
          <w:rFonts w:ascii="Arial" w:hAnsi="Arial" w:cs="Arial"/>
          <w:sz w:val="22"/>
          <w:szCs w:val="22"/>
          <w:lang w:val="es-MX"/>
        </w:rPr>
        <w:t xml:space="preserve">Miembro liquidador </w:t>
      </w:r>
      <w:proofErr w:type="spellStart"/>
      <w:r>
        <w:rPr>
          <w:rFonts w:ascii="Arial" w:hAnsi="Arial" w:cs="Arial"/>
          <w:sz w:val="22"/>
          <w:szCs w:val="22"/>
          <w:lang w:val="es-MX"/>
        </w:rPr>
        <w:t>cumpliente</w:t>
      </w:r>
      <w:proofErr w:type="spellEnd"/>
    </w:p>
    <w:p w14:paraId="4EA46414" w14:textId="77777777" w:rsidR="002A65D7" w:rsidRDefault="002A65D7" w:rsidP="002A65D7">
      <w:pPr>
        <w:numPr>
          <w:ilvl w:val="0"/>
          <w:numId w:val="11"/>
        </w:numPr>
        <w:ind w:left="540" w:hanging="537"/>
        <w:jc w:val="both"/>
        <w:rPr>
          <w:rFonts w:ascii="Arial" w:hAnsi="Arial" w:cs="Arial"/>
          <w:sz w:val="22"/>
          <w:szCs w:val="22"/>
          <w:lang w:val="es-MX"/>
        </w:rPr>
      </w:pPr>
      <w:r>
        <w:rPr>
          <w:rFonts w:ascii="Arial" w:hAnsi="Arial" w:cs="Arial"/>
          <w:sz w:val="22"/>
          <w:szCs w:val="22"/>
          <w:lang w:val="es-MX"/>
        </w:rPr>
        <w:t>Motivo (con la explicación del caso)</w:t>
      </w:r>
    </w:p>
    <w:p w14:paraId="13A0241E" w14:textId="77777777" w:rsidR="002A65D7" w:rsidRDefault="002A65D7" w:rsidP="002A65D7">
      <w:pPr>
        <w:numPr>
          <w:ilvl w:val="0"/>
          <w:numId w:val="11"/>
        </w:numPr>
        <w:ind w:left="540" w:hanging="537"/>
        <w:jc w:val="both"/>
        <w:rPr>
          <w:rFonts w:ascii="Arial" w:hAnsi="Arial" w:cs="Arial"/>
          <w:sz w:val="22"/>
          <w:szCs w:val="22"/>
          <w:lang w:val="es-MX"/>
        </w:rPr>
      </w:pPr>
      <w:r>
        <w:rPr>
          <w:rFonts w:ascii="Arial" w:hAnsi="Arial" w:cs="Arial"/>
          <w:sz w:val="22"/>
          <w:szCs w:val="22"/>
          <w:lang w:val="es-MX"/>
        </w:rPr>
        <w:t>Puesto de bolsa con posición compradora</w:t>
      </w:r>
    </w:p>
    <w:p w14:paraId="01964601" w14:textId="77777777" w:rsidR="002A65D7" w:rsidRDefault="002A65D7" w:rsidP="002A65D7">
      <w:pPr>
        <w:numPr>
          <w:ilvl w:val="0"/>
          <w:numId w:val="11"/>
        </w:numPr>
        <w:ind w:left="540" w:hanging="537"/>
        <w:jc w:val="both"/>
        <w:rPr>
          <w:rFonts w:ascii="Arial" w:hAnsi="Arial" w:cs="Arial"/>
          <w:sz w:val="22"/>
          <w:szCs w:val="22"/>
          <w:lang w:val="es-MX"/>
        </w:rPr>
      </w:pPr>
      <w:r>
        <w:rPr>
          <w:rFonts w:ascii="Arial" w:hAnsi="Arial" w:cs="Arial"/>
          <w:sz w:val="22"/>
          <w:szCs w:val="22"/>
          <w:lang w:val="es-MX"/>
        </w:rPr>
        <w:t>Puesto de bolsa con posición vendedora</w:t>
      </w:r>
    </w:p>
    <w:p w14:paraId="7D084331" w14:textId="77777777" w:rsidR="002A65D7" w:rsidRDefault="002A65D7" w:rsidP="002A65D7">
      <w:pPr>
        <w:jc w:val="both"/>
        <w:rPr>
          <w:rFonts w:ascii="Arial" w:hAnsi="Arial" w:cs="Arial"/>
          <w:sz w:val="22"/>
          <w:szCs w:val="22"/>
          <w:lang w:val="es-MX"/>
        </w:rPr>
      </w:pPr>
    </w:p>
    <w:p w14:paraId="41069CCC" w14:textId="77777777" w:rsidR="000675D2" w:rsidRDefault="000675D2" w:rsidP="0081133B">
      <w:pPr>
        <w:jc w:val="both"/>
        <w:rPr>
          <w:rFonts w:ascii="Arial" w:hAnsi="Arial" w:cs="Arial"/>
          <w:sz w:val="22"/>
          <w:szCs w:val="22"/>
          <w:lang w:val="es-MX"/>
        </w:rPr>
      </w:pPr>
    </w:p>
    <w:p w14:paraId="35BA1600" w14:textId="77777777" w:rsidR="0081133B" w:rsidRDefault="0081133B" w:rsidP="0081133B">
      <w:pPr>
        <w:jc w:val="both"/>
        <w:rPr>
          <w:rFonts w:ascii="Arial" w:hAnsi="Arial" w:cs="Arial"/>
          <w:b/>
          <w:color w:val="000000"/>
          <w:sz w:val="22"/>
          <w:szCs w:val="22"/>
          <w:lang w:val="es-MX"/>
        </w:rPr>
      </w:pPr>
      <w:r>
        <w:rPr>
          <w:rFonts w:ascii="Arial" w:hAnsi="Arial" w:cs="Arial"/>
          <w:b/>
          <w:color w:val="000000"/>
          <w:sz w:val="22"/>
          <w:szCs w:val="22"/>
          <w:lang w:val="es-MX"/>
        </w:rPr>
        <w:t>Artículo 11.  Plan de cierre de operaciones de las entidades de compensación y liquidación</w:t>
      </w:r>
    </w:p>
    <w:p w14:paraId="3EEADA50" w14:textId="77777777" w:rsidR="0081133B" w:rsidRDefault="0081133B" w:rsidP="0081133B">
      <w:pPr>
        <w:jc w:val="both"/>
        <w:rPr>
          <w:rFonts w:ascii="Arial" w:hAnsi="Arial" w:cs="Arial"/>
          <w:sz w:val="22"/>
          <w:szCs w:val="22"/>
          <w:lang w:val="es-MX"/>
        </w:rPr>
      </w:pPr>
    </w:p>
    <w:p w14:paraId="52C60082" w14:textId="77777777" w:rsidR="0081133B" w:rsidRDefault="0081133B" w:rsidP="0081133B">
      <w:pPr>
        <w:jc w:val="both"/>
        <w:rPr>
          <w:rFonts w:ascii="Arial" w:hAnsi="Arial" w:cs="Arial"/>
          <w:sz w:val="22"/>
          <w:szCs w:val="22"/>
          <w:lang w:val="es-MX"/>
        </w:rPr>
      </w:pPr>
      <w:r>
        <w:rPr>
          <w:rFonts w:ascii="Arial" w:hAnsi="Arial" w:cs="Arial"/>
          <w:sz w:val="22"/>
          <w:szCs w:val="22"/>
          <w:lang w:val="es-MX"/>
        </w:rPr>
        <w:t xml:space="preserve">Como parte de los requisitos de autorización de </w:t>
      </w:r>
      <w:proofErr w:type="spellStart"/>
      <w:r>
        <w:rPr>
          <w:rFonts w:ascii="Arial" w:hAnsi="Arial" w:cs="Arial"/>
          <w:sz w:val="22"/>
          <w:szCs w:val="22"/>
          <w:lang w:val="es-MX"/>
        </w:rPr>
        <w:t>desinscripción</w:t>
      </w:r>
      <w:proofErr w:type="spellEnd"/>
      <w:r>
        <w:rPr>
          <w:rFonts w:ascii="Arial" w:hAnsi="Arial" w:cs="Arial"/>
          <w:sz w:val="22"/>
          <w:szCs w:val="22"/>
          <w:lang w:val="es-MX"/>
        </w:rPr>
        <w:t xml:space="preserve"> previa, la entidad de compensación y liquidación debe presentar a la Superintendencia un plan de cierre de operaciones firmado por el representante legal, el cual debe contener al menos lo siguiente:</w:t>
      </w:r>
    </w:p>
    <w:p w14:paraId="110E6614" w14:textId="77777777" w:rsidR="0081133B" w:rsidRDefault="0081133B" w:rsidP="0081133B">
      <w:pPr>
        <w:jc w:val="both"/>
        <w:rPr>
          <w:rFonts w:ascii="Arial" w:hAnsi="Arial" w:cs="Arial"/>
          <w:sz w:val="22"/>
          <w:szCs w:val="22"/>
          <w:lang w:val="es-MX"/>
        </w:rPr>
      </w:pPr>
    </w:p>
    <w:p w14:paraId="706EC17D" w14:textId="77777777" w:rsidR="0081133B" w:rsidRDefault="0081133B" w:rsidP="0081133B">
      <w:pPr>
        <w:numPr>
          <w:ilvl w:val="0"/>
          <w:numId w:val="9"/>
        </w:numPr>
        <w:tabs>
          <w:tab w:val="num" w:pos="540"/>
        </w:tabs>
        <w:ind w:left="540" w:hanging="540"/>
        <w:jc w:val="both"/>
        <w:rPr>
          <w:rFonts w:ascii="Arial" w:hAnsi="Arial" w:cs="Arial"/>
          <w:sz w:val="22"/>
          <w:szCs w:val="22"/>
          <w:lang w:val="es-MX"/>
        </w:rPr>
      </w:pPr>
      <w:r>
        <w:rPr>
          <w:rFonts w:ascii="Arial" w:hAnsi="Arial" w:cs="Arial"/>
          <w:sz w:val="22"/>
          <w:szCs w:val="22"/>
          <w:lang w:val="es-MX"/>
        </w:rPr>
        <w:t>Un cronograma con el detalle de las actividades a realizar para el proceso ordenado de cierre de operaciones.</w:t>
      </w:r>
    </w:p>
    <w:p w14:paraId="6401C966" w14:textId="77777777" w:rsidR="0081133B" w:rsidRDefault="0081133B" w:rsidP="0081133B">
      <w:pPr>
        <w:tabs>
          <w:tab w:val="num" w:pos="540"/>
        </w:tabs>
        <w:ind w:left="540" w:hanging="540"/>
        <w:jc w:val="both"/>
        <w:rPr>
          <w:rFonts w:ascii="Arial" w:hAnsi="Arial" w:cs="Arial"/>
          <w:sz w:val="22"/>
          <w:szCs w:val="22"/>
          <w:lang w:val="es-MX"/>
        </w:rPr>
      </w:pPr>
    </w:p>
    <w:p w14:paraId="33984AF6" w14:textId="77777777" w:rsidR="0081133B" w:rsidRDefault="0081133B" w:rsidP="0081133B">
      <w:pPr>
        <w:numPr>
          <w:ilvl w:val="0"/>
          <w:numId w:val="9"/>
        </w:numPr>
        <w:tabs>
          <w:tab w:val="num" w:pos="540"/>
        </w:tabs>
        <w:ind w:left="540" w:hanging="540"/>
        <w:jc w:val="both"/>
        <w:rPr>
          <w:rFonts w:ascii="Arial" w:hAnsi="Arial" w:cs="Arial"/>
          <w:sz w:val="22"/>
          <w:szCs w:val="22"/>
          <w:lang w:val="es-MX"/>
        </w:rPr>
      </w:pPr>
      <w:r>
        <w:rPr>
          <w:rFonts w:ascii="Arial" w:hAnsi="Arial" w:cs="Arial"/>
          <w:sz w:val="22"/>
          <w:szCs w:val="22"/>
          <w:lang w:val="es-MX"/>
        </w:rPr>
        <w:t xml:space="preserve">Un borrador de nota que se enviará a los miembros </w:t>
      </w:r>
      <w:r w:rsidR="00785A3B">
        <w:rPr>
          <w:rFonts w:ascii="Arial" w:hAnsi="Arial" w:cs="Arial"/>
          <w:sz w:val="22"/>
          <w:szCs w:val="22"/>
          <w:lang w:val="es-MX"/>
        </w:rPr>
        <w:t>liquidadores, informándoles</w:t>
      </w:r>
      <w:r>
        <w:rPr>
          <w:rFonts w:ascii="Arial" w:hAnsi="Arial" w:cs="Arial"/>
          <w:sz w:val="22"/>
          <w:szCs w:val="22"/>
          <w:lang w:val="es-MX"/>
        </w:rPr>
        <w:t xml:space="preserve"> sobre la </w:t>
      </w:r>
      <w:proofErr w:type="spellStart"/>
      <w:r>
        <w:rPr>
          <w:rFonts w:ascii="Arial" w:hAnsi="Arial" w:cs="Arial"/>
          <w:sz w:val="22"/>
          <w:szCs w:val="22"/>
          <w:lang w:val="es-MX"/>
        </w:rPr>
        <w:t>desinscripción</w:t>
      </w:r>
      <w:proofErr w:type="spellEnd"/>
      <w:r>
        <w:rPr>
          <w:rFonts w:ascii="Arial" w:hAnsi="Arial" w:cs="Arial"/>
          <w:sz w:val="22"/>
          <w:szCs w:val="22"/>
          <w:lang w:val="es-MX"/>
        </w:rPr>
        <w:t xml:space="preserve"> de la entidad de compensación y liquidación, y que indique al menos:</w:t>
      </w:r>
    </w:p>
    <w:p w14:paraId="74809156" w14:textId="77777777" w:rsidR="0081133B" w:rsidRDefault="0081133B" w:rsidP="0081133B">
      <w:pPr>
        <w:tabs>
          <w:tab w:val="num" w:pos="540"/>
        </w:tabs>
        <w:ind w:left="540" w:hanging="540"/>
        <w:jc w:val="both"/>
        <w:rPr>
          <w:rFonts w:ascii="Arial" w:hAnsi="Arial" w:cs="Arial"/>
          <w:sz w:val="22"/>
          <w:szCs w:val="22"/>
          <w:lang w:val="es-MX"/>
        </w:rPr>
      </w:pPr>
    </w:p>
    <w:p w14:paraId="03548582" w14:textId="77777777" w:rsidR="0081133B" w:rsidRDefault="0081133B" w:rsidP="0081133B">
      <w:pPr>
        <w:numPr>
          <w:ilvl w:val="0"/>
          <w:numId w:val="10"/>
        </w:numPr>
        <w:tabs>
          <w:tab w:val="clear" w:pos="363"/>
          <w:tab w:val="num" w:pos="540"/>
        </w:tabs>
        <w:ind w:left="540" w:hanging="540"/>
        <w:jc w:val="both"/>
        <w:rPr>
          <w:rFonts w:ascii="Arial" w:hAnsi="Arial" w:cs="Arial"/>
          <w:sz w:val="22"/>
          <w:szCs w:val="22"/>
          <w:lang w:val="es-MX"/>
        </w:rPr>
      </w:pPr>
      <w:r>
        <w:rPr>
          <w:rFonts w:ascii="Arial" w:hAnsi="Arial" w:cs="Arial"/>
          <w:sz w:val="22"/>
          <w:szCs w:val="22"/>
          <w:lang w:val="es-MX"/>
        </w:rPr>
        <w:t>El plazo máximo de recepción para las instrucciones de traspaso de las posiciones abiertas a otra entidad de compensación y liquidación.  Este plazo no puede ser menor a diez días hábiles contados a partir de la fecha de recepción de la nota por parte del miembro liquidador.</w:t>
      </w:r>
    </w:p>
    <w:p w14:paraId="5C928A0A" w14:textId="77777777" w:rsidR="0081133B" w:rsidRDefault="0081133B" w:rsidP="0081133B">
      <w:pPr>
        <w:ind w:left="3"/>
        <w:jc w:val="both"/>
        <w:rPr>
          <w:rFonts w:ascii="Arial" w:hAnsi="Arial" w:cs="Arial"/>
          <w:sz w:val="22"/>
          <w:szCs w:val="22"/>
          <w:lang w:val="es-MX"/>
        </w:rPr>
      </w:pPr>
    </w:p>
    <w:p w14:paraId="7CC69C37" w14:textId="77777777" w:rsidR="0081133B" w:rsidRDefault="0081133B" w:rsidP="0081133B">
      <w:pPr>
        <w:ind w:left="540"/>
        <w:jc w:val="both"/>
        <w:rPr>
          <w:rFonts w:ascii="Arial" w:hAnsi="Arial" w:cs="Arial"/>
          <w:sz w:val="22"/>
          <w:szCs w:val="22"/>
          <w:lang w:val="es-MX"/>
        </w:rPr>
      </w:pPr>
      <w:r>
        <w:rPr>
          <w:rFonts w:ascii="Arial" w:hAnsi="Arial" w:cs="Arial"/>
          <w:sz w:val="22"/>
          <w:szCs w:val="22"/>
          <w:lang w:val="es-MX"/>
        </w:rPr>
        <w:t xml:space="preserve">Las instrucciones deben contar con la firma del representante legal del miembro liquidador respectivo.  </w:t>
      </w:r>
    </w:p>
    <w:p w14:paraId="6A63E11D" w14:textId="77777777" w:rsidR="0081133B" w:rsidRDefault="0081133B" w:rsidP="0081133B">
      <w:pPr>
        <w:jc w:val="both"/>
        <w:rPr>
          <w:rFonts w:ascii="Arial" w:hAnsi="Arial" w:cs="Arial"/>
          <w:sz w:val="22"/>
          <w:szCs w:val="22"/>
          <w:lang w:val="es-MX"/>
        </w:rPr>
      </w:pPr>
    </w:p>
    <w:p w14:paraId="14C00E8C" w14:textId="77777777" w:rsidR="0081133B" w:rsidRDefault="0081133B" w:rsidP="0081133B">
      <w:pPr>
        <w:numPr>
          <w:ilvl w:val="0"/>
          <w:numId w:val="10"/>
        </w:numPr>
        <w:tabs>
          <w:tab w:val="clear" w:pos="363"/>
          <w:tab w:val="num" w:pos="540"/>
        </w:tabs>
        <w:ind w:left="540" w:hanging="537"/>
        <w:jc w:val="both"/>
        <w:rPr>
          <w:rFonts w:ascii="Arial" w:hAnsi="Arial" w:cs="Arial"/>
          <w:sz w:val="22"/>
          <w:szCs w:val="22"/>
          <w:lang w:val="es-MX"/>
        </w:rPr>
      </w:pPr>
      <w:r>
        <w:rPr>
          <w:rFonts w:ascii="Arial" w:hAnsi="Arial" w:cs="Arial"/>
          <w:sz w:val="22"/>
          <w:szCs w:val="22"/>
          <w:lang w:val="es-MX"/>
        </w:rPr>
        <w:lastRenderedPageBreak/>
        <w:t xml:space="preserve">El plazo definido por la entidad para ejecutar las instrucciones de traspaso de los miembros liquidadores, el cual no puede ser mayor a cinco días hábiles, contados a partir de la fecha de recepción de la instrucción. </w:t>
      </w:r>
    </w:p>
    <w:p w14:paraId="26FAD1C0" w14:textId="77777777" w:rsidR="0081133B" w:rsidRDefault="0081133B" w:rsidP="0081133B">
      <w:pPr>
        <w:tabs>
          <w:tab w:val="num" w:pos="540"/>
        </w:tabs>
        <w:ind w:left="540" w:hanging="537"/>
        <w:rPr>
          <w:rFonts w:ascii="Arial" w:hAnsi="Arial" w:cs="Arial"/>
          <w:sz w:val="22"/>
          <w:szCs w:val="22"/>
          <w:lang w:val="es-MX"/>
        </w:rPr>
      </w:pPr>
    </w:p>
    <w:p w14:paraId="7F4D71C3" w14:textId="77777777" w:rsidR="0081133B" w:rsidRDefault="0081133B" w:rsidP="0081133B">
      <w:pPr>
        <w:numPr>
          <w:ilvl w:val="0"/>
          <w:numId w:val="9"/>
        </w:numPr>
        <w:tabs>
          <w:tab w:val="num" w:pos="540"/>
        </w:tabs>
        <w:ind w:left="540" w:hanging="537"/>
        <w:rPr>
          <w:rFonts w:ascii="Arial" w:hAnsi="Arial" w:cs="Arial"/>
          <w:sz w:val="22"/>
          <w:szCs w:val="22"/>
          <w:lang w:val="es-MX"/>
        </w:rPr>
      </w:pPr>
      <w:r>
        <w:rPr>
          <w:rFonts w:ascii="Arial" w:hAnsi="Arial" w:cs="Arial"/>
          <w:sz w:val="22"/>
          <w:szCs w:val="22"/>
          <w:lang w:val="es-MX"/>
        </w:rPr>
        <w:t xml:space="preserve">El plazo máximo estimado en que se entregará a los miembros liquidadores, la nota indicada en el punto anterior informando del proceso de </w:t>
      </w:r>
      <w:proofErr w:type="spellStart"/>
      <w:r>
        <w:rPr>
          <w:rFonts w:ascii="Arial" w:hAnsi="Arial" w:cs="Arial"/>
          <w:sz w:val="22"/>
          <w:szCs w:val="22"/>
          <w:lang w:val="es-MX"/>
        </w:rPr>
        <w:t>desinscripción</w:t>
      </w:r>
      <w:proofErr w:type="spellEnd"/>
      <w:r>
        <w:rPr>
          <w:rFonts w:ascii="Arial" w:hAnsi="Arial" w:cs="Arial"/>
          <w:sz w:val="22"/>
          <w:szCs w:val="22"/>
          <w:lang w:val="es-MX"/>
        </w:rPr>
        <w:t xml:space="preserve"> de la entidad de compensación y liquidación. </w:t>
      </w:r>
    </w:p>
    <w:p w14:paraId="59123CD3" w14:textId="77777777" w:rsidR="0081133B" w:rsidRDefault="0081133B" w:rsidP="0081133B">
      <w:pPr>
        <w:tabs>
          <w:tab w:val="num" w:pos="540"/>
        </w:tabs>
        <w:ind w:left="540" w:hanging="537"/>
        <w:rPr>
          <w:rFonts w:ascii="Arial" w:hAnsi="Arial" w:cs="Arial"/>
          <w:sz w:val="22"/>
          <w:szCs w:val="22"/>
          <w:lang w:val="es-MX"/>
        </w:rPr>
      </w:pPr>
    </w:p>
    <w:p w14:paraId="2BB45594" w14:textId="77777777" w:rsidR="0081133B" w:rsidRDefault="0081133B" w:rsidP="0081133B">
      <w:pPr>
        <w:numPr>
          <w:ilvl w:val="0"/>
          <w:numId w:val="9"/>
        </w:numPr>
        <w:tabs>
          <w:tab w:val="num" w:pos="540"/>
        </w:tabs>
        <w:ind w:left="540" w:hanging="537"/>
        <w:jc w:val="both"/>
        <w:rPr>
          <w:rFonts w:ascii="Arial" w:hAnsi="Arial" w:cs="Arial"/>
          <w:sz w:val="22"/>
          <w:szCs w:val="22"/>
          <w:lang w:val="es-MX"/>
        </w:rPr>
      </w:pPr>
      <w:r>
        <w:rPr>
          <w:rFonts w:ascii="Arial" w:hAnsi="Arial" w:cs="Arial"/>
          <w:sz w:val="22"/>
          <w:szCs w:val="22"/>
          <w:lang w:val="es-MX"/>
        </w:rPr>
        <w:t xml:space="preserve">Un detalle de los miembros liquidadores con los que mantiene contratos por servicios de compensación y liquidación. </w:t>
      </w:r>
    </w:p>
    <w:p w14:paraId="4043C9F6" w14:textId="77777777" w:rsidR="0081133B" w:rsidRDefault="0081133B" w:rsidP="0081133B">
      <w:pPr>
        <w:pStyle w:val="Prrafodelista"/>
        <w:rPr>
          <w:rFonts w:ascii="Arial" w:hAnsi="Arial" w:cs="Arial"/>
          <w:sz w:val="22"/>
          <w:szCs w:val="22"/>
          <w:lang w:val="es-MX"/>
        </w:rPr>
      </w:pPr>
    </w:p>
    <w:p w14:paraId="03A7A8E1" w14:textId="77777777" w:rsidR="0081133B" w:rsidRPr="00833267" w:rsidRDefault="0081133B" w:rsidP="0081133B">
      <w:pPr>
        <w:jc w:val="both"/>
        <w:rPr>
          <w:rFonts w:ascii="Arial" w:hAnsi="Arial" w:cs="Arial"/>
          <w:sz w:val="22"/>
          <w:szCs w:val="22"/>
          <w:lang w:val="es-MX"/>
        </w:rPr>
      </w:pPr>
      <w:r w:rsidRPr="00833267">
        <w:rPr>
          <w:rFonts w:ascii="Arial" w:hAnsi="Arial" w:cs="Arial"/>
          <w:sz w:val="22"/>
          <w:szCs w:val="22"/>
          <w:lang w:val="es-MX"/>
        </w:rPr>
        <w:t xml:space="preserve">Una vez comprobado el cumplimiento de todos los requisitos establecidos en el Reglamento, la Superintendencia General de Valores autorizará mediante oficio, el inicio del proceso de </w:t>
      </w:r>
      <w:proofErr w:type="spellStart"/>
      <w:r w:rsidRPr="00833267">
        <w:rPr>
          <w:rFonts w:ascii="Arial" w:hAnsi="Arial" w:cs="Arial"/>
          <w:sz w:val="22"/>
          <w:szCs w:val="22"/>
          <w:lang w:val="es-MX"/>
        </w:rPr>
        <w:t>desinscripción</w:t>
      </w:r>
      <w:proofErr w:type="spellEnd"/>
      <w:r w:rsidRPr="00833267">
        <w:rPr>
          <w:rFonts w:ascii="Arial" w:hAnsi="Arial" w:cs="Arial"/>
          <w:sz w:val="22"/>
          <w:szCs w:val="22"/>
          <w:lang w:val="es-MX"/>
        </w:rPr>
        <w:t xml:space="preserve"> de la entidad de compensación y liquidación, el cual deberá ejecutarse de conformidad con los plazos autorizados.</w:t>
      </w:r>
    </w:p>
    <w:p w14:paraId="5206704B" w14:textId="77777777" w:rsidR="0081133B" w:rsidRPr="00833267" w:rsidRDefault="0081133B" w:rsidP="0081133B">
      <w:pPr>
        <w:jc w:val="both"/>
        <w:rPr>
          <w:rFonts w:ascii="Arial" w:hAnsi="Arial" w:cs="Arial"/>
          <w:sz w:val="22"/>
          <w:szCs w:val="22"/>
          <w:lang w:val="es-MX"/>
        </w:rPr>
      </w:pPr>
    </w:p>
    <w:p w14:paraId="5C0EBBB2" w14:textId="77777777" w:rsidR="0081133B" w:rsidRPr="00833267" w:rsidRDefault="0081133B" w:rsidP="0081133B">
      <w:pPr>
        <w:jc w:val="both"/>
        <w:rPr>
          <w:rFonts w:ascii="Arial" w:hAnsi="Arial" w:cs="Arial"/>
          <w:sz w:val="22"/>
          <w:szCs w:val="22"/>
          <w:lang w:val="es-MX"/>
        </w:rPr>
      </w:pPr>
      <w:r w:rsidRPr="00833267">
        <w:rPr>
          <w:rFonts w:ascii="Arial" w:hAnsi="Arial" w:cs="Arial"/>
          <w:sz w:val="22"/>
          <w:szCs w:val="22"/>
          <w:lang w:val="es-MX"/>
        </w:rPr>
        <w:t>Realizada la liquidación o el traspaso de la totalidad de las posiciones abiertas a otras entidades de compensación y liquidación autorizadas, la entidad debe presentar ante la Superintendencia, una declaración jurada firmada por el representante legal, en la que se indique la conclusión del proceso de cierre ordenado de operaciones, en un plazo máximo de diez días hábiles, contados a partir de la fecha de cierre.</w:t>
      </w:r>
    </w:p>
    <w:p w14:paraId="3C437C52" w14:textId="77777777" w:rsidR="0081133B" w:rsidRPr="00833267" w:rsidRDefault="0081133B" w:rsidP="0081133B">
      <w:pPr>
        <w:jc w:val="both"/>
        <w:rPr>
          <w:rFonts w:ascii="Arial" w:hAnsi="Arial" w:cs="Arial"/>
          <w:sz w:val="22"/>
          <w:szCs w:val="22"/>
          <w:lang w:val="es-MX"/>
        </w:rPr>
      </w:pPr>
      <w:r w:rsidRPr="00833267">
        <w:rPr>
          <w:rFonts w:ascii="Arial" w:hAnsi="Arial" w:cs="Arial"/>
          <w:sz w:val="22"/>
          <w:szCs w:val="22"/>
          <w:lang w:val="es-MX"/>
        </w:rPr>
        <w:t xml:space="preserve"> </w:t>
      </w:r>
    </w:p>
    <w:p w14:paraId="04053BC5" w14:textId="77777777" w:rsidR="0081133B" w:rsidRPr="00833267" w:rsidRDefault="0081133B" w:rsidP="0081133B">
      <w:pPr>
        <w:jc w:val="both"/>
        <w:rPr>
          <w:rFonts w:ascii="Arial" w:hAnsi="Arial" w:cs="Arial"/>
          <w:sz w:val="22"/>
          <w:szCs w:val="22"/>
          <w:lang w:val="es-MX"/>
        </w:rPr>
      </w:pPr>
      <w:r w:rsidRPr="00833267">
        <w:rPr>
          <w:rFonts w:ascii="Arial" w:hAnsi="Arial" w:cs="Arial"/>
          <w:sz w:val="22"/>
          <w:szCs w:val="22"/>
          <w:lang w:val="es-MX"/>
        </w:rPr>
        <w:t xml:space="preserve">Una vez recibida dicha declaración jurada, la Superintendencia General de Valores autorizará mediante Resolución la </w:t>
      </w:r>
      <w:proofErr w:type="spellStart"/>
      <w:r w:rsidRPr="00833267">
        <w:rPr>
          <w:rFonts w:ascii="Arial" w:hAnsi="Arial" w:cs="Arial"/>
          <w:sz w:val="22"/>
          <w:szCs w:val="22"/>
          <w:lang w:val="es-MX"/>
        </w:rPr>
        <w:t>desinscripción</w:t>
      </w:r>
      <w:proofErr w:type="spellEnd"/>
      <w:r w:rsidRPr="00833267">
        <w:rPr>
          <w:rFonts w:ascii="Arial" w:hAnsi="Arial" w:cs="Arial"/>
          <w:sz w:val="22"/>
          <w:szCs w:val="22"/>
          <w:lang w:val="es-MX"/>
        </w:rPr>
        <w:t xml:space="preserve"> de la entidad de compensación y liquidación del Registro Nacional de Valores e Intermediarios. </w:t>
      </w:r>
    </w:p>
    <w:p w14:paraId="57D2B035" w14:textId="77777777" w:rsidR="0081133B" w:rsidRPr="00833267" w:rsidRDefault="0081133B" w:rsidP="0081133B">
      <w:pPr>
        <w:jc w:val="both"/>
        <w:rPr>
          <w:rFonts w:ascii="Arial" w:hAnsi="Arial" w:cs="Arial"/>
          <w:sz w:val="22"/>
          <w:szCs w:val="22"/>
          <w:lang w:val="es-MX"/>
        </w:rPr>
      </w:pPr>
    </w:p>
    <w:p w14:paraId="48BED192" w14:textId="77777777" w:rsidR="0081133B" w:rsidRDefault="0081133B" w:rsidP="0081133B">
      <w:pPr>
        <w:jc w:val="both"/>
        <w:rPr>
          <w:rFonts w:ascii="Arial" w:hAnsi="Arial" w:cs="Arial"/>
          <w:sz w:val="22"/>
          <w:szCs w:val="22"/>
          <w:lang w:val="es-MX"/>
        </w:rPr>
      </w:pPr>
      <w:r w:rsidRPr="00833267">
        <w:rPr>
          <w:rFonts w:ascii="Arial" w:hAnsi="Arial" w:cs="Arial"/>
          <w:sz w:val="22"/>
          <w:szCs w:val="22"/>
          <w:lang w:val="es-MX"/>
        </w:rPr>
        <w:t>Este artículo será aplicable a las Bolsas de Valores que dejen de prestar los servicios de compensación y liquidación de valores.</w:t>
      </w:r>
      <w:r w:rsidR="0000229C" w:rsidRPr="00833267">
        <w:rPr>
          <w:rFonts w:ascii="Arial" w:hAnsi="Arial" w:cs="Arial"/>
          <w:sz w:val="22"/>
          <w:szCs w:val="22"/>
          <w:lang w:val="es-MX"/>
        </w:rPr>
        <w:t>”</w:t>
      </w:r>
    </w:p>
    <w:p w14:paraId="5B7AB297" w14:textId="77777777" w:rsidR="002A65D7" w:rsidRDefault="002A65D7" w:rsidP="002A65D7">
      <w:pPr>
        <w:ind w:left="3"/>
        <w:jc w:val="both"/>
        <w:rPr>
          <w:rFonts w:ascii="Arial" w:hAnsi="Arial" w:cs="Arial"/>
          <w:b/>
          <w:color w:val="000000"/>
          <w:sz w:val="22"/>
          <w:szCs w:val="22"/>
          <w:lang w:val="es-MX"/>
        </w:rPr>
      </w:pPr>
    </w:p>
    <w:p w14:paraId="0D2241EC" w14:textId="77777777" w:rsidR="00245096" w:rsidRPr="00D8255F" w:rsidRDefault="00245096" w:rsidP="00245096">
      <w:pPr>
        <w:jc w:val="both"/>
        <w:rPr>
          <w:rFonts w:ascii="Arial" w:hAnsi="Arial" w:cs="Arial"/>
          <w:color w:val="000000"/>
          <w:szCs w:val="22"/>
          <w:lang w:val="es-MX"/>
        </w:rPr>
      </w:pPr>
      <w:r w:rsidRPr="00D8255F">
        <w:rPr>
          <w:rFonts w:ascii="Arial" w:hAnsi="Arial" w:cs="Arial"/>
          <w:b/>
          <w:color w:val="000000"/>
          <w:sz w:val="22"/>
          <w:szCs w:val="22"/>
          <w:lang w:val="es-MX"/>
        </w:rPr>
        <w:t>Artículo 1</w:t>
      </w:r>
      <w:r>
        <w:rPr>
          <w:rFonts w:ascii="Arial" w:hAnsi="Arial" w:cs="Arial"/>
          <w:b/>
          <w:color w:val="000000"/>
          <w:sz w:val="22"/>
          <w:szCs w:val="22"/>
          <w:lang w:val="es-MX"/>
        </w:rPr>
        <w:t>2</w:t>
      </w:r>
      <w:r w:rsidRPr="00D8255F">
        <w:rPr>
          <w:rFonts w:ascii="Arial" w:hAnsi="Arial" w:cs="Arial"/>
          <w:b/>
          <w:color w:val="000000"/>
          <w:sz w:val="22"/>
          <w:szCs w:val="22"/>
          <w:lang w:val="es-MX"/>
        </w:rPr>
        <w:t>.  Vigencia</w:t>
      </w:r>
    </w:p>
    <w:p w14:paraId="76479FE5" w14:textId="77777777" w:rsidR="0000229C" w:rsidRDefault="0000229C" w:rsidP="002A65D7">
      <w:pPr>
        <w:ind w:left="3"/>
        <w:jc w:val="both"/>
        <w:rPr>
          <w:rFonts w:ascii="Arial" w:hAnsi="Arial" w:cs="Arial"/>
          <w:b/>
          <w:color w:val="000000"/>
          <w:sz w:val="22"/>
          <w:szCs w:val="22"/>
          <w:lang w:val="es-MX"/>
        </w:rPr>
      </w:pPr>
    </w:p>
    <w:p w14:paraId="34CE17FE" w14:textId="77777777" w:rsidR="0000229C" w:rsidRPr="00245096" w:rsidRDefault="0000229C" w:rsidP="00245096">
      <w:pPr>
        <w:pStyle w:val="Textodereglamento"/>
        <w:spacing w:before="0" w:line="276" w:lineRule="auto"/>
        <w:rPr>
          <w:rFonts w:ascii="Arial" w:hAnsi="Arial" w:cs="Arial"/>
          <w:szCs w:val="22"/>
          <w:lang w:val="es-MX" w:eastAsia="en-US"/>
        </w:rPr>
      </w:pPr>
      <w:r w:rsidRPr="00245096">
        <w:rPr>
          <w:rFonts w:ascii="Arial" w:hAnsi="Arial" w:cs="Arial"/>
          <w:szCs w:val="22"/>
          <w:lang w:val="es-MX" w:eastAsia="en-US"/>
        </w:rPr>
        <w:t xml:space="preserve">Lo dispuesto en esta reforma rige a partir del 1ero de </w:t>
      </w:r>
      <w:r w:rsidR="009B7309">
        <w:rPr>
          <w:rFonts w:ascii="Arial" w:hAnsi="Arial" w:cs="Arial"/>
          <w:szCs w:val="22"/>
          <w:lang w:val="es-MX" w:eastAsia="en-US"/>
        </w:rPr>
        <w:t>agosto</w:t>
      </w:r>
      <w:r w:rsidRPr="00245096">
        <w:rPr>
          <w:rFonts w:ascii="Arial" w:hAnsi="Arial" w:cs="Arial"/>
          <w:szCs w:val="22"/>
          <w:lang w:val="es-MX" w:eastAsia="en-US"/>
        </w:rPr>
        <w:t xml:space="preserve"> del 2023.</w:t>
      </w:r>
    </w:p>
    <w:p w14:paraId="617B323B" w14:textId="77777777" w:rsidR="0000229C" w:rsidRPr="0000229C" w:rsidRDefault="0000229C" w:rsidP="002A65D7">
      <w:pPr>
        <w:ind w:left="3"/>
        <w:jc w:val="both"/>
        <w:rPr>
          <w:rFonts w:ascii="Arial" w:hAnsi="Arial" w:cs="Arial"/>
          <w:sz w:val="22"/>
          <w:szCs w:val="22"/>
          <w:lang w:val="es-CR"/>
        </w:rPr>
      </w:pPr>
    </w:p>
    <w:sectPr w:rsidR="0000229C" w:rsidRPr="0000229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57A0" w14:textId="77777777" w:rsidR="00B7527A" w:rsidRDefault="00B7527A" w:rsidP="002A65D7">
      <w:r>
        <w:separator/>
      </w:r>
    </w:p>
  </w:endnote>
  <w:endnote w:type="continuationSeparator" w:id="0">
    <w:p w14:paraId="1BA1630E" w14:textId="77777777" w:rsidR="00B7527A" w:rsidRDefault="00B7527A" w:rsidP="002A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3128" w14:textId="77777777" w:rsidR="002A65D7" w:rsidRDefault="002A65D7">
    <w:pPr>
      <w:pStyle w:val="Piedepgina"/>
    </w:pPr>
    <w:r>
      <w:rPr>
        <w:noProof/>
      </w:rPr>
      <mc:AlternateContent>
        <mc:Choice Requires="wps">
          <w:drawing>
            <wp:anchor distT="0" distB="0" distL="0" distR="0" simplePos="0" relativeHeight="251659264" behindDoc="0" locked="0" layoutInCell="1" allowOverlap="1" wp14:anchorId="6C27D042" wp14:editId="4E6D5B27">
              <wp:simplePos x="635" y="635"/>
              <wp:positionH relativeFrom="column">
                <wp:align>center</wp:align>
              </wp:positionH>
              <wp:positionV relativeFrom="paragraph">
                <wp:posOffset>635</wp:posOffset>
              </wp:positionV>
              <wp:extent cx="443865" cy="443865"/>
              <wp:effectExtent l="0" t="0" r="0" b="17145"/>
              <wp:wrapSquare wrapText="bothSides"/>
              <wp:docPr id="2" name="Cuadro de texto 2" descr="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798D30" w14:textId="77777777" w:rsidR="002A65D7" w:rsidRPr="002A65D7" w:rsidRDefault="002A65D7">
                          <w:pPr>
                            <w:rPr>
                              <w:rFonts w:ascii="Calibri" w:eastAsia="Calibri" w:hAnsi="Calibri" w:cs="Calibri"/>
                              <w:noProof/>
                              <w:color w:val="000000"/>
                              <w:sz w:val="20"/>
                              <w:szCs w:val="20"/>
                            </w:rPr>
                          </w:pPr>
                          <w:r w:rsidRPr="002A65D7">
                            <w:rPr>
                              <w:rFonts w:ascii="Calibri" w:eastAsia="Calibri" w:hAnsi="Calibri" w:cs="Calibri"/>
                              <w:noProof/>
                              <w:color w:val="000000"/>
                              <w:sz w:val="20"/>
                              <w:szCs w:val="20"/>
                            </w:rPr>
                            <w:t>Uso Interno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27D042" id="_x0000_t202" coordsize="21600,21600" o:spt="202" path="m,l,21600r21600,l21600,xe">
              <v:stroke joinstyle="miter"/>
              <v:path gradientshapeok="t" o:connecttype="rect"/>
            </v:shapetype>
            <v:shape id="Cuadro de texto 2" o:spid="_x0000_s1026" type="#_x0000_t202" alt="Uso Interno"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rsidR="002A65D7" w:rsidRPr="002A65D7" w:rsidRDefault="002A65D7">
                    <w:pPr>
                      <w:rPr>
                        <w:rFonts w:ascii="Calibri" w:eastAsia="Calibri" w:hAnsi="Calibri" w:cs="Calibri"/>
                        <w:noProof/>
                        <w:color w:val="000000"/>
                        <w:sz w:val="20"/>
                        <w:szCs w:val="20"/>
                      </w:rPr>
                    </w:pPr>
                    <w:r w:rsidRPr="002A65D7">
                      <w:rPr>
                        <w:rFonts w:ascii="Calibri" w:eastAsia="Calibri" w:hAnsi="Calibri" w:cs="Calibri"/>
                        <w:noProof/>
                        <w:color w:val="000000"/>
                        <w:sz w:val="20"/>
                        <w:szCs w:val="20"/>
                      </w:rPr>
                      <w:t>Uso Interno</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2F8E" w14:textId="77777777" w:rsidR="00683938" w:rsidRDefault="00E974F0">
    <w:pPr>
      <w:pStyle w:val="Piedepgina"/>
    </w:pPr>
    <w:r>
      <w:rPr>
        <w:noProof/>
      </w:rPr>
      <mc:AlternateContent>
        <mc:Choice Requires="wps">
          <w:drawing>
            <wp:anchor distT="0" distB="0" distL="114300" distR="114300" simplePos="0" relativeHeight="251660288" behindDoc="0" locked="0" layoutInCell="0" allowOverlap="1" wp14:anchorId="4B555268" wp14:editId="01E0BCA0">
              <wp:simplePos x="0" y="0"/>
              <wp:positionH relativeFrom="page">
                <wp:posOffset>0</wp:posOffset>
              </wp:positionH>
              <wp:positionV relativeFrom="page">
                <wp:posOffset>9594215</wp:posOffset>
              </wp:positionV>
              <wp:extent cx="7772400" cy="273050"/>
              <wp:effectExtent l="0" t="0" r="0" b="12700"/>
              <wp:wrapNone/>
              <wp:docPr id="3" name="MSIPCM11544aea82b4a0114a63ea6a"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298389" w14:textId="36A14931" w:rsidR="00E974F0" w:rsidRPr="00E974F0" w:rsidRDefault="00E974F0" w:rsidP="00E974F0">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555268" id="_x0000_t202" coordsize="21600,21600" o:spt="202" path="m,l,21600r21600,l21600,xe">
              <v:stroke joinstyle="miter"/>
              <v:path gradientshapeok="t" o:connecttype="rect"/>
            </v:shapetype>
            <v:shape id="MSIPCM11544aea82b4a0114a63ea6a" o:spid="_x0000_s1027" type="#_x0000_t202" alt="{&quot;HashCode&quot;:1186230005,&quot;Height&quot;:792.0,&quot;Width&quot;:612.0,&quot;Placement&quot;:&quot;Footer&quot;,&quot;Index&quot;:&quot;Primary&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6A298389" w14:textId="36A14931" w:rsidR="00E974F0" w:rsidRPr="00E974F0" w:rsidRDefault="00E974F0" w:rsidP="00E974F0">
                    <w:pPr>
                      <w:jc w:val="cente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5990" w14:textId="77777777" w:rsidR="002A65D7" w:rsidRDefault="002A65D7">
    <w:pPr>
      <w:pStyle w:val="Piedepgina"/>
    </w:pPr>
    <w:r>
      <w:rPr>
        <w:noProof/>
      </w:rPr>
      <mc:AlternateContent>
        <mc:Choice Requires="wps">
          <w:drawing>
            <wp:anchor distT="0" distB="0" distL="0" distR="0" simplePos="0" relativeHeight="251658240" behindDoc="0" locked="0" layoutInCell="1" allowOverlap="1" wp14:anchorId="6BB436AA" wp14:editId="7BA1FD48">
              <wp:simplePos x="635" y="635"/>
              <wp:positionH relativeFrom="column">
                <wp:align>center</wp:align>
              </wp:positionH>
              <wp:positionV relativeFrom="paragraph">
                <wp:posOffset>635</wp:posOffset>
              </wp:positionV>
              <wp:extent cx="443865" cy="443865"/>
              <wp:effectExtent l="0" t="0" r="0" b="17145"/>
              <wp:wrapSquare wrapText="bothSides"/>
              <wp:docPr id="1" name="Cuadro de texto 1" descr="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04C274" w14:textId="77777777" w:rsidR="002A65D7" w:rsidRPr="002A65D7" w:rsidRDefault="002A65D7">
                          <w:pPr>
                            <w:rPr>
                              <w:rFonts w:ascii="Calibri" w:eastAsia="Calibri" w:hAnsi="Calibri" w:cs="Calibri"/>
                              <w:noProof/>
                              <w:color w:val="000000"/>
                              <w:sz w:val="20"/>
                              <w:szCs w:val="20"/>
                            </w:rPr>
                          </w:pPr>
                          <w:r w:rsidRPr="002A65D7">
                            <w:rPr>
                              <w:rFonts w:ascii="Calibri" w:eastAsia="Calibri" w:hAnsi="Calibri" w:cs="Calibri"/>
                              <w:noProof/>
                              <w:color w:val="000000"/>
                              <w:sz w:val="20"/>
                              <w:szCs w:val="20"/>
                            </w:rPr>
                            <w:t>Uso Interno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B436AA" id="_x0000_t202" coordsize="21600,21600" o:spt="202" path="m,l,21600r21600,l21600,xe">
              <v:stroke joinstyle="miter"/>
              <v:path gradientshapeok="t" o:connecttype="rect"/>
            </v:shapetype>
            <v:shape id="Cuadro de texto 1" o:spid="_x0000_s1028" type="#_x0000_t202" alt="Uso Interno"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rsidR="002A65D7" w:rsidRPr="002A65D7" w:rsidRDefault="002A65D7">
                    <w:pPr>
                      <w:rPr>
                        <w:rFonts w:ascii="Calibri" w:eastAsia="Calibri" w:hAnsi="Calibri" w:cs="Calibri"/>
                        <w:noProof/>
                        <w:color w:val="000000"/>
                        <w:sz w:val="20"/>
                        <w:szCs w:val="20"/>
                      </w:rPr>
                    </w:pPr>
                    <w:r w:rsidRPr="002A65D7">
                      <w:rPr>
                        <w:rFonts w:ascii="Calibri" w:eastAsia="Calibri" w:hAnsi="Calibri" w:cs="Calibri"/>
                        <w:noProof/>
                        <w:color w:val="000000"/>
                        <w:sz w:val="20"/>
                        <w:szCs w:val="20"/>
                      </w:rPr>
                      <w:t>Uso Interno</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9EE7" w14:textId="77777777" w:rsidR="00B7527A" w:rsidRDefault="00B7527A" w:rsidP="002A65D7">
      <w:r>
        <w:separator/>
      </w:r>
    </w:p>
  </w:footnote>
  <w:footnote w:type="continuationSeparator" w:id="0">
    <w:p w14:paraId="4070D7B0" w14:textId="77777777" w:rsidR="00B7527A" w:rsidRDefault="00B7527A" w:rsidP="002A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FD31" w14:textId="77777777" w:rsidR="00E974F0" w:rsidRDefault="00E974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6563" w14:textId="77777777" w:rsidR="00E974F0" w:rsidRDefault="00E974F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DFAB" w14:textId="77777777" w:rsidR="00E974F0" w:rsidRDefault="00E974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F79"/>
    <w:multiLevelType w:val="hybridMultilevel"/>
    <w:tmpl w:val="FB1862B8"/>
    <w:lvl w:ilvl="0" w:tplc="7528E2D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AD37C25"/>
    <w:multiLevelType w:val="hybridMultilevel"/>
    <w:tmpl w:val="E6362D66"/>
    <w:lvl w:ilvl="0" w:tplc="6DBC4930">
      <w:start w:val="1"/>
      <w:numFmt w:val="lowerLetter"/>
      <w:lvlText w:val="%1)"/>
      <w:lvlJc w:val="left"/>
      <w:pPr>
        <w:tabs>
          <w:tab w:val="num" w:pos="363"/>
        </w:tabs>
        <w:ind w:left="363"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55144E"/>
    <w:multiLevelType w:val="hybridMultilevel"/>
    <w:tmpl w:val="54D2565E"/>
    <w:lvl w:ilvl="0" w:tplc="6DBC4930">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7E1876"/>
    <w:multiLevelType w:val="hybridMultilevel"/>
    <w:tmpl w:val="39562BF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34B1F61"/>
    <w:multiLevelType w:val="hybridMultilevel"/>
    <w:tmpl w:val="BAA873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BAF5F7B"/>
    <w:multiLevelType w:val="hybridMultilevel"/>
    <w:tmpl w:val="6A080FAC"/>
    <w:lvl w:ilvl="0" w:tplc="1E0C3AC2">
      <w:start w:val="1"/>
      <w:numFmt w:val="upperRoman"/>
      <w:lvlText w:val="%1."/>
      <w:lvlJc w:val="left"/>
      <w:pPr>
        <w:tabs>
          <w:tab w:val="num" w:pos="108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ED06C33"/>
    <w:multiLevelType w:val="hybridMultilevel"/>
    <w:tmpl w:val="6B54D028"/>
    <w:lvl w:ilvl="0" w:tplc="6DBC4930">
      <w:start w:val="1"/>
      <w:numFmt w:val="lowerLetter"/>
      <w:lvlText w:val="%1)"/>
      <w:lvlJc w:val="left"/>
      <w:pPr>
        <w:tabs>
          <w:tab w:val="num" w:pos="363"/>
        </w:tabs>
        <w:ind w:left="363"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BD02231"/>
    <w:multiLevelType w:val="hybridMultilevel"/>
    <w:tmpl w:val="3EE68018"/>
    <w:lvl w:ilvl="0" w:tplc="6DBC4930">
      <w:start w:val="1"/>
      <w:numFmt w:val="lowerLetter"/>
      <w:lvlText w:val="%1)"/>
      <w:lvlJc w:val="left"/>
      <w:pPr>
        <w:tabs>
          <w:tab w:val="num" w:pos="363"/>
        </w:tabs>
        <w:ind w:left="363" w:hanging="360"/>
      </w:pPr>
      <w:rPr>
        <w:b w:val="0"/>
        <w:i w:val="0"/>
      </w:rPr>
    </w:lvl>
    <w:lvl w:ilvl="1" w:tplc="04090019">
      <w:start w:val="1"/>
      <w:numFmt w:val="lowerLetter"/>
      <w:lvlText w:val="%2."/>
      <w:lvlJc w:val="left"/>
      <w:pPr>
        <w:tabs>
          <w:tab w:val="num" w:pos="1440"/>
        </w:tabs>
        <w:ind w:left="1440" w:hanging="360"/>
      </w:pPr>
    </w:lvl>
    <w:lvl w:ilvl="2" w:tplc="AD60A924">
      <w:start w:val="1"/>
      <w:numFmt w:val="lowerRoman"/>
      <w:lvlText w:val="%3."/>
      <w:lvlJc w:val="left"/>
      <w:pPr>
        <w:tabs>
          <w:tab w:val="num" w:pos="2160"/>
        </w:tabs>
        <w:ind w:left="2160" w:hanging="180"/>
      </w:pPr>
      <w:rPr>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F046280"/>
    <w:multiLevelType w:val="hybridMultilevel"/>
    <w:tmpl w:val="048E1434"/>
    <w:lvl w:ilvl="0" w:tplc="6DBC4930">
      <w:start w:val="1"/>
      <w:numFmt w:val="lowerLetter"/>
      <w:lvlText w:val="%1)"/>
      <w:lvlJc w:val="left"/>
      <w:pPr>
        <w:tabs>
          <w:tab w:val="num" w:pos="363"/>
        </w:tabs>
        <w:ind w:left="363"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5E97073"/>
    <w:multiLevelType w:val="hybridMultilevel"/>
    <w:tmpl w:val="501CCD64"/>
    <w:lvl w:ilvl="0" w:tplc="E6CCE59C">
      <w:start w:val="1"/>
      <w:numFmt w:val="upperLetter"/>
      <w:lvlText w:val="%1."/>
      <w:lvlJc w:val="left"/>
      <w:pPr>
        <w:ind w:left="502" w:hanging="360"/>
      </w:pPr>
      <w:rPr>
        <w:b/>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0" w15:restartNumberingAfterBreak="0">
    <w:nsid w:val="680550D8"/>
    <w:multiLevelType w:val="hybridMultilevel"/>
    <w:tmpl w:val="8CF651AE"/>
    <w:lvl w:ilvl="0" w:tplc="D6BC7818">
      <w:start w:val="1"/>
      <w:numFmt w:val="lowerLetter"/>
      <w:lvlText w:val="%1)"/>
      <w:lvlJc w:val="left"/>
      <w:pPr>
        <w:tabs>
          <w:tab w:val="num" w:pos="363"/>
        </w:tabs>
        <w:ind w:left="363"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4725DB"/>
    <w:multiLevelType w:val="hybridMultilevel"/>
    <w:tmpl w:val="EE4ED89E"/>
    <w:lvl w:ilvl="0" w:tplc="6DBC4930">
      <w:start w:val="1"/>
      <w:numFmt w:val="lowerLetter"/>
      <w:lvlText w:val="%1)"/>
      <w:lvlJc w:val="left"/>
      <w:pPr>
        <w:tabs>
          <w:tab w:val="num" w:pos="363"/>
        </w:tabs>
        <w:ind w:left="363"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0AE037E"/>
    <w:multiLevelType w:val="hybridMultilevel"/>
    <w:tmpl w:val="CEBA55B6"/>
    <w:lvl w:ilvl="0" w:tplc="6DBC4930">
      <w:start w:val="1"/>
      <w:numFmt w:val="lowerLetter"/>
      <w:lvlText w:val="%1)"/>
      <w:lvlJc w:val="left"/>
      <w:pPr>
        <w:tabs>
          <w:tab w:val="num" w:pos="363"/>
        </w:tabs>
        <w:ind w:left="363" w:hanging="360"/>
      </w:pPr>
      <w:rPr>
        <w:b w:val="0"/>
        <w:i w:val="0"/>
      </w:rPr>
    </w:lvl>
    <w:lvl w:ilvl="1" w:tplc="04090019">
      <w:start w:val="1"/>
      <w:numFmt w:val="lowerLetter"/>
      <w:lvlText w:val="%2."/>
      <w:lvlJc w:val="left"/>
      <w:pPr>
        <w:tabs>
          <w:tab w:val="num" w:pos="1440"/>
        </w:tabs>
        <w:ind w:left="1440" w:hanging="360"/>
      </w:pPr>
    </w:lvl>
    <w:lvl w:ilvl="2" w:tplc="AAF03EB6">
      <w:start w:val="1"/>
      <w:numFmt w:val="lowerRoman"/>
      <w:lvlText w:val="%3."/>
      <w:lvlJc w:val="left"/>
      <w:pPr>
        <w:tabs>
          <w:tab w:val="num" w:pos="2160"/>
        </w:tabs>
        <w:ind w:left="2160" w:hanging="180"/>
      </w:pPr>
      <w:rPr>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3DB6D52"/>
    <w:multiLevelType w:val="hybridMultilevel"/>
    <w:tmpl w:val="5484C5F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80C3131"/>
    <w:multiLevelType w:val="hybridMultilevel"/>
    <w:tmpl w:val="A3CE82EA"/>
    <w:lvl w:ilvl="0" w:tplc="6DBC4930">
      <w:start w:val="1"/>
      <w:numFmt w:val="lowerLetter"/>
      <w:lvlText w:val="%1)"/>
      <w:lvlJc w:val="left"/>
      <w:pPr>
        <w:tabs>
          <w:tab w:val="num" w:pos="363"/>
        </w:tabs>
        <w:ind w:left="363"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860899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8236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27421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19485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58088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691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3183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13796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5713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35054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72166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83824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3732700">
    <w:abstractNumId w:val="0"/>
  </w:num>
  <w:num w:numId="14" w16cid:durableId="899635558">
    <w:abstractNumId w:val="3"/>
  </w:num>
  <w:num w:numId="15" w16cid:durableId="3748884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D7"/>
    <w:rsid w:val="0000229C"/>
    <w:rsid w:val="000675D2"/>
    <w:rsid w:val="00087EB0"/>
    <w:rsid w:val="000D08D5"/>
    <w:rsid w:val="00153F7F"/>
    <w:rsid w:val="001603F8"/>
    <w:rsid w:val="0016403B"/>
    <w:rsid w:val="00167C1C"/>
    <w:rsid w:val="0020140B"/>
    <w:rsid w:val="00204E4B"/>
    <w:rsid w:val="00245096"/>
    <w:rsid w:val="002A65D7"/>
    <w:rsid w:val="002E317E"/>
    <w:rsid w:val="00330FCB"/>
    <w:rsid w:val="003E21A1"/>
    <w:rsid w:val="00455439"/>
    <w:rsid w:val="0045646C"/>
    <w:rsid w:val="004701AA"/>
    <w:rsid w:val="004A5400"/>
    <w:rsid w:val="004C0686"/>
    <w:rsid w:val="005513A5"/>
    <w:rsid w:val="00683938"/>
    <w:rsid w:val="0073007A"/>
    <w:rsid w:val="007716F9"/>
    <w:rsid w:val="00785A3B"/>
    <w:rsid w:val="0081133B"/>
    <w:rsid w:val="00833267"/>
    <w:rsid w:val="00865390"/>
    <w:rsid w:val="00874C12"/>
    <w:rsid w:val="0088737C"/>
    <w:rsid w:val="008B2550"/>
    <w:rsid w:val="008F686A"/>
    <w:rsid w:val="00920280"/>
    <w:rsid w:val="009A3106"/>
    <w:rsid w:val="009B7309"/>
    <w:rsid w:val="00A95041"/>
    <w:rsid w:val="00AB22C8"/>
    <w:rsid w:val="00AD45E1"/>
    <w:rsid w:val="00AE0EDC"/>
    <w:rsid w:val="00B31471"/>
    <w:rsid w:val="00B7527A"/>
    <w:rsid w:val="00C35BA3"/>
    <w:rsid w:val="00CB3407"/>
    <w:rsid w:val="00D8731F"/>
    <w:rsid w:val="00E46EC2"/>
    <w:rsid w:val="00E974F0"/>
    <w:rsid w:val="00EE5CFC"/>
    <w:rsid w:val="00F14284"/>
    <w:rsid w:val="00F31CF4"/>
    <w:rsid w:val="00F64907"/>
    <w:rsid w:val="00F860E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16190"/>
  <w15:chartTrackingRefBased/>
  <w15:docId w15:val="{1FC5E407-72AF-493C-B234-A9AB77C5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5D7"/>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65D7"/>
    <w:pPr>
      <w:tabs>
        <w:tab w:val="center" w:pos="4419"/>
        <w:tab w:val="right" w:pos="8838"/>
      </w:tabs>
    </w:pPr>
  </w:style>
  <w:style w:type="character" w:customStyle="1" w:styleId="EncabezadoCar">
    <w:name w:val="Encabezado Car"/>
    <w:basedOn w:val="Fuentedeprrafopredeter"/>
    <w:link w:val="Encabezado"/>
    <w:uiPriority w:val="99"/>
    <w:rsid w:val="002A65D7"/>
  </w:style>
  <w:style w:type="paragraph" w:styleId="Piedepgina">
    <w:name w:val="footer"/>
    <w:basedOn w:val="Normal"/>
    <w:link w:val="PiedepginaCar"/>
    <w:uiPriority w:val="99"/>
    <w:unhideWhenUsed/>
    <w:rsid w:val="002A65D7"/>
    <w:pPr>
      <w:tabs>
        <w:tab w:val="center" w:pos="4419"/>
        <w:tab w:val="right" w:pos="8838"/>
      </w:tabs>
    </w:pPr>
  </w:style>
  <w:style w:type="character" w:customStyle="1" w:styleId="PiedepginaCar">
    <w:name w:val="Pie de página Car"/>
    <w:basedOn w:val="Fuentedeprrafopredeter"/>
    <w:link w:val="Piedepgina"/>
    <w:uiPriority w:val="99"/>
    <w:rsid w:val="002A65D7"/>
  </w:style>
  <w:style w:type="paragraph" w:styleId="Textonotapie">
    <w:name w:val="footnote text"/>
    <w:basedOn w:val="Normal"/>
    <w:link w:val="TextonotapieCar"/>
    <w:uiPriority w:val="99"/>
    <w:semiHidden/>
    <w:unhideWhenUsed/>
    <w:rsid w:val="002A65D7"/>
    <w:rPr>
      <w:sz w:val="20"/>
      <w:szCs w:val="20"/>
    </w:rPr>
  </w:style>
  <w:style w:type="character" w:customStyle="1" w:styleId="TextonotapieCar">
    <w:name w:val="Texto nota pie Car"/>
    <w:basedOn w:val="Fuentedeprrafopredeter"/>
    <w:link w:val="Textonotapie"/>
    <w:uiPriority w:val="99"/>
    <w:semiHidden/>
    <w:rsid w:val="002A65D7"/>
    <w:rPr>
      <w:rFonts w:ascii="Times New Roman" w:eastAsia="Times New Roman" w:hAnsi="Times New Roman" w:cs="Times New Roman"/>
      <w:sz w:val="20"/>
      <w:szCs w:val="20"/>
      <w:lang w:val="en-US"/>
    </w:rPr>
  </w:style>
  <w:style w:type="paragraph" w:styleId="Textoindependiente2">
    <w:name w:val="Body Text 2"/>
    <w:basedOn w:val="Normal"/>
    <w:link w:val="Textoindependiente2Car"/>
    <w:semiHidden/>
    <w:unhideWhenUsed/>
    <w:rsid w:val="002A65D7"/>
    <w:pPr>
      <w:tabs>
        <w:tab w:val="left" w:pos="540"/>
      </w:tabs>
      <w:jc w:val="both"/>
    </w:pPr>
    <w:rPr>
      <w:rFonts w:ascii="Century Gothic" w:hAnsi="Century Gothic"/>
      <w:sz w:val="22"/>
      <w:lang w:val="es-CR"/>
    </w:rPr>
  </w:style>
  <w:style w:type="character" w:customStyle="1" w:styleId="Textoindependiente2Car">
    <w:name w:val="Texto independiente 2 Car"/>
    <w:basedOn w:val="Fuentedeprrafopredeter"/>
    <w:link w:val="Textoindependiente2"/>
    <w:semiHidden/>
    <w:rsid w:val="002A65D7"/>
    <w:rPr>
      <w:rFonts w:ascii="Century Gothic" w:eastAsia="Times New Roman" w:hAnsi="Century Gothic" w:cs="Times New Roman"/>
      <w:szCs w:val="24"/>
    </w:rPr>
  </w:style>
  <w:style w:type="paragraph" w:styleId="Prrafodelista">
    <w:name w:val="List Paragraph"/>
    <w:basedOn w:val="Normal"/>
    <w:uiPriority w:val="34"/>
    <w:qFormat/>
    <w:rsid w:val="002A65D7"/>
    <w:pPr>
      <w:ind w:left="720"/>
    </w:pPr>
    <w:rPr>
      <w:rFonts w:eastAsia="Calibri"/>
    </w:rPr>
  </w:style>
  <w:style w:type="character" w:styleId="Refdenotaalpie">
    <w:name w:val="footnote reference"/>
    <w:uiPriority w:val="99"/>
    <w:semiHidden/>
    <w:unhideWhenUsed/>
    <w:rsid w:val="002A65D7"/>
    <w:rPr>
      <w:vertAlign w:val="superscript"/>
    </w:rPr>
  </w:style>
  <w:style w:type="character" w:customStyle="1" w:styleId="TextodereglamentoChar">
    <w:name w:val="Texto de reglamento Char"/>
    <w:link w:val="Textodereglamento"/>
    <w:locked/>
    <w:rsid w:val="00865390"/>
    <w:rPr>
      <w:rFonts w:ascii="Times New Roman" w:eastAsia="Times New Roman" w:hAnsi="Times New Roman" w:cs="Times New Roman"/>
      <w:szCs w:val="24"/>
      <w:lang w:val="es-ES" w:eastAsia="es-ES"/>
    </w:rPr>
  </w:style>
  <w:style w:type="paragraph" w:customStyle="1" w:styleId="Textodereglamento">
    <w:name w:val="Texto de reglamento"/>
    <w:basedOn w:val="Normal"/>
    <w:link w:val="TextodereglamentoChar"/>
    <w:qFormat/>
    <w:rsid w:val="00865390"/>
    <w:pPr>
      <w:spacing w:before="120"/>
      <w:jc w:val="both"/>
    </w:pPr>
    <w:rPr>
      <w:sz w:val="22"/>
      <w:lang w:val="es-ES" w:eastAsia="es-ES"/>
    </w:rPr>
  </w:style>
  <w:style w:type="paragraph" w:styleId="Revisin">
    <w:name w:val="Revision"/>
    <w:hidden/>
    <w:uiPriority w:val="99"/>
    <w:semiHidden/>
    <w:rsid w:val="00E974F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4602">
      <w:bodyDiv w:val="1"/>
      <w:marLeft w:val="0"/>
      <w:marRight w:val="0"/>
      <w:marTop w:val="0"/>
      <w:marBottom w:val="0"/>
      <w:divBdr>
        <w:top w:val="none" w:sz="0" w:space="0" w:color="auto"/>
        <w:left w:val="none" w:sz="0" w:space="0" w:color="auto"/>
        <w:bottom w:val="none" w:sz="0" w:space="0" w:color="auto"/>
        <w:right w:val="none" w:sz="0" w:space="0" w:color="auto"/>
      </w:divBdr>
    </w:div>
    <w:div w:id="1551186285">
      <w:bodyDiv w:val="1"/>
      <w:marLeft w:val="0"/>
      <w:marRight w:val="0"/>
      <w:marTop w:val="0"/>
      <w:marBottom w:val="0"/>
      <w:divBdr>
        <w:top w:val="none" w:sz="0" w:space="0" w:color="auto"/>
        <w:left w:val="none" w:sz="0" w:space="0" w:color="auto"/>
        <w:bottom w:val="none" w:sz="0" w:space="0" w:color="auto"/>
        <w:right w:val="none" w:sz="0" w:space="0" w:color="auto"/>
      </w:divBdr>
    </w:div>
    <w:div w:id="19959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Props1.xml><?xml version="1.0" encoding="utf-8"?>
<ds:datastoreItem xmlns:ds="http://schemas.openxmlformats.org/officeDocument/2006/customXml" ds:itemID="{936814AF-E9BD-496B-AF6E-8CD090EAA355}"/>
</file>

<file path=customXml/itemProps2.xml><?xml version="1.0" encoding="utf-8"?>
<ds:datastoreItem xmlns:ds="http://schemas.openxmlformats.org/officeDocument/2006/customXml" ds:itemID="{A8A1F899-B737-4E43-8A55-E0492D05422A}"/>
</file>

<file path=customXml/itemProps3.xml><?xml version="1.0" encoding="utf-8"?>
<ds:datastoreItem xmlns:ds="http://schemas.openxmlformats.org/officeDocument/2006/customXml" ds:itemID="{8E6C77E5-DF54-4CDE-A149-201ADEA2A9FD}"/>
</file>

<file path=docProps/app.xml><?xml version="1.0" encoding="utf-8"?>
<Properties xmlns="http://schemas.openxmlformats.org/officeDocument/2006/extended-properties" xmlns:vt="http://schemas.openxmlformats.org/officeDocument/2006/docPropsVTypes">
  <Template>Normal</Template>
  <TotalTime>1</TotalTime>
  <Pages>7</Pages>
  <Words>2269</Words>
  <Characters>12485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Banco Central de Costa Rica</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SEGURA CANO RODRIGO ANIBAL</dc:creator>
  <cp:keywords/>
  <dc:description/>
  <cp:lastModifiedBy>TAN CHAN ISABEL MARIA</cp:lastModifiedBy>
  <cp:revision>3</cp:revision>
  <dcterms:created xsi:type="dcterms:W3CDTF">2023-05-04T16:01:00Z</dcterms:created>
  <dcterms:modified xsi:type="dcterms:W3CDTF">2023-05-06T00:13:00Z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Uso Interno</vt:lpwstr>
  </property>
  <property fmtid="{D5CDD505-2E9C-101B-9397-08002B2CF9AE}" pid="5" name="MSIP_Label_b8b4be34-365a-4a68-b9fb-75c1b6874315_Enabled">
    <vt:lpwstr>true</vt:lpwstr>
  </property>
  <property fmtid="{D5CDD505-2E9C-101B-9397-08002B2CF9AE}" pid="6" name="MSIP_Label_b8b4be34-365a-4a68-b9fb-75c1b6874315_SetDate">
    <vt:lpwstr>2023-04-18T20:59:26Z</vt:lpwstr>
  </property>
  <property fmtid="{D5CDD505-2E9C-101B-9397-08002B2CF9AE}" pid="7" name="MSIP_Label_b8b4be34-365a-4a68-b9fb-75c1b6874315_Method">
    <vt:lpwstr>Standard</vt:lpwstr>
  </property>
  <property fmtid="{D5CDD505-2E9C-101B-9397-08002B2CF9AE}" pid="8" name="MSIP_Label_b8b4be34-365a-4a68-b9fb-75c1b6874315_Name">
    <vt:lpwstr>b8b4be34-365a-4a68-b9fb-75c1b6874315</vt:lpwstr>
  </property>
  <property fmtid="{D5CDD505-2E9C-101B-9397-08002B2CF9AE}" pid="9" name="MSIP_Label_b8b4be34-365a-4a68-b9fb-75c1b6874315_SiteId">
    <vt:lpwstr>618d0a45-25a6-4618-9f80-8f70a435ee52</vt:lpwstr>
  </property>
  <property fmtid="{D5CDD505-2E9C-101B-9397-08002B2CF9AE}" pid="10" name="MSIP_Label_b8b4be34-365a-4a68-b9fb-75c1b6874315_ActionId">
    <vt:lpwstr>cb4f49ab-0f8d-4a6f-b76c-8fa2dfc93252</vt:lpwstr>
  </property>
  <property fmtid="{D5CDD505-2E9C-101B-9397-08002B2CF9AE}" pid="11" name="MSIP_Label_b8b4be34-365a-4a68-b9fb-75c1b6874315_ContentBits">
    <vt:lpwstr>2</vt:lpwstr>
  </property>
  <property fmtid="{D5CDD505-2E9C-101B-9397-08002B2CF9AE}" pid="12" name="ContentTypeId">
    <vt:lpwstr>0x010100C66477CF232ACD46B93353E93693837C</vt:lpwstr>
  </property>
</Properties>
</file>