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9279" w:type="dxa"/>
        <w:tblInd w:w="-856" w:type="dxa"/>
        <w:tblLayout w:type="fixed"/>
        <w:tblLook w:val="04A0" w:firstRow="1" w:lastRow="0" w:firstColumn="1" w:lastColumn="0" w:noHBand="0" w:noVBand="1"/>
      </w:tblPr>
      <w:tblGrid>
        <w:gridCol w:w="8090"/>
        <w:gridCol w:w="1833"/>
        <w:gridCol w:w="1985"/>
        <w:gridCol w:w="7371"/>
      </w:tblGrid>
      <w:tr w:rsidR="00F9570C" w:rsidRPr="00096AA9" w14:paraId="109225B4" w14:textId="77777777" w:rsidTr="00024F0F">
        <w:trPr>
          <w:tblHeader/>
        </w:trPr>
        <w:tc>
          <w:tcPr>
            <w:tcW w:w="19279" w:type="dxa"/>
            <w:gridSpan w:val="4"/>
          </w:tcPr>
          <w:p w14:paraId="67FA8376" w14:textId="479F0066" w:rsidR="00F9570C" w:rsidRPr="00096AA9" w:rsidRDefault="00F9570C" w:rsidP="005275D0">
            <w:pPr>
              <w:spacing w:before="120" w:after="120"/>
              <w:ind w:left="25"/>
              <w:jc w:val="center"/>
              <w:rPr>
                <w:rFonts w:eastAsia="Times New Roman" w:cs="Arial"/>
                <w:b/>
                <w:bCs/>
                <w:iCs/>
                <w:noProof/>
                <w:lang w:val="es-ES_tradnl" w:eastAsia="es-ES"/>
              </w:rPr>
            </w:pPr>
            <w:r>
              <w:rPr>
                <w:rFonts w:eastAsia="Times New Roman" w:cs="Arial"/>
                <w:b/>
                <w:bCs/>
                <w:iCs/>
                <w:noProof/>
                <w:lang w:val="es-ES_tradnl" w:eastAsia="es-ES"/>
              </w:rPr>
              <w:t>MATRIZ COMPARATIVA</w:t>
            </w:r>
          </w:p>
        </w:tc>
      </w:tr>
      <w:tr w:rsidR="00F9570C" w:rsidRPr="00096AA9" w14:paraId="35230575" w14:textId="77777777" w:rsidTr="00024F0F">
        <w:trPr>
          <w:tblHeader/>
        </w:trPr>
        <w:tc>
          <w:tcPr>
            <w:tcW w:w="19279" w:type="dxa"/>
            <w:gridSpan w:val="4"/>
          </w:tcPr>
          <w:p w14:paraId="35F28D49" w14:textId="1AB5B2F4" w:rsidR="00F9570C" w:rsidRPr="00096AA9" w:rsidRDefault="00F9570C" w:rsidP="005275D0">
            <w:pPr>
              <w:spacing w:before="120" w:after="120"/>
              <w:ind w:left="25"/>
              <w:jc w:val="center"/>
              <w:rPr>
                <w:rFonts w:eastAsia="Times New Roman" w:cs="Arial"/>
                <w:b/>
                <w:bCs/>
                <w:iCs/>
                <w:noProof/>
                <w:lang w:val="es-ES_tradnl" w:eastAsia="es-ES"/>
              </w:rPr>
            </w:pPr>
            <w:r>
              <w:rPr>
                <w:rFonts w:eastAsia="Times New Roman" w:cs="Arial"/>
                <w:b/>
                <w:bCs/>
                <w:iCs/>
                <w:noProof/>
                <w:lang w:val="es-ES_tradnl" w:eastAsia="es-ES"/>
              </w:rPr>
              <w:t xml:space="preserve">Propuesta de Acuerdo </w:t>
            </w:r>
            <w:r w:rsidRPr="00096AA9">
              <w:rPr>
                <w:rFonts w:eastAsia="Times New Roman" w:cs="Arial"/>
                <w:b/>
                <w:bCs/>
                <w:iCs/>
                <w:noProof/>
                <w:lang w:val="es-ES_tradnl" w:eastAsia="es-ES"/>
              </w:rPr>
              <w:t xml:space="preserve">SGV-A-XXX. </w:t>
            </w:r>
            <w:r w:rsidRPr="00096AA9">
              <w:rPr>
                <w:rFonts w:eastAsia="Times New Roman" w:cs="Arial"/>
                <w:b/>
                <w:lang w:eastAsia="es-ES"/>
              </w:rPr>
              <w:t>MODIFICACIÓN AL ACUERDO SGV-A-75 “SUMINISTRO DE INFORMACIÓN PERIÓDICA”</w:t>
            </w:r>
          </w:p>
        </w:tc>
      </w:tr>
      <w:tr w:rsidR="00F9570C" w:rsidRPr="00096AA9" w14:paraId="1D508763" w14:textId="77777777" w:rsidTr="00024F0F">
        <w:trPr>
          <w:tblHeader/>
        </w:trPr>
        <w:tc>
          <w:tcPr>
            <w:tcW w:w="8090" w:type="dxa"/>
          </w:tcPr>
          <w:p w14:paraId="5014C387" w14:textId="14418FA9" w:rsidR="00F9570C" w:rsidRPr="00096AA9" w:rsidRDefault="00F9570C" w:rsidP="005275D0">
            <w:pPr>
              <w:spacing w:before="120" w:after="120"/>
              <w:jc w:val="center"/>
              <w:rPr>
                <w:rFonts w:eastAsia="Times New Roman" w:cs="Arial"/>
                <w:b/>
                <w:bCs/>
                <w:iCs/>
                <w:noProof/>
                <w:lang w:val="es-ES_tradnl" w:eastAsia="es-ES"/>
              </w:rPr>
            </w:pPr>
            <w:r>
              <w:rPr>
                <w:rFonts w:eastAsia="Times New Roman" w:cs="Arial"/>
                <w:b/>
                <w:bCs/>
                <w:iCs/>
                <w:noProof/>
                <w:lang w:val="es-ES_tradnl" w:eastAsia="es-ES"/>
              </w:rPr>
              <w:t>Texto en consulta</w:t>
            </w:r>
          </w:p>
        </w:tc>
        <w:tc>
          <w:tcPr>
            <w:tcW w:w="1833" w:type="dxa"/>
          </w:tcPr>
          <w:p w14:paraId="479DE031" w14:textId="5AC3EC1D" w:rsidR="00F9570C" w:rsidRPr="00096AA9" w:rsidRDefault="00F9570C" w:rsidP="00024F0F">
            <w:pPr>
              <w:spacing w:before="120" w:after="120"/>
              <w:jc w:val="center"/>
              <w:rPr>
                <w:rFonts w:eastAsia="Times New Roman" w:cs="Arial"/>
                <w:b/>
                <w:bCs/>
                <w:iCs/>
                <w:noProof/>
                <w:lang w:val="es-ES_tradnl" w:eastAsia="es-ES"/>
              </w:rPr>
            </w:pPr>
            <w:r>
              <w:rPr>
                <w:rFonts w:eastAsia="Times New Roman" w:cs="Arial"/>
                <w:b/>
                <w:bCs/>
                <w:iCs/>
                <w:noProof/>
                <w:lang w:val="es-ES_tradnl" w:eastAsia="es-ES"/>
              </w:rPr>
              <w:t>Observaciones del medio</w:t>
            </w:r>
          </w:p>
        </w:tc>
        <w:tc>
          <w:tcPr>
            <w:tcW w:w="1985" w:type="dxa"/>
          </w:tcPr>
          <w:p w14:paraId="0EAEA2F4" w14:textId="5590AAE0" w:rsidR="00F9570C" w:rsidRPr="00096AA9" w:rsidRDefault="00F9570C" w:rsidP="00024F0F">
            <w:pPr>
              <w:spacing w:before="120" w:after="120"/>
              <w:ind w:left="-4"/>
              <w:jc w:val="center"/>
              <w:rPr>
                <w:rFonts w:eastAsia="Times New Roman" w:cs="Arial"/>
                <w:b/>
                <w:bCs/>
                <w:iCs/>
                <w:noProof/>
                <w:lang w:val="es-ES_tradnl" w:eastAsia="es-ES"/>
              </w:rPr>
            </w:pPr>
            <w:r>
              <w:rPr>
                <w:rFonts w:eastAsia="Times New Roman" w:cs="Arial"/>
                <w:b/>
                <w:bCs/>
                <w:iCs/>
                <w:noProof/>
                <w:lang w:val="es-ES_tradnl" w:eastAsia="es-ES"/>
              </w:rPr>
              <w:t>Comentarios de la SUGEVAL</w:t>
            </w:r>
          </w:p>
        </w:tc>
        <w:tc>
          <w:tcPr>
            <w:tcW w:w="7371" w:type="dxa"/>
          </w:tcPr>
          <w:p w14:paraId="5CAE1460" w14:textId="3A14D2C1" w:rsidR="00F9570C" w:rsidRPr="00096AA9" w:rsidRDefault="00F9570C" w:rsidP="005275D0">
            <w:pPr>
              <w:spacing w:before="120" w:after="120"/>
              <w:ind w:left="25"/>
              <w:jc w:val="center"/>
              <w:rPr>
                <w:rFonts w:eastAsia="Times New Roman" w:cs="Arial"/>
                <w:b/>
                <w:bCs/>
                <w:iCs/>
                <w:noProof/>
                <w:lang w:val="es-ES_tradnl" w:eastAsia="es-ES"/>
              </w:rPr>
            </w:pPr>
            <w:r>
              <w:rPr>
                <w:rFonts w:eastAsia="Times New Roman" w:cs="Arial"/>
                <w:b/>
                <w:bCs/>
                <w:iCs/>
                <w:noProof/>
                <w:lang w:val="es-ES_tradnl" w:eastAsia="es-ES"/>
              </w:rPr>
              <w:t>Texto final</w:t>
            </w:r>
          </w:p>
        </w:tc>
      </w:tr>
      <w:tr w:rsidR="00096AA9" w:rsidRPr="00096AA9" w14:paraId="1B79FB68" w14:textId="0088AC52" w:rsidTr="00024F0F">
        <w:tc>
          <w:tcPr>
            <w:tcW w:w="8090" w:type="dxa"/>
          </w:tcPr>
          <w:p w14:paraId="5A5C2165" w14:textId="77777777" w:rsidR="00096AA9" w:rsidRPr="00096AA9" w:rsidRDefault="00096AA9" w:rsidP="00096AA9">
            <w:pPr>
              <w:jc w:val="both"/>
              <w:rPr>
                <w:rFonts w:eastAsia="Times New Roman" w:cs="Arial"/>
                <w:b/>
                <w:lang w:eastAsia="es-ES"/>
              </w:rPr>
            </w:pPr>
            <w:r w:rsidRPr="00096AA9">
              <w:rPr>
                <w:rFonts w:eastAsia="Times New Roman" w:cs="Arial"/>
                <w:b/>
                <w:bCs/>
                <w:iCs/>
                <w:noProof/>
                <w:lang w:val="es-ES_tradnl" w:eastAsia="es-ES"/>
              </w:rPr>
              <w:t xml:space="preserve">SGV-A-XXX. </w:t>
            </w:r>
            <w:r w:rsidRPr="00096AA9">
              <w:rPr>
                <w:rFonts w:eastAsia="Times New Roman" w:cs="Arial"/>
                <w:b/>
                <w:lang w:eastAsia="es-ES"/>
              </w:rPr>
              <w:t xml:space="preserve">MODIFICACIÓN AL ACUERDO SGV-A-75 “SUMINISTRO DE INFORMACIÓN PERIÓDICA” </w:t>
            </w:r>
          </w:p>
        </w:tc>
        <w:tc>
          <w:tcPr>
            <w:tcW w:w="1833" w:type="dxa"/>
          </w:tcPr>
          <w:p w14:paraId="11A3A33A" w14:textId="77777777" w:rsidR="00096AA9" w:rsidRPr="00096AA9" w:rsidRDefault="00096AA9" w:rsidP="00096AA9">
            <w:pPr>
              <w:ind w:left="360"/>
              <w:jc w:val="both"/>
              <w:rPr>
                <w:rFonts w:eastAsia="Times New Roman" w:cs="Arial"/>
                <w:b/>
                <w:bCs/>
                <w:iCs/>
                <w:noProof/>
                <w:lang w:val="es-ES_tradnl" w:eastAsia="es-ES"/>
              </w:rPr>
            </w:pPr>
          </w:p>
        </w:tc>
        <w:tc>
          <w:tcPr>
            <w:tcW w:w="1985" w:type="dxa"/>
          </w:tcPr>
          <w:p w14:paraId="0E0892FD" w14:textId="77777777" w:rsidR="00096AA9" w:rsidRPr="00096AA9" w:rsidRDefault="00096AA9" w:rsidP="00096AA9">
            <w:pPr>
              <w:ind w:left="360"/>
              <w:jc w:val="both"/>
              <w:rPr>
                <w:rFonts w:eastAsia="Times New Roman" w:cs="Arial"/>
                <w:b/>
                <w:bCs/>
                <w:iCs/>
                <w:noProof/>
                <w:lang w:val="es-ES_tradnl" w:eastAsia="es-ES"/>
              </w:rPr>
            </w:pPr>
          </w:p>
        </w:tc>
        <w:tc>
          <w:tcPr>
            <w:tcW w:w="7371" w:type="dxa"/>
          </w:tcPr>
          <w:p w14:paraId="6811D655" w14:textId="4A3F231B" w:rsidR="00096AA9" w:rsidRPr="00096AA9" w:rsidRDefault="00096AA9" w:rsidP="00096AA9">
            <w:pPr>
              <w:ind w:left="25"/>
              <w:jc w:val="both"/>
              <w:rPr>
                <w:rFonts w:eastAsia="Times New Roman" w:cs="Arial"/>
                <w:b/>
                <w:bCs/>
                <w:iCs/>
                <w:noProof/>
                <w:lang w:val="es-ES_tradnl" w:eastAsia="es-ES"/>
              </w:rPr>
            </w:pPr>
            <w:r w:rsidRPr="00096AA9">
              <w:rPr>
                <w:rFonts w:eastAsia="Times New Roman" w:cs="Arial"/>
                <w:b/>
                <w:bCs/>
                <w:iCs/>
                <w:noProof/>
                <w:lang w:val="es-ES_tradnl" w:eastAsia="es-ES"/>
              </w:rPr>
              <w:t xml:space="preserve">SGV-A-XXX. </w:t>
            </w:r>
            <w:r w:rsidRPr="00096AA9">
              <w:rPr>
                <w:rFonts w:eastAsia="Times New Roman" w:cs="Arial"/>
                <w:b/>
                <w:lang w:eastAsia="es-ES"/>
              </w:rPr>
              <w:t xml:space="preserve">MODIFICACIÓN AL ACUERDO SGV-A-75 “SUMINISTRO DE INFORMACIÓN PERIÓDICA” </w:t>
            </w:r>
          </w:p>
        </w:tc>
      </w:tr>
      <w:tr w:rsidR="00096AA9" w:rsidRPr="00096AA9" w14:paraId="0F2B37ED" w14:textId="4CFBAEC9" w:rsidTr="00024F0F">
        <w:tc>
          <w:tcPr>
            <w:tcW w:w="8090" w:type="dxa"/>
          </w:tcPr>
          <w:p w14:paraId="31AE84D9" w14:textId="77777777" w:rsidR="00096AA9" w:rsidRPr="00096AA9" w:rsidRDefault="00096AA9" w:rsidP="00096AA9">
            <w:pPr>
              <w:jc w:val="both"/>
              <w:rPr>
                <w:rFonts w:eastAsia="Times New Roman" w:cs="Arial"/>
                <w:b/>
                <w:bCs/>
                <w:lang w:val="es-CR" w:eastAsia="es-ES"/>
              </w:rPr>
            </w:pPr>
            <w:r w:rsidRPr="00096AA9">
              <w:rPr>
                <w:rFonts w:eastAsia="Times New Roman" w:cs="Arial"/>
                <w:b/>
                <w:bCs/>
                <w:lang w:val="es-CR" w:eastAsia="es-ES"/>
              </w:rPr>
              <w:t>Considerando que:</w:t>
            </w:r>
          </w:p>
        </w:tc>
        <w:tc>
          <w:tcPr>
            <w:tcW w:w="1833" w:type="dxa"/>
          </w:tcPr>
          <w:p w14:paraId="661809F1" w14:textId="77777777" w:rsidR="00096AA9" w:rsidRPr="00096AA9" w:rsidRDefault="00096AA9" w:rsidP="00096AA9">
            <w:pPr>
              <w:ind w:left="360"/>
              <w:jc w:val="both"/>
              <w:rPr>
                <w:rFonts w:eastAsia="Times New Roman" w:cs="Arial"/>
                <w:b/>
                <w:bCs/>
                <w:lang w:val="es-CR" w:eastAsia="es-ES"/>
              </w:rPr>
            </w:pPr>
          </w:p>
        </w:tc>
        <w:tc>
          <w:tcPr>
            <w:tcW w:w="1985" w:type="dxa"/>
          </w:tcPr>
          <w:p w14:paraId="459C3AC9" w14:textId="77777777" w:rsidR="00096AA9" w:rsidRPr="00096AA9" w:rsidRDefault="00096AA9" w:rsidP="00096AA9">
            <w:pPr>
              <w:ind w:left="360"/>
              <w:jc w:val="both"/>
              <w:rPr>
                <w:rFonts w:eastAsia="Times New Roman" w:cs="Arial"/>
                <w:b/>
                <w:bCs/>
                <w:lang w:val="es-CR" w:eastAsia="es-ES"/>
              </w:rPr>
            </w:pPr>
          </w:p>
        </w:tc>
        <w:tc>
          <w:tcPr>
            <w:tcW w:w="7371" w:type="dxa"/>
          </w:tcPr>
          <w:p w14:paraId="4DCD64F3" w14:textId="7332A8DC" w:rsidR="00096AA9" w:rsidRPr="00096AA9" w:rsidRDefault="00096AA9" w:rsidP="00096AA9">
            <w:pPr>
              <w:ind w:left="360"/>
              <w:jc w:val="both"/>
              <w:rPr>
                <w:rFonts w:eastAsia="Times New Roman" w:cs="Arial"/>
                <w:b/>
                <w:bCs/>
                <w:lang w:val="es-CR" w:eastAsia="es-ES"/>
              </w:rPr>
            </w:pPr>
            <w:r w:rsidRPr="00096AA9">
              <w:rPr>
                <w:rFonts w:eastAsia="Times New Roman" w:cs="Arial"/>
                <w:b/>
                <w:bCs/>
                <w:lang w:val="es-CR" w:eastAsia="es-ES"/>
              </w:rPr>
              <w:t>Considerando que:</w:t>
            </w:r>
          </w:p>
        </w:tc>
      </w:tr>
      <w:tr w:rsidR="00096AA9" w:rsidRPr="00096AA9" w14:paraId="7D03C6F3" w14:textId="6C204156" w:rsidTr="00024F0F">
        <w:tc>
          <w:tcPr>
            <w:tcW w:w="8090" w:type="dxa"/>
          </w:tcPr>
          <w:p w14:paraId="080D3054"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t xml:space="preserve">El Artículo 8 inciso l) de la Ley Reguladora del Mercado de Valores, Ley 7732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w:t>
            </w:r>
          </w:p>
        </w:tc>
        <w:tc>
          <w:tcPr>
            <w:tcW w:w="1833" w:type="dxa"/>
          </w:tcPr>
          <w:p w14:paraId="614140E9"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1DB0FBA2"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23B8CAF5" w14:textId="7984E8E5"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El Artículo 8 inciso l) de la Ley Reguladora del Mercado de Valores, Ley 7732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w:t>
            </w:r>
          </w:p>
        </w:tc>
      </w:tr>
      <w:tr w:rsidR="00096AA9" w:rsidRPr="00096AA9" w14:paraId="7E29AA76" w14:textId="7DA47CE2" w:rsidTr="00024F0F">
        <w:tc>
          <w:tcPr>
            <w:tcW w:w="8090" w:type="dxa"/>
          </w:tcPr>
          <w:p w14:paraId="14F46093"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tc>
        <w:tc>
          <w:tcPr>
            <w:tcW w:w="1833" w:type="dxa"/>
          </w:tcPr>
          <w:p w14:paraId="5BE750E3"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34AE78C1"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034362A0" w14:textId="7AE78576"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tc>
      </w:tr>
      <w:tr w:rsidR="00096AA9" w:rsidRPr="00096AA9" w14:paraId="27EC4DF2" w14:textId="0B0395CE" w:rsidTr="00024F0F">
        <w:tc>
          <w:tcPr>
            <w:tcW w:w="8090" w:type="dxa"/>
          </w:tcPr>
          <w:p w14:paraId="1F7D6083"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t>Este Reglamento confiere al Superintendente la potestad para definir el contenido, la periodicidad y los medios de suministro de la información periódica que debe remitirse a la Superintendencia General de Valores, por lo que se emitió el SGV-A-75, Acuerdo sobre el Suministro de Información Periódica con fecha 24 de abril del 2003, y se ha retomado durante los últimos años para actualizar los deberes de información de las entidades.</w:t>
            </w:r>
          </w:p>
        </w:tc>
        <w:tc>
          <w:tcPr>
            <w:tcW w:w="1833" w:type="dxa"/>
          </w:tcPr>
          <w:p w14:paraId="137E016F"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60472A47"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542AC15A" w14:textId="1EF7EBD7"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Este Reglamento confiere al Superintendente la potestad para definir el contenido, la periodicidad y los medios de suministro de la información periódica que debe remitirse a la Superintendencia General de Valores, por lo que se emitió el SGV-A-75, Acuerdo sobre el Suministro de Información Periódica con fecha 24 de abril del 2003, y se ha retomado durante los últimos años para actualizar los deberes de información de las entidades.</w:t>
            </w:r>
          </w:p>
        </w:tc>
      </w:tr>
      <w:tr w:rsidR="00096AA9" w:rsidRPr="00096AA9" w14:paraId="017817ED" w14:textId="69DF5969" w:rsidTr="00024F0F">
        <w:tc>
          <w:tcPr>
            <w:tcW w:w="8090" w:type="dxa"/>
          </w:tcPr>
          <w:p w14:paraId="2F76F3EA"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t xml:space="preserve">Para promover en el mercado de valores la utilización de instrumentos financieros para contribuir con el desarrollo sostenible, la Asociación Internacional de Mercados de Capitales (ICMA) elaboró estándares internacionales a través de los Principios de Bonos Verdes, Sociales y Sostenibles, que a su vez son directrices que recomiendan transparencia, </w:t>
            </w:r>
            <w:r w:rsidRPr="00096AA9">
              <w:rPr>
                <w:rFonts w:eastAsia="Times New Roman" w:cs="Arial"/>
                <w:lang w:eastAsia="es-CR"/>
              </w:rPr>
              <w:lastRenderedPageBreak/>
              <w:t>publicidad y reporte de informes. Para incentivar esa transparencia en el uso de los recursos ya sea de proyectos verdes, sociales o sostenibles, se recomienda la presentación de una revisión externa anualmente en la que se revise y confirme la alineación de una emisión o programa con los componentes básicos establecidos dichos Principios relacionados con el uso de los recursos, el proceso de evaluación y selección, la gestión de fondos y los informes.</w:t>
            </w:r>
          </w:p>
        </w:tc>
        <w:tc>
          <w:tcPr>
            <w:tcW w:w="1833" w:type="dxa"/>
          </w:tcPr>
          <w:p w14:paraId="66E308B0"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67DB32FC"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011DA51A" w14:textId="281F6735"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Para promover en el mercado de valores la utilización de instrumentos financieros para contribuir con el desarrollo sostenible, la Asociación Internacional de Mercados de Capitales (ICMA) elaboró estándares internacionales a través de los Principios de Bonos Verdes, Sociales y Sostenibles, que a su vez </w:t>
            </w:r>
            <w:r w:rsidRPr="00096AA9">
              <w:rPr>
                <w:rFonts w:eastAsia="Times New Roman" w:cs="Arial"/>
                <w:lang w:eastAsia="es-CR"/>
              </w:rPr>
              <w:lastRenderedPageBreak/>
              <w:t>son directrices que recomiendan transparencia, publicidad y reporte de informes. Para incentivar esa transparencia en el uso de los recursos ya sea de proyectos verdes, sociales o sostenibles, se recomienda la presentación de una revisión externa anualmente en la que se revise y confirme la alineación de una emisión o programa con los componentes básicos establecidos dichos Principios relacionados con el uso de los recursos, el proceso de evaluación y selección, la gestión de fondos y los informes.</w:t>
            </w:r>
          </w:p>
        </w:tc>
      </w:tr>
      <w:tr w:rsidR="00096AA9" w:rsidRPr="00096AA9" w14:paraId="1CBCC716" w14:textId="216DD892" w:rsidTr="00024F0F">
        <w:tc>
          <w:tcPr>
            <w:tcW w:w="8090" w:type="dxa"/>
          </w:tcPr>
          <w:p w14:paraId="773A903F"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lastRenderedPageBreak/>
              <w:t xml:space="preserve">El principio de transparencia facilita y promueve la participación en la toma de decisiones, en general, por el propio emisor, los inversionistas y los terceros que la utilicen. La decisión de los inversionistas de invertir en emisiones verdes, sociales y sostenibles dependerá, entre otros, de la información que dispongan sobre los proyectos que serán financiados. Esta decisión requerirá de información adicional que debe ser proporcionada claramente, por lo que se hace necesario establecer un marco común de reglas para este segmento del mercado. </w:t>
            </w:r>
          </w:p>
        </w:tc>
        <w:tc>
          <w:tcPr>
            <w:tcW w:w="1833" w:type="dxa"/>
          </w:tcPr>
          <w:p w14:paraId="2D2E25BC"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31FB3726"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440A3DFA" w14:textId="57C71666"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El principio de transparencia facilita y promueve la participación en la toma de decisiones, en general, por el propio emisor, los inversionistas y los terceros que la utilicen. La decisión de los inversionistas de invertir en emisiones verdes, sociales y sostenibles dependerá, entre otros, de la información que dispongan sobre los proyectos que serán financiados. Esta decisión requerirá de información adicional que debe ser proporcionada claramente, por lo que se hace necesario establecer un marco común de reglas para este segmento del mercado. </w:t>
            </w:r>
          </w:p>
        </w:tc>
      </w:tr>
      <w:tr w:rsidR="00096AA9" w:rsidRPr="001539AE" w14:paraId="3B7DC624" w14:textId="1B69F295" w:rsidTr="00024F0F">
        <w:tc>
          <w:tcPr>
            <w:tcW w:w="8090" w:type="dxa"/>
          </w:tcPr>
          <w:p w14:paraId="112E624C"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t xml:space="preserve">El principio “Publicación de Informes” de los Green Bond </w:t>
            </w:r>
            <w:proofErr w:type="spellStart"/>
            <w:r w:rsidRPr="00096AA9">
              <w:rPr>
                <w:rFonts w:eastAsia="Times New Roman" w:cs="Arial"/>
                <w:lang w:eastAsia="es-CR"/>
              </w:rPr>
              <w:t>Principles</w:t>
            </w:r>
            <w:proofErr w:type="spellEnd"/>
            <w:r w:rsidRPr="00096AA9">
              <w:rPr>
                <w:rFonts w:eastAsia="Times New Roman" w:cs="Arial"/>
                <w:lang w:eastAsia="es-CR"/>
              </w:rPr>
              <w:t xml:space="preserve">, de los Social Bond </w:t>
            </w:r>
            <w:proofErr w:type="spellStart"/>
            <w:r w:rsidRPr="00096AA9">
              <w:rPr>
                <w:rFonts w:eastAsia="Times New Roman" w:cs="Arial"/>
                <w:lang w:eastAsia="es-CR"/>
              </w:rPr>
              <w:t>Principles</w:t>
            </w:r>
            <w:proofErr w:type="spellEnd"/>
            <w:r w:rsidRPr="00096AA9">
              <w:rPr>
                <w:rFonts w:eastAsia="Times New Roman" w:cs="Arial"/>
                <w:lang w:eastAsia="es-CR"/>
              </w:rPr>
              <w:t xml:space="preserve"> y los </w:t>
            </w:r>
            <w:proofErr w:type="spellStart"/>
            <w:r w:rsidRPr="00096AA9">
              <w:rPr>
                <w:rFonts w:eastAsia="Times New Roman" w:cs="Arial"/>
                <w:lang w:eastAsia="es-CR"/>
              </w:rPr>
              <w:t>Sustainability</w:t>
            </w:r>
            <w:proofErr w:type="spellEnd"/>
            <w:r w:rsidRPr="00096AA9">
              <w:rPr>
                <w:rFonts w:eastAsia="Times New Roman" w:cs="Arial"/>
                <w:lang w:eastAsia="es-CR"/>
              </w:rPr>
              <w:t xml:space="preserve"> Bond </w:t>
            </w:r>
            <w:proofErr w:type="spellStart"/>
            <w:r w:rsidRPr="00096AA9">
              <w:rPr>
                <w:rFonts w:eastAsia="Times New Roman" w:cs="Arial"/>
                <w:lang w:eastAsia="es-CR"/>
              </w:rPr>
              <w:t>Principles</w:t>
            </w:r>
            <w:proofErr w:type="spellEnd"/>
            <w:r w:rsidRPr="00096AA9">
              <w:rPr>
                <w:rFonts w:eastAsia="Times New Roman" w:cs="Arial"/>
                <w:lang w:eastAsia="es-CR"/>
              </w:rPr>
              <w:t xml:space="preserve"> emitidos por el Asociación Internacional del Mercado de Capitales ICMA (por sus siglas en inglés) establecen que los emisores deben tener y mantener información actualizada fácilmente disponible sobre el uso de los fondos, que se renovará anualmente hasta su asignación total, y cada cierto tiempo según sea necesario en caso de que haya un hecho relevante. El informe anual deberá incluir una lista de los proyectos a los que se han asignado los fondos de la emisión verde, social o sostenible o fondo de inversión, así </w:t>
            </w:r>
            <w:r w:rsidRPr="00096AA9">
              <w:rPr>
                <w:rFonts w:eastAsia="Times New Roman" w:cs="Arial"/>
                <w:lang w:eastAsia="es-CR"/>
              </w:rPr>
              <w:lastRenderedPageBreak/>
              <w:t xml:space="preserve">como una breve descripción de los proyectos y las cantidades asignadas, y su impacto esperado. </w:t>
            </w:r>
          </w:p>
        </w:tc>
        <w:tc>
          <w:tcPr>
            <w:tcW w:w="1833" w:type="dxa"/>
          </w:tcPr>
          <w:p w14:paraId="0F18D9C3" w14:textId="77777777" w:rsidR="00096AA9" w:rsidRDefault="006C704F" w:rsidP="006C704F">
            <w:pPr>
              <w:tabs>
                <w:tab w:val="left" w:pos="709"/>
              </w:tabs>
              <w:jc w:val="both"/>
              <w:rPr>
                <w:rFonts w:eastAsia="Times New Roman" w:cs="Arial"/>
                <w:b/>
                <w:bCs/>
                <w:sz w:val="20"/>
                <w:szCs w:val="20"/>
                <w:lang w:eastAsia="es-CR"/>
              </w:rPr>
            </w:pPr>
            <w:r w:rsidRPr="006C704F">
              <w:rPr>
                <w:rFonts w:eastAsia="Times New Roman" w:cs="Arial"/>
                <w:b/>
                <w:bCs/>
                <w:sz w:val="20"/>
                <w:szCs w:val="20"/>
                <w:lang w:eastAsia="es-CR"/>
              </w:rPr>
              <w:lastRenderedPageBreak/>
              <w:t>Banco Nacional de Costa Rica (BNCR)</w:t>
            </w:r>
          </w:p>
          <w:p w14:paraId="3432D95B" w14:textId="05F6483E" w:rsidR="006C704F" w:rsidRPr="006C704F" w:rsidRDefault="006C704F" w:rsidP="006C704F">
            <w:pPr>
              <w:tabs>
                <w:tab w:val="left" w:pos="709"/>
              </w:tabs>
              <w:jc w:val="both"/>
              <w:rPr>
                <w:rFonts w:eastAsia="Times New Roman" w:cs="Arial"/>
                <w:sz w:val="20"/>
                <w:szCs w:val="20"/>
                <w:lang w:eastAsia="es-CR"/>
              </w:rPr>
            </w:pPr>
            <w:r w:rsidRPr="006C704F">
              <w:rPr>
                <w:rFonts w:cs="Arial"/>
                <w:noProof/>
                <w:color w:val="000000"/>
                <w:sz w:val="20"/>
                <w:szCs w:val="20"/>
              </w:rPr>
              <w:t xml:space="preserve">Agradecemos se pueda indicar que cada emisor defina cuáles indicadores son los que reportará y si estos están asociaciados a </w:t>
            </w:r>
            <w:r w:rsidRPr="006C704F">
              <w:rPr>
                <w:rFonts w:cs="Arial"/>
                <w:noProof/>
                <w:color w:val="000000"/>
                <w:sz w:val="20"/>
                <w:szCs w:val="20"/>
              </w:rPr>
              <w:lastRenderedPageBreak/>
              <w:t>cuál ODS o cuál NDC, según el acuerdo de París o Plan de descarbonización.</w:t>
            </w:r>
            <w:r w:rsidRPr="006C704F">
              <w:rPr>
                <w:rFonts w:cs="Arial"/>
                <w:color w:val="333333"/>
                <w:sz w:val="20"/>
                <w:szCs w:val="20"/>
                <w:shd w:val="clear" w:color="auto" w:fill="FFFFFF"/>
              </w:rPr>
              <w:t> </w:t>
            </w:r>
          </w:p>
        </w:tc>
        <w:tc>
          <w:tcPr>
            <w:tcW w:w="1985" w:type="dxa"/>
          </w:tcPr>
          <w:p w14:paraId="44217A7B" w14:textId="6C6612E7" w:rsidR="00096AA9" w:rsidRPr="001539AE" w:rsidRDefault="001539AE" w:rsidP="006C704F">
            <w:pPr>
              <w:tabs>
                <w:tab w:val="left" w:pos="709"/>
              </w:tabs>
              <w:jc w:val="both"/>
              <w:rPr>
                <w:rFonts w:eastAsia="Times New Roman" w:cs="Arial"/>
                <w:b/>
                <w:bCs/>
                <w:sz w:val="20"/>
                <w:szCs w:val="20"/>
                <w:lang w:eastAsia="es-CR"/>
              </w:rPr>
            </w:pPr>
            <w:r>
              <w:rPr>
                <w:rFonts w:eastAsia="Times New Roman" w:cs="Arial"/>
                <w:b/>
                <w:bCs/>
                <w:sz w:val="20"/>
                <w:szCs w:val="20"/>
                <w:lang w:eastAsia="es-CR"/>
              </w:rPr>
              <w:lastRenderedPageBreak/>
              <w:t>Se aclara</w:t>
            </w:r>
          </w:p>
          <w:p w14:paraId="62CA96E7" w14:textId="77777777" w:rsidR="006C704F" w:rsidRPr="001539AE" w:rsidRDefault="006C704F" w:rsidP="006C704F">
            <w:pPr>
              <w:tabs>
                <w:tab w:val="left" w:pos="709"/>
              </w:tabs>
              <w:jc w:val="both"/>
              <w:rPr>
                <w:rFonts w:eastAsia="Times New Roman" w:cs="Arial"/>
                <w:sz w:val="20"/>
                <w:szCs w:val="20"/>
                <w:lang w:eastAsia="es-CR"/>
              </w:rPr>
            </w:pPr>
            <w:r w:rsidRPr="001539AE">
              <w:rPr>
                <w:rFonts w:eastAsia="Times New Roman" w:cs="Arial"/>
                <w:sz w:val="20"/>
                <w:szCs w:val="20"/>
                <w:lang w:eastAsia="es-CR"/>
              </w:rPr>
              <w:t>Esta observación no es aplicable al Acuerdo SGV-A-75.</w:t>
            </w:r>
          </w:p>
          <w:p w14:paraId="14C88F2A" w14:textId="77777777" w:rsidR="004B0977" w:rsidRPr="001539AE" w:rsidRDefault="004B0977" w:rsidP="006C704F">
            <w:pPr>
              <w:tabs>
                <w:tab w:val="left" w:pos="709"/>
              </w:tabs>
              <w:jc w:val="both"/>
              <w:rPr>
                <w:rFonts w:eastAsia="Times New Roman" w:cs="Arial"/>
                <w:sz w:val="20"/>
                <w:szCs w:val="20"/>
                <w:lang w:eastAsia="es-CR"/>
              </w:rPr>
            </w:pPr>
          </w:p>
          <w:p w14:paraId="3DE64140" w14:textId="77777777" w:rsidR="004B0977" w:rsidRPr="001539AE" w:rsidRDefault="004B0977" w:rsidP="006C704F">
            <w:pPr>
              <w:tabs>
                <w:tab w:val="left" w:pos="709"/>
              </w:tabs>
              <w:jc w:val="both"/>
              <w:rPr>
                <w:rFonts w:cs="Arial"/>
                <w:sz w:val="20"/>
                <w:szCs w:val="20"/>
                <w:lang w:val="es-CR"/>
              </w:rPr>
            </w:pPr>
            <w:r w:rsidRPr="001539AE">
              <w:rPr>
                <w:rFonts w:eastAsia="Times New Roman" w:cs="Arial"/>
                <w:sz w:val="20"/>
                <w:szCs w:val="20"/>
                <w:lang w:eastAsia="es-CR"/>
              </w:rPr>
              <w:t xml:space="preserve">En el inciso 2. a) del artículo 8 de los Lineamientos para la autorización y registro de emisiones verdes, </w:t>
            </w:r>
            <w:r w:rsidRPr="001539AE">
              <w:rPr>
                <w:rFonts w:eastAsia="Times New Roman" w:cs="Arial"/>
                <w:sz w:val="20"/>
                <w:szCs w:val="20"/>
                <w:lang w:eastAsia="es-CR"/>
              </w:rPr>
              <w:lastRenderedPageBreak/>
              <w:t xml:space="preserve">sociales y sostenibles de oferta pública </w:t>
            </w:r>
            <w:r w:rsidR="00E567BC" w:rsidRPr="001539AE">
              <w:rPr>
                <w:rFonts w:eastAsia="Times New Roman" w:cs="Arial"/>
                <w:sz w:val="20"/>
                <w:szCs w:val="20"/>
                <w:lang w:eastAsia="es-CR"/>
              </w:rPr>
              <w:t>se agregó lo siguiente a partir de las observaciones recibidas del mercado</w:t>
            </w:r>
            <w:r w:rsidRPr="001539AE">
              <w:rPr>
                <w:rFonts w:eastAsia="Times New Roman" w:cs="Arial"/>
                <w:sz w:val="20"/>
                <w:szCs w:val="20"/>
                <w:lang w:eastAsia="es-CR"/>
              </w:rPr>
              <w:t xml:space="preserve"> (…)</w:t>
            </w:r>
            <w:r w:rsidRPr="001539AE">
              <w:rPr>
                <w:rFonts w:cs="Arial"/>
                <w:sz w:val="20"/>
                <w:szCs w:val="20"/>
                <w:lang w:val="es-CR"/>
              </w:rPr>
              <w:t xml:space="preserve"> </w:t>
            </w:r>
            <w:r w:rsidR="00E567BC" w:rsidRPr="001539AE">
              <w:rPr>
                <w:rFonts w:cs="Arial"/>
                <w:sz w:val="20"/>
                <w:szCs w:val="20"/>
                <w:lang w:val="es-CR"/>
              </w:rPr>
              <w:t>“</w:t>
            </w:r>
            <w:r w:rsidRPr="001539AE">
              <w:rPr>
                <w:rFonts w:cs="Arial"/>
                <w:sz w:val="20"/>
                <w:szCs w:val="20"/>
                <w:lang w:val="es-CR"/>
              </w:rPr>
              <w:t>Asimismo, se debe indicar a cuál (es) objetivo (s) de desarrollo sostenible (ODS) contribuye (n) el (los) proyecto (s) a financiar.</w:t>
            </w:r>
            <w:r w:rsidR="00E567BC" w:rsidRPr="001539AE">
              <w:rPr>
                <w:rFonts w:cs="Arial"/>
                <w:sz w:val="20"/>
                <w:szCs w:val="20"/>
                <w:lang w:val="es-CR"/>
              </w:rPr>
              <w:t xml:space="preserve">” </w:t>
            </w:r>
          </w:p>
          <w:p w14:paraId="6DEA95CE" w14:textId="6F811AAE" w:rsidR="00E567BC" w:rsidRPr="001539AE" w:rsidRDefault="00E567BC" w:rsidP="006C704F">
            <w:pPr>
              <w:tabs>
                <w:tab w:val="left" w:pos="709"/>
              </w:tabs>
              <w:jc w:val="both"/>
              <w:rPr>
                <w:rFonts w:eastAsia="Times New Roman" w:cs="Arial"/>
                <w:sz w:val="20"/>
                <w:szCs w:val="20"/>
                <w:lang w:eastAsia="es-CR"/>
              </w:rPr>
            </w:pPr>
            <w:r w:rsidRPr="001539AE">
              <w:rPr>
                <w:rFonts w:cs="Arial"/>
                <w:sz w:val="20"/>
                <w:szCs w:val="20"/>
                <w:lang w:val="es-CR"/>
              </w:rPr>
              <w:t>Además, en el artículo 8 en referencia se agregó el numeral e) que dispone “ e) En este apartado se podrán revelar los indicadores con los que se va a medir la contribución que generan los proyectos financiados o refinanciados.”</w:t>
            </w:r>
          </w:p>
        </w:tc>
        <w:tc>
          <w:tcPr>
            <w:tcW w:w="7371" w:type="dxa"/>
          </w:tcPr>
          <w:p w14:paraId="73BBEA6A" w14:textId="0BB31F19" w:rsidR="00096AA9" w:rsidRPr="001539AE" w:rsidRDefault="00096AA9" w:rsidP="00096AA9">
            <w:pPr>
              <w:pStyle w:val="Prrafodelista"/>
              <w:numPr>
                <w:ilvl w:val="0"/>
                <w:numId w:val="17"/>
              </w:numPr>
              <w:tabs>
                <w:tab w:val="left" w:pos="709"/>
              </w:tabs>
              <w:ind w:left="697" w:hanging="357"/>
              <w:jc w:val="both"/>
              <w:rPr>
                <w:rFonts w:eastAsia="Times New Roman" w:cs="Arial"/>
                <w:lang w:eastAsia="es-CR"/>
              </w:rPr>
            </w:pPr>
            <w:r w:rsidRPr="001539AE">
              <w:rPr>
                <w:rFonts w:eastAsia="Times New Roman" w:cs="Arial"/>
                <w:lang w:eastAsia="es-CR"/>
              </w:rPr>
              <w:lastRenderedPageBreak/>
              <w:t xml:space="preserve">El principio “Publicación de Informes” de los Green Bond </w:t>
            </w:r>
            <w:proofErr w:type="spellStart"/>
            <w:r w:rsidRPr="001539AE">
              <w:rPr>
                <w:rFonts w:eastAsia="Times New Roman" w:cs="Arial"/>
                <w:lang w:eastAsia="es-CR"/>
              </w:rPr>
              <w:t>Principles</w:t>
            </w:r>
            <w:proofErr w:type="spellEnd"/>
            <w:r w:rsidRPr="001539AE">
              <w:rPr>
                <w:rFonts w:eastAsia="Times New Roman" w:cs="Arial"/>
                <w:lang w:eastAsia="es-CR"/>
              </w:rPr>
              <w:t xml:space="preserve">, de los Social Bond </w:t>
            </w:r>
            <w:proofErr w:type="spellStart"/>
            <w:r w:rsidRPr="001539AE">
              <w:rPr>
                <w:rFonts w:eastAsia="Times New Roman" w:cs="Arial"/>
                <w:lang w:eastAsia="es-CR"/>
              </w:rPr>
              <w:t>Principles</w:t>
            </w:r>
            <w:proofErr w:type="spellEnd"/>
            <w:r w:rsidRPr="001539AE">
              <w:rPr>
                <w:rFonts w:eastAsia="Times New Roman" w:cs="Arial"/>
                <w:lang w:eastAsia="es-CR"/>
              </w:rPr>
              <w:t xml:space="preserve"> y los </w:t>
            </w:r>
            <w:proofErr w:type="spellStart"/>
            <w:r w:rsidRPr="001539AE">
              <w:rPr>
                <w:rFonts w:eastAsia="Times New Roman" w:cs="Arial"/>
                <w:lang w:eastAsia="es-CR"/>
              </w:rPr>
              <w:t>Sustainability</w:t>
            </w:r>
            <w:proofErr w:type="spellEnd"/>
            <w:r w:rsidRPr="001539AE">
              <w:rPr>
                <w:rFonts w:eastAsia="Times New Roman" w:cs="Arial"/>
                <w:lang w:eastAsia="es-CR"/>
              </w:rPr>
              <w:t xml:space="preserve"> Bond </w:t>
            </w:r>
            <w:proofErr w:type="spellStart"/>
            <w:r w:rsidRPr="001539AE">
              <w:rPr>
                <w:rFonts w:eastAsia="Times New Roman" w:cs="Arial"/>
                <w:lang w:eastAsia="es-CR"/>
              </w:rPr>
              <w:t>Principles</w:t>
            </w:r>
            <w:proofErr w:type="spellEnd"/>
            <w:r w:rsidRPr="001539AE">
              <w:rPr>
                <w:rFonts w:eastAsia="Times New Roman" w:cs="Arial"/>
                <w:lang w:eastAsia="es-CR"/>
              </w:rPr>
              <w:t xml:space="preserve"> emitidos por el Asociación Internacional del Mercado de Capitales ICMA (por sus siglas en inglés) establecen que los emisores deben tener y mantener información actualizada fácilmente disponible sobre el uso de los fondos, que se renovará anualmente hasta su asignación total, y cada cierto tiempo según sea necesario en caso de que haya un hecho relevante. El informe anual deberá incluir una lista de los proyectos a los que se han asignado los fondos de la emisión verde, social o sostenible o </w:t>
            </w:r>
            <w:r w:rsidRPr="001539AE">
              <w:rPr>
                <w:rFonts w:eastAsia="Times New Roman" w:cs="Arial"/>
                <w:lang w:eastAsia="es-CR"/>
              </w:rPr>
              <w:lastRenderedPageBreak/>
              <w:t xml:space="preserve">fondo de inversión, así como una breve descripción de los proyectos y las cantidades asignadas, y su impacto esperado. </w:t>
            </w:r>
          </w:p>
        </w:tc>
      </w:tr>
      <w:tr w:rsidR="00096AA9" w:rsidRPr="00096AA9" w14:paraId="6FF6106C" w14:textId="750B8120" w:rsidTr="00024F0F">
        <w:tc>
          <w:tcPr>
            <w:tcW w:w="8090" w:type="dxa"/>
          </w:tcPr>
          <w:p w14:paraId="63272652" w14:textId="77777777" w:rsidR="00096AA9" w:rsidRPr="00096AA9" w:rsidRDefault="00096AA9" w:rsidP="00096AA9">
            <w:pPr>
              <w:numPr>
                <w:ilvl w:val="0"/>
                <w:numId w:val="10"/>
              </w:numPr>
              <w:tabs>
                <w:tab w:val="left" w:pos="603"/>
              </w:tabs>
              <w:ind w:left="641" w:hanging="357"/>
              <w:jc w:val="both"/>
              <w:rPr>
                <w:rFonts w:eastAsia="Times New Roman" w:cs="Arial"/>
                <w:lang w:eastAsia="es-CR"/>
              </w:rPr>
            </w:pPr>
            <w:r w:rsidRPr="00096AA9">
              <w:rPr>
                <w:rFonts w:eastAsia="Times New Roman" w:cs="Arial"/>
                <w:lang w:eastAsia="es-CR"/>
              </w:rPr>
              <w:lastRenderedPageBreak/>
              <w:t xml:space="preserve">Mediante el artículo 11 del acta de sesión 1620-2020 celebrada el 16 de noviembre del 2020, el Consejo Nacional de Supervisión del Sistema Financiero aprobó en firme la modificación a los reglamentos Reglamento sobre oferta pública de valores para la adición del literal d) al artículo 17, literal g) al artículo 18, literal g) a la referencia que incluye el literal a) del artículo 29, literal e) al artículo 31; al Reglamento sobre financiamiento de proyectos de infraestructura para la adición del artículo 27 Bis, párrafo segundo al artículo 28; al Reglamento sobre procesos de titularización para la adición del artículo 40 Bis, literal f) al artículo 42, literal m) al artículo 43 y al Reglamento sobre sociedades administradoras y fondos de inversión para la adición del literal g) al artículo 15. La modificación planteada a estos cuatro reglamentos incorpora como parte de los requerimientos para la inscripción de las emisiones o fondos de inversión que califiquen como verdes, sociales o sostenibles, la presentación de una revisión externa sobre el cumplimiento de los principios respectivos. De acuerdo con la reforma mencionada, esta revisión externa podrá ser realizada por las entidades registradas en el </w:t>
            </w:r>
            <w:proofErr w:type="spellStart"/>
            <w:r w:rsidRPr="00096AA9">
              <w:rPr>
                <w:rFonts w:eastAsia="Times New Roman" w:cs="Arial"/>
                <w:lang w:eastAsia="es-CR"/>
              </w:rPr>
              <w:t>Climate</w:t>
            </w:r>
            <w:proofErr w:type="spellEnd"/>
            <w:r w:rsidRPr="00096AA9">
              <w:rPr>
                <w:rFonts w:eastAsia="Times New Roman" w:cs="Arial"/>
                <w:lang w:eastAsia="es-CR"/>
              </w:rPr>
              <w:t xml:space="preserve"> Bonds </w:t>
            </w:r>
            <w:proofErr w:type="spellStart"/>
            <w:r w:rsidRPr="00096AA9">
              <w:rPr>
                <w:rFonts w:eastAsia="Times New Roman" w:cs="Arial"/>
                <w:lang w:eastAsia="es-CR"/>
              </w:rPr>
              <w:t>Iniciative</w:t>
            </w:r>
            <w:proofErr w:type="spellEnd"/>
            <w:r w:rsidRPr="00096AA9">
              <w:rPr>
                <w:rFonts w:eastAsia="Times New Roman" w:cs="Arial"/>
                <w:lang w:eastAsia="es-CR"/>
              </w:rPr>
              <w:t xml:space="preserve"> (CBI) o las permitidas en las bolsas de valores autorizadas por la Sugeval.</w:t>
            </w:r>
            <w:r w:rsidRPr="00096AA9">
              <w:rPr>
                <w:rFonts w:cs="Arial"/>
              </w:rPr>
              <w:t xml:space="preserve"> El alcance y los resultados de la revisión externa se deberá incluir como anexo al prospecto. La revisión externa deberá actualizarse como mínimo anualmente durante el plazo de la emisión.</w:t>
            </w:r>
          </w:p>
        </w:tc>
        <w:tc>
          <w:tcPr>
            <w:tcW w:w="1833" w:type="dxa"/>
          </w:tcPr>
          <w:p w14:paraId="4CFC1162"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21DE78B2"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6E708C95" w14:textId="71BCC5F7"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Mediante el artículo 11 del acta de sesión 1620-2020 celebrada el 16 de noviembre del 2020, el Consejo Nacional de Supervisión del Sistema Financiero aprobó en firme la modificación a los reglamentos Reglamento sobre oferta pública de valores para la adición del literal d) al artículo 17, literal g) al artículo 18, literal g) a la referencia que incluye el literal a) del artículo 29, literal e) al artículo 31; al Reglamento sobre financiamiento de proyectos de infraestructura para la adición del artículo 27 Bis, párrafo segundo al artículo 28; al Reglamento sobre procesos de titularización para la adición del artículo 40 Bis, literal f) al artículo 42, literal m) al artículo 43 y al Reglamento sobre sociedades administradoras y fondos de inversión para la adición del literal g) al artículo 15. La modificación planteada a estos cuatro reglamentos incorpora como parte de los requerimientos para la inscripción de las emisiones o fondos de inversión que califiquen como verdes, sociales o sostenibles, la presentación de una revisión externa sobre el cumplimiento de los principios respectivos. De acuerdo con la reforma mencionada, esta revisión externa podrá ser realizada por las entidades registradas en el </w:t>
            </w:r>
            <w:proofErr w:type="spellStart"/>
            <w:r w:rsidRPr="00096AA9">
              <w:rPr>
                <w:rFonts w:eastAsia="Times New Roman" w:cs="Arial"/>
                <w:lang w:eastAsia="es-CR"/>
              </w:rPr>
              <w:t>Climate</w:t>
            </w:r>
            <w:proofErr w:type="spellEnd"/>
            <w:r w:rsidRPr="00096AA9">
              <w:rPr>
                <w:rFonts w:eastAsia="Times New Roman" w:cs="Arial"/>
                <w:lang w:eastAsia="es-CR"/>
              </w:rPr>
              <w:t xml:space="preserve"> Bonds </w:t>
            </w:r>
            <w:proofErr w:type="spellStart"/>
            <w:r w:rsidRPr="00096AA9">
              <w:rPr>
                <w:rFonts w:eastAsia="Times New Roman" w:cs="Arial"/>
                <w:lang w:eastAsia="es-CR"/>
              </w:rPr>
              <w:t>Iniciative</w:t>
            </w:r>
            <w:proofErr w:type="spellEnd"/>
            <w:r w:rsidRPr="00096AA9">
              <w:rPr>
                <w:rFonts w:eastAsia="Times New Roman" w:cs="Arial"/>
                <w:lang w:eastAsia="es-CR"/>
              </w:rPr>
              <w:t xml:space="preserve"> (CBI) o las permitidas en las bolsas de valores autorizadas por la Sugeval.</w:t>
            </w:r>
            <w:r w:rsidRPr="00096AA9">
              <w:rPr>
                <w:rFonts w:cs="Arial"/>
              </w:rPr>
              <w:t xml:space="preserve"> El alcance y los resultados de la revisión externa se deberá incluir como anexo al prospecto. La revisión externa deberá actualizarse como mínimo anualmente durante el plazo de la emisión.</w:t>
            </w:r>
          </w:p>
        </w:tc>
      </w:tr>
      <w:tr w:rsidR="00096AA9" w:rsidRPr="00096AA9" w14:paraId="487E226C" w14:textId="36A34F01" w:rsidTr="00024F0F">
        <w:tc>
          <w:tcPr>
            <w:tcW w:w="8090" w:type="dxa"/>
          </w:tcPr>
          <w:p w14:paraId="4DE0EA02"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bookmarkStart w:id="0" w:name="_Hlk57364280"/>
            <w:r w:rsidRPr="00096AA9">
              <w:rPr>
                <w:rFonts w:eastAsia="Times New Roman" w:cs="Arial"/>
                <w:lang w:eastAsia="es-CR"/>
              </w:rPr>
              <w:t xml:space="preserve">Se considera necesario reformar el SGV-A-75 Acuerdo sobre el Suministro de Información Periódica para incorporar la obligación de remitir anualmente la revisión externa y el informe del uso de los recursos. </w:t>
            </w:r>
          </w:p>
        </w:tc>
        <w:tc>
          <w:tcPr>
            <w:tcW w:w="1833" w:type="dxa"/>
          </w:tcPr>
          <w:p w14:paraId="470FBA83"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33A4380C"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767D2612" w14:textId="7203844C"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Se considera necesario reformar el SGV-A-75 Acuerdo sobre el Suministro de Información Periódica para incorporar la obligación de remitir anualmente la revisión externa y el informe del uso de los recursos. </w:t>
            </w:r>
          </w:p>
        </w:tc>
      </w:tr>
      <w:tr w:rsidR="00096AA9" w:rsidRPr="00096AA9" w14:paraId="2B7688B0" w14:textId="4414D22D" w:rsidTr="00024F0F">
        <w:tc>
          <w:tcPr>
            <w:tcW w:w="8090" w:type="dxa"/>
          </w:tcPr>
          <w:p w14:paraId="29FB5EF4"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lastRenderedPageBreak/>
              <w:t xml:space="preserve">Esta Superintendencia ha emitido Lineamientos para emisiones verdes, sociales y sostenibles de oferta pública que orientarán a los emisores y a las sociedades administradoras de fondos de inversión sobre el contenido mínimo de información relacionado exclusivamente con emisiones verdes, sociales y sostenibles, el cual se deberá incluir dentro del prospecto del emisor cuando emitan este tipo de productos. Estos instrumentos deberán cumplir con las obligaciones de la regulación vigente conforme a la Ley Reguladora del Mercado de Valores y su reglamentación. Estos lineamientos se basan en los estándares internacionales del International Capital </w:t>
            </w:r>
            <w:proofErr w:type="spellStart"/>
            <w:r w:rsidRPr="00096AA9">
              <w:rPr>
                <w:rFonts w:eastAsia="Times New Roman" w:cs="Arial"/>
                <w:lang w:eastAsia="es-CR"/>
              </w:rPr>
              <w:t>Market</w:t>
            </w:r>
            <w:proofErr w:type="spellEnd"/>
            <w:r w:rsidRPr="00096AA9">
              <w:rPr>
                <w:rFonts w:eastAsia="Times New Roman" w:cs="Arial"/>
                <w:lang w:eastAsia="es-CR"/>
              </w:rPr>
              <w:t xml:space="preserve"> </w:t>
            </w:r>
            <w:proofErr w:type="spellStart"/>
            <w:r w:rsidRPr="00096AA9">
              <w:rPr>
                <w:rFonts w:eastAsia="Times New Roman" w:cs="Arial"/>
                <w:lang w:eastAsia="es-CR"/>
              </w:rPr>
              <w:t>Association</w:t>
            </w:r>
            <w:proofErr w:type="spellEnd"/>
            <w:r w:rsidRPr="00096AA9">
              <w:rPr>
                <w:rFonts w:eastAsia="Times New Roman" w:cs="Arial"/>
                <w:lang w:eastAsia="es-CR"/>
              </w:rPr>
              <w:t xml:space="preserve"> (ICMA) y estándares nacionales de la Bolsa Nacional de Valores.</w:t>
            </w:r>
          </w:p>
        </w:tc>
        <w:tc>
          <w:tcPr>
            <w:tcW w:w="1833" w:type="dxa"/>
          </w:tcPr>
          <w:p w14:paraId="75588C52"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2ABD99F2"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08976D6F" w14:textId="0BF74349"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Esta Superintendencia ha emitido Lineamientos para emisiones verdes, sociales y sostenibles de oferta pública que orientarán a los emisores y a las sociedades administradoras de fondos de inversión sobre el contenido mínimo de información relacionado exclusivamente con emisiones verdes, sociales y sostenibles, el cual se deberá incluir dentro del prospecto del emisor cuando emitan este tipo de productos. Estos instrumentos deberán cumplir con las obligaciones de la regulación vigente conforme a la Ley Reguladora del Mercado de Valores y su reglamentación. Estos lineamientos se basan en los estándares internacionales del International Capital </w:t>
            </w:r>
            <w:proofErr w:type="spellStart"/>
            <w:r w:rsidRPr="00096AA9">
              <w:rPr>
                <w:rFonts w:eastAsia="Times New Roman" w:cs="Arial"/>
                <w:lang w:eastAsia="es-CR"/>
              </w:rPr>
              <w:t>Market</w:t>
            </w:r>
            <w:proofErr w:type="spellEnd"/>
            <w:r w:rsidRPr="00096AA9">
              <w:rPr>
                <w:rFonts w:eastAsia="Times New Roman" w:cs="Arial"/>
                <w:lang w:eastAsia="es-CR"/>
              </w:rPr>
              <w:t xml:space="preserve"> </w:t>
            </w:r>
            <w:proofErr w:type="spellStart"/>
            <w:r w:rsidRPr="00096AA9">
              <w:rPr>
                <w:rFonts w:eastAsia="Times New Roman" w:cs="Arial"/>
                <w:lang w:eastAsia="es-CR"/>
              </w:rPr>
              <w:t>Association</w:t>
            </w:r>
            <w:proofErr w:type="spellEnd"/>
            <w:r w:rsidRPr="00096AA9">
              <w:rPr>
                <w:rFonts w:eastAsia="Times New Roman" w:cs="Arial"/>
                <w:lang w:eastAsia="es-CR"/>
              </w:rPr>
              <w:t xml:space="preserve"> (ICMA) y estándares nacionales de la Bolsa Nacional de Valores.</w:t>
            </w:r>
          </w:p>
        </w:tc>
      </w:tr>
      <w:bookmarkEnd w:id="0"/>
      <w:tr w:rsidR="00096AA9" w:rsidRPr="00096AA9" w14:paraId="64C0C7D1" w14:textId="5BDFF4B4" w:rsidTr="00024F0F">
        <w:tc>
          <w:tcPr>
            <w:tcW w:w="8090" w:type="dxa"/>
          </w:tcPr>
          <w:p w14:paraId="7D669DCD" w14:textId="77777777" w:rsidR="00096AA9" w:rsidRPr="00096AA9" w:rsidRDefault="00096AA9" w:rsidP="00096AA9">
            <w:pPr>
              <w:numPr>
                <w:ilvl w:val="0"/>
                <w:numId w:val="10"/>
              </w:numPr>
              <w:tabs>
                <w:tab w:val="left" w:pos="709"/>
              </w:tabs>
              <w:ind w:left="641" w:hanging="357"/>
              <w:jc w:val="both"/>
              <w:rPr>
                <w:rFonts w:eastAsia="Times New Roman" w:cs="Arial"/>
                <w:lang w:eastAsia="es-CR"/>
              </w:rPr>
            </w:pPr>
            <w:r w:rsidRPr="00096AA9">
              <w:rPr>
                <w:rFonts w:eastAsia="Times New Roman" w:cs="Arial"/>
                <w:lang w:eastAsia="es-CR"/>
              </w:rPr>
              <w:t xml:space="preserve">Según lo previsto por la “Ley General de Administración Pública” en el artículo 361.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w:t>
            </w:r>
          </w:p>
        </w:tc>
        <w:tc>
          <w:tcPr>
            <w:tcW w:w="1833" w:type="dxa"/>
          </w:tcPr>
          <w:p w14:paraId="2876A5E7" w14:textId="77777777" w:rsidR="00096AA9" w:rsidRPr="00096AA9" w:rsidRDefault="00096AA9" w:rsidP="00096AA9">
            <w:pPr>
              <w:tabs>
                <w:tab w:val="left" w:pos="709"/>
              </w:tabs>
              <w:ind w:left="360"/>
              <w:jc w:val="both"/>
              <w:rPr>
                <w:rFonts w:eastAsia="Times New Roman" w:cs="Arial"/>
                <w:lang w:eastAsia="es-CR"/>
              </w:rPr>
            </w:pPr>
          </w:p>
        </w:tc>
        <w:tc>
          <w:tcPr>
            <w:tcW w:w="1985" w:type="dxa"/>
          </w:tcPr>
          <w:p w14:paraId="7460FBF5" w14:textId="77777777" w:rsidR="00096AA9" w:rsidRPr="00096AA9" w:rsidRDefault="00096AA9" w:rsidP="00096AA9">
            <w:pPr>
              <w:tabs>
                <w:tab w:val="left" w:pos="709"/>
              </w:tabs>
              <w:ind w:left="360"/>
              <w:jc w:val="both"/>
              <w:rPr>
                <w:rFonts w:eastAsia="Times New Roman" w:cs="Arial"/>
                <w:lang w:eastAsia="es-CR"/>
              </w:rPr>
            </w:pPr>
          </w:p>
        </w:tc>
        <w:tc>
          <w:tcPr>
            <w:tcW w:w="7371" w:type="dxa"/>
          </w:tcPr>
          <w:p w14:paraId="2C92A2DD" w14:textId="27DCFBBF" w:rsidR="00096AA9" w:rsidRPr="00096AA9" w:rsidRDefault="00096AA9" w:rsidP="00096AA9">
            <w:pPr>
              <w:pStyle w:val="Prrafodelista"/>
              <w:numPr>
                <w:ilvl w:val="0"/>
                <w:numId w:val="17"/>
              </w:numPr>
              <w:tabs>
                <w:tab w:val="left" w:pos="709"/>
              </w:tabs>
              <w:ind w:left="697" w:hanging="357"/>
              <w:jc w:val="both"/>
              <w:rPr>
                <w:rFonts w:eastAsia="Times New Roman" w:cs="Arial"/>
                <w:lang w:eastAsia="es-CR"/>
              </w:rPr>
            </w:pPr>
            <w:r w:rsidRPr="00096AA9">
              <w:rPr>
                <w:rFonts w:eastAsia="Times New Roman" w:cs="Arial"/>
                <w:lang w:eastAsia="es-CR"/>
              </w:rPr>
              <w:t xml:space="preserve">Según lo previsto por la “Ley General de Administración Pública” en el artículo 361.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w:t>
            </w:r>
          </w:p>
        </w:tc>
      </w:tr>
      <w:tr w:rsidR="00096AA9" w:rsidRPr="00096AA9" w14:paraId="73CD219C" w14:textId="67E56396" w:rsidTr="00024F0F">
        <w:tc>
          <w:tcPr>
            <w:tcW w:w="8090" w:type="dxa"/>
          </w:tcPr>
          <w:p w14:paraId="52BE90FD" w14:textId="77777777" w:rsidR="00096AA9" w:rsidRPr="00096AA9" w:rsidRDefault="00096AA9" w:rsidP="00096AA9">
            <w:pPr>
              <w:jc w:val="both"/>
              <w:rPr>
                <w:rFonts w:eastAsia="Calibri" w:cs="Arial"/>
              </w:rPr>
            </w:pPr>
            <w:r w:rsidRPr="00096AA9">
              <w:rPr>
                <w:rFonts w:eastAsia="Calibri" w:cs="Arial"/>
              </w:rPr>
              <w:t>Por tanto, dispone el presente acuerdo:</w:t>
            </w:r>
          </w:p>
        </w:tc>
        <w:tc>
          <w:tcPr>
            <w:tcW w:w="1833" w:type="dxa"/>
          </w:tcPr>
          <w:p w14:paraId="7E3315D8" w14:textId="77777777" w:rsidR="00096AA9" w:rsidRPr="00096AA9" w:rsidRDefault="00096AA9" w:rsidP="00096AA9">
            <w:pPr>
              <w:ind w:left="360"/>
              <w:jc w:val="both"/>
              <w:rPr>
                <w:rFonts w:eastAsia="Calibri" w:cs="Arial"/>
              </w:rPr>
            </w:pPr>
          </w:p>
        </w:tc>
        <w:tc>
          <w:tcPr>
            <w:tcW w:w="1985" w:type="dxa"/>
          </w:tcPr>
          <w:p w14:paraId="1A4CA1D1" w14:textId="77777777" w:rsidR="00096AA9" w:rsidRPr="00096AA9" w:rsidRDefault="00096AA9" w:rsidP="00096AA9">
            <w:pPr>
              <w:ind w:left="360"/>
              <w:jc w:val="both"/>
              <w:rPr>
                <w:rFonts w:eastAsia="Calibri" w:cs="Arial"/>
              </w:rPr>
            </w:pPr>
          </w:p>
        </w:tc>
        <w:tc>
          <w:tcPr>
            <w:tcW w:w="7371" w:type="dxa"/>
          </w:tcPr>
          <w:p w14:paraId="67F77958" w14:textId="63B29903" w:rsidR="00096AA9" w:rsidRPr="00096AA9" w:rsidRDefault="00096AA9" w:rsidP="00096AA9">
            <w:pPr>
              <w:ind w:left="25"/>
              <w:jc w:val="both"/>
              <w:rPr>
                <w:rFonts w:eastAsia="Calibri" w:cs="Arial"/>
              </w:rPr>
            </w:pPr>
            <w:r w:rsidRPr="00096AA9">
              <w:rPr>
                <w:rFonts w:eastAsia="Calibri" w:cs="Arial"/>
              </w:rPr>
              <w:t>Por tanto, dispone el presente acuerdo:</w:t>
            </w:r>
          </w:p>
        </w:tc>
      </w:tr>
      <w:tr w:rsidR="00096AA9" w:rsidRPr="00096AA9" w14:paraId="56905478" w14:textId="02CEE891" w:rsidTr="00024F0F">
        <w:tc>
          <w:tcPr>
            <w:tcW w:w="8090" w:type="dxa"/>
          </w:tcPr>
          <w:p w14:paraId="1F8F4680" w14:textId="77777777" w:rsidR="00096AA9" w:rsidRPr="00096AA9" w:rsidRDefault="00096AA9" w:rsidP="00096AA9">
            <w:pPr>
              <w:jc w:val="center"/>
              <w:rPr>
                <w:rFonts w:eastAsia="Times New Roman" w:cs="Arial"/>
                <w:b/>
                <w:lang w:eastAsia="es-ES"/>
              </w:rPr>
            </w:pPr>
            <w:r w:rsidRPr="00096AA9">
              <w:rPr>
                <w:rFonts w:eastAsia="Times New Roman" w:cs="Arial"/>
                <w:b/>
                <w:lang w:eastAsia="es-ES"/>
              </w:rPr>
              <w:t>SGV-A-XXX.  MODIFICACIÓN AL ACUERDO SGV-A-75 “SUMINISTRO DE INFORMACIÓN PERIÓDICA”</w:t>
            </w:r>
          </w:p>
        </w:tc>
        <w:tc>
          <w:tcPr>
            <w:tcW w:w="1833" w:type="dxa"/>
          </w:tcPr>
          <w:p w14:paraId="2E773821" w14:textId="77777777" w:rsidR="00096AA9" w:rsidRPr="00096AA9" w:rsidRDefault="00096AA9" w:rsidP="00096AA9">
            <w:pPr>
              <w:ind w:left="360"/>
              <w:jc w:val="center"/>
              <w:rPr>
                <w:rFonts w:eastAsia="Times New Roman" w:cs="Arial"/>
                <w:b/>
                <w:lang w:eastAsia="es-ES"/>
              </w:rPr>
            </w:pPr>
          </w:p>
        </w:tc>
        <w:tc>
          <w:tcPr>
            <w:tcW w:w="1985" w:type="dxa"/>
          </w:tcPr>
          <w:p w14:paraId="5BA5D22A" w14:textId="77777777" w:rsidR="00096AA9" w:rsidRPr="00096AA9" w:rsidRDefault="00096AA9" w:rsidP="00096AA9">
            <w:pPr>
              <w:ind w:left="360"/>
              <w:jc w:val="center"/>
              <w:rPr>
                <w:rFonts w:eastAsia="Times New Roman" w:cs="Arial"/>
                <w:b/>
                <w:lang w:eastAsia="es-ES"/>
              </w:rPr>
            </w:pPr>
          </w:p>
        </w:tc>
        <w:tc>
          <w:tcPr>
            <w:tcW w:w="7371" w:type="dxa"/>
          </w:tcPr>
          <w:p w14:paraId="70D317C0" w14:textId="55A504FF" w:rsidR="00096AA9" w:rsidRPr="00096AA9" w:rsidRDefault="00096AA9" w:rsidP="00096AA9">
            <w:pPr>
              <w:ind w:left="25"/>
              <w:jc w:val="center"/>
              <w:rPr>
                <w:rFonts w:eastAsia="Times New Roman" w:cs="Arial"/>
                <w:b/>
                <w:lang w:eastAsia="es-ES"/>
              </w:rPr>
            </w:pPr>
            <w:r w:rsidRPr="00096AA9">
              <w:rPr>
                <w:rFonts w:eastAsia="Times New Roman" w:cs="Arial"/>
                <w:b/>
                <w:lang w:eastAsia="es-ES"/>
              </w:rPr>
              <w:t>SGV-A-XXX.  MODIFICACIÓN AL ACUERDO SGV-A-75 “SUMINISTRO DE INFORMACIÓN PERIÓDICA”</w:t>
            </w:r>
          </w:p>
        </w:tc>
      </w:tr>
      <w:tr w:rsidR="00096AA9" w:rsidRPr="00096AA9" w14:paraId="3E35BB9A" w14:textId="222BB642" w:rsidTr="00024F0F">
        <w:tc>
          <w:tcPr>
            <w:tcW w:w="8090" w:type="dxa"/>
          </w:tcPr>
          <w:p w14:paraId="7A0573BB" w14:textId="77777777" w:rsidR="00096AA9" w:rsidRPr="00096AA9" w:rsidRDefault="00096AA9" w:rsidP="00096AA9">
            <w:pPr>
              <w:jc w:val="both"/>
              <w:rPr>
                <w:rFonts w:eastAsia="Calibri" w:cs="Arial"/>
              </w:rPr>
            </w:pPr>
            <w:r w:rsidRPr="00096AA9">
              <w:rPr>
                <w:rFonts w:eastAsia="Calibri" w:cs="Arial"/>
                <w:b/>
                <w:lang w:eastAsia="es-CR"/>
              </w:rPr>
              <w:t xml:space="preserve">Artículo 1. </w:t>
            </w:r>
            <w:r w:rsidRPr="00096AA9">
              <w:rPr>
                <w:rFonts w:eastAsia="Calibri" w:cs="Arial"/>
                <w:b/>
              </w:rPr>
              <w:t>– Adiciones</w:t>
            </w:r>
          </w:p>
        </w:tc>
        <w:tc>
          <w:tcPr>
            <w:tcW w:w="1833" w:type="dxa"/>
          </w:tcPr>
          <w:p w14:paraId="5A5F88B7" w14:textId="77777777" w:rsidR="00096AA9" w:rsidRPr="00096AA9" w:rsidRDefault="00096AA9" w:rsidP="00096AA9">
            <w:pPr>
              <w:ind w:left="360"/>
              <w:jc w:val="both"/>
              <w:rPr>
                <w:rFonts w:eastAsia="Calibri" w:cs="Arial"/>
                <w:b/>
                <w:lang w:eastAsia="es-CR"/>
              </w:rPr>
            </w:pPr>
          </w:p>
        </w:tc>
        <w:tc>
          <w:tcPr>
            <w:tcW w:w="1985" w:type="dxa"/>
          </w:tcPr>
          <w:p w14:paraId="5B0EDD9A" w14:textId="77777777" w:rsidR="00096AA9" w:rsidRPr="00096AA9" w:rsidRDefault="00096AA9" w:rsidP="00096AA9">
            <w:pPr>
              <w:ind w:left="360"/>
              <w:jc w:val="both"/>
              <w:rPr>
                <w:rFonts w:eastAsia="Calibri" w:cs="Arial"/>
                <w:b/>
                <w:lang w:eastAsia="es-CR"/>
              </w:rPr>
            </w:pPr>
          </w:p>
        </w:tc>
        <w:tc>
          <w:tcPr>
            <w:tcW w:w="7371" w:type="dxa"/>
          </w:tcPr>
          <w:p w14:paraId="443CD7D6" w14:textId="36BD7C9C" w:rsidR="00096AA9" w:rsidRPr="00096AA9" w:rsidRDefault="00096AA9" w:rsidP="00096AA9">
            <w:pPr>
              <w:ind w:left="25"/>
              <w:jc w:val="both"/>
              <w:rPr>
                <w:rFonts w:eastAsia="Calibri" w:cs="Arial"/>
                <w:b/>
                <w:lang w:eastAsia="es-CR"/>
              </w:rPr>
            </w:pPr>
            <w:r w:rsidRPr="00096AA9">
              <w:rPr>
                <w:rFonts w:eastAsia="Calibri" w:cs="Arial"/>
                <w:b/>
                <w:lang w:eastAsia="es-CR"/>
              </w:rPr>
              <w:t xml:space="preserve">Artículo 1. </w:t>
            </w:r>
            <w:r w:rsidRPr="00096AA9">
              <w:rPr>
                <w:rFonts w:eastAsia="Calibri" w:cs="Arial"/>
                <w:b/>
              </w:rPr>
              <w:t>– Adiciones</w:t>
            </w:r>
          </w:p>
        </w:tc>
      </w:tr>
      <w:tr w:rsidR="00096AA9" w:rsidRPr="00096AA9" w14:paraId="564889CF" w14:textId="304D563D" w:rsidTr="00024F0F">
        <w:tc>
          <w:tcPr>
            <w:tcW w:w="8090" w:type="dxa"/>
          </w:tcPr>
          <w:p w14:paraId="2E6AE7BA" w14:textId="77777777" w:rsidR="00096AA9" w:rsidRPr="00096AA9" w:rsidRDefault="00096AA9" w:rsidP="00096AA9">
            <w:pPr>
              <w:jc w:val="both"/>
              <w:rPr>
                <w:rFonts w:eastAsia="Calibri" w:cs="Arial"/>
              </w:rPr>
            </w:pPr>
            <w:r w:rsidRPr="00096AA9">
              <w:rPr>
                <w:rFonts w:eastAsia="Calibri" w:cs="Arial"/>
              </w:rPr>
              <w:t xml:space="preserve">Se adiciona al Cuadro de Información Periódica definido en el </w:t>
            </w:r>
            <w:r w:rsidRPr="00096AA9">
              <w:rPr>
                <w:rFonts w:eastAsia="Calibri" w:cs="Arial"/>
                <w:i/>
                <w:iCs/>
              </w:rPr>
              <w:t>Artículo 2. Periodicidad, contenido y medios para el suministro de la información</w:t>
            </w:r>
            <w:r w:rsidRPr="00096AA9">
              <w:rPr>
                <w:rFonts w:eastAsia="Calibri" w:cs="Arial"/>
              </w:rPr>
              <w:t>, del acuerdo SGV-A-75</w:t>
            </w:r>
            <w:r w:rsidRPr="00096AA9">
              <w:rPr>
                <w:rFonts w:eastAsia="Calibri" w:cs="Arial"/>
                <w:i/>
                <w:iCs/>
              </w:rPr>
              <w:t>,</w:t>
            </w:r>
            <w:r w:rsidRPr="00096AA9">
              <w:rPr>
                <w:rFonts w:eastAsia="Calibri" w:cs="Arial"/>
              </w:rPr>
              <w:t xml:space="preserve"> el envío de la revisión externa y de informes del uso de los fondos, </w:t>
            </w:r>
            <w:r w:rsidRPr="00096AA9">
              <w:rPr>
                <w:rFonts w:eastAsia="Calibri" w:cs="Arial"/>
              </w:rPr>
              <w:lastRenderedPageBreak/>
              <w:t>que se requieren a emisores, fondos de inversión y universalidades que posean emisiones que califiquen como verdes, sociales o sostenibles:</w:t>
            </w:r>
          </w:p>
        </w:tc>
        <w:tc>
          <w:tcPr>
            <w:tcW w:w="1833" w:type="dxa"/>
          </w:tcPr>
          <w:p w14:paraId="6A0F145C" w14:textId="77777777" w:rsidR="00096AA9" w:rsidRPr="00096AA9" w:rsidRDefault="00096AA9" w:rsidP="00096AA9">
            <w:pPr>
              <w:ind w:left="360"/>
              <w:jc w:val="both"/>
              <w:rPr>
                <w:rFonts w:eastAsia="Calibri" w:cs="Arial"/>
              </w:rPr>
            </w:pPr>
          </w:p>
        </w:tc>
        <w:tc>
          <w:tcPr>
            <w:tcW w:w="1985" w:type="dxa"/>
          </w:tcPr>
          <w:p w14:paraId="28F25AE8" w14:textId="77777777" w:rsidR="00096AA9" w:rsidRPr="00096AA9" w:rsidRDefault="00096AA9" w:rsidP="00096AA9">
            <w:pPr>
              <w:ind w:left="360"/>
              <w:jc w:val="both"/>
              <w:rPr>
                <w:rFonts w:eastAsia="Calibri" w:cs="Arial"/>
              </w:rPr>
            </w:pPr>
          </w:p>
        </w:tc>
        <w:tc>
          <w:tcPr>
            <w:tcW w:w="7371" w:type="dxa"/>
          </w:tcPr>
          <w:p w14:paraId="0E7FC0AA" w14:textId="1E623B93" w:rsidR="00096AA9" w:rsidRPr="00096AA9" w:rsidRDefault="00096AA9" w:rsidP="00096AA9">
            <w:pPr>
              <w:ind w:left="25"/>
              <w:jc w:val="both"/>
              <w:rPr>
                <w:rFonts w:eastAsia="Calibri" w:cs="Arial"/>
              </w:rPr>
            </w:pPr>
            <w:r w:rsidRPr="00096AA9">
              <w:rPr>
                <w:rFonts w:eastAsia="Calibri" w:cs="Arial"/>
              </w:rPr>
              <w:t xml:space="preserve">Se adiciona al Cuadro de Información Periódica definido en el </w:t>
            </w:r>
            <w:r w:rsidRPr="00096AA9">
              <w:rPr>
                <w:rFonts w:eastAsia="Calibri" w:cs="Arial"/>
                <w:i/>
                <w:iCs/>
              </w:rPr>
              <w:t>Artículo 2. Periodicidad, contenido y medios para el suministro de la información</w:t>
            </w:r>
            <w:r w:rsidRPr="00096AA9">
              <w:rPr>
                <w:rFonts w:eastAsia="Calibri" w:cs="Arial"/>
              </w:rPr>
              <w:t>, del acuerdo SGV-A-75</w:t>
            </w:r>
            <w:r w:rsidRPr="00096AA9">
              <w:rPr>
                <w:rFonts w:eastAsia="Calibri" w:cs="Arial"/>
                <w:i/>
                <w:iCs/>
              </w:rPr>
              <w:t>,</w:t>
            </w:r>
            <w:r w:rsidRPr="00096AA9">
              <w:rPr>
                <w:rFonts w:eastAsia="Calibri" w:cs="Arial"/>
              </w:rPr>
              <w:t xml:space="preserve"> el envío de la revisión externa y de informes del uso de los fondos, que se requieren a emisores, fondos de inversión y </w:t>
            </w:r>
            <w:r w:rsidRPr="00096AA9">
              <w:rPr>
                <w:rFonts w:eastAsia="Calibri" w:cs="Arial"/>
              </w:rPr>
              <w:lastRenderedPageBreak/>
              <w:t>universalidades que posean emisiones que califiquen como verdes, sociales o sostenibles:</w:t>
            </w:r>
          </w:p>
        </w:tc>
      </w:tr>
      <w:tr w:rsidR="00096AA9" w:rsidRPr="00444235" w14:paraId="63992A47" w14:textId="77883DDB" w:rsidTr="00024F0F">
        <w:tc>
          <w:tcPr>
            <w:tcW w:w="8090" w:type="dxa"/>
          </w:tcPr>
          <w:tbl>
            <w:tblPr>
              <w:tblpPr w:leftFromText="144" w:rightFromText="144" w:vertAnchor="text" w:horzAnchor="page" w:tblpXSpec="center" w:tblpY="30"/>
              <w:tblW w:w="785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2"/>
              <w:gridCol w:w="1361"/>
              <w:gridCol w:w="1385"/>
              <w:gridCol w:w="1245"/>
              <w:gridCol w:w="1035"/>
              <w:gridCol w:w="1432"/>
            </w:tblGrid>
            <w:tr w:rsidR="00096AA9" w:rsidRPr="00096AA9" w14:paraId="6A8DAD74" w14:textId="77777777" w:rsidTr="005351FE">
              <w:trPr>
                <w:trHeight w:val="539"/>
                <w:tblHeader/>
                <w:tblCellSpacing w:w="7" w:type="dxa"/>
              </w:trPr>
              <w:tc>
                <w:tcPr>
                  <w:tcW w:w="1371" w:type="dxa"/>
                  <w:shd w:val="clear" w:color="auto" w:fill="auto"/>
                  <w:vAlign w:val="center"/>
                  <w:hideMark/>
                </w:tcPr>
                <w:p w14:paraId="21C241AC" w14:textId="77777777" w:rsidR="00096AA9" w:rsidRPr="00096AA9" w:rsidRDefault="00096AA9" w:rsidP="00096AA9">
                  <w:pPr>
                    <w:spacing w:after="0" w:line="240" w:lineRule="auto"/>
                    <w:jc w:val="center"/>
                    <w:rPr>
                      <w:rFonts w:eastAsia="Times New Roman" w:cs="Arial"/>
                      <w:b/>
                      <w:bCs/>
                      <w:sz w:val="20"/>
                      <w:szCs w:val="20"/>
                      <w:lang w:val="es-CR" w:eastAsia="es-CR"/>
                    </w:rPr>
                  </w:pPr>
                  <w:r w:rsidRPr="00096AA9">
                    <w:rPr>
                      <w:rFonts w:eastAsia="Times New Roman" w:cs="Arial"/>
                      <w:b/>
                      <w:bCs/>
                      <w:sz w:val="20"/>
                      <w:szCs w:val="20"/>
                      <w:lang w:val="es-CR" w:eastAsia="es-CR"/>
                    </w:rPr>
                    <w:lastRenderedPageBreak/>
                    <w:t>Informe o / Reporte</w:t>
                  </w:r>
                </w:p>
              </w:tc>
              <w:tc>
                <w:tcPr>
                  <w:tcW w:w="1347" w:type="dxa"/>
                  <w:shd w:val="clear" w:color="auto" w:fill="auto"/>
                  <w:vAlign w:val="center"/>
                  <w:hideMark/>
                </w:tcPr>
                <w:p w14:paraId="345E1F6E" w14:textId="77777777" w:rsidR="00096AA9" w:rsidRPr="00096AA9" w:rsidRDefault="00096AA9" w:rsidP="00096AA9">
                  <w:pPr>
                    <w:spacing w:after="0" w:line="240" w:lineRule="auto"/>
                    <w:jc w:val="center"/>
                    <w:rPr>
                      <w:rFonts w:eastAsia="Times New Roman" w:cs="Arial"/>
                      <w:b/>
                      <w:bCs/>
                      <w:sz w:val="20"/>
                      <w:szCs w:val="20"/>
                      <w:lang w:val="es-CR" w:eastAsia="es-CR"/>
                    </w:rPr>
                  </w:pPr>
                  <w:r w:rsidRPr="00096AA9">
                    <w:rPr>
                      <w:rFonts w:eastAsia="Times New Roman" w:cs="Arial"/>
                      <w:b/>
                      <w:bCs/>
                      <w:sz w:val="20"/>
                      <w:szCs w:val="20"/>
                      <w:lang w:val="es-CR" w:eastAsia="es-CR"/>
                    </w:rPr>
                    <w:t>Periodicidad</w:t>
                  </w:r>
                </w:p>
              </w:tc>
              <w:tc>
                <w:tcPr>
                  <w:tcW w:w="1371" w:type="dxa"/>
                  <w:shd w:val="clear" w:color="auto" w:fill="auto"/>
                  <w:vAlign w:val="center"/>
                  <w:hideMark/>
                </w:tcPr>
                <w:p w14:paraId="19E8956E" w14:textId="77777777" w:rsidR="00096AA9" w:rsidRPr="00096AA9" w:rsidRDefault="00096AA9" w:rsidP="00096AA9">
                  <w:pPr>
                    <w:spacing w:after="0" w:line="240" w:lineRule="auto"/>
                    <w:jc w:val="center"/>
                    <w:rPr>
                      <w:rFonts w:eastAsia="Times New Roman" w:cs="Arial"/>
                      <w:b/>
                      <w:bCs/>
                      <w:sz w:val="20"/>
                      <w:szCs w:val="20"/>
                      <w:lang w:val="es-CR" w:eastAsia="es-CR"/>
                    </w:rPr>
                  </w:pPr>
                  <w:r w:rsidRPr="00096AA9">
                    <w:rPr>
                      <w:rFonts w:eastAsia="Times New Roman" w:cs="Arial"/>
                      <w:b/>
                      <w:bCs/>
                      <w:sz w:val="20"/>
                      <w:szCs w:val="20"/>
                      <w:lang w:val="es-CR" w:eastAsia="es-CR"/>
                    </w:rPr>
                    <w:t>Plazo máximo de entrega</w:t>
                  </w:r>
                </w:p>
              </w:tc>
              <w:tc>
                <w:tcPr>
                  <w:tcW w:w="1231" w:type="dxa"/>
                  <w:shd w:val="clear" w:color="auto" w:fill="auto"/>
                  <w:vAlign w:val="center"/>
                  <w:hideMark/>
                </w:tcPr>
                <w:p w14:paraId="0AB967F8" w14:textId="77777777" w:rsidR="00096AA9" w:rsidRPr="00096AA9" w:rsidRDefault="00096AA9" w:rsidP="00096AA9">
                  <w:pPr>
                    <w:spacing w:after="0" w:line="240" w:lineRule="auto"/>
                    <w:jc w:val="center"/>
                    <w:rPr>
                      <w:rFonts w:eastAsia="Times New Roman" w:cs="Arial"/>
                      <w:b/>
                      <w:bCs/>
                      <w:sz w:val="20"/>
                      <w:szCs w:val="20"/>
                      <w:lang w:val="es-CR" w:eastAsia="es-CR"/>
                    </w:rPr>
                  </w:pPr>
                  <w:r w:rsidRPr="00096AA9">
                    <w:rPr>
                      <w:rFonts w:eastAsia="Times New Roman" w:cs="Arial"/>
                      <w:b/>
                      <w:bCs/>
                      <w:sz w:val="20"/>
                      <w:szCs w:val="20"/>
                      <w:lang w:val="es-CR" w:eastAsia="es-CR"/>
                    </w:rPr>
                    <w:t>Formato o normas sobre el Contenido</w:t>
                  </w:r>
                </w:p>
              </w:tc>
              <w:tc>
                <w:tcPr>
                  <w:tcW w:w="1021" w:type="dxa"/>
                  <w:shd w:val="clear" w:color="auto" w:fill="auto"/>
                  <w:vAlign w:val="center"/>
                  <w:hideMark/>
                </w:tcPr>
                <w:p w14:paraId="05D641C1" w14:textId="77777777" w:rsidR="00096AA9" w:rsidRPr="00096AA9" w:rsidRDefault="00096AA9" w:rsidP="00096AA9">
                  <w:pPr>
                    <w:spacing w:after="0" w:line="240" w:lineRule="auto"/>
                    <w:jc w:val="center"/>
                    <w:rPr>
                      <w:rFonts w:eastAsia="Times New Roman" w:cs="Arial"/>
                      <w:b/>
                      <w:bCs/>
                      <w:sz w:val="20"/>
                      <w:szCs w:val="20"/>
                      <w:lang w:val="es-CR" w:eastAsia="es-CR"/>
                    </w:rPr>
                  </w:pPr>
                  <w:r w:rsidRPr="00096AA9">
                    <w:rPr>
                      <w:rFonts w:eastAsia="Times New Roman" w:cs="Arial"/>
                      <w:b/>
                      <w:bCs/>
                      <w:sz w:val="20"/>
                      <w:szCs w:val="20"/>
                      <w:lang w:val="es-CR" w:eastAsia="es-CR"/>
                    </w:rPr>
                    <w:t>Medio de envío</w:t>
                  </w:r>
                </w:p>
              </w:tc>
              <w:tc>
                <w:tcPr>
                  <w:tcW w:w="1411" w:type="dxa"/>
                  <w:shd w:val="clear" w:color="auto" w:fill="auto"/>
                  <w:vAlign w:val="center"/>
                  <w:hideMark/>
                </w:tcPr>
                <w:p w14:paraId="07A5467C" w14:textId="77777777" w:rsidR="00096AA9" w:rsidRPr="00096AA9" w:rsidRDefault="00096AA9" w:rsidP="00096AA9">
                  <w:pPr>
                    <w:spacing w:after="0" w:line="240" w:lineRule="auto"/>
                    <w:jc w:val="center"/>
                    <w:rPr>
                      <w:rFonts w:eastAsia="Times New Roman" w:cs="Arial"/>
                      <w:b/>
                      <w:bCs/>
                      <w:sz w:val="20"/>
                      <w:szCs w:val="20"/>
                      <w:lang w:val="es-CR" w:eastAsia="es-CR"/>
                    </w:rPr>
                  </w:pPr>
                  <w:r w:rsidRPr="00096AA9">
                    <w:rPr>
                      <w:rFonts w:eastAsia="Times New Roman" w:cs="Arial"/>
                      <w:b/>
                      <w:bCs/>
                      <w:sz w:val="20"/>
                      <w:szCs w:val="20"/>
                      <w:lang w:val="es-CR" w:eastAsia="es-CR"/>
                    </w:rPr>
                    <w:t>Notas Aclaratorias</w:t>
                  </w:r>
                </w:p>
              </w:tc>
            </w:tr>
            <w:tr w:rsidR="00096AA9" w:rsidRPr="00096AA9" w14:paraId="673EF0DB" w14:textId="77777777" w:rsidTr="00D47C0A">
              <w:trPr>
                <w:trHeight w:val="3806"/>
                <w:tblHeader/>
                <w:tblCellSpacing w:w="7" w:type="dxa"/>
              </w:trPr>
              <w:tc>
                <w:tcPr>
                  <w:tcW w:w="1371" w:type="dxa"/>
                  <w:shd w:val="clear" w:color="auto" w:fill="auto"/>
                  <w:hideMark/>
                </w:tcPr>
                <w:p w14:paraId="58443400"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Opinión de revisor externo sobre el cumplimiento de estándares nacionales o internacionales de emisiones que califiquen como verdes, sociales o sostenibles</w:t>
                  </w:r>
                </w:p>
                <w:p w14:paraId="4B8BBD50" w14:textId="77777777" w:rsidR="00096AA9" w:rsidRPr="00096AA9" w:rsidRDefault="00096AA9" w:rsidP="00096AA9">
                  <w:pPr>
                    <w:spacing w:after="0" w:line="240" w:lineRule="auto"/>
                    <w:jc w:val="both"/>
                    <w:rPr>
                      <w:rFonts w:eastAsia="Times New Roman" w:cs="Arial"/>
                      <w:sz w:val="18"/>
                      <w:szCs w:val="18"/>
                      <w:lang w:val="es-CR" w:eastAsia="es-CR"/>
                    </w:rPr>
                  </w:pPr>
                </w:p>
              </w:tc>
              <w:tc>
                <w:tcPr>
                  <w:tcW w:w="1347" w:type="dxa"/>
                  <w:shd w:val="clear" w:color="000000" w:fill="FFFFFF"/>
                  <w:hideMark/>
                </w:tcPr>
                <w:p w14:paraId="4AEA93AF" w14:textId="77777777" w:rsidR="00096AA9" w:rsidRPr="00096AA9" w:rsidRDefault="00096AA9" w:rsidP="00096AA9">
                  <w:pPr>
                    <w:spacing w:after="0" w:line="240" w:lineRule="auto"/>
                    <w:jc w:val="center"/>
                    <w:rPr>
                      <w:rFonts w:eastAsia="Times New Roman" w:cs="Arial"/>
                      <w:sz w:val="18"/>
                      <w:szCs w:val="18"/>
                      <w:lang w:val="es-CR" w:eastAsia="es-CR"/>
                    </w:rPr>
                  </w:pPr>
                  <w:r w:rsidRPr="00096AA9">
                    <w:rPr>
                      <w:rFonts w:eastAsia="Times New Roman" w:cs="Arial"/>
                      <w:sz w:val="18"/>
                      <w:szCs w:val="18"/>
                      <w:lang w:val="es-CR" w:eastAsia="es-CR"/>
                    </w:rPr>
                    <w:t>Anual</w:t>
                  </w:r>
                </w:p>
              </w:tc>
              <w:tc>
                <w:tcPr>
                  <w:tcW w:w="1371" w:type="dxa"/>
                  <w:shd w:val="clear" w:color="000000" w:fill="FFFFFF"/>
                  <w:hideMark/>
                </w:tcPr>
                <w:p w14:paraId="24307073" w14:textId="77777777" w:rsidR="00096AA9" w:rsidRPr="00096AA9" w:rsidRDefault="00096AA9" w:rsidP="00096AA9">
                  <w:pPr>
                    <w:spacing w:after="0" w:line="240" w:lineRule="auto"/>
                    <w:jc w:val="center"/>
                    <w:rPr>
                      <w:rFonts w:eastAsia="Times New Roman" w:cs="Arial"/>
                      <w:sz w:val="18"/>
                      <w:szCs w:val="18"/>
                      <w:lang w:val="es-CR" w:eastAsia="es-CR"/>
                    </w:rPr>
                  </w:pPr>
                  <w:r w:rsidRPr="00096AA9">
                    <w:rPr>
                      <w:rFonts w:eastAsia="Times New Roman" w:cs="Arial"/>
                      <w:sz w:val="18"/>
                      <w:szCs w:val="18"/>
                      <w:lang w:val="es-CR" w:eastAsia="es-CR"/>
                    </w:rPr>
                    <w:t>20 días hábiles posteriores a la fecha límite para la presentación de los estados financieros auditados.</w:t>
                  </w:r>
                </w:p>
                <w:p w14:paraId="7156B761" w14:textId="77777777" w:rsidR="00096AA9" w:rsidRPr="00096AA9" w:rsidRDefault="00096AA9" w:rsidP="00096AA9">
                  <w:pPr>
                    <w:spacing w:after="0" w:line="240" w:lineRule="auto"/>
                    <w:jc w:val="center"/>
                    <w:rPr>
                      <w:rFonts w:eastAsia="Times New Roman" w:cs="Arial"/>
                      <w:sz w:val="18"/>
                      <w:szCs w:val="18"/>
                      <w:lang w:val="es-CR" w:eastAsia="es-CR"/>
                    </w:rPr>
                  </w:pPr>
                </w:p>
                <w:p w14:paraId="26C5E8A5" w14:textId="77777777" w:rsidR="00096AA9" w:rsidRPr="00096AA9" w:rsidRDefault="00096AA9" w:rsidP="00096AA9">
                  <w:pPr>
                    <w:spacing w:after="0" w:line="240" w:lineRule="auto"/>
                    <w:jc w:val="center"/>
                    <w:rPr>
                      <w:rFonts w:eastAsia="Times New Roman" w:cs="Arial"/>
                      <w:sz w:val="18"/>
                      <w:szCs w:val="18"/>
                      <w:lang w:val="es-CR" w:eastAsia="es-CR"/>
                    </w:rPr>
                  </w:pPr>
                </w:p>
                <w:p w14:paraId="117AC4B5" w14:textId="77777777" w:rsidR="00096AA9" w:rsidRPr="00096AA9" w:rsidRDefault="00096AA9" w:rsidP="00096AA9">
                  <w:pPr>
                    <w:spacing w:after="0" w:line="240" w:lineRule="auto"/>
                    <w:jc w:val="center"/>
                    <w:rPr>
                      <w:rFonts w:eastAsia="Times New Roman" w:cs="Arial"/>
                      <w:sz w:val="18"/>
                      <w:szCs w:val="18"/>
                      <w:lang w:val="es-CR" w:eastAsia="es-CR"/>
                    </w:rPr>
                  </w:pPr>
                </w:p>
                <w:p w14:paraId="2DD90129" w14:textId="77777777" w:rsidR="00096AA9" w:rsidRPr="00096AA9" w:rsidRDefault="00096AA9" w:rsidP="00096AA9">
                  <w:pPr>
                    <w:spacing w:after="0" w:line="240" w:lineRule="auto"/>
                    <w:jc w:val="center"/>
                    <w:rPr>
                      <w:rFonts w:eastAsia="Times New Roman" w:cs="Arial"/>
                      <w:sz w:val="18"/>
                      <w:szCs w:val="18"/>
                      <w:lang w:val="es-CR" w:eastAsia="es-CR"/>
                    </w:rPr>
                  </w:pPr>
                </w:p>
                <w:p w14:paraId="790E5E94"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 xml:space="preserve">31 de marzo en el caso de Gobierno Central y Banco Central costarricenses y extranjeros y  </w:t>
                  </w:r>
                  <w:r w:rsidRPr="00096AA9">
                    <w:rPr>
                      <w:rFonts w:eastAsia="+mj-ea" w:cs="Arial"/>
                      <w:kern w:val="24"/>
                      <w:sz w:val="18"/>
                      <w:szCs w:val="18"/>
                    </w:rPr>
                    <w:t>organismos internacionales con participación del Estado costarricense.</w:t>
                  </w:r>
                </w:p>
                <w:p w14:paraId="374F480E" w14:textId="77777777" w:rsidR="00096AA9" w:rsidRPr="00096AA9" w:rsidRDefault="00096AA9" w:rsidP="00096AA9">
                  <w:pPr>
                    <w:spacing w:after="0" w:line="240" w:lineRule="auto"/>
                    <w:jc w:val="center"/>
                    <w:rPr>
                      <w:rFonts w:eastAsia="Times New Roman" w:cs="Arial"/>
                      <w:sz w:val="18"/>
                      <w:szCs w:val="18"/>
                      <w:lang w:val="es-CR" w:eastAsia="es-CR"/>
                    </w:rPr>
                  </w:pPr>
                </w:p>
              </w:tc>
              <w:tc>
                <w:tcPr>
                  <w:tcW w:w="1231" w:type="dxa"/>
                  <w:shd w:val="clear" w:color="000000" w:fill="FFFFFF"/>
                  <w:hideMark/>
                </w:tcPr>
                <w:p w14:paraId="778C1753" w14:textId="77777777" w:rsidR="00096AA9" w:rsidRPr="00096AA9" w:rsidRDefault="00096AA9" w:rsidP="00096AA9">
                  <w:pPr>
                    <w:spacing w:after="0" w:line="240" w:lineRule="auto"/>
                    <w:rPr>
                      <w:rFonts w:eastAsia="Times New Roman" w:cs="Arial"/>
                      <w:sz w:val="18"/>
                      <w:szCs w:val="18"/>
                      <w:lang w:val="es-CR" w:eastAsia="es-CR"/>
                    </w:rPr>
                  </w:pPr>
                  <w:r w:rsidRPr="00096AA9">
                    <w:rPr>
                      <w:rFonts w:eastAsia="Times New Roman" w:cs="Arial"/>
                      <w:sz w:val="18"/>
                      <w:szCs w:val="18"/>
                      <w:lang w:val="es-CR" w:eastAsia="es-CR"/>
                    </w:rPr>
                    <w:t>Acuerdo SGV-A-XXX  Lineamientos para emisiones verdes, sociales y sostenibles de oferta pública</w:t>
                  </w:r>
                </w:p>
                <w:p w14:paraId="5467CDFA" w14:textId="77777777" w:rsidR="00096AA9" w:rsidRPr="00096AA9" w:rsidRDefault="00096AA9" w:rsidP="00096AA9">
                  <w:pPr>
                    <w:spacing w:after="0" w:line="240" w:lineRule="auto"/>
                    <w:jc w:val="center"/>
                    <w:rPr>
                      <w:rFonts w:eastAsia="Times New Roman" w:cs="Arial"/>
                      <w:sz w:val="18"/>
                      <w:szCs w:val="18"/>
                      <w:lang w:val="es-CR" w:eastAsia="es-CR"/>
                    </w:rPr>
                  </w:pPr>
                </w:p>
              </w:tc>
              <w:tc>
                <w:tcPr>
                  <w:tcW w:w="1021" w:type="dxa"/>
                  <w:shd w:val="clear" w:color="000000" w:fill="FFFFFF"/>
                  <w:hideMark/>
                </w:tcPr>
                <w:p w14:paraId="2D55CF5B" w14:textId="77777777" w:rsidR="00096AA9" w:rsidRPr="00096AA9" w:rsidRDefault="00096AA9" w:rsidP="00096AA9">
                  <w:pPr>
                    <w:spacing w:after="0" w:line="240" w:lineRule="auto"/>
                    <w:rPr>
                      <w:rFonts w:eastAsia="Times New Roman" w:cs="Arial"/>
                      <w:sz w:val="18"/>
                      <w:szCs w:val="18"/>
                      <w:lang w:val="es-CR" w:eastAsia="es-CR"/>
                    </w:rPr>
                  </w:pPr>
                  <w:r w:rsidRPr="00096AA9">
                    <w:rPr>
                      <w:rFonts w:eastAsia="Times New Roman" w:cs="Arial"/>
                      <w:sz w:val="18"/>
                      <w:szCs w:val="18"/>
                      <w:lang w:val="es-CR" w:eastAsia="es-CR"/>
                    </w:rPr>
                    <w:t xml:space="preserve">Sistema </w:t>
                  </w:r>
                  <w:proofErr w:type="spellStart"/>
                  <w:r w:rsidRPr="00096AA9">
                    <w:rPr>
                      <w:rFonts w:eastAsia="Times New Roman" w:cs="Arial"/>
                      <w:sz w:val="18"/>
                      <w:szCs w:val="18"/>
                      <w:lang w:val="es-CR" w:eastAsia="es-CR"/>
                    </w:rPr>
                    <w:t>Ingresador</w:t>
                  </w:r>
                  <w:proofErr w:type="spellEnd"/>
                  <w:r w:rsidRPr="00096AA9">
                    <w:rPr>
                      <w:rFonts w:eastAsia="Times New Roman" w:cs="Arial"/>
                      <w:sz w:val="18"/>
                      <w:szCs w:val="18"/>
                      <w:lang w:val="es-CR" w:eastAsia="es-CR"/>
                    </w:rPr>
                    <w:t xml:space="preserve"> </w:t>
                  </w:r>
                </w:p>
                <w:p w14:paraId="5000A03D" w14:textId="77777777" w:rsidR="00096AA9" w:rsidRPr="00096AA9" w:rsidRDefault="00096AA9" w:rsidP="00096AA9">
                  <w:pPr>
                    <w:spacing w:after="0" w:line="240" w:lineRule="auto"/>
                    <w:rPr>
                      <w:rFonts w:eastAsia="Times New Roman" w:cs="Arial"/>
                      <w:sz w:val="18"/>
                      <w:szCs w:val="18"/>
                      <w:lang w:val="es-CR" w:eastAsia="es-CR"/>
                    </w:rPr>
                  </w:pPr>
                </w:p>
                <w:p w14:paraId="43101741" w14:textId="77777777" w:rsidR="00096AA9" w:rsidRPr="00096AA9" w:rsidRDefault="00096AA9" w:rsidP="00096AA9">
                  <w:pPr>
                    <w:spacing w:after="0" w:line="240" w:lineRule="auto"/>
                    <w:rPr>
                      <w:rFonts w:eastAsia="Times New Roman" w:cs="Arial"/>
                      <w:sz w:val="18"/>
                      <w:szCs w:val="18"/>
                      <w:lang w:val="es-CR" w:eastAsia="es-CR"/>
                    </w:rPr>
                  </w:pPr>
                </w:p>
                <w:p w14:paraId="5B59034F" w14:textId="77777777" w:rsidR="00096AA9" w:rsidRPr="00096AA9" w:rsidRDefault="00096AA9" w:rsidP="00096AA9">
                  <w:pPr>
                    <w:spacing w:after="0" w:line="240" w:lineRule="auto"/>
                    <w:rPr>
                      <w:rFonts w:eastAsia="Times New Roman" w:cs="Arial"/>
                      <w:sz w:val="18"/>
                      <w:szCs w:val="18"/>
                      <w:lang w:val="es-CR" w:eastAsia="es-CR"/>
                    </w:rPr>
                  </w:pPr>
                </w:p>
                <w:p w14:paraId="00E0E0B8" w14:textId="77777777" w:rsidR="00096AA9" w:rsidRPr="00096AA9" w:rsidRDefault="00096AA9" w:rsidP="00096AA9">
                  <w:pPr>
                    <w:spacing w:after="0" w:line="240" w:lineRule="auto"/>
                    <w:rPr>
                      <w:rFonts w:eastAsia="Times New Roman" w:cs="Arial"/>
                      <w:sz w:val="18"/>
                      <w:szCs w:val="18"/>
                      <w:lang w:val="es-CR" w:eastAsia="es-CR"/>
                    </w:rPr>
                  </w:pPr>
                </w:p>
                <w:p w14:paraId="4E199F5A" w14:textId="77777777" w:rsidR="00096AA9" w:rsidRPr="00096AA9" w:rsidRDefault="00096AA9" w:rsidP="00096AA9">
                  <w:pPr>
                    <w:spacing w:after="0" w:line="240" w:lineRule="auto"/>
                    <w:rPr>
                      <w:rFonts w:eastAsia="Times New Roman" w:cs="Arial"/>
                      <w:sz w:val="18"/>
                      <w:szCs w:val="18"/>
                      <w:lang w:val="es-CR" w:eastAsia="es-CR"/>
                    </w:rPr>
                  </w:pPr>
                </w:p>
                <w:p w14:paraId="4803157D" w14:textId="77777777" w:rsidR="00096AA9" w:rsidRPr="00096AA9" w:rsidRDefault="00096AA9" w:rsidP="00096AA9">
                  <w:pPr>
                    <w:spacing w:after="0" w:line="240" w:lineRule="auto"/>
                    <w:rPr>
                      <w:rFonts w:eastAsia="Times New Roman" w:cs="Arial"/>
                      <w:sz w:val="18"/>
                      <w:szCs w:val="18"/>
                      <w:lang w:val="es-CR" w:eastAsia="es-CR"/>
                    </w:rPr>
                  </w:pPr>
                </w:p>
                <w:p w14:paraId="395C40E4" w14:textId="77777777" w:rsidR="00096AA9" w:rsidRPr="00096AA9" w:rsidRDefault="00096AA9" w:rsidP="00096AA9">
                  <w:pPr>
                    <w:spacing w:after="0" w:line="240" w:lineRule="auto"/>
                    <w:rPr>
                      <w:rFonts w:eastAsia="Times New Roman" w:cs="Arial"/>
                      <w:sz w:val="18"/>
                      <w:szCs w:val="18"/>
                      <w:lang w:val="es-CR" w:eastAsia="es-CR"/>
                    </w:rPr>
                  </w:pPr>
                </w:p>
                <w:p w14:paraId="2332348F" w14:textId="77777777" w:rsidR="00096AA9" w:rsidRPr="00096AA9" w:rsidRDefault="00096AA9" w:rsidP="00096AA9">
                  <w:pPr>
                    <w:spacing w:after="0" w:line="240" w:lineRule="auto"/>
                    <w:rPr>
                      <w:rFonts w:eastAsia="Times New Roman" w:cs="Arial"/>
                      <w:sz w:val="18"/>
                      <w:szCs w:val="18"/>
                      <w:lang w:val="es-CR" w:eastAsia="es-CR"/>
                    </w:rPr>
                  </w:pPr>
                </w:p>
                <w:p w14:paraId="58172199" w14:textId="77777777" w:rsidR="00096AA9" w:rsidRPr="00096AA9" w:rsidRDefault="00096AA9" w:rsidP="00096AA9">
                  <w:pPr>
                    <w:spacing w:after="0" w:line="240" w:lineRule="auto"/>
                    <w:rPr>
                      <w:rFonts w:eastAsia="Times New Roman" w:cs="Arial"/>
                      <w:sz w:val="18"/>
                      <w:szCs w:val="18"/>
                      <w:lang w:val="es-CR" w:eastAsia="es-CR"/>
                    </w:rPr>
                  </w:pPr>
                </w:p>
                <w:p w14:paraId="0A70C7A6" w14:textId="77777777" w:rsidR="00096AA9" w:rsidRPr="00096AA9" w:rsidRDefault="00096AA9" w:rsidP="00096AA9">
                  <w:pPr>
                    <w:spacing w:after="0" w:line="240" w:lineRule="auto"/>
                    <w:rPr>
                      <w:rFonts w:eastAsia="Times New Roman" w:cs="Arial"/>
                      <w:sz w:val="18"/>
                      <w:szCs w:val="18"/>
                      <w:lang w:val="es-CR" w:eastAsia="es-CR"/>
                    </w:rPr>
                  </w:pPr>
                  <w:proofErr w:type="spellStart"/>
                  <w:r w:rsidRPr="00096AA9">
                    <w:rPr>
                      <w:rFonts w:eastAsia="Times New Roman" w:cs="Arial"/>
                      <w:sz w:val="18"/>
                      <w:szCs w:val="18"/>
                      <w:lang w:val="es-CR" w:eastAsia="es-CR"/>
                    </w:rPr>
                    <w:t>Mendocel</w:t>
                  </w:r>
                  <w:proofErr w:type="spellEnd"/>
                  <w:r w:rsidRPr="00096AA9">
                    <w:rPr>
                      <w:rFonts w:eastAsia="Times New Roman" w:cs="Arial"/>
                      <w:sz w:val="18"/>
                      <w:szCs w:val="18"/>
                      <w:lang w:val="es-CR" w:eastAsia="es-CR"/>
                    </w:rPr>
                    <w:t xml:space="preserve"> SGV-A-188</w:t>
                  </w:r>
                </w:p>
                <w:p w14:paraId="23A7CF59" w14:textId="77777777" w:rsidR="00096AA9" w:rsidRPr="00096AA9" w:rsidRDefault="00096AA9" w:rsidP="00096AA9">
                  <w:pPr>
                    <w:spacing w:after="0" w:line="240" w:lineRule="auto"/>
                    <w:rPr>
                      <w:rFonts w:eastAsia="Times New Roman" w:cs="Arial"/>
                      <w:sz w:val="18"/>
                      <w:szCs w:val="18"/>
                      <w:lang w:val="es-CR" w:eastAsia="es-CR"/>
                    </w:rPr>
                  </w:pPr>
                </w:p>
                <w:p w14:paraId="77CA4AF7" w14:textId="77777777" w:rsidR="00096AA9" w:rsidRPr="00096AA9" w:rsidRDefault="00096AA9" w:rsidP="00096AA9">
                  <w:pPr>
                    <w:spacing w:after="0" w:line="240" w:lineRule="auto"/>
                    <w:rPr>
                      <w:rFonts w:eastAsia="Times New Roman" w:cs="Arial"/>
                      <w:sz w:val="18"/>
                      <w:szCs w:val="18"/>
                      <w:lang w:val="es-CR" w:eastAsia="es-CR"/>
                    </w:rPr>
                  </w:pPr>
                </w:p>
              </w:tc>
              <w:tc>
                <w:tcPr>
                  <w:tcW w:w="1411" w:type="dxa"/>
                  <w:shd w:val="clear" w:color="000000" w:fill="FFFFFF"/>
                  <w:hideMark/>
                </w:tcPr>
                <w:p w14:paraId="26AAEA6E"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Solo aplica a emisiones, fondos de inversión y universalidades que califiquen como verdes, sociales y sostenibles.</w:t>
                  </w:r>
                </w:p>
                <w:p w14:paraId="05F04BD1" w14:textId="77777777" w:rsidR="00096AA9" w:rsidRPr="00096AA9" w:rsidRDefault="00096AA9" w:rsidP="00096AA9">
                  <w:pPr>
                    <w:spacing w:after="0" w:line="240" w:lineRule="auto"/>
                    <w:jc w:val="both"/>
                    <w:rPr>
                      <w:rFonts w:eastAsia="Times New Roman" w:cs="Arial"/>
                      <w:sz w:val="18"/>
                      <w:szCs w:val="18"/>
                      <w:lang w:val="es-CR" w:eastAsia="es-CR"/>
                    </w:rPr>
                  </w:pPr>
                </w:p>
                <w:p w14:paraId="6E9939D6" w14:textId="77777777" w:rsidR="00096AA9" w:rsidRPr="00096AA9" w:rsidRDefault="00096AA9" w:rsidP="00096AA9">
                  <w:pPr>
                    <w:spacing w:after="0" w:line="240" w:lineRule="auto"/>
                    <w:jc w:val="both"/>
                    <w:rPr>
                      <w:rFonts w:eastAsia="Times New Roman" w:cs="Arial"/>
                      <w:sz w:val="18"/>
                      <w:szCs w:val="18"/>
                      <w:lang w:val="es-CR" w:eastAsia="es-CR"/>
                    </w:rPr>
                  </w:pPr>
                </w:p>
                <w:p w14:paraId="074CA754" w14:textId="77777777" w:rsidR="00096AA9" w:rsidRPr="00096AA9" w:rsidRDefault="00096AA9" w:rsidP="00096AA9">
                  <w:pPr>
                    <w:spacing w:after="0" w:line="240" w:lineRule="auto"/>
                    <w:jc w:val="both"/>
                    <w:rPr>
                      <w:rFonts w:eastAsia="Times New Roman" w:cs="Arial"/>
                      <w:sz w:val="18"/>
                      <w:szCs w:val="18"/>
                      <w:lang w:val="es-CR" w:eastAsia="es-CR"/>
                    </w:rPr>
                  </w:pPr>
                </w:p>
                <w:p w14:paraId="22BBFA3D" w14:textId="77777777" w:rsidR="00096AA9" w:rsidRPr="00096AA9" w:rsidRDefault="00096AA9" w:rsidP="00096AA9">
                  <w:pPr>
                    <w:spacing w:after="0" w:line="240" w:lineRule="auto"/>
                    <w:jc w:val="both"/>
                    <w:rPr>
                      <w:rFonts w:eastAsia="Times New Roman" w:cs="Arial"/>
                      <w:sz w:val="18"/>
                      <w:szCs w:val="18"/>
                      <w:lang w:val="es-CR" w:eastAsia="es-CR"/>
                    </w:rPr>
                  </w:pPr>
                </w:p>
                <w:p w14:paraId="207BBCE5" w14:textId="77777777" w:rsidR="00096AA9" w:rsidRPr="00096AA9" w:rsidRDefault="00096AA9" w:rsidP="00096AA9">
                  <w:pPr>
                    <w:spacing w:after="0" w:line="240" w:lineRule="auto"/>
                    <w:jc w:val="both"/>
                    <w:rPr>
                      <w:rFonts w:eastAsia="Times New Roman" w:cs="Arial"/>
                      <w:sz w:val="18"/>
                      <w:szCs w:val="18"/>
                      <w:lang w:val="es-CR" w:eastAsia="es-CR"/>
                    </w:rPr>
                  </w:pPr>
                </w:p>
                <w:p w14:paraId="460A62A6" w14:textId="77777777" w:rsidR="00096AA9" w:rsidRPr="00096AA9" w:rsidRDefault="00096AA9" w:rsidP="00096AA9">
                  <w:pPr>
                    <w:spacing w:after="0" w:line="240" w:lineRule="auto"/>
                    <w:jc w:val="both"/>
                    <w:rPr>
                      <w:rFonts w:eastAsia="Times New Roman" w:cs="Arial"/>
                      <w:sz w:val="18"/>
                      <w:szCs w:val="18"/>
                      <w:lang w:val="es-CR" w:eastAsia="es-CR"/>
                    </w:rPr>
                  </w:pPr>
                </w:p>
                <w:p w14:paraId="177762C2" w14:textId="77777777" w:rsidR="00096AA9" w:rsidRPr="00096AA9" w:rsidRDefault="00096AA9" w:rsidP="00096AA9">
                  <w:pPr>
                    <w:spacing w:after="0" w:line="240" w:lineRule="auto"/>
                    <w:jc w:val="both"/>
                    <w:rPr>
                      <w:rFonts w:eastAsia="Times New Roman" w:cs="Arial"/>
                      <w:sz w:val="18"/>
                      <w:szCs w:val="18"/>
                      <w:lang w:val="es-CR" w:eastAsia="es-CR"/>
                    </w:rPr>
                  </w:pPr>
                </w:p>
                <w:p w14:paraId="5A1467E5"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 xml:space="preserve">El envío por medio de </w:t>
                  </w:r>
                  <w:proofErr w:type="spellStart"/>
                  <w:r w:rsidRPr="00096AA9">
                    <w:rPr>
                      <w:rFonts w:eastAsia="Times New Roman" w:cs="Arial"/>
                      <w:b/>
                      <w:bCs/>
                      <w:sz w:val="18"/>
                      <w:szCs w:val="18"/>
                      <w:lang w:val="es-CR" w:eastAsia="es-CR"/>
                    </w:rPr>
                    <w:t>Mendocel</w:t>
                  </w:r>
                  <w:proofErr w:type="spellEnd"/>
                  <w:r w:rsidRPr="00096AA9">
                    <w:rPr>
                      <w:rFonts w:eastAsia="Times New Roman" w:cs="Arial"/>
                      <w:sz w:val="18"/>
                      <w:szCs w:val="18"/>
                      <w:lang w:val="es-CR" w:eastAsia="es-CR"/>
                    </w:rPr>
                    <w:t xml:space="preserve"> solo aplica para valores emitidos por el Gobierno Central y Banco Central costarricenses y extranjeros y organismos</w:t>
                  </w:r>
                  <w:r w:rsidRPr="00096AA9">
                    <w:rPr>
                      <w:rFonts w:eastAsia="+mj-ea" w:cs="Arial"/>
                      <w:kern w:val="24"/>
                      <w:sz w:val="18"/>
                      <w:szCs w:val="18"/>
                    </w:rPr>
                    <w:t xml:space="preserve"> internacionales con participación del Estado costarricense.</w:t>
                  </w:r>
                </w:p>
                <w:p w14:paraId="5BE2979A" w14:textId="77777777" w:rsidR="00096AA9" w:rsidRPr="00096AA9" w:rsidRDefault="00096AA9" w:rsidP="00096AA9">
                  <w:pPr>
                    <w:spacing w:after="0" w:line="240" w:lineRule="auto"/>
                    <w:jc w:val="both"/>
                    <w:rPr>
                      <w:rFonts w:eastAsia="Times New Roman" w:cs="Arial"/>
                      <w:sz w:val="18"/>
                      <w:szCs w:val="18"/>
                      <w:lang w:val="es-CR" w:eastAsia="es-CR"/>
                    </w:rPr>
                  </w:pPr>
                </w:p>
                <w:p w14:paraId="1EDEDFDD" w14:textId="77777777" w:rsidR="00096AA9" w:rsidRPr="00096AA9" w:rsidRDefault="00096AA9" w:rsidP="00096AA9">
                  <w:pPr>
                    <w:pStyle w:val="Textocomentario"/>
                    <w:spacing w:after="0"/>
                    <w:jc w:val="both"/>
                    <w:rPr>
                      <w:rFonts w:eastAsia="Times New Roman" w:cs="Arial"/>
                      <w:sz w:val="18"/>
                      <w:szCs w:val="18"/>
                      <w:lang w:val="es-CR" w:eastAsia="es-CR"/>
                    </w:rPr>
                  </w:pPr>
                  <w:r w:rsidRPr="00096AA9">
                    <w:rPr>
                      <w:rFonts w:eastAsia="Times New Roman" w:cs="Arial"/>
                      <w:sz w:val="18"/>
                      <w:szCs w:val="18"/>
                      <w:lang w:val="es-CR" w:eastAsia="es-CR"/>
                    </w:rPr>
                    <w:t xml:space="preserve">No será necesario el envío de la </w:t>
                  </w:r>
                  <w:r w:rsidRPr="00096AA9">
                    <w:rPr>
                      <w:rFonts w:eastAsia="Times New Roman" w:cs="Arial"/>
                      <w:sz w:val="18"/>
                      <w:szCs w:val="18"/>
                      <w:lang w:val="es-CR" w:eastAsia="es-CR"/>
                    </w:rPr>
                    <w:lastRenderedPageBreak/>
                    <w:t>revisión externa, si al momento de la primera remisión anual, la emisión o fondo de inversión tiene menos de 6 meses de haberse inscrito en el Registro Nacional de Valores e Intermediarios</w:t>
                  </w:r>
                </w:p>
              </w:tc>
            </w:tr>
            <w:tr w:rsidR="00096AA9" w:rsidRPr="00096AA9" w14:paraId="0F622E61" w14:textId="77777777" w:rsidTr="005351FE">
              <w:trPr>
                <w:trHeight w:val="4641"/>
                <w:tblHeader/>
                <w:tblCellSpacing w:w="7" w:type="dxa"/>
              </w:trPr>
              <w:tc>
                <w:tcPr>
                  <w:tcW w:w="1371" w:type="dxa"/>
                  <w:shd w:val="clear" w:color="auto" w:fill="auto"/>
                </w:tcPr>
                <w:p w14:paraId="74AAFE03" w14:textId="77777777" w:rsidR="00096AA9" w:rsidRPr="00096AA9" w:rsidRDefault="00096AA9" w:rsidP="00096AA9">
                  <w:pPr>
                    <w:widowControl w:val="0"/>
                    <w:spacing w:after="0" w:line="240" w:lineRule="auto"/>
                    <w:jc w:val="both"/>
                    <w:rPr>
                      <w:rFonts w:eastAsia="Calibri" w:cs="Arial"/>
                      <w:bCs/>
                      <w:sz w:val="18"/>
                      <w:szCs w:val="18"/>
                    </w:rPr>
                  </w:pPr>
                  <w:r w:rsidRPr="00096AA9">
                    <w:rPr>
                      <w:rFonts w:eastAsia="Calibri" w:cs="Arial"/>
                      <w:bCs/>
                      <w:sz w:val="18"/>
                      <w:szCs w:val="18"/>
                    </w:rPr>
                    <w:lastRenderedPageBreak/>
                    <w:t xml:space="preserve">Informe del uso de los fondos </w:t>
                  </w:r>
                  <w:r w:rsidRPr="00096AA9">
                    <w:rPr>
                      <w:rFonts w:eastAsia="Times New Roman" w:cs="Arial"/>
                      <w:sz w:val="18"/>
                      <w:szCs w:val="18"/>
                      <w:lang w:val="es-CR" w:eastAsia="es-CR"/>
                    </w:rPr>
                    <w:t xml:space="preserve"> de emisiones que califiquen como verdes, sociales o sostenibles</w:t>
                  </w:r>
                </w:p>
                <w:p w14:paraId="5EDFADFA" w14:textId="77777777" w:rsidR="00096AA9" w:rsidRPr="00096AA9" w:rsidRDefault="00096AA9" w:rsidP="00096AA9">
                  <w:pPr>
                    <w:spacing w:after="0" w:line="240" w:lineRule="auto"/>
                    <w:jc w:val="both"/>
                    <w:rPr>
                      <w:rFonts w:eastAsia="Times New Roman" w:cs="Arial"/>
                      <w:bCs/>
                      <w:sz w:val="18"/>
                      <w:szCs w:val="18"/>
                      <w:lang w:eastAsia="es-CR"/>
                    </w:rPr>
                  </w:pPr>
                </w:p>
              </w:tc>
              <w:tc>
                <w:tcPr>
                  <w:tcW w:w="1347" w:type="dxa"/>
                  <w:shd w:val="clear" w:color="000000" w:fill="FFFFFF"/>
                </w:tcPr>
                <w:p w14:paraId="46223772" w14:textId="77777777" w:rsidR="00096AA9" w:rsidRPr="00096AA9" w:rsidRDefault="00096AA9" w:rsidP="00096AA9">
                  <w:pPr>
                    <w:spacing w:after="0" w:line="240" w:lineRule="auto"/>
                    <w:jc w:val="center"/>
                    <w:rPr>
                      <w:rFonts w:eastAsia="Times New Roman" w:cs="Arial"/>
                      <w:sz w:val="18"/>
                      <w:szCs w:val="18"/>
                      <w:lang w:val="es-CR" w:eastAsia="es-CR"/>
                    </w:rPr>
                  </w:pPr>
                  <w:r w:rsidRPr="00096AA9">
                    <w:rPr>
                      <w:rFonts w:eastAsia="Times New Roman" w:cs="Arial"/>
                      <w:sz w:val="18"/>
                      <w:szCs w:val="18"/>
                      <w:lang w:val="es-CR" w:eastAsia="es-CR"/>
                    </w:rPr>
                    <w:t>Anual</w:t>
                  </w:r>
                </w:p>
              </w:tc>
              <w:tc>
                <w:tcPr>
                  <w:tcW w:w="1371" w:type="dxa"/>
                  <w:shd w:val="clear" w:color="000000" w:fill="FFFFFF"/>
                </w:tcPr>
                <w:p w14:paraId="29B5F246" w14:textId="77777777" w:rsidR="00096AA9" w:rsidRPr="00096AA9" w:rsidRDefault="00096AA9" w:rsidP="00096AA9">
                  <w:pPr>
                    <w:spacing w:after="0" w:line="240" w:lineRule="auto"/>
                    <w:jc w:val="center"/>
                    <w:rPr>
                      <w:rFonts w:eastAsia="Times New Roman" w:cs="Arial"/>
                      <w:sz w:val="18"/>
                      <w:szCs w:val="18"/>
                      <w:lang w:val="es-CR" w:eastAsia="es-CR"/>
                    </w:rPr>
                  </w:pPr>
                  <w:r w:rsidRPr="00096AA9">
                    <w:rPr>
                      <w:rFonts w:eastAsia="Times New Roman" w:cs="Arial"/>
                      <w:sz w:val="18"/>
                      <w:szCs w:val="18"/>
                      <w:lang w:val="es-CR" w:eastAsia="es-CR"/>
                    </w:rPr>
                    <w:t>20 días hábiles posteriores a la fecha límite para prestación de los estados financieros auditados.</w:t>
                  </w:r>
                </w:p>
                <w:p w14:paraId="441C2373" w14:textId="77777777" w:rsidR="00096AA9" w:rsidRPr="00096AA9" w:rsidRDefault="00096AA9" w:rsidP="00096AA9">
                  <w:pPr>
                    <w:spacing w:after="0" w:line="240" w:lineRule="auto"/>
                    <w:jc w:val="center"/>
                    <w:rPr>
                      <w:rFonts w:eastAsia="Times New Roman" w:cs="Arial"/>
                      <w:sz w:val="18"/>
                      <w:szCs w:val="18"/>
                      <w:lang w:val="es-CR" w:eastAsia="es-CR"/>
                    </w:rPr>
                  </w:pPr>
                </w:p>
                <w:p w14:paraId="0688B937" w14:textId="77777777" w:rsidR="00096AA9" w:rsidRPr="00096AA9" w:rsidRDefault="00096AA9" w:rsidP="00096AA9">
                  <w:pPr>
                    <w:spacing w:after="0" w:line="240" w:lineRule="auto"/>
                    <w:jc w:val="center"/>
                    <w:rPr>
                      <w:rFonts w:eastAsia="Times New Roman" w:cs="Arial"/>
                      <w:sz w:val="18"/>
                      <w:szCs w:val="18"/>
                      <w:lang w:val="es-CR" w:eastAsia="es-CR"/>
                    </w:rPr>
                  </w:pPr>
                </w:p>
                <w:p w14:paraId="46361C91" w14:textId="77777777" w:rsidR="00096AA9" w:rsidRPr="00096AA9" w:rsidRDefault="00096AA9" w:rsidP="00096AA9">
                  <w:pPr>
                    <w:spacing w:after="0" w:line="240" w:lineRule="auto"/>
                    <w:jc w:val="center"/>
                    <w:rPr>
                      <w:rFonts w:eastAsia="Times New Roman" w:cs="Arial"/>
                      <w:sz w:val="18"/>
                      <w:szCs w:val="18"/>
                      <w:lang w:val="es-CR" w:eastAsia="es-CR"/>
                    </w:rPr>
                  </w:pPr>
                </w:p>
                <w:p w14:paraId="24F2B940"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 xml:space="preserve">31 de marzo en el caso de Gobierno Central y Banco Central costarricenses y extranjeros y  </w:t>
                  </w:r>
                  <w:r w:rsidRPr="00096AA9">
                    <w:rPr>
                      <w:rFonts w:eastAsia="+mj-ea" w:cs="Arial"/>
                      <w:kern w:val="24"/>
                      <w:sz w:val="18"/>
                      <w:szCs w:val="18"/>
                    </w:rPr>
                    <w:t xml:space="preserve">organismos internacionales con participación </w:t>
                  </w:r>
                  <w:r w:rsidRPr="00096AA9">
                    <w:rPr>
                      <w:rFonts w:eastAsia="+mj-ea" w:cs="Arial"/>
                      <w:kern w:val="24"/>
                      <w:sz w:val="18"/>
                      <w:szCs w:val="18"/>
                    </w:rPr>
                    <w:lastRenderedPageBreak/>
                    <w:t>del Estado costarricense.</w:t>
                  </w:r>
                </w:p>
              </w:tc>
              <w:tc>
                <w:tcPr>
                  <w:tcW w:w="1231" w:type="dxa"/>
                  <w:shd w:val="clear" w:color="000000" w:fill="FFFFFF"/>
                </w:tcPr>
                <w:p w14:paraId="0EB9862C" w14:textId="77777777" w:rsidR="00096AA9" w:rsidRPr="00096AA9" w:rsidRDefault="00096AA9" w:rsidP="00096AA9">
                  <w:pPr>
                    <w:spacing w:after="0" w:line="240" w:lineRule="auto"/>
                    <w:rPr>
                      <w:rFonts w:eastAsia="Times New Roman" w:cs="Arial"/>
                      <w:sz w:val="18"/>
                      <w:szCs w:val="18"/>
                      <w:lang w:val="es-CR" w:eastAsia="es-CR"/>
                    </w:rPr>
                  </w:pPr>
                  <w:r w:rsidRPr="00096AA9">
                    <w:rPr>
                      <w:rFonts w:eastAsia="Times New Roman" w:cs="Arial"/>
                      <w:sz w:val="18"/>
                      <w:szCs w:val="18"/>
                      <w:lang w:val="es-CR" w:eastAsia="es-CR"/>
                    </w:rPr>
                    <w:lastRenderedPageBreak/>
                    <w:t>Acuerdo SGV-A-XXX  Lineamientos para emisiones verdes, sociales y sostenibles de oferta pública</w:t>
                  </w:r>
                </w:p>
                <w:p w14:paraId="7E5D091E" w14:textId="77777777" w:rsidR="00096AA9" w:rsidRPr="00096AA9" w:rsidRDefault="00096AA9" w:rsidP="00096AA9">
                  <w:pPr>
                    <w:spacing w:after="0" w:line="240" w:lineRule="auto"/>
                    <w:jc w:val="center"/>
                    <w:rPr>
                      <w:rFonts w:eastAsia="Times New Roman" w:cs="Arial"/>
                      <w:sz w:val="18"/>
                      <w:szCs w:val="18"/>
                      <w:lang w:val="es-CR" w:eastAsia="es-CR"/>
                    </w:rPr>
                  </w:pPr>
                </w:p>
              </w:tc>
              <w:tc>
                <w:tcPr>
                  <w:tcW w:w="1021" w:type="dxa"/>
                  <w:shd w:val="clear" w:color="000000" w:fill="FFFFFF"/>
                </w:tcPr>
                <w:p w14:paraId="5233BA82" w14:textId="77777777" w:rsidR="00096AA9" w:rsidRPr="00096AA9" w:rsidRDefault="00096AA9" w:rsidP="00096AA9">
                  <w:pPr>
                    <w:spacing w:after="0" w:line="240" w:lineRule="auto"/>
                    <w:jc w:val="center"/>
                    <w:rPr>
                      <w:rFonts w:eastAsia="Times New Roman" w:cs="Arial"/>
                      <w:sz w:val="18"/>
                      <w:szCs w:val="18"/>
                      <w:lang w:val="es-CR" w:eastAsia="es-CR"/>
                    </w:rPr>
                  </w:pPr>
                  <w:r w:rsidRPr="00096AA9">
                    <w:rPr>
                      <w:rFonts w:eastAsia="Times New Roman" w:cs="Arial"/>
                      <w:sz w:val="18"/>
                      <w:szCs w:val="18"/>
                      <w:lang w:val="es-CR" w:eastAsia="es-CR"/>
                    </w:rPr>
                    <w:t xml:space="preserve">Sistema </w:t>
                  </w:r>
                  <w:proofErr w:type="spellStart"/>
                  <w:r w:rsidRPr="00096AA9">
                    <w:rPr>
                      <w:rFonts w:eastAsia="Times New Roman" w:cs="Arial"/>
                      <w:sz w:val="18"/>
                      <w:szCs w:val="18"/>
                      <w:lang w:val="es-CR" w:eastAsia="es-CR"/>
                    </w:rPr>
                    <w:t>Ingresador</w:t>
                  </w:r>
                  <w:proofErr w:type="spellEnd"/>
                </w:p>
                <w:p w14:paraId="2586FBBF" w14:textId="77777777" w:rsidR="00096AA9" w:rsidRPr="00096AA9" w:rsidRDefault="00096AA9" w:rsidP="00096AA9">
                  <w:pPr>
                    <w:spacing w:after="0" w:line="240" w:lineRule="auto"/>
                    <w:jc w:val="center"/>
                    <w:rPr>
                      <w:rFonts w:eastAsia="Times New Roman" w:cs="Arial"/>
                      <w:sz w:val="18"/>
                      <w:szCs w:val="18"/>
                      <w:lang w:val="es-CR" w:eastAsia="es-CR"/>
                    </w:rPr>
                  </w:pPr>
                </w:p>
                <w:p w14:paraId="4674A527" w14:textId="77777777" w:rsidR="00096AA9" w:rsidRPr="00096AA9" w:rsidRDefault="00096AA9" w:rsidP="00096AA9">
                  <w:pPr>
                    <w:spacing w:after="0" w:line="240" w:lineRule="auto"/>
                    <w:jc w:val="center"/>
                    <w:rPr>
                      <w:rFonts w:eastAsia="Times New Roman" w:cs="Arial"/>
                      <w:sz w:val="18"/>
                      <w:szCs w:val="18"/>
                      <w:lang w:val="es-CR" w:eastAsia="es-CR"/>
                    </w:rPr>
                  </w:pPr>
                  <w:proofErr w:type="spellStart"/>
                  <w:r w:rsidRPr="00096AA9">
                    <w:rPr>
                      <w:rFonts w:eastAsia="Times New Roman" w:cs="Arial"/>
                      <w:sz w:val="18"/>
                      <w:szCs w:val="18"/>
                      <w:lang w:val="es-CR" w:eastAsia="es-CR"/>
                    </w:rPr>
                    <w:t>Mendocel</w:t>
                  </w:r>
                  <w:proofErr w:type="spellEnd"/>
                </w:p>
                <w:p w14:paraId="03F0B00C" w14:textId="77777777" w:rsidR="00096AA9" w:rsidRPr="00096AA9" w:rsidRDefault="00096AA9" w:rsidP="00096AA9">
                  <w:pPr>
                    <w:spacing w:after="0" w:line="240" w:lineRule="auto"/>
                    <w:jc w:val="center"/>
                    <w:rPr>
                      <w:rFonts w:eastAsia="Times New Roman" w:cs="Arial"/>
                      <w:sz w:val="18"/>
                      <w:szCs w:val="18"/>
                      <w:lang w:val="es-CR" w:eastAsia="es-CR"/>
                    </w:rPr>
                  </w:pPr>
                  <w:r w:rsidRPr="00096AA9">
                    <w:rPr>
                      <w:rFonts w:eastAsia="Times New Roman" w:cs="Arial"/>
                      <w:sz w:val="18"/>
                      <w:szCs w:val="18"/>
                      <w:lang w:val="es-CR" w:eastAsia="es-CR"/>
                    </w:rPr>
                    <w:t>SGV-A-188</w:t>
                  </w:r>
                </w:p>
                <w:p w14:paraId="439E7EE5" w14:textId="77777777" w:rsidR="00096AA9" w:rsidRPr="00096AA9" w:rsidRDefault="00096AA9" w:rsidP="00096AA9">
                  <w:pPr>
                    <w:spacing w:after="0" w:line="240" w:lineRule="auto"/>
                    <w:jc w:val="center"/>
                    <w:rPr>
                      <w:rFonts w:eastAsia="Times New Roman" w:cs="Arial"/>
                      <w:sz w:val="18"/>
                      <w:szCs w:val="18"/>
                      <w:lang w:val="es-CR" w:eastAsia="es-CR"/>
                    </w:rPr>
                  </w:pPr>
                </w:p>
                <w:p w14:paraId="3276FC6C" w14:textId="77777777" w:rsidR="00096AA9" w:rsidRPr="00096AA9" w:rsidRDefault="00096AA9" w:rsidP="00096AA9">
                  <w:pPr>
                    <w:spacing w:after="0" w:line="240" w:lineRule="auto"/>
                    <w:rPr>
                      <w:rFonts w:eastAsia="Times New Roman" w:cs="Arial"/>
                      <w:sz w:val="18"/>
                      <w:szCs w:val="18"/>
                      <w:lang w:val="es-CR" w:eastAsia="es-CR"/>
                    </w:rPr>
                  </w:pPr>
                </w:p>
              </w:tc>
              <w:tc>
                <w:tcPr>
                  <w:tcW w:w="1411" w:type="dxa"/>
                  <w:shd w:val="clear" w:color="000000" w:fill="FFFFFF"/>
                </w:tcPr>
                <w:p w14:paraId="19BE7DEC"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Solo aplica a emisiones, fondos de inversión y universalidades que califiquen como verdes, sociales y sostenibles.</w:t>
                  </w:r>
                </w:p>
                <w:p w14:paraId="3BF19389" w14:textId="77777777" w:rsidR="00096AA9" w:rsidRPr="00096AA9" w:rsidRDefault="00096AA9" w:rsidP="00096AA9">
                  <w:pPr>
                    <w:spacing w:after="0" w:line="240" w:lineRule="auto"/>
                    <w:jc w:val="both"/>
                    <w:rPr>
                      <w:rFonts w:eastAsia="Times New Roman" w:cs="Arial"/>
                      <w:sz w:val="18"/>
                      <w:szCs w:val="18"/>
                      <w:lang w:val="es-CR" w:eastAsia="es-CR"/>
                    </w:rPr>
                  </w:pPr>
                </w:p>
                <w:p w14:paraId="3DB5CF94" w14:textId="77777777" w:rsidR="00096AA9" w:rsidRPr="00096AA9" w:rsidRDefault="00096AA9" w:rsidP="00096AA9">
                  <w:pPr>
                    <w:spacing w:after="0" w:line="240" w:lineRule="auto"/>
                    <w:jc w:val="both"/>
                    <w:rPr>
                      <w:rFonts w:eastAsia="Times New Roman" w:cs="Arial"/>
                      <w:sz w:val="18"/>
                      <w:szCs w:val="18"/>
                      <w:lang w:val="es-CR" w:eastAsia="es-CR"/>
                    </w:rPr>
                  </w:pPr>
                </w:p>
                <w:p w14:paraId="02E92E52" w14:textId="77777777" w:rsidR="00096AA9" w:rsidRPr="00096AA9" w:rsidRDefault="00096AA9" w:rsidP="00096AA9">
                  <w:pPr>
                    <w:spacing w:after="0" w:line="240" w:lineRule="auto"/>
                    <w:jc w:val="both"/>
                    <w:rPr>
                      <w:rFonts w:eastAsia="Times New Roman" w:cs="Arial"/>
                      <w:sz w:val="18"/>
                      <w:szCs w:val="18"/>
                      <w:lang w:val="es-CR" w:eastAsia="es-CR"/>
                    </w:rPr>
                  </w:pPr>
                  <w:r w:rsidRPr="00096AA9">
                    <w:rPr>
                      <w:rFonts w:eastAsia="Times New Roman" w:cs="Arial"/>
                      <w:sz w:val="18"/>
                      <w:szCs w:val="18"/>
                      <w:lang w:val="es-CR" w:eastAsia="es-CR"/>
                    </w:rPr>
                    <w:t xml:space="preserve">El envío por medio de </w:t>
                  </w:r>
                  <w:proofErr w:type="spellStart"/>
                  <w:r w:rsidRPr="00096AA9">
                    <w:rPr>
                      <w:rFonts w:eastAsia="Times New Roman" w:cs="Arial"/>
                      <w:b/>
                      <w:bCs/>
                      <w:sz w:val="18"/>
                      <w:szCs w:val="18"/>
                      <w:lang w:val="es-CR" w:eastAsia="es-CR"/>
                    </w:rPr>
                    <w:t>Mendocel</w:t>
                  </w:r>
                  <w:proofErr w:type="spellEnd"/>
                  <w:r w:rsidRPr="00096AA9">
                    <w:rPr>
                      <w:rFonts w:eastAsia="Times New Roman" w:cs="Arial"/>
                      <w:sz w:val="18"/>
                      <w:szCs w:val="18"/>
                      <w:lang w:val="es-CR" w:eastAsia="es-CR"/>
                    </w:rPr>
                    <w:t xml:space="preserve"> solo aplica para valores emitidos por el Gobierno Central y Banco Central costarricenses y extranjeros y </w:t>
                  </w:r>
                  <w:r w:rsidRPr="00096AA9">
                    <w:rPr>
                      <w:rFonts w:eastAsia="+mj-ea" w:cs="Arial"/>
                      <w:kern w:val="24"/>
                      <w:sz w:val="18"/>
                      <w:szCs w:val="18"/>
                    </w:rPr>
                    <w:t xml:space="preserve">organismos </w:t>
                  </w:r>
                  <w:r w:rsidRPr="00096AA9">
                    <w:rPr>
                      <w:rFonts w:eastAsia="+mj-ea" w:cs="Arial"/>
                      <w:kern w:val="24"/>
                      <w:sz w:val="18"/>
                      <w:szCs w:val="18"/>
                    </w:rPr>
                    <w:lastRenderedPageBreak/>
                    <w:t>internacionales con participación del Estado costarricense.</w:t>
                  </w:r>
                </w:p>
                <w:p w14:paraId="46A2B331" w14:textId="77777777" w:rsidR="00096AA9" w:rsidRPr="00096AA9" w:rsidRDefault="00096AA9" w:rsidP="00096AA9">
                  <w:pPr>
                    <w:spacing w:after="0" w:line="240" w:lineRule="auto"/>
                    <w:jc w:val="both"/>
                    <w:rPr>
                      <w:rFonts w:eastAsia="Times New Roman" w:cs="Arial"/>
                      <w:sz w:val="18"/>
                      <w:szCs w:val="18"/>
                      <w:lang w:val="es-CR" w:eastAsia="es-CR"/>
                    </w:rPr>
                  </w:pPr>
                </w:p>
                <w:p w14:paraId="6AC12981" w14:textId="77777777" w:rsidR="00096AA9" w:rsidRPr="00096AA9" w:rsidRDefault="00096AA9" w:rsidP="00096AA9">
                  <w:pPr>
                    <w:pStyle w:val="Textocomentario"/>
                    <w:spacing w:after="0"/>
                    <w:jc w:val="both"/>
                    <w:rPr>
                      <w:rFonts w:eastAsia="Times New Roman" w:cs="Arial"/>
                      <w:sz w:val="18"/>
                      <w:szCs w:val="18"/>
                      <w:lang w:val="es-CR" w:eastAsia="es-CR"/>
                    </w:rPr>
                  </w:pPr>
                  <w:r w:rsidRPr="00096AA9">
                    <w:rPr>
                      <w:rFonts w:eastAsia="Times New Roman" w:cs="Arial"/>
                      <w:sz w:val="18"/>
                      <w:szCs w:val="18"/>
                      <w:lang w:val="es-CR" w:eastAsia="es-CR"/>
                    </w:rPr>
                    <w:t>No será necesario el envío del informe, si al momento de la primera remisión anual, la emisión o fondo de inversión tiene menos de 6 meses de haberse inscrito en el Registro Nacional de Valores e Intermediarios.</w:t>
                  </w:r>
                </w:p>
              </w:tc>
            </w:tr>
          </w:tbl>
          <w:bookmarkStart w:id="1" w:name="_MON_1678262238"/>
          <w:bookmarkEnd w:id="1"/>
          <w:p w14:paraId="449A0406" w14:textId="01B6B0EC" w:rsidR="00096AA9" w:rsidRPr="00096AA9" w:rsidRDefault="005275D0" w:rsidP="00096AA9">
            <w:pPr>
              <w:jc w:val="both"/>
              <w:rPr>
                <w:rStyle w:val="Hipervnculo"/>
                <w:rFonts w:eastAsia="Calibri" w:cs="Arial"/>
                <w:color w:val="auto"/>
                <w:sz w:val="18"/>
                <w:szCs w:val="18"/>
              </w:rPr>
            </w:pPr>
            <w:r w:rsidRPr="00096AA9">
              <w:rPr>
                <w:rStyle w:val="Hipervnculo"/>
                <w:rFonts w:eastAsia="Calibri" w:cs="Arial"/>
                <w:color w:val="auto"/>
                <w:sz w:val="18"/>
                <w:szCs w:val="18"/>
              </w:rPr>
              <w:object w:dxaOrig="1175" w:dyaOrig="760" w14:anchorId="5D672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37.45pt" o:ole="">
                  <v:imagedata r:id="rId8" o:title=""/>
                </v:shape>
                <o:OLEObject Type="Embed" ProgID="Excel.Sheet.8" ShapeID="_x0000_i1025" DrawAspect="Icon" ObjectID="_1701624126" r:id="rId9"/>
              </w:object>
            </w:r>
          </w:p>
        </w:tc>
        <w:tc>
          <w:tcPr>
            <w:tcW w:w="1833" w:type="dxa"/>
          </w:tcPr>
          <w:p w14:paraId="12092460" w14:textId="7DD58E26" w:rsidR="004C554F" w:rsidRPr="00EF44C1" w:rsidRDefault="004C554F" w:rsidP="004C554F">
            <w:pPr>
              <w:jc w:val="both"/>
              <w:rPr>
                <w:rFonts w:eastAsia="Times New Roman" w:cs="Arial"/>
                <w:b/>
                <w:bCs/>
                <w:i/>
                <w:iCs/>
                <w:sz w:val="20"/>
                <w:szCs w:val="20"/>
                <w:lang w:eastAsia="es-ES"/>
              </w:rPr>
            </w:pPr>
            <w:r w:rsidRPr="00EF44C1">
              <w:rPr>
                <w:rFonts w:eastAsia="Times New Roman" w:cs="Arial"/>
                <w:b/>
                <w:bCs/>
                <w:i/>
                <w:iCs/>
                <w:sz w:val="20"/>
                <w:szCs w:val="20"/>
                <w:lang w:eastAsia="es-ES"/>
              </w:rPr>
              <w:lastRenderedPageBreak/>
              <w:t>Sociedad Calificadora de Riesgo Centroamericana S.A</w:t>
            </w:r>
          </w:p>
          <w:p w14:paraId="03C52A0E" w14:textId="77777777" w:rsidR="004C554F" w:rsidRPr="00EF44C1" w:rsidRDefault="004C554F" w:rsidP="004C554F">
            <w:pPr>
              <w:rPr>
                <w:rFonts w:eastAsia="Times New Roman" w:cs="Arial"/>
                <w:i/>
                <w:iCs/>
                <w:sz w:val="20"/>
                <w:szCs w:val="20"/>
                <w:lang w:eastAsia="es-ES"/>
              </w:rPr>
            </w:pPr>
          </w:p>
          <w:p w14:paraId="3DEB10E3" w14:textId="77777777" w:rsidR="004C554F" w:rsidRPr="00EF44C1" w:rsidRDefault="004C554F" w:rsidP="004C554F">
            <w:pPr>
              <w:rPr>
                <w:rFonts w:eastAsia="Times New Roman" w:cs="Arial"/>
                <w:i/>
                <w:iCs/>
                <w:sz w:val="20"/>
                <w:szCs w:val="20"/>
                <w:lang w:eastAsia="es-ES"/>
              </w:rPr>
            </w:pPr>
            <w:r w:rsidRPr="00EF44C1">
              <w:rPr>
                <w:rFonts w:eastAsia="Times New Roman" w:cs="Arial"/>
                <w:i/>
                <w:iCs/>
                <w:sz w:val="20"/>
                <w:szCs w:val="20"/>
                <w:lang w:eastAsia="es-ES"/>
              </w:rPr>
              <w:t>Establecer una fecha única para el envío de información periódica, puede generar que los datos que se presente en el informe se brinden desactualizados. Lo más recomendable es que los informes se actualicen un año después de la publicación del primer informe.</w:t>
            </w:r>
          </w:p>
          <w:p w14:paraId="729CBDE4" w14:textId="77777777" w:rsidR="00861AC9" w:rsidRPr="00EF44C1" w:rsidRDefault="00861AC9" w:rsidP="00861AC9">
            <w:pPr>
              <w:jc w:val="both"/>
              <w:rPr>
                <w:rFonts w:eastAsia="Times New Roman" w:cs="Arial"/>
                <w:i/>
                <w:iCs/>
                <w:sz w:val="20"/>
                <w:szCs w:val="20"/>
                <w:lang w:eastAsia="es-CR"/>
              </w:rPr>
            </w:pPr>
          </w:p>
          <w:p w14:paraId="3023EB93" w14:textId="77777777" w:rsidR="00861AC9" w:rsidRPr="00EF44C1" w:rsidRDefault="00861AC9" w:rsidP="00861AC9">
            <w:pPr>
              <w:jc w:val="both"/>
              <w:rPr>
                <w:rFonts w:eastAsia="Times New Roman" w:cs="Arial"/>
                <w:i/>
                <w:iCs/>
                <w:sz w:val="20"/>
                <w:szCs w:val="20"/>
                <w:lang w:val="es-CR" w:eastAsia="es-CR"/>
              </w:rPr>
            </w:pPr>
          </w:p>
          <w:p w14:paraId="451A89E7" w14:textId="77777777" w:rsidR="00861AC9" w:rsidRPr="00EF44C1" w:rsidRDefault="00861AC9" w:rsidP="00861AC9">
            <w:pPr>
              <w:jc w:val="both"/>
              <w:rPr>
                <w:rFonts w:eastAsia="Times New Roman" w:cs="Arial"/>
                <w:i/>
                <w:iCs/>
                <w:sz w:val="20"/>
                <w:szCs w:val="20"/>
                <w:lang w:val="es-CR" w:eastAsia="es-CR"/>
              </w:rPr>
            </w:pPr>
          </w:p>
          <w:p w14:paraId="6FD7343D" w14:textId="77777777" w:rsidR="000365FA" w:rsidRPr="00EF44C1" w:rsidRDefault="000365FA" w:rsidP="000365FA">
            <w:pPr>
              <w:jc w:val="both"/>
              <w:rPr>
                <w:rFonts w:eastAsia="Times New Roman" w:cs="Arial"/>
                <w:b/>
                <w:bCs/>
                <w:i/>
                <w:iCs/>
                <w:sz w:val="20"/>
                <w:szCs w:val="20"/>
                <w:lang w:val="es-CR" w:eastAsia="es-CR"/>
              </w:rPr>
            </w:pPr>
            <w:r w:rsidRPr="00EF44C1">
              <w:rPr>
                <w:rFonts w:eastAsia="Times New Roman" w:cs="Arial"/>
                <w:b/>
                <w:bCs/>
                <w:i/>
                <w:iCs/>
                <w:sz w:val="20"/>
                <w:szCs w:val="20"/>
                <w:lang w:val="es-CR" w:eastAsia="es-CR"/>
              </w:rPr>
              <w:t>Cámara Costarricense de Emisores de Títulos Valores y Bolsa Nacional de Valores (BNV)</w:t>
            </w:r>
          </w:p>
          <w:p w14:paraId="2DFBF0C3" w14:textId="77777777" w:rsidR="000365FA" w:rsidRPr="00EF44C1" w:rsidRDefault="000365FA" w:rsidP="000365FA">
            <w:pPr>
              <w:rPr>
                <w:rFonts w:eastAsia="Times New Roman" w:cs="Arial"/>
                <w:b/>
                <w:bCs/>
                <w:i/>
                <w:iCs/>
                <w:sz w:val="20"/>
                <w:szCs w:val="20"/>
                <w:lang w:val="es-CR" w:eastAsia="es-CR"/>
              </w:rPr>
            </w:pPr>
          </w:p>
          <w:p w14:paraId="35503232" w14:textId="77777777" w:rsidR="000365FA" w:rsidRPr="00EF44C1" w:rsidRDefault="000365FA" w:rsidP="000365FA">
            <w:pPr>
              <w:jc w:val="both"/>
              <w:rPr>
                <w:rFonts w:eastAsia="Times New Roman" w:cs="Arial"/>
                <w:i/>
                <w:iCs/>
                <w:sz w:val="20"/>
                <w:szCs w:val="20"/>
                <w:lang w:val="es-CR" w:eastAsia="es-CR"/>
              </w:rPr>
            </w:pPr>
            <w:r w:rsidRPr="00EF44C1">
              <w:rPr>
                <w:rFonts w:eastAsia="Times New Roman" w:cs="Arial"/>
                <w:i/>
                <w:iCs/>
                <w:sz w:val="20"/>
                <w:szCs w:val="20"/>
                <w:lang w:val="es-CR" w:eastAsia="es-CR"/>
              </w:rPr>
              <w:t xml:space="preserve">En cuanto a la actualización anual de la revisión externa y </w:t>
            </w:r>
            <w:r w:rsidRPr="00EF44C1">
              <w:rPr>
                <w:rFonts w:eastAsia="Times New Roman" w:cs="Arial"/>
                <w:i/>
                <w:iCs/>
                <w:sz w:val="20"/>
                <w:szCs w:val="20"/>
                <w:lang w:val="es-CR" w:eastAsia="es-CR"/>
              </w:rPr>
              <w:lastRenderedPageBreak/>
              <w:t>los informes anuales a los inversionistas, se recomienda que se requiera un único documento anual a los emisores</w:t>
            </w:r>
          </w:p>
          <w:p w14:paraId="60A27B55" w14:textId="77777777" w:rsidR="000365FA" w:rsidRPr="00EF44C1" w:rsidRDefault="000365FA" w:rsidP="000365FA">
            <w:pPr>
              <w:jc w:val="both"/>
              <w:rPr>
                <w:rFonts w:eastAsia="Times New Roman" w:cs="Arial"/>
                <w:i/>
                <w:iCs/>
                <w:sz w:val="20"/>
                <w:szCs w:val="20"/>
                <w:lang w:val="es-CR" w:eastAsia="es-CR"/>
              </w:rPr>
            </w:pPr>
            <w:r w:rsidRPr="00EF44C1">
              <w:rPr>
                <w:rFonts w:eastAsia="Times New Roman" w:cs="Arial"/>
                <w:i/>
                <w:iCs/>
                <w:sz w:val="20"/>
                <w:szCs w:val="20"/>
                <w:lang w:val="es-CR" w:eastAsia="es-CR"/>
              </w:rPr>
              <w:t>para ser consistentes con lo que establece ICMA, los estándares de la BNV y reducir costos a los emisores.</w:t>
            </w:r>
          </w:p>
          <w:p w14:paraId="182C2338" w14:textId="77777777" w:rsidR="00861AC9" w:rsidRPr="00EF44C1" w:rsidRDefault="00861AC9" w:rsidP="00861AC9">
            <w:pPr>
              <w:jc w:val="both"/>
              <w:rPr>
                <w:rFonts w:eastAsia="Times New Roman" w:cs="Arial"/>
                <w:i/>
                <w:iCs/>
                <w:sz w:val="20"/>
                <w:szCs w:val="20"/>
                <w:lang w:val="es-CR" w:eastAsia="es-CR"/>
              </w:rPr>
            </w:pPr>
          </w:p>
          <w:p w14:paraId="46B76FB4" w14:textId="77777777" w:rsidR="00E639AF" w:rsidRDefault="00E639AF" w:rsidP="00D47C0A">
            <w:pPr>
              <w:jc w:val="both"/>
              <w:rPr>
                <w:rFonts w:eastAsia="Times New Roman" w:cs="Arial"/>
                <w:b/>
                <w:bCs/>
                <w:i/>
                <w:iCs/>
                <w:sz w:val="20"/>
                <w:szCs w:val="20"/>
                <w:lang w:eastAsia="es-ES"/>
              </w:rPr>
            </w:pPr>
          </w:p>
          <w:p w14:paraId="76AA1A3D" w14:textId="1CF38EBB" w:rsidR="00D47C0A" w:rsidRPr="00EF44C1" w:rsidRDefault="00D47C0A" w:rsidP="00D47C0A">
            <w:pPr>
              <w:jc w:val="both"/>
              <w:rPr>
                <w:rFonts w:eastAsia="Times New Roman" w:cs="Arial"/>
                <w:b/>
                <w:bCs/>
                <w:i/>
                <w:iCs/>
                <w:sz w:val="20"/>
                <w:szCs w:val="20"/>
                <w:lang w:eastAsia="es-ES"/>
              </w:rPr>
            </w:pPr>
            <w:r w:rsidRPr="00EF44C1">
              <w:rPr>
                <w:rFonts w:eastAsia="Times New Roman" w:cs="Arial"/>
                <w:b/>
                <w:bCs/>
                <w:i/>
                <w:iCs/>
                <w:sz w:val="20"/>
                <w:szCs w:val="20"/>
                <w:lang w:eastAsia="es-ES"/>
              </w:rPr>
              <w:t>Sociedad Calificadora de Riesgo Centroamericana S.A</w:t>
            </w:r>
          </w:p>
          <w:p w14:paraId="76BD9071" w14:textId="77777777" w:rsidR="00D47C0A" w:rsidRPr="00EF44C1" w:rsidRDefault="00D47C0A" w:rsidP="00D47C0A">
            <w:pPr>
              <w:rPr>
                <w:rFonts w:eastAsia="Times New Roman" w:cs="Arial"/>
                <w:i/>
                <w:iCs/>
                <w:sz w:val="20"/>
                <w:szCs w:val="20"/>
                <w:lang w:eastAsia="es-ES"/>
              </w:rPr>
            </w:pPr>
          </w:p>
          <w:p w14:paraId="615B29AC" w14:textId="77777777" w:rsidR="00D47C0A" w:rsidRPr="00EF44C1" w:rsidRDefault="00D47C0A" w:rsidP="00D47C0A">
            <w:pPr>
              <w:rPr>
                <w:rFonts w:eastAsia="Times New Roman" w:cs="Arial"/>
                <w:i/>
                <w:iCs/>
                <w:sz w:val="20"/>
                <w:szCs w:val="20"/>
                <w:lang w:eastAsia="es-ES"/>
              </w:rPr>
            </w:pPr>
            <w:r w:rsidRPr="00EF44C1">
              <w:rPr>
                <w:rFonts w:eastAsia="Times New Roman" w:cs="Arial"/>
                <w:i/>
                <w:iCs/>
                <w:sz w:val="20"/>
                <w:szCs w:val="20"/>
                <w:lang w:eastAsia="es-ES"/>
              </w:rPr>
              <w:t xml:space="preserve">Establecer una fecha única para el envío de información periódica, puede generar que los datos que se presente en el informe se brinden desactualizados. Lo más recomendable es que los informes </w:t>
            </w:r>
            <w:r w:rsidRPr="00EF44C1">
              <w:rPr>
                <w:rFonts w:eastAsia="Times New Roman" w:cs="Arial"/>
                <w:i/>
                <w:iCs/>
                <w:sz w:val="20"/>
                <w:szCs w:val="20"/>
                <w:lang w:eastAsia="es-ES"/>
              </w:rPr>
              <w:lastRenderedPageBreak/>
              <w:t>se actualicen un año después de la publicación del primer informe.</w:t>
            </w:r>
          </w:p>
          <w:p w14:paraId="42284FAB" w14:textId="77777777" w:rsidR="00861AC9" w:rsidRPr="00EF44C1" w:rsidRDefault="00861AC9" w:rsidP="00861AC9">
            <w:pPr>
              <w:jc w:val="both"/>
              <w:rPr>
                <w:rFonts w:eastAsia="Times New Roman" w:cs="Arial"/>
                <w:i/>
                <w:iCs/>
                <w:sz w:val="20"/>
                <w:szCs w:val="20"/>
                <w:lang w:eastAsia="es-CR"/>
              </w:rPr>
            </w:pPr>
          </w:p>
          <w:p w14:paraId="3747C8A3" w14:textId="57E8F7E5" w:rsidR="00274B97" w:rsidRPr="00EF44C1" w:rsidRDefault="00274B97" w:rsidP="00861AC9">
            <w:pPr>
              <w:jc w:val="both"/>
              <w:rPr>
                <w:rFonts w:eastAsia="Times New Roman" w:cs="Arial"/>
                <w:b/>
                <w:bCs/>
                <w:i/>
                <w:iCs/>
                <w:sz w:val="20"/>
                <w:szCs w:val="20"/>
                <w:lang w:val="es-CR" w:eastAsia="es-CR"/>
              </w:rPr>
            </w:pPr>
          </w:p>
          <w:p w14:paraId="4FC6FAC6" w14:textId="32449682" w:rsidR="00861AC9" w:rsidRPr="00EF44C1" w:rsidRDefault="00861AC9" w:rsidP="00861AC9">
            <w:pPr>
              <w:jc w:val="both"/>
              <w:rPr>
                <w:rFonts w:eastAsia="Times New Roman" w:cs="Arial"/>
                <w:b/>
                <w:bCs/>
                <w:i/>
                <w:iCs/>
                <w:sz w:val="20"/>
                <w:szCs w:val="20"/>
                <w:lang w:val="es-CR" w:eastAsia="es-CR"/>
              </w:rPr>
            </w:pPr>
            <w:r w:rsidRPr="00EF44C1">
              <w:rPr>
                <w:rFonts w:eastAsia="Times New Roman" w:cs="Arial"/>
                <w:b/>
                <w:bCs/>
                <w:i/>
                <w:iCs/>
                <w:sz w:val="20"/>
                <w:szCs w:val="20"/>
                <w:lang w:val="es-CR" w:eastAsia="es-CR"/>
              </w:rPr>
              <w:t>Cámara Costarricense de Emisores de Títulos Valores</w:t>
            </w:r>
          </w:p>
          <w:p w14:paraId="5CBBE8FB" w14:textId="77777777" w:rsidR="00861AC9" w:rsidRPr="00EF44C1" w:rsidRDefault="00861AC9" w:rsidP="00861AC9">
            <w:pPr>
              <w:jc w:val="both"/>
              <w:rPr>
                <w:rFonts w:eastAsia="Times New Roman" w:cs="Arial"/>
                <w:i/>
                <w:iCs/>
                <w:sz w:val="20"/>
                <w:szCs w:val="20"/>
                <w:lang w:val="es-CR" w:eastAsia="es-CR"/>
              </w:rPr>
            </w:pPr>
          </w:p>
          <w:p w14:paraId="6CA1F367" w14:textId="1F8F6FAC" w:rsidR="00861AC9" w:rsidRPr="00EF44C1" w:rsidRDefault="00861AC9" w:rsidP="00861AC9">
            <w:pPr>
              <w:jc w:val="both"/>
              <w:rPr>
                <w:rFonts w:eastAsia="Times New Roman" w:cs="Arial"/>
                <w:i/>
                <w:iCs/>
                <w:sz w:val="20"/>
                <w:szCs w:val="20"/>
                <w:lang w:val="es-CR" w:eastAsia="es-CR"/>
              </w:rPr>
            </w:pPr>
            <w:r w:rsidRPr="00EF44C1">
              <w:rPr>
                <w:rFonts w:eastAsia="Times New Roman" w:cs="Arial"/>
                <w:i/>
                <w:iCs/>
                <w:sz w:val="20"/>
                <w:szCs w:val="20"/>
                <w:lang w:val="es-CR" w:eastAsia="es-CR"/>
              </w:rPr>
              <w:t>Por otra parte, en la misma tabla, en cuanto al “Informe del uso de los fondos de emisiones que califiquen como verdes, sociales o sostenibles” sugerimos incluir una nota al pie para incluir el contenido del artículo 9 de los lineamientos, a saber: “Si la revisión externa cumple con el contenido mínimo solicitado en este anexo, se podrá presentar únicamente la revisión externa en sustitución del informe del uso de fondos.”</w:t>
            </w:r>
          </w:p>
          <w:p w14:paraId="5103F73D" w14:textId="77777777" w:rsidR="00861AC9" w:rsidRPr="00EF44C1" w:rsidRDefault="00861AC9" w:rsidP="00861AC9">
            <w:pPr>
              <w:jc w:val="both"/>
              <w:rPr>
                <w:rFonts w:eastAsia="Times New Roman" w:cs="Arial"/>
                <w:i/>
                <w:iCs/>
                <w:sz w:val="20"/>
                <w:szCs w:val="20"/>
                <w:lang w:val="es-CR" w:eastAsia="es-CR"/>
              </w:rPr>
            </w:pPr>
          </w:p>
          <w:p w14:paraId="09021D7E" w14:textId="77777777" w:rsidR="00861AC9" w:rsidRPr="00EF44C1" w:rsidRDefault="00861AC9" w:rsidP="00861AC9">
            <w:pPr>
              <w:jc w:val="both"/>
              <w:rPr>
                <w:rFonts w:eastAsia="Times New Roman" w:cs="Arial"/>
                <w:i/>
                <w:iCs/>
                <w:sz w:val="20"/>
                <w:szCs w:val="20"/>
                <w:lang w:val="es-CR" w:eastAsia="es-CR"/>
              </w:rPr>
            </w:pPr>
          </w:p>
          <w:p w14:paraId="6CD316FF" w14:textId="77777777" w:rsidR="00861AC9" w:rsidRPr="00EF44C1" w:rsidRDefault="00861AC9" w:rsidP="00861AC9">
            <w:pPr>
              <w:jc w:val="both"/>
              <w:rPr>
                <w:rFonts w:eastAsia="Times New Roman" w:cs="Arial"/>
                <w:i/>
                <w:iCs/>
                <w:sz w:val="20"/>
                <w:szCs w:val="20"/>
                <w:lang w:val="es-CR" w:eastAsia="es-CR"/>
              </w:rPr>
            </w:pPr>
          </w:p>
          <w:p w14:paraId="6EBA5CDE" w14:textId="31322C1D" w:rsidR="00861AC9" w:rsidRPr="00EF44C1" w:rsidRDefault="00861AC9" w:rsidP="00861AC9">
            <w:pPr>
              <w:jc w:val="both"/>
              <w:rPr>
                <w:rFonts w:eastAsia="Times New Roman" w:cs="Arial"/>
                <w:i/>
                <w:iCs/>
                <w:sz w:val="20"/>
                <w:szCs w:val="20"/>
                <w:lang w:val="es-CR" w:eastAsia="es-CR"/>
              </w:rPr>
            </w:pPr>
          </w:p>
        </w:tc>
        <w:tc>
          <w:tcPr>
            <w:tcW w:w="1985" w:type="dxa"/>
          </w:tcPr>
          <w:p w14:paraId="4936F894" w14:textId="20BC2FBB" w:rsidR="004C554F" w:rsidRPr="00EF44C1" w:rsidRDefault="004C554F" w:rsidP="0017079A">
            <w:pPr>
              <w:jc w:val="both"/>
              <w:rPr>
                <w:rFonts w:eastAsia="Times New Roman" w:cs="Arial"/>
                <w:b/>
                <w:bCs/>
                <w:i/>
                <w:iCs/>
                <w:sz w:val="20"/>
                <w:szCs w:val="20"/>
                <w:lang w:eastAsia="es-CR"/>
              </w:rPr>
            </w:pPr>
            <w:r w:rsidRPr="00460983">
              <w:rPr>
                <w:rFonts w:eastAsia="Times New Roman" w:cs="Arial"/>
                <w:b/>
                <w:bCs/>
                <w:i/>
                <w:iCs/>
                <w:sz w:val="20"/>
                <w:szCs w:val="20"/>
                <w:lang w:eastAsia="es-CR"/>
              </w:rPr>
              <w:lastRenderedPageBreak/>
              <w:t>Se acepta</w:t>
            </w:r>
          </w:p>
          <w:p w14:paraId="4475BFFB" w14:textId="77777777" w:rsidR="004C554F" w:rsidRPr="00EF44C1" w:rsidRDefault="004C554F" w:rsidP="0017079A">
            <w:pPr>
              <w:jc w:val="both"/>
              <w:rPr>
                <w:rFonts w:eastAsia="Times New Roman" w:cs="Arial"/>
                <w:b/>
                <w:bCs/>
                <w:i/>
                <w:iCs/>
                <w:sz w:val="20"/>
                <w:szCs w:val="20"/>
                <w:lang w:eastAsia="es-CR"/>
              </w:rPr>
            </w:pPr>
          </w:p>
          <w:p w14:paraId="17CAAD63" w14:textId="77777777" w:rsidR="0017079A" w:rsidRPr="00EF44C1" w:rsidRDefault="0017079A" w:rsidP="0017079A">
            <w:pPr>
              <w:jc w:val="both"/>
              <w:rPr>
                <w:rFonts w:eastAsia="Times New Roman" w:cs="Arial"/>
                <w:b/>
                <w:bCs/>
                <w:i/>
                <w:iCs/>
                <w:sz w:val="20"/>
                <w:szCs w:val="20"/>
                <w:lang w:val="es-CR" w:eastAsia="es-CR"/>
              </w:rPr>
            </w:pPr>
          </w:p>
          <w:p w14:paraId="6E355060" w14:textId="77777777" w:rsidR="0017079A" w:rsidRPr="00EF44C1" w:rsidRDefault="0017079A" w:rsidP="0017079A">
            <w:pPr>
              <w:jc w:val="both"/>
              <w:rPr>
                <w:rFonts w:eastAsia="Times New Roman" w:cs="Arial"/>
                <w:b/>
                <w:bCs/>
                <w:i/>
                <w:iCs/>
                <w:sz w:val="20"/>
                <w:szCs w:val="20"/>
                <w:lang w:val="es-CR" w:eastAsia="es-CR"/>
              </w:rPr>
            </w:pPr>
          </w:p>
          <w:p w14:paraId="1525801B" w14:textId="77777777" w:rsidR="0017079A" w:rsidRPr="00EF44C1" w:rsidRDefault="0017079A" w:rsidP="0017079A">
            <w:pPr>
              <w:jc w:val="both"/>
              <w:rPr>
                <w:rFonts w:eastAsia="Times New Roman" w:cs="Arial"/>
                <w:b/>
                <w:bCs/>
                <w:i/>
                <w:iCs/>
                <w:sz w:val="20"/>
                <w:szCs w:val="20"/>
                <w:lang w:val="es-CR" w:eastAsia="es-CR"/>
              </w:rPr>
            </w:pPr>
          </w:p>
          <w:p w14:paraId="392D6606" w14:textId="77777777" w:rsidR="0017079A" w:rsidRPr="00EF44C1" w:rsidRDefault="0017079A" w:rsidP="0017079A">
            <w:pPr>
              <w:jc w:val="both"/>
              <w:rPr>
                <w:rFonts w:eastAsia="Times New Roman" w:cs="Arial"/>
                <w:b/>
                <w:bCs/>
                <w:i/>
                <w:iCs/>
                <w:sz w:val="20"/>
                <w:szCs w:val="20"/>
                <w:lang w:val="es-CR" w:eastAsia="es-CR"/>
              </w:rPr>
            </w:pPr>
          </w:p>
          <w:p w14:paraId="7D1200E4" w14:textId="77777777" w:rsidR="0017079A" w:rsidRPr="00EF44C1" w:rsidRDefault="0017079A" w:rsidP="0017079A">
            <w:pPr>
              <w:jc w:val="both"/>
              <w:rPr>
                <w:rFonts w:eastAsia="Times New Roman" w:cs="Arial"/>
                <w:b/>
                <w:bCs/>
                <w:i/>
                <w:iCs/>
                <w:sz w:val="20"/>
                <w:szCs w:val="20"/>
                <w:lang w:val="es-CR" w:eastAsia="es-CR"/>
              </w:rPr>
            </w:pPr>
          </w:p>
          <w:p w14:paraId="75E32409" w14:textId="77777777" w:rsidR="0017079A" w:rsidRPr="00EF44C1" w:rsidRDefault="0017079A" w:rsidP="0017079A">
            <w:pPr>
              <w:jc w:val="both"/>
              <w:rPr>
                <w:rFonts w:eastAsia="Times New Roman" w:cs="Arial"/>
                <w:b/>
                <w:bCs/>
                <w:i/>
                <w:iCs/>
                <w:sz w:val="20"/>
                <w:szCs w:val="20"/>
                <w:lang w:val="es-CR" w:eastAsia="es-CR"/>
              </w:rPr>
            </w:pPr>
          </w:p>
          <w:p w14:paraId="2D2EB003" w14:textId="77777777" w:rsidR="0017079A" w:rsidRPr="00EF44C1" w:rsidRDefault="0017079A" w:rsidP="0017079A">
            <w:pPr>
              <w:jc w:val="both"/>
              <w:rPr>
                <w:rFonts w:eastAsia="Times New Roman" w:cs="Arial"/>
                <w:b/>
                <w:bCs/>
                <w:i/>
                <w:iCs/>
                <w:sz w:val="20"/>
                <w:szCs w:val="20"/>
                <w:lang w:val="es-CR" w:eastAsia="es-CR"/>
              </w:rPr>
            </w:pPr>
          </w:p>
          <w:p w14:paraId="2A1BE5AD" w14:textId="77777777" w:rsidR="0017079A" w:rsidRPr="00EF44C1" w:rsidRDefault="0017079A" w:rsidP="0017079A">
            <w:pPr>
              <w:jc w:val="both"/>
              <w:rPr>
                <w:rFonts w:eastAsia="Times New Roman" w:cs="Arial"/>
                <w:b/>
                <w:bCs/>
                <w:i/>
                <w:iCs/>
                <w:sz w:val="20"/>
                <w:szCs w:val="20"/>
                <w:lang w:val="es-CR" w:eastAsia="es-CR"/>
              </w:rPr>
            </w:pPr>
          </w:p>
          <w:p w14:paraId="3C4E2FF9" w14:textId="77777777" w:rsidR="0017079A" w:rsidRPr="00EF44C1" w:rsidRDefault="0017079A" w:rsidP="0017079A">
            <w:pPr>
              <w:jc w:val="both"/>
              <w:rPr>
                <w:rFonts w:eastAsia="Times New Roman" w:cs="Arial"/>
                <w:b/>
                <w:bCs/>
                <w:i/>
                <w:iCs/>
                <w:sz w:val="20"/>
                <w:szCs w:val="20"/>
                <w:lang w:val="es-CR" w:eastAsia="es-CR"/>
              </w:rPr>
            </w:pPr>
          </w:p>
          <w:p w14:paraId="10616CC5" w14:textId="77777777" w:rsidR="0017079A" w:rsidRPr="00EF44C1" w:rsidRDefault="0017079A" w:rsidP="0017079A">
            <w:pPr>
              <w:jc w:val="both"/>
              <w:rPr>
                <w:rFonts w:eastAsia="Times New Roman" w:cs="Arial"/>
                <w:b/>
                <w:bCs/>
                <w:i/>
                <w:iCs/>
                <w:sz w:val="20"/>
                <w:szCs w:val="20"/>
                <w:lang w:val="es-CR" w:eastAsia="es-CR"/>
              </w:rPr>
            </w:pPr>
          </w:p>
          <w:p w14:paraId="1B31B761" w14:textId="77777777" w:rsidR="0017079A" w:rsidRPr="00EF44C1" w:rsidRDefault="0017079A" w:rsidP="0017079A">
            <w:pPr>
              <w:jc w:val="both"/>
              <w:rPr>
                <w:rFonts w:eastAsia="Times New Roman" w:cs="Arial"/>
                <w:b/>
                <w:bCs/>
                <w:i/>
                <w:iCs/>
                <w:sz w:val="20"/>
                <w:szCs w:val="20"/>
                <w:lang w:val="es-CR" w:eastAsia="es-CR"/>
              </w:rPr>
            </w:pPr>
          </w:p>
          <w:p w14:paraId="159A3ED8" w14:textId="77777777" w:rsidR="0017079A" w:rsidRPr="00EF44C1" w:rsidRDefault="0017079A" w:rsidP="0017079A">
            <w:pPr>
              <w:jc w:val="both"/>
              <w:rPr>
                <w:rFonts w:eastAsia="Times New Roman" w:cs="Arial"/>
                <w:b/>
                <w:bCs/>
                <w:i/>
                <w:iCs/>
                <w:sz w:val="20"/>
                <w:szCs w:val="20"/>
                <w:lang w:val="es-CR" w:eastAsia="es-CR"/>
              </w:rPr>
            </w:pPr>
          </w:p>
          <w:p w14:paraId="47130141" w14:textId="77777777" w:rsidR="0017079A" w:rsidRPr="00EF44C1" w:rsidRDefault="0017079A" w:rsidP="0017079A">
            <w:pPr>
              <w:jc w:val="both"/>
              <w:rPr>
                <w:rFonts w:eastAsia="Times New Roman" w:cs="Arial"/>
                <w:b/>
                <w:bCs/>
                <w:i/>
                <w:iCs/>
                <w:sz w:val="20"/>
                <w:szCs w:val="20"/>
                <w:lang w:val="es-CR" w:eastAsia="es-CR"/>
              </w:rPr>
            </w:pPr>
          </w:p>
          <w:p w14:paraId="5F82ED8A" w14:textId="77777777" w:rsidR="0017079A" w:rsidRPr="00EF44C1" w:rsidRDefault="0017079A" w:rsidP="0017079A">
            <w:pPr>
              <w:jc w:val="both"/>
              <w:rPr>
                <w:rFonts w:eastAsia="Times New Roman" w:cs="Arial"/>
                <w:b/>
                <w:bCs/>
                <w:i/>
                <w:iCs/>
                <w:sz w:val="20"/>
                <w:szCs w:val="20"/>
                <w:lang w:val="es-CR" w:eastAsia="es-CR"/>
              </w:rPr>
            </w:pPr>
          </w:p>
          <w:p w14:paraId="6A62FFCC" w14:textId="77777777" w:rsidR="0017079A" w:rsidRPr="00EF44C1" w:rsidRDefault="0017079A" w:rsidP="0017079A">
            <w:pPr>
              <w:jc w:val="both"/>
              <w:rPr>
                <w:rFonts w:eastAsia="Times New Roman" w:cs="Arial"/>
                <w:b/>
                <w:bCs/>
                <w:i/>
                <w:iCs/>
                <w:sz w:val="20"/>
                <w:szCs w:val="20"/>
                <w:lang w:val="es-CR" w:eastAsia="es-CR"/>
              </w:rPr>
            </w:pPr>
          </w:p>
          <w:p w14:paraId="50E68C1D" w14:textId="77777777" w:rsidR="0017079A" w:rsidRPr="00EF44C1" w:rsidRDefault="0017079A" w:rsidP="0017079A">
            <w:pPr>
              <w:jc w:val="both"/>
              <w:rPr>
                <w:rFonts w:eastAsia="Times New Roman" w:cs="Arial"/>
                <w:b/>
                <w:bCs/>
                <w:i/>
                <w:iCs/>
                <w:sz w:val="20"/>
                <w:szCs w:val="20"/>
                <w:lang w:val="es-CR" w:eastAsia="es-CR"/>
              </w:rPr>
            </w:pPr>
          </w:p>
          <w:p w14:paraId="2C0F4B95" w14:textId="77777777" w:rsidR="0017079A" w:rsidRPr="00EF44C1" w:rsidRDefault="0017079A" w:rsidP="0017079A">
            <w:pPr>
              <w:jc w:val="both"/>
              <w:rPr>
                <w:rFonts w:eastAsia="Times New Roman" w:cs="Arial"/>
                <w:b/>
                <w:bCs/>
                <w:i/>
                <w:iCs/>
                <w:sz w:val="20"/>
                <w:szCs w:val="20"/>
                <w:lang w:val="es-CR" w:eastAsia="es-CR"/>
              </w:rPr>
            </w:pPr>
          </w:p>
          <w:p w14:paraId="062801DB" w14:textId="77777777" w:rsidR="0017079A" w:rsidRPr="00EF44C1" w:rsidRDefault="0017079A" w:rsidP="0017079A">
            <w:pPr>
              <w:jc w:val="both"/>
              <w:rPr>
                <w:rFonts w:eastAsia="Times New Roman" w:cs="Arial"/>
                <w:b/>
                <w:bCs/>
                <w:i/>
                <w:iCs/>
                <w:sz w:val="20"/>
                <w:szCs w:val="20"/>
                <w:lang w:val="es-CR" w:eastAsia="es-CR"/>
              </w:rPr>
            </w:pPr>
          </w:p>
          <w:p w14:paraId="5B97ACA0" w14:textId="77777777" w:rsidR="0017079A" w:rsidRPr="00EF44C1" w:rsidRDefault="0017079A" w:rsidP="0017079A">
            <w:pPr>
              <w:jc w:val="both"/>
              <w:rPr>
                <w:rFonts w:eastAsia="Times New Roman" w:cs="Arial"/>
                <w:b/>
                <w:bCs/>
                <w:i/>
                <w:iCs/>
                <w:sz w:val="20"/>
                <w:szCs w:val="20"/>
                <w:lang w:val="es-CR" w:eastAsia="es-CR"/>
              </w:rPr>
            </w:pPr>
          </w:p>
          <w:p w14:paraId="2B8593E6" w14:textId="77777777" w:rsidR="0017079A" w:rsidRPr="00EF44C1" w:rsidRDefault="0017079A" w:rsidP="0017079A">
            <w:pPr>
              <w:jc w:val="both"/>
              <w:rPr>
                <w:rFonts w:eastAsia="Times New Roman" w:cs="Arial"/>
                <w:b/>
                <w:bCs/>
                <w:i/>
                <w:iCs/>
                <w:sz w:val="20"/>
                <w:szCs w:val="20"/>
                <w:lang w:val="es-CR" w:eastAsia="es-CR"/>
              </w:rPr>
            </w:pPr>
          </w:p>
          <w:p w14:paraId="7421F5BF" w14:textId="77777777" w:rsidR="0017079A" w:rsidRPr="00EF44C1" w:rsidRDefault="0017079A" w:rsidP="0017079A">
            <w:pPr>
              <w:jc w:val="both"/>
              <w:rPr>
                <w:rFonts w:eastAsia="Times New Roman" w:cs="Arial"/>
                <w:b/>
                <w:bCs/>
                <w:i/>
                <w:iCs/>
                <w:sz w:val="20"/>
                <w:szCs w:val="20"/>
                <w:lang w:val="es-CR" w:eastAsia="es-CR"/>
              </w:rPr>
            </w:pPr>
          </w:p>
          <w:p w14:paraId="2EBD7CC4" w14:textId="77777777" w:rsidR="0017079A" w:rsidRPr="00EF44C1" w:rsidRDefault="0017079A" w:rsidP="0017079A">
            <w:pPr>
              <w:jc w:val="both"/>
              <w:rPr>
                <w:rFonts w:eastAsia="Times New Roman" w:cs="Arial"/>
                <w:b/>
                <w:bCs/>
                <w:i/>
                <w:iCs/>
                <w:sz w:val="20"/>
                <w:szCs w:val="20"/>
                <w:lang w:val="es-CR" w:eastAsia="es-CR"/>
              </w:rPr>
            </w:pPr>
          </w:p>
          <w:p w14:paraId="54849E56" w14:textId="77777777" w:rsidR="0017079A" w:rsidRPr="00EF44C1" w:rsidRDefault="0017079A" w:rsidP="0017079A">
            <w:pPr>
              <w:jc w:val="both"/>
              <w:rPr>
                <w:rFonts w:eastAsia="Times New Roman" w:cs="Arial"/>
                <w:b/>
                <w:bCs/>
                <w:i/>
                <w:iCs/>
                <w:sz w:val="20"/>
                <w:szCs w:val="20"/>
                <w:lang w:val="es-CR" w:eastAsia="es-CR"/>
              </w:rPr>
            </w:pPr>
          </w:p>
          <w:p w14:paraId="6F8228AA" w14:textId="77777777" w:rsidR="0017079A" w:rsidRPr="00EF44C1" w:rsidRDefault="0017079A" w:rsidP="0017079A">
            <w:pPr>
              <w:jc w:val="both"/>
              <w:rPr>
                <w:rFonts w:eastAsia="Times New Roman" w:cs="Arial"/>
                <w:b/>
                <w:bCs/>
                <w:i/>
                <w:iCs/>
                <w:sz w:val="20"/>
                <w:szCs w:val="20"/>
                <w:lang w:val="es-CR" w:eastAsia="es-CR"/>
              </w:rPr>
            </w:pPr>
          </w:p>
          <w:p w14:paraId="294E5DF6" w14:textId="77777777" w:rsidR="0017079A" w:rsidRPr="00EF44C1" w:rsidRDefault="0017079A" w:rsidP="0017079A">
            <w:pPr>
              <w:jc w:val="both"/>
              <w:rPr>
                <w:rFonts w:eastAsia="Times New Roman" w:cs="Arial"/>
                <w:b/>
                <w:bCs/>
                <w:i/>
                <w:iCs/>
                <w:sz w:val="20"/>
                <w:szCs w:val="20"/>
                <w:lang w:val="es-CR" w:eastAsia="es-CR"/>
              </w:rPr>
            </w:pPr>
          </w:p>
          <w:p w14:paraId="7203F8AC" w14:textId="7E72E833" w:rsidR="000365FA" w:rsidRPr="00EF44C1" w:rsidRDefault="000365FA" w:rsidP="000365FA">
            <w:pPr>
              <w:jc w:val="both"/>
              <w:rPr>
                <w:rFonts w:cs="Arial"/>
                <w:b/>
                <w:bCs/>
                <w:i/>
                <w:iCs/>
                <w:color w:val="000000"/>
                <w:sz w:val="20"/>
                <w:szCs w:val="20"/>
                <w:lang w:eastAsia="es-CR"/>
              </w:rPr>
            </w:pPr>
            <w:r w:rsidRPr="00EF44C1">
              <w:rPr>
                <w:rFonts w:cs="Arial"/>
                <w:b/>
                <w:bCs/>
                <w:i/>
                <w:iCs/>
                <w:color w:val="000000"/>
                <w:sz w:val="20"/>
                <w:szCs w:val="20"/>
                <w:lang w:eastAsia="es-CR"/>
              </w:rPr>
              <w:t>Se aclara</w:t>
            </w:r>
          </w:p>
          <w:p w14:paraId="1D67C942" w14:textId="77777777" w:rsidR="000365FA" w:rsidRPr="00EF44C1" w:rsidRDefault="000365FA" w:rsidP="000365FA">
            <w:pPr>
              <w:tabs>
                <w:tab w:val="left" w:pos="8910"/>
              </w:tabs>
              <w:jc w:val="both"/>
              <w:rPr>
                <w:rFonts w:cs="Arial"/>
                <w:i/>
                <w:iCs/>
                <w:color w:val="000000"/>
                <w:sz w:val="20"/>
                <w:szCs w:val="20"/>
                <w:lang w:eastAsia="es-CR"/>
              </w:rPr>
            </w:pPr>
          </w:p>
          <w:p w14:paraId="31A0BCAC" w14:textId="77777777" w:rsidR="000365FA" w:rsidRPr="00EF44C1" w:rsidRDefault="000365FA" w:rsidP="000365FA">
            <w:pPr>
              <w:tabs>
                <w:tab w:val="left" w:pos="8910"/>
              </w:tabs>
              <w:jc w:val="both"/>
              <w:rPr>
                <w:rFonts w:cs="Arial"/>
                <w:i/>
                <w:iCs/>
                <w:sz w:val="20"/>
                <w:szCs w:val="20"/>
              </w:rPr>
            </w:pPr>
            <w:r w:rsidRPr="00EF44C1">
              <w:rPr>
                <w:rFonts w:cs="Arial"/>
                <w:i/>
                <w:iCs/>
                <w:color w:val="000000"/>
                <w:sz w:val="20"/>
                <w:szCs w:val="20"/>
                <w:lang w:eastAsia="es-CR"/>
              </w:rPr>
              <w:t xml:space="preserve">De conformidad con lo establecido en el artículo 9 de los </w:t>
            </w:r>
            <w:r w:rsidRPr="00EF44C1">
              <w:rPr>
                <w:rFonts w:cs="Arial"/>
                <w:i/>
                <w:iCs/>
                <w:noProof/>
                <w:sz w:val="20"/>
                <w:szCs w:val="20"/>
                <w:lang w:val="es-ES_tradnl"/>
              </w:rPr>
              <w:t xml:space="preserve">Lineamientos para la autorización y registro de emisiones verdes, sociales y sostenibles de </w:t>
            </w:r>
            <w:r w:rsidRPr="00EF44C1">
              <w:rPr>
                <w:rFonts w:cs="Arial"/>
                <w:i/>
                <w:iCs/>
                <w:noProof/>
                <w:sz w:val="20"/>
                <w:szCs w:val="20"/>
                <w:lang w:val="es-ES_tradnl"/>
              </w:rPr>
              <w:lastRenderedPageBreak/>
              <w:t xml:space="preserve">oferta pública </w:t>
            </w:r>
            <w:r w:rsidRPr="00EF44C1">
              <w:rPr>
                <w:rFonts w:cs="Arial"/>
                <w:i/>
                <w:iCs/>
                <w:color w:val="000000"/>
                <w:sz w:val="20"/>
                <w:szCs w:val="20"/>
                <w:lang w:eastAsia="es-CR"/>
              </w:rPr>
              <w:t>se permite que, s</w:t>
            </w:r>
            <w:r w:rsidRPr="00EF44C1">
              <w:rPr>
                <w:rFonts w:cs="Arial"/>
                <w:i/>
                <w:iCs/>
                <w:sz w:val="20"/>
                <w:szCs w:val="20"/>
              </w:rPr>
              <w:t>i la revisión externa cumple con el contenido mínimo solicitado en el Anexo 3, se podrá presentar únicamente la revisión externa en sustitución del informe del uso de fondos.</w:t>
            </w:r>
          </w:p>
          <w:p w14:paraId="09788330" w14:textId="77777777" w:rsidR="0017079A" w:rsidRPr="00EF44C1" w:rsidRDefault="0017079A" w:rsidP="0017079A">
            <w:pPr>
              <w:jc w:val="both"/>
              <w:rPr>
                <w:rFonts w:eastAsia="Times New Roman" w:cs="Arial"/>
                <w:b/>
                <w:bCs/>
                <w:i/>
                <w:iCs/>
                <w:sz w:val="20"/>
                <w:szCs w:val="20"/>
                <w:lang w:eastAsia="es-CR"/>
              </w:rPr>
            </w:pPr>
          </w:p>
          <w:p w14:paraId="0BC2843C" w14:textId="77777777" w:rsidR="0017079A" w:rsidRPr="00EF44C1" w:rsidRDefault="0017079A" w:rsidP="0017079A">
            <w:pPr>
              <w:jc w:val="both"/>
              <w:rPr>
                <w:rFonts w:eastAsia="Times New Roman" w:cs="Arial"/>
                <w:b/>
                <w:bCs/>
                <w:i/>
                <w:iCs/>
                <w:sz w:val="20"/>
                <w:szCs w:val="20"/>
                <w:lang w:val="es-CR" w:eastAsia="es-CR"/>
              </w:rPr>
            </w:pPr>
          </w:p>
          <w:p w14:paraId="7C63CBFF" w14:textId="77777777" w:rsidR="0017079A" w:rsidRPr="00EF44C1" w:rsidRDefault="0017079A" w:rsidP="0017079A">
            <w:pPr>
              <w:jc w:val="both"/>
              <w:rPr>
                <w:rFonts w:eastAsia="Times New Roman" w:cs="Arial"/>
                <w:b/>
                <w:bCs/>
                <w:i/>
                <w:iCs/>
                <w:sz w:val="20"/>
                <w:szCs w:val="20"/>
                <w:lang w:val="es-CR" w:eastAsia="es-CR"/>
              </w:rPr>
            </w:pPr>
          </w:p>
          <w:p w14:paraId="62475363" w14:textId="77777777" w:rsidR="0017079A" w:rsidRPr="00EF44C1" w:rsidRDefault="0017079A" w:rsidP="0017079A">
            <w:pPr>
              <w:jc w:val="both"/>
              <w:rPr>
                <w:rFonts w:eastAsia="Times New Roman" w:cs="Arial"/>
                <w:b/>
                <w:bCs/>
                <w:i/>
                <w:iCs/>
                <w:sz w:val="20"/>
                <w:szCs w:val="20"/>
                <w:lang w:val="es-CR" w:eastAsia="es-CR"/>
              </w:rPr>
            </w:pPr>
          </w:p>
          <w:p w14:paraId="2645B231" w14:textId="77777777" w:rsidR="00E639AF" w:rsidRDefault="00E639AF" w:rsidP="0017079A">
            <w:pPr>
              <w:jc w:val="both"/>
              <w:rPr>
                <w:rFonts w:eastAsia="Times New Roman" w:cs="Arial"/>
                <w:b/>
                <w:bCs/>
                <w:i/>
                <w:iCs/>
                <w:sz w:val="20"/>
                <w:szCs w:val="20"/>
                <w:lang w:val="es-CR" w:eastAsia="es-CR"/>
              </w:rPr>
            </w:pPr>
          </w:p>
          <w:p w14:paraId="57E4C852" w14:textId="06452915" w:rsidR="0017079A" w:rsidRPr="00EF44C1" w:rsidRDefault="00D47C0A" w:rsidP="0017079A">
            <w:pPr>
              <w:jc w:val="both"/>
              <w:rPr>
                <w:rFonts w:eastAsia="Times New Roman" w:cs="Arial"/>
                <w:b/>
                <w:bCs/>
                <w:i/>
                <w:iCs/>
                <w:sz w:val="20"/>
                <w:szCs w:val="20"/>
                <w:lang w:val="es-CR" w:eastAsia="es-CR"/>
              </w:rPr>
            </w:pPr>
            <w:r w:rsidRPr="00460983">
              <w:rPr>
                <w:rFonts w:eastAsia="Times New Roman" w:cs="Arial"/>
                <w:b/>
                <w:bCs/>
                <w:i/>
                <w:iCs/>
                <w:sz w:val="20"/>
                <w:szCs w:val="20"/>
                <w:lang w:val="es-CR" w:eastAsia="es-CR"/>
              </w:rPr>
              <w:t>Se acepta</w:t>
            </w:r>
          </w:p>
          <w:p w14:paraId="517C88C1" w14:textId="77777777" w:rsidR="0017079A" w:rsidRPr="00EF44C1" w:rsidRDefault="0017079A" w:rsidP="0017079A">
            <w:pPr>
              <w:jc w:val="both"/>
              <w:rPr>
                <w:rFonts w:eastAsia="Times New Roman" w:cs="Arial"/>
                <w:b/>
                <w:bCs/>
                <w:i/>
                <w:iCs/>
                <w:sz w:val="20"/>
                <w:szCs w:val="20"/>
                <w:lang w:val="es-CR" w:eastAsia="es-CR"/>
              </w:rPr>
            </w:pPr>
          </w:p>
          <w:p w14:paraId="0FD63ACC" w14:textId="77777777" w:rsidR="0017079A" w:rsidRPr="00EF44C1" w:rsidRDefault="0017079A" w:rsidP="0017079A">
            <w:pPr>
              <w:jc w:val="both"/>
              <w:rPr>
                <w:rFonts w:eastAsia="Times New Roman" w:cs="Arial"/>
                <w:b/>
                <w:bCs/>
                <w:i/>
                <w:iCs/>
                <w:sz w:val="20"/>
                <w:szCs w:val="20"/>
                <w:lang w:val="es-CR" w:eastAsia="es-CR"/>
              </w:rPr>
            </w:pPr>
          </w:p>
          <w:p w14:paraId="4755022D" w14:textId="77777777" w:rsidR="0017079A" w:rsidRPr="00EF44C1" w:rsidRDefault="0017079A" w:rsidP="0017079A">
            <w:pPr>
              <w:jc w:val="both"/>
              <w:rPr>
                <w:rFonts w:eastAsia="Times New Roman" w:cs="Arial"/>
                <w:b/>
                <w:bCs/>
                <w:i/>
                <w:iCs/>
                <w:sz w:val="20"/>
                <w:szCs w:val="20"/>
                <w:lang w:val="es-CR" w:eastAsia="es-CR"/>
              </w:rPr>
            </w:pPr>
          </w:p>
          <w:p w14:paraId="1D81BB86" w14:textId="77777777" w:rsidR="0017079A" w:rsidRPr="00EF44C1" w:rsidRDefault="0017079A" w:rsidP="0017079A">
            <w:pPr>
              <w:jc w:val="both"/>
              <w:rPr>
                <w:rFonts w:eastAsia="Times New Roman" w:cs="Arial"/>
                <w:b/>
                <w:bCs/>
                <w:i/>
                <w:iCs/>
                <w:sz w:val="20"/>
                <w:szCs w:val="20"/>
                <w:lang w:val="es-CR" w:eastAsia="es-CR"/>
              </w:rPr>
            </w:pPr>
          </w:p>
          <w:p w14:paraId="4CC3F21D" w14:textId="77777777" w:rsidR="0017079A" w:rsidRPr="00EF44C1" w:rsidRDefault="0017079A" w:rsidP="0017079A">
            <w:pPr>
              <w:jc w:val="both"/>
              <w:rPr>
                <w:rFonts w:eastAsia="Times New Roman" w:cs="Arial"/>
                <w:b/>
                <w:bCs/>
                <w:i/>
                <w:iCs/>
                <w:sz w:val="20"/>
                <w:szCs w:val="20"/>
                <w:lang w:val="es-CR" w:eastAsia="es-CR"/>
              </w:rPr>
            </w:pPr>
          </w:p>
          <w:p w14:paraId="7C23D6B7" w14:textId="77777777" w:rsidR="0017079A" w:rsidRPr="00EF44C1" w:rsidRDefault="0017079A" w:rsidP="0017079A">
            <w:pPr>
              <w:jc w:val="both"/>
              <w:rPr>
                <w:rFonts w:eastAsia="Times New Roman" w:cs="Arial"/>
                <w:b/>
                <w:bCs/>
                <w:i/>
                <w:iCs/>
                <w:sz w:val="20"/>
                <w:szCs w:val="20"/>
                <w:lang w:val="es-CR" w:eastAsia="es-CR"/>
              </w:rPr>
            </w:pPr>
          </w:p>
          <w:p w14:paraId="0EFC98F7" w14:textId="77777777" w:rsidR="0017079A" w:rsidRPr="00EF44C1" w:rsidRDefault="0017079A" w:rsidP="0017079A">
            <w:pPr>
              <w:jc w:val="both"/>
              <w:rPr>
                <w:rFonts w:eastAsia="Times New Roman" w:cs="Arial"/>
                <w:b/>
                <w:bCs/>
                <w:i/>
                <w:iCs/>
                <w:sz w:val="20"/>
                <w:szCs w:val="20"/>
                <w:lang w:val="es-CR" w:eastAsia="es-CR"/>
              </w:rPr>
            </w:pPr>
          </w:p>
          <w:p w14:paraId="04EB00AA" w14:textId="77777777" w:rsidR="0017079A" w:rsidRPr="00EF44C1" w:rsidRDefault="0017079A" w:rsidP="0017079A">
            <w:pPr>
              <w:jc w:val="both"/>
              <w:rPr>
                <w:rFonts w:eastAsia="Times New Roman" w:cs="Arial"/>
                <w:b/>
                <w:bCs/>
                <w:i/>
                <w:iCs/>
                <w:sz w:val="20"/>
                <w:szCs w:val="20"/>
                <w:lang w:val="es-CR" w:eastAsia="es-CR"/>
              </w:rPr>
            </w:pPr>
          </w:p>
          <w:p w14:paraId="7D984ECD" w14:textId="77777777" w:rsidR="0017079A" w:rsidRPr="00EF44C1" w:rsidRDefault="0017079A" w:rsidP="0017079A">
            <w:pPr>
              <w:jc w:val="both"/>
              <w:rPr>
                <w:rFonts w:eastAsia="Times New Roman" w:cs="Arial"/>
                <w:b/>
                <w:bCs/>
                <w:i/>
                <w:iCs/>
                <w:sz w:val="20"/>
                <w:szCs w:val="20"/>
                <w:lang w:val="es-CR" w:eastAsia="es-CR"/>
              </w:rPr>
            </w:pPr>
          </w:p>
          <w:p w14:paraId="38F6A3D6" w14:textId="77777777" w:rsidR="0017079A" w:rsidRPr="00EF44C1" w:rsidRDefault="0017079A" w:rsidP="0017079A">
            <w:pPr>
              <w:jc w:val="both"/>
              <w:rPr>
                <w:rFonts w:eastAsia="Times New Roman" w:cs="Arial"/>
                <w:b/>
                <w:bCs/>
                <w:i/>
                <w:iCs/>
                <w:sz w:val="20"/>
                <w:szCs w:val="20"/>
                <w:lang w:val="es-CR" w:eastAsia="es-CR"/>
              </w:rPr>
            </w:pPr>
          </w:p>
          <w:p w14:paraId="13141724" w14:textId="77777777" w:rsidR="0017079A" w:rsidRPr="00EF44C1" w:rsidRDefault="0017079A" w:rsidP="0017079A">
            <w:pPr>
              <w:jc w:val="both"/>
              <w:rPr>
                <w:rFonts w:eastAsia="Times New Roman" w:cs="Arial"/>
                <w:b/>
                <w:bCs/>
                <w:i/>
                <w:iCs/>
                <w:sz w:val="20"/>
                <w:szCs w:val="20"/>
                <w:lang w:val="es-CR" w:eastAsia="es-CR"/>
              </w:rPr>
            </w:pPr>
          </w:p>
          <w:p w14:paraId="17D24E19" w14:textId="77777777" w:rsidR="0017079A" w:rsidRPr="00EF44C1" w:rsidRDefault="0017079A" w:rsidP="0017079A">
            <w:pPr>
              <w:jc w:val="both"/>
              <w:rPr>
                <w:rFonts w:eastAsia="Times New Roman" w:cs="Arial"/>
                <w:b/>
                <w:bCs/>
                <w:i/>
                <w:iCs/>
                <w:sz w:val="20"/>
                <w:szCs w:val="20"/>
                <w:lang w:val="es-CR" w:eastAsia="es-CR"/>
              </w:rPr>
            </w:pPr>
          </w:p>
          <w:p w14:paraId="0D82E7AE" w14:textId="77777777" w:rsidR="0017079A" w:rsidRPr="00EF44C1" w:rsidRDefault="0017079A" w:rsidP="0017079A">
            <w:pPr>
              <w:jc w:val="both"/>
              <w:rPr>
                <w:rFonts w:eastAsia="Times New Roman" w:cs="Arial"/>
                <w:b/>
                <w:bCs/>
                <w:i/>
                <w:iCs/>
                <w:sz w:val="20"/>
                <w:szCs w:val="20"/>
                <w:lang w:val="es-CR" w:eastAsia="es-CR"/>
              </w:rPr>
            </w:pPr>
          </w:p>
          <w:p w14:paraId="55942059" w14:textId="77777777" w:rsidR="0017079A" w:rsidRPr="00EF44C1" w:rsidRDefault="0017079A" w:rsidP="0017079A">
            <w:pPr>
              <w:jc w:val="both"/>
              <w:rPr>
                <w:rFonts w:eastAsia="Times New Roman" w:cs="Arial"/>
                <w:b/>
                <w:bCs/>
                <w:i/>
                <w:iCs/>
                <w:sz w:val="20"/>
                <w:szCs w:val="20"/>
                <w:lang w:val="es-CR" w:eastAsia="es-CR"/>
              </w:rPr>
            </w:pPr>
          </w:p>
          <w:p w14:paraId="42C9837C" w14:textId="77777777" w:rsidR="0017079A" w:rsidRPr="00EF44C1" w:rsidRDefault="0017079A" w:rsidP="0017079A">
            <w:pPr>
              <w:jc w:val="both"/>
              <w:rPr>
                <w:rFonts w:eastAsia="Times New Roman" w:cs="Arial"/>
                <w:b/>
                <w:bCs/>
                <w:i/>
                <w:iCs/>
                <w:sz w:val="20"/>
                <w:szCs w:val="20"/>
                <w:lang w:val="es-CR" w:eastAsia="es-CR"/>
              </w:rPr>
            </w:pPr>
          </w:p>
          <w:p w14:paraId="13BCDD0D" w14:textId="77777777" w:rsidR="0017079A" w:rsidRPr="00EF44C1" w:rsidRDefault="0017079A" w:rsidP="0017079A">
            <w:pPr>
              <w:jc w:val="both"/>
              <w:rPr>
                <w:rFonts w:eastAsia="Times New Roman" w:cs="Arial"/>
                <w:b/>
                <w:bCs/>
                <w:i/>
                <w:iCs/>
                <w:sz w:val="20"/>
                <w:szCs w:val="20"/>
                <w:lang w:val="es-CR" w:eastAsia="es-CR"/>
              </w:rPr>
            </w:pPr>
          </w:p>
          <w:p w14:paraId="70FE20D9" w14:textId="77777777" w:rsidR="0017079A" w:rsidRPr="00EF44C1" w:rsidRDefault="0017079A" w:rsidP="0017079A">
            <w:pPr>
              <w:jc w:val="both"/>
              <w:rPr>
                <w:rFonts w:eastAsia="Times New Roman" w:cs="Arial"/>
                <w:b/>
                <w:bCs/>
                <w:i/>
                <w:iCs/>
                <w:sz w:val="20"/>
                <w:szCs w:val="20"/>
                <w:lang w:val="es-CR" w:eastAsia="es-CR"/>
              </w:rPr>
            </w:pPr>
          </w:p>
          <w:p w14:paraId="6E747EEF" w14:textId="77777777" w:rsidR="0017079A" w:rsidRPr="00EF44C1" w:rsidRDefault="0017079A" w:rsidP="0017079A">
            <w:pPr>
              <w:jc w:val="both"/>
              <w:rPr>
                <w:rFonts w:eastAsia="Times New Roman" w:cs="Arial"/>
                <w:b/>
                <w:bCs/>
                <w:i/>
                <w:iCs/>
                <w:sz w:val="20"/>
                <w:szCs w:val="20"/>
                <w:lang w:val="es-CR" w:eastAsia="es-CR"/>
              </w:rPr>
            </w:pPr>
          </w:p>
          <w:p w14:paraId="7084EBB0" w14:textId="77777777" w:rsidR="00D47C0A" w:rsidRPr="00EF44C1" w:rsidRDefault="00D47C0A" w:rsidP="0017079A">
            <w:pPr>
              <w:jc w:val="both"/>
              <w:rPr>
                <w:rFonts w:eastAsia="Times New Roman" w:cs="Arial"/>
                <w:b/>
                <w:bCs/>
                <w:i/>
                <w:iCs/>
                <w:sz w:val="20"/>
                <w:szCs w:val="20"/>
                <w:lang w:val="es-CR" w:eastAsia="es-CR"/>
              </w:rPr>
            </w:pPr>
          </w:p>
          <w:p w14:paraId="1EA123A8" w14:textId="77777777" w:rsidR="00D47C0A" w:rsidRPr="00EF44C1" w:rsidRDefault="00D47C0A" w:rsidP="0017079A">
            <w:pPr>
              <w:jc w:val="both"/>
              <w:rPr>
                <w:rFonts w:eastAsia="Times New Roman" w:cs="Arial"/>
                <w:b/>
                <w:bCs/>
                <w:i/>
                <w:iCs/>
                <w:sz w:val="20"/>
                <w:szCs w:val="20"/>
                <w:lang w:val="es-CR" w:eastAsia="es-CR"/>
              </w:rPr>
            </w:pPr>
          </w:p>
          <w:p w14:paraId="3969B1C9" w14:textId="77777777" w:rsidR="00D47C0A" w:rsidRPr="00EF44C1" w:rsidRDefault="00D47C0A" w:rsidP="0017079A">
            <w:pPr>
              <w:jc w:val="both"/>
              <w:rPr>
                <w:rFonts w:eastAsia="Times New Roman" w:cs="Arial"/>
                <w:b/>
                <w:bCs/>
                <w:i/>
                <w:iCs/>
                <w:sz w:val="20"/>
                <w:szCs w:val="20"/>
                <w:lang w:val="es-CR" w:eastAsia="es-CR"/>
              </w:rPr>
            </w:pPr>
          </w:p>
          <w:p w14:paraId="031253D1" w14:textId="77777777" w:rsidR="00D47C0A" w:rsidRPr="00EF44C1" w:rsidRDefault="00D47C0A" w:rsidP="0017079A">
            <w:pPr>
              <w:jc w:val="both"/>
              <w:rPr>
                <w:rFonts w:eastAsia="Times New Roman" w:cs="Arial"/>
                <w:b/>
                <w:bCs/>
                <w:i/>
                <w:iCs/>
                <w:sz w:val="20"/>
                <w:szCs w:val="20"/>
                <w:lang w:val="es-CR" w:eastAsia="es-CR"/>
              </w:rPr>
            </w:pPr>
          </w:p>
          <w:p w14:paraId="6023615C" w14:textId="77777777" w:rsidR="00D47C0A" w:rsidRPr="00EF44C1" w:rsidRDefault="00D47C0A" w:rsidP="0017079A">
            <w:pPr>
              <w:jc w:val="both"/>
              <w:rPr>
                <w:rFonts w:eastAsia="Times New Roman" w:cs="Arial"/>
                <w:b/>
                <w:bCs/>
                <w:i/>
                <w:iCs/>
                <w:sz w:val="20"/>
                <w:szCs w:val="20"/>
                <w:lang w:val="es-CR" w:eastAsia="es-CR"/>
              </w:rPr>
            </w:pPr>
          </w:p>
          <w:p w14:paraId="621DB337" w14:textId="77777777" w:rsidR="00D47C0A" w:rsidRPr="00EF44C1" w:rsidRDefault="00D47C0A" w:rsidP="0017079A">
            <w:pPr>
              <w:jc w:val="both"/>
              <w:rPr>
                <w:rFonts w:eastAsia="Times New Roman" w:cs="Arial"/>
                <w:b/>
                <w:bCs/>
                <w:i/>
                <w:iCs/>
                <w:sz w:val="20"/>
                <w:szCs w:val="20"/>
                <w:lang w:val="es-CR" w:eastAsia="es-CR"/>
              </w:rPr>
            </w:pPr>
          </w:p>
          <w:p w14:paraId="1AA642B3" w14:textId="77777777" w:rsidR="00D47C0A" w:rsidRPr="00EF44C1" w:rsidRDefault="00D47C0A" w:rsidP="0017079A">
            <w:pPr>
              <w:jc w:val="both"/>
              <w:rPr>
                <w:rFonts w:eastAsia="Times New Roman" w:cs="Arial"/>
                <w:b/>
                <w:bCs/>
                <w:i/>
                <w:iCs/>
                <w:sz w:val="20"/>
                <w:szCs w:val="20"/>
                <w:lang w:val="es-CR" w:eastAsia="es-CR"/>
              </w:rPr>
            </w:pPr>
          </w:p>
          <w:p w14:paraId="77BE0DA9" w14:textId="2871390C" w:rsidR="0017079A" w:rsidRPr="00EF44C1" w:rsidRDefault="0017079A" w:rsidP="0017079A">
            <w:pPr>
              <w:jc w:val="both"/>
              <w:rPr>
                <w:rFonts w:eastAsia="Times New Roman" w:cs="Arial"/>
                <w:b/>
                <w:bCs/>
                <w:i/>
                <w:iCs/>
                <w:sz w:val="20"/>
                <w:szCs w:val="20"/>
                <w:lang w:val="es-CR" w:eastAsia="es-CR"/>
              </w:rPr>
            </w:pPr>
            <w:r w:rsidRPr="00EF44C1">
              <w:rPr>
                <w:rFonts w:eastAsia="Times New Roman" w:cs="Arial"/>
                <w:b/>
                <w:bCs/>
                <w:i/>
                <w:iCs/>
                <w:sz w:val="20"/>
                <w:szCs w:val="20"/>
                <w:lang w:val="es-CR" w:eastAsia="es-CR"/>
              </w:rPr>
              <w:t>Se acepta</w:t>
            </w:r>
          </w:p>
          <w:p w14:paraId="76E8211D" w14:textId="77777777" w:rsidR="0017079A" w:rsidRPr="00EF44C1" w:rsidRDefault="0017079A" w:rsidP="0017079A">
            <w:pPr>
              <w:jc w:val="both"/>
              <w:rPr>
                <w:rFonts w:eastAsia="Times New Roman" w:cs="Arial"/>
                <w:b/>
                <w:bCs/>
                <w:i/>
                <w:iCs/>
                <w:sz w:val="20"/>
                <w:szCs w:val="20"/>
                <w:lang w:val="es-CR" w:eastAsia="es-CR"/>
              </w:rPr>
            </w:pPr>
          </w:p>
          <w:p w14:paraId="160125A5" w14:textId="1F11549F" w:rsidR="0017079A" w:rsidRPr="00EF44C1" w:rsidRDefault="0017079A" w:rsidP="0017079A">
            <w:pPr>
              <w:jc w:val="both"/>
              <w:rPr>
                <w:rFonts w:eastAsia="Times New Roman" w:cs="Arial"/>
                <w:b/>
                <w:bCs/>
                <w:i/>
                <w:iCs/>
                <w:sz w:val="20"/>
                <w:szCs w:val="20"/>
                <w:lang w:val="es-CR" w:eastAsia="es-CR"/>
              </w:rPr>
            </w:pPr>
          </w:p>
        </w:tc>
        <w:tc>
          <w:tcPr>
            <w:tcW w:w="7371" w:type="dxa"/>
          </w:tcPr>
          <w:tbl>
            <w:tblPr>
              <w:tblpPr w:leftFromText="144" w:rightFromText="144" w:vertAnchor="text" w:horzAnchor="page" w:tblpXSpec="center" w:tblpY="30"/>
              <w:tblW w:w="750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134"/>
              <w:gridCol w:w="1385"/>
              <w:gridCol w:w="1245"/>
              <w:gridCol w:w="1035"/>
              <w:gridCol w:w="1432"/>
            </w:tblGrid>
            <w:tr w:rsidR="00096AA9" w:rsidRPr="00444235" w14:paraId="70E79653" w14:textId="77777777" w:rsidTr="005351FE">
              <w:trPr>
                <w:trHeight w:val="539"/>
                <w:tblHeader/>
                <w:tblCellSpacing w:w="7" w:type="dxa"/>
              </w:trPr>
              <w:tc>
                <w:tcPr>
                  <w:tcW w:w="1250" w:type="dxa"/>
                  <w:shd w:val="clear" w:color="auto" w:fill="auto"/>
                  <w:vAlign w:val="center"/>
                  <w:hideMark/>
                </w:tcPr>
                <w:p w14:paraId="05A13CB2" w14:textId="77777777" w:rsidR="00096AA9" w:rsidRPr="00444235" w:rsidRDefault="00096AA9" w:rsidP="00096AA9">
                  <w:pPr>
                    <w:spacing w:after="0" w:line="240" w:lineRule="auto"/>
                    <w:jc w:val="center"/>
                    <w:rPr>
                      <w:rFonts w:eastAsia="Times New Roman" w:cs="Arial"/>
                      <w:b/>
                      <w:bCs/>
                      <w:sz w:val="20"/>
                      <w:szCs w:val="20"/>
                      <w:lang w:val="es-CR" w:eastAsia="es-CR"/>
                    </w:rPr>
                  </w:pPr>
                  <w:r w:rsidRPr="00444235">
                    <w:rPr>
                      <w:rFonts w:eastAsia="Times New Roman" w:cs="Arial"/>
                      <w:b/>
                      <w:bCs/>
                      <w:sz w:val="20"/>
                      <w:szCs w:val="20"/>
                      <w:lang w:val="es-CR" w:eastAsia="es-CR"/>
                    </w:rPr>
                    <w:lastRenderedPageBreak/>
                    <w:t>Informe o / Reporte</w:t>
                  </w:r>
                </w:p>
              </w:tc>
              <w:tc>
                <w:tcPr>
                  <w:tcW w:w="1120" w:type="dxa"/>
                  <w:shd w:val="clear" w:color="auto" w:fill="auto"/>
                  <w:vAlign w:val="center"/>
                  <w:hideMark/>
                </w:tcPr>
                <w:p w14:paraId="15A2368F" w14:textId="77777777" w:rsidR="00096AA9" w:rsidRPr="00444235" w:rsidRDefault="00096AA9" w:rsidP="00096AA9">
                  <w:pPr>
                    <w:spacing w:after="0" w:line="240" w:lineRule="auto"/>
                    <w:jc w:val="center"/>
                    <w:rPr>
                      <w:rFonts w:eastAsia="Times New Roman" w:cs="Arial"/>
                      <w:b/>
                      <w:bCs/>
                      <w:sz w:val="20"/>
                      <w:szCs w:val="20"/>
                      <w:lang w:val="es-CR" w:eastAsia="es-CR"/>
                    </w:rPr>
                  </w:pPr>
                  <w:r w:rsidRPr="00444235">
                    <w:rPr>
                      <w:rFonts w:eastAsia="Times New Roman" w:cs="Arial"/>
                      <w:b/>
                      <w:bCs/>
                      <w:sz w:val="20"/>
                      <w:szCs w:val="20"/>
                      <w:lang w:val="es-CR" w:eastAsia="es-CR"/>
                    </w:rPr>
                    <w:t>Periodicidad</w:t>
                  </w:r>
                </w:p>
              </w:tc>
              <w:tc>
                <w:tcPr>
                  <w:tcW w:w="1371" w:type="dxa"/>
                  <w:shd w:val="clear" w:color="auto" w:fill="auto"/>
                  <w:vAlign w:val="center"/>
                  <w:hideMark/>
                </w:tcPr>
                <w:p w14:paraId="0B13C0C7" w14:textId="77777777" w:rsidR="00096AA9" w:rsidRPr="00444235" w:rsidRDefault="00096AA9" w:rsidP="00096AA9">
                  <w:pPr>
                    <w:spacing w:after="0" w:line="240" w:lineRule="auto"/>
                    <w:jc w:val="center"/>
                    <w:rPr>
                      <w:rFonts w:eastAsia="Times New Roman" w:cs="Arial"/>
                      <w:b/>
                      <w:bCs/>
                      <w:sz w:val="20"/>
                      <w:szCs w:val="20"/>
                      <w:lang w:val="es-CR" w:eastAsia="es-CR"/>
                    </w:rPr>
                  </w:pPr>
                  <w:r w:rsidRPr="00444235">
                    <w:rPr>
                      <w:rFonts w:eastAsia="Times New Roman" w:cs="Arial"/>
                      <w:b/>
                      <w:bCs/>
                      <w:sz w:val="20"/>
                      <w:szCs w:val="20"/>
                      <w:lang w:val="es-CR" w:eastAsia="es-CR"/>
                    </w:rPr>
                    <w:t>Plazo máximo de entrega</w:t>
                  </w:r>
                </w:p>
              </w:tc>
              <w:tc>
                <w:tcPr>
                  <w:tcW w:w="1231" w:type="dxa"/>
                  <w:shd w:val="clear" w:color="auto" w:fill="auto"/>
                  <w:vAlign w:val="center"/>
                  <w:hideMark/>
                </w:tcPr>
                <w:p w14:paraId="0FD747F2" w14:textId="77777777" w:rsidR="00096AA9" w:rsidRPr="00444235" w:rsidRDefault="00096AA9" w:rsidP="00096AA9">
                  <w:pPr>
                    <w:spacing w:after="0" w:line="240" w:lineRule="auto"/>
                    <w:jc w:val="center"/>
                    <w:rPr>
                      <w:rFonts w:eastAsia="Times New Roman" w:cs="Arial"/>
                      <w:b/>
                      <w:bCs/>
                      <w:sz w:val="20"/>
                      <w:szCs w:val="20"/>
                      <w:lang w:val="es-CR" w:eastAsia="es-CR"/>
                    </w:rPr>
                  </w:pPr>
                  <w:r w:rsidRPr="00444235">
                    <w:rPr>
                      <w:rFonts w:eastAsia="Times New Roman" w:cs="Arial"/>
                      <w:b/>
                      <w:bCs/>
                      <w:sz w:val="20"/>
                      <w:szCs w:val="20"/>
                      <w:lang w:val="es-CR" w:eastAsia="es-CR"/>
                    </w:rPr>
                    <w:t>Formato o normas sobre el Contenido</w:t>
                  </w:r>
                </w:p>
              </w:tc>
              <w:tc>
                <w:tcPr>
                  <w:tcW w:w="1021" w:type="dxa"/>
                  <w:shd w:val="clear" w:color="auto" w:fill="auto"/>
                  <w:vAlign w:val="center"/>
                  <w:hideMark/>
                </w:tcPr>
                <w:p w14:paraId="50EFC47D" w14:textId="77777777" w:rsidR="00096AA9" w:rsidRPr="00444235" w:rsidRDefault="00096AA9" w:rsidP="00096AA9">
                  <w:pPr>
                    <w:spacing w:after="0" w:line="240" w:lineRule="auto"/>
                    <w:jc w:val="center"/>
                    <w:rPr>
                      <w:rFonts w:eastAsia="Times New Roman" w:cs="Arial"/>
                      <w:b/>
                      <w:bCs/>
                      <w:sz w:val="20"/>
                      <w:szCs w:val="20"/>
                      <w:lang w:val="es-CR" w:eastAsia="es-CR"/>
                    </w:rPr>
                  </w:pPr>
                  <w:r w:rsidRPr="00444235">
                    <w:rPr>
                      <w:rFonts w:eastAsia="Times New Roman" w:cs="Arial"/>
                      <w:b/>
                      <w:bCs/>
                      <w:sz w:val="20"/>
                      <w:szCs w:val="20"/>
                      <w:lang w:val="es-CR" w:eastAsia="es-CR"/>
                    </w:rPr>
                    <w:t>Medio de envío</w:t>
                  </w:r>
                </w:p>
              </w:tc>
              <w:tc>
                <w:tcPr>
                  <w:tcW w:w="1411" w:type="dxa"/>
                  <w:shd w:val="clear" w:color="auto" w:fill="auto"/>
                  <w:vAlign w:val="center"/>
                  <w:hideMark/>
                </w:tcPr>
                <w:p w14:paraId="1951C462" w14:textId="77777777" w:rsidR="00096AA9" w:rsidRPr="00444235" w:rsidRDefault="00096AA9" w:rsidP="00096AA9">
                  <w:pPr>
                    <w:spacing w:after="0" w:line="240" w:lineRule="auto"/>
                    <w:jc w:val="center"/>
                    <w:rPr>
                      <w:rFonts w:eastAsia="Times New Roman" w:cs="Arial"/>
                      <w:b/>
                      <w:bCs/>
                      <w:sz w:val="20"/>
                      <w:szCs w:val="20"/>
                      <w:lang w:val="es-CR" w:eastAsia="es-CR"/>
                    </w:rPr>
                  </w:pPr>
                  <w:r w:rsidRPr="00444235">
                    <w:rPr>
                      <w:rFonts w:eastAsia="Times New Roman" w:cs="Arial"/>
                      <w:b/>
                      <w:bCs/>
                      <w:sz w:val="20"/>
                      <w:szCs w:val="20"/>
                      <w:lang w:val="es-CR" w:eastAsia="es-CR"/>
                    </w:rPr>
                    <w:t>Notas Aclaratorias</w:t>
                  </w:r>
                </w:p>
              </w:tc>
            </w:tr>
            <w:tr w:rsidR="00096AA9" w:rsidRPr="00444235" w14:paraId="433A1C0A" w14:textId="77777777" w:rsidTr="00EF44C1">
              <w:trPr>
                <w:trHeight w:val="3806"/>
                <w:tblHeader/>
                <w:tblCellSpacing w:w="7" w:type="dxa"/>
              </w:trPr>
              <w:tc>
                <w:tcPr>
                  <w:tcW w:w="1250" w:type="dxa"/>
                  <w:shd w:val="clear" w:color="auto" w:fill="auto"/>
                  <w:hideMark/>
                </w:tcPr>
                <w:p w14:paraId="7F7EED3A" w14:textId="77777777" w:rsidR="00096AA9" w:rsidRPr="00444235" w:rsidRDefault="00096AA9" w:rsidP="00096AA9">
                  <w:pPr>
                    <w:spacing w:after="0" w:line="240" w:lineRule="auto"/>
                    <w:jc w:val="both"/>
                    <w:rPr>
                      <w:rFonts w:eastAsia="Times New Roman" w:cs="Arial"/>
                      <w:sz w:val="18"/>
                      <w:szCs w:val="18"/>
                      <w:lang w:val="es-CR" w:eastAsia="es-CR"/>
                    </w:rPr>
                  </w:pPr>
                  <w:r w:rsidRPr="00444235">
                    <w:rPr>
                      <w:rFonts w:eastAsia="Times New Roman" w:cs="Arial"/>
                      <w:sz w:val="18"/>
                      <w:szCs w:val="18"/>
                      <w:lang w:val="es-CR" w:eastAsia="es-CR"/>
                    </w:rPr>
                    <w:t>Opinión de revisor externo sobre el cumplimiento de estándares nacionales o internacionales de emisiones que califiquen como verdes, sociales o sostenibles</w:t>
                  </w:r>
                </w:p>
                <w:p w14:paraId="435FCCAC" w14:textId="77777777" w:rsidR="00096AA9" w:rsidRPr="00444235" w:rsidRDefault="00096AA9" w:rsidP="00096AA9">
                  <w:pPr>
                    <w:spacing w:after="0" w:line="240" w:lineRule="auto"/>
                    <w:jc w:val="both"/>
                    <w:rPr>
                      <w:rFonts w:eastAsia="Times New Roman" w:cs="Arial"/>
                      <w:sz w:val="18"/>
                      <w:szCs w:val="18"/>
                      <w:lang w:val="es-CR" w:eastAsia="es-CR"/>
                    </w:rPr>
                  </w:pPr>
                </w:p>
              </w:tc>
              <w:tc>
                <w:tcPr>
                  <w:tcW w:w="1120" w:type="dxa"/>
                  <w:shd w:val="clear" w:color="000000" w:fill="FFFFFF"/>
                  <w:hideMark/>
                </w:tcPr>
                <w:p w14:paraId="4D3BAD0A" w14:textId="77777777" w:rsidR="00096AA9" w:rsidRPr="00444235" w:rsidRDefault="00096AA9" w:rsidP="00096AA9">
                  <w:pPr>
                    <w:spacing w:after="0" w:line="240" w:lineRule="auto"/>
                    <w:jc w:val="center"/>
                    <w:rPr>
                      <w:rFonts w:eastAsia="Times New Roman" w:cs="Arial"/>
                      <w:sz w:val="18"/>
                      <w:szCs w:val="18"/>
                      <w:lang w:val="es-CR" w:eastAsia="es-CR"/>
                    </w:rPr>
                  </w:pPr>
                  <w:r w:rsidRPr="00444235">
                    <w:rPr>
                      <w:rFonts w:eastAsia="Times New Roman" w:cs="Arial"/>
                      <w:sz w:val="18"/>
                      <w:szCs w:val="18"/>
                      <w:lang w:val="es-CR" w:eastAsia="es-CR"/>
                    </w:rPr>
                    <w:t>Anual</w:t>
                  </w:r>
                </w:p>
              </w:tc>
              <w:tc>
                <w:tcPr>
                  <w:tcW w:w="1371" w:type="dxa"/>
                  <w:shd w:val="clear" w:color="000000" w:fill="FFFFFF"/>
                  <w:hideMark/>
                </w:tcPr>
                <w:p w14:paraId="056A2836" w14:textId="37F311B9" w:rsidR="00096AA9" w:rsidRPr="00444235" w:rsidRDefault="00096AA9" w:rsidP="00096AA9">
                  <w:pPr>
                    <w:spacing w:after="0" w:line="240" w:lineRule="auto"/>
                    <w:jc w:val="center"/>
                    <w:rPr>
                      <w:rFonts w:eastAsia="Times New Roman" w:cs="Arial"/>
                      <w:strike/>
                      <w:sz w:val="18"/>
                      <w:szCs w:val="18"/>
                      <w:lang w:val="es-CR" w:eastAsia="es-CR"/>
                    </w:rPr>
                  </w:pPr>
                  <w:r w:rsidRPr="00444235">
                    <w:rPr>
                      <w:rFonts w:eastAsia="Times New Roman" w:cs="Arial"/>
                      <w:strike/>
                      <w:sz w:val="18"/>
                      <w:szCs w:val="18"/>
                      <w:lang w:val="es-CR" w:eastAsia="es-CR"/>
                    </w:rPr>
                    <w:t>20 días hábiles posteriores a la fecha límite para la presentación de los estados financieros auditados.</w:t>
                  </w:r>
                  <w:r w:rsidR="0017079A" w:rsidRPr="00444235">
                    <w:rPr>
                      <w:rFonts w:eastAsia="Times New Roman" w:cs="Arial"/>
                      <w:sz w:val="20"/>
                      <w:szCs w:val="20"/>
                      <w:lang w:val="es-CR" w:eastAsia="es-CR"/>
                    </w:rPr>
                    <w:t xml:space="preserve"> </w:t>
                  </w:r>
                  <w:r w:rsidR="0027737E" w:rsidRPr="00444235">
                    <w:rPr>
                      <w:rFonts w:eastAsia="Times New Roman" w:cs="Arial"/>
                      <w:b/>
                      <w:bCs/>
                      <w:color w:val="4472C4" w:themeColor="accent1"/>
                      <w:sz w:val="20"/>
                      <w:szCs w:val="20"/>
                      <w:lang w:val="es-CR" w:eastAsia="es-CR"/>
                    </w:rPr>
                    <w:t xml:space="preserve">Deberá actualizarse una vez al año, con respecto a la fecha de la primera revisión externa, hasta por el plazo de la emisión. </w:t>
                  </w:r>
                </w:p>
                <w:p w14:paraId="54954F58" w14:textId="77777777" w:rsidR="00096AA9" w:rsidRPr="00444235" w:rsidRDefault="00096AA9" w:rsidP="00096AA9">
                  <w:pPr>
                    <w:spacing w:after="0" w:line="240" w:lineRule="auto"/>
                    <w:jc w:val="center"/>
                    <w:rPr>
                      <w:rFonts w:eastAsia="Times New Roman" w:cs="Arial"/>
                      <w:sz w:val="18"/>
                      <w:szCs w:val="18"/>
                      <w:lang w:val="es-CR" w:eastAsia="es-CR"/>
                    </w:rPr>
                  </w:pPr>
                </w:p>
                <w:p w14:paraId="7F11D7DA" w14:textId="77777777" w:rsidR="00096AA9" w:rsidRPr="00444235" w:rsidRDefault="00096AA9" w:rsidP="00096AA9">
                  <w:pPr>
                    <w:spacing w:after="0" w:line="240" w:lineRule="auto"/>
                    <w:jc w:val="center"/>
                    <w:rPr>
                      <w:rFonts w:eastAsia="Times New Roman" w:cs="Arial"/>
                      <w:sz w:val="18"/>
                      <w:szCs w:val="18"/>
                      <w:lang w:val="es-CR" w:eastAsia="es-CR"/>
                    </w:rPr>
                  </w:pPr>
                </w:p>
                <w:p w14:paraId="6A92D42F" w14:textId="77777777" w:rsidR="00096AA9" w:rsidRPr="00444235" w:rsidRDefault="00096AA9" w:rsidP="00096AA9">
                  <w:pPr>
                    <w:spacing w:after="0" w:line="240" w:lineRule="auto"/>
                    <w:jc w:val="center"/>
                    <w:rPr>
                      <w:rFonts w:eastAsia="Times New Roman" w:cs="Arial"/>
                      <w:sz w:val="18"/>
                      <w:szCs w:val="18"/>
                      <w:lang w:val="es-CR" w:eastAsia="es-CR"/>
                    </w:rPr>
                  </w:pPr>
                </w:p>
                <w:p w14:paraId="1DE2F102" w14:textId="77777777" w:rsidR="00096AA9" w:rsidRPr="00444235" w:rsidRDefault="00096AA9" w:rsidP="00096AA9">
                  <w:pPr>
                    <w:spacing w:after="0" w:line="240" w:lineRule="auto"/>
                    <w:jc w:val="center"/>
                    <w:rPr>
                      <w:rFonts w:eastAsia="Times New Roman" w:cs="Arial"/>
                      <w:sz w:val="18"/>
                      <w:szCs w:val="18"/>
                      <w:lang w:val="es-CR" w:eastAsia="es-CR"/>
                    </w:rPr>
                  </w:pPr>
                </w:p>
                <w:p w14:paraId="26449CB7" w14:textId="77777777" w:rsidR="00096AA9" w:rsidRPr="00444235" w:rsidRDefault="00096AA9" w:rsidP="00096AA9">
                  <w:pPr>
                    <w:spacing w:after="0" w:line="240" w:lineRule="auto"/>
                    <w:jc w:val="both"/>
                    <w:rPr>
                      <w:rFonts w:eastAsia="Times New Roman" w:cs="Arial"/>
                      <w:sz w:val="18"/>
                      <w:szCs w:val="18"/>
                      <w:lang w:val="es-CR" w:eastAsia="es-CR"/>
                    </w:rPr>
                  </w:pPr>
                  <w:r w:rsidRPr="00444235">
                    <w:rPr>
                      <w:rFonts w:eastAsia="Times New Roman" w:cs="Arial"/>
                      <w:strike/>
                      <w:sz w:val="18"/>
                      <w:szCs w:val="18"/>
                      <w:lang w:val="es-CR" w:eastAsia="es-CR"/>
                    </w:rPr>
                    <w:t>31 de marzo en el caso de Gobierno Central y Banco Central costarricenses y extranjeros y</w:t>
                  </w:r>
                  <w:r w:rsidRPr="00444235">
                    <w:rPr>
                      <w:rFonts w:eastAsia="Times New Roman" w:cs="Arial"/>
                      <w:sz w:val="18"/>
                      <w:szCs w:val="18"/>
                      <w:lang w:val="es-CR" w:eastAsia="es-CR"/>
                    </w:rPr>
                    <w:t xml:space="preserve">  </w:t>
                  </w:r>
                  <w:r w:rsidRPr="00444235">
                    <w:rPr>
                      <w:rFonts w:eastAsia="+mj-ea" w:cs="Arial"/>
                      <w:strike/>
                      <w:kern w:val="24"/>
                      <w:sz w:val="18"/>
                      <w:szCs w:val="18"/>
                    </w:rPr>
                    <w:t xml:space="preserve">organismos internacionales con participación </w:t>
                  </w:r>
                  <w:r w:rsidRPr="00444235">
                    <w:rPr>
                      <w:rFonts w:eastAsia="+mj-ea" w:cs="Arial"/>
                      <w:strike/>
                      <w:kern w:val="24"/>
                      <w:sz w:val="18"/>
                      <w:szCs w:val="18"/>
                    </w:rPr>
                    <w:lastRenderedPageBreak/>
                    <w:t>del Estado costarricense</w:t>
                  </w:r>
                  <w:r w:rsidRPr="00444235">
                    <w:rPr>
                      <w:rFonts w:eastAsia="+mj-ea" w:cs="Arial"/>
                      <w:kern w:val="24"/>
                      <w:sz w:val="18"/>
                      <w:szCs w:val="18"/>
                    </w:rPr>
                    <w:t>.</w:t>
                  </w:r>
                </w:p>
                <w:p w14:paraId="313CDACB" w14:textId="77777777" w:rsidR="00096AA9" w:rsidRPr="00444235" w:rsidRDefault="00096AA9" w:rsidP="00096AA9">
                  <w:pPr>
                    <w:spacing w:after="0" w:line="240" w:lineRule="auto"/>
                    <w:jc w:val="center"/>
                    <w:rPr>
                      <w:rFonts w:eastAsia="Times New Roman" w:cs="Arial"/>
                      <w:sz w:val="18"/>
                      <w:szCs w:val="18"/>
                      <w:lang w:val="es-CR" w:eastAsia="es-CR"/>
                    </w:rPr>
                  </w:pPr>
                </w:p>
              </w:tc>
              <w:tc>
                <w:tcPr>
                  <w:tcW w:w="1231" w:type="dxa"/>
                  <w:shd w:val="clear" w:color="000000" w:fill="FFFFFF"/>
                  <w:hideMark/>
                </w:tcPr>
                <w:p w14:paraId="06A26E13" w14:textId="77777777" w:rsidR="00096AA9" w:rsidRPr="00444235" w:rsidRDefault="00096AA9" w:rsidP="00096AA9">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lastRenderedPageBreak/>
                    <w:t>Acuerdo SGV-A-XXX  Lineamientos para emisiones verdes, sociales y sostenibles de oferta pública</w:t>
                  </w:r>
                </w:p>
                <w:p w14:paraId="20657797" w14:textId="77777777" w:rsidR="00096AA9" w:rsidRPr="00444235" w:rsidRDefault="00096AA9" w:rsidP="00096AA9">
                  <w:pPr>
                    <w:spacing w:after="0" w:line="240" w:lineRule="auto"/>
                    <w:jc w:val="center"/>
                    <w:rPr>
                      <w:rFonts w:eastAsia="Times New Roman" w:cs="Arial"/>
                      <w:sz w:val="18"/>
                      <w:szCs w:val="18"/>
                      <w:lang w:val="es-CR" w:eastAsia="es-CR"/>
                    </w:rPr>
                  </w:pPr>
                </w:p>
              </w:tc>
              <w:tc>
                <w:tcPr>
                  <w:tcW w:w="1021" w:type="dxa"/>
                  <w:shd w:val="clear" w:color="000000" w:fill="FFFFFF"/>
                  <w:hideMark/>
                </w:tcPr>
                <w:p w14:paraId="6FA9A788" w14:textId="77777777" w:rsidR="00096AA9" w:rsidRPr="00444235" w:rsidRDefault="00096AA9" w:rsidP="00096AA9">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t xml:space="preserve">Sistema </w:t>
                  </w:r>
                  <w:proofErr w:type="spellStart"/>
                  <w:r w:rsidRPr="00444235">
                    <w:rPr>
                      <w:rFonts w:eastAsia="Times New Roman" w:cs="Arial"/>
                      <w:sz w:val="18"/>
                      <w:szCs w:val="18"/>
                      <w:lang w:val="es-CR" w:eastAsia="es-CR"/>
                    </w:rPr>
                    <w:t>Ingresador</w:t>
                  </w:r>
                  <w:proofErr w:type="spellEnd"/>
                  <w:r w:rsidRPr="00444235">
                    <w:rPr>
                      <w:rFonts w:eastAsia="Times New Roman" w:cs="Arial"/>
                      <w:sz w:val="18"/>
                      <w:szCs w:val="18"/>
                      <w:lang w:val="es-CR" w:eastAsia="es-CR"/>
                    </w:rPr>
                    <w:t xml:space="preserve"> </w:t>
                  </w:r>
                </w:p>
                <w:p w14:paraId="5A8CF7C7" w14:textId="77777777" w:rsidR="00096AA9" w:rsidRPr="00444235" w:rsidRDefault="00096AA9" w:rsidP="00096AA9">
                  <w:pPr>
                    <w:spacing w:after="0" w:line="240" w:lineRule="auto"/>
                    <w:rPr>
                      <w:rFonts w:eastAsia="Times New Roman" w:cs="Arial"/>
                      <w:sz w:val="18"/>
                      <w:szCs w:val="18"/>
                      <w:lang w:val="es-CR" w:eastAsia="es-CR"/>
                    </w:rPr>
                  </w:pPr>
                </w:p>
                <w:p w14:paraId="6D0A725E" w14:textId="77777777" w:rsidR="00096AA9" w:rsidRPr="00444235" w:rsidRDefault="00096AA9" w:rsidP="00096AA9">
                  <w:pPr>
                    <w:spacing w:after="0" w:line="240" w:lineRule="auto"/>
                    <w:rPr>
                      <w:rFonts w:eastAsia="Times New Roman" w:cs="Arial"/>
                      <w:sz w:val="18"/>
                      <w:szCs w:val="18"/>
                      <w:lang w:val="es-CR" w:eastAsia="es-CR"/>
                    </w:rPr>
                  </w:pPr>
                </w:p>
                <w:p w14:paraId="44D281A0" w14:textId="77777777" w:rsidR="00096AA9" w:rsidRPr="00444235" w:rsidRDefault="00096AA9" w:rsidP="00096AA9">
                  <w:pPr>
                    <w:spacing w:after="0" w:line="240" w:lineRule="auto"/>
                    <w:rPr>
                      <w:rFonts w:eastAsia="Times New Roman" w:cs="Arial"/>
                      <w:sz w:val="18"/>
                      <w:szCs w:val="18"/>
                      <w:lang w:val="es-CR" w:eastAsia="es-CR"/>
                    </w:rPr>
                  </w:pPr>
                </w:p>
                <w:p w14:paraId="5AC3AC2B" w14:textId="77777777" w:rsidR="00096AA9" w:rsidRPr="00444235" w:rsidRDefault="00096AA9" w:rsidP="00096AA9">
                  <w:pPr>
                    <w:spacing w:after="0" w:line="240" w:lineRule="auto"/>
                    <w:rPr>
                      <w:rFonts w:eastAsia="Times New Roman" w:cs="Arial"/>
                      <w:sz w:val="18"/>
                      <w:szCs w:val="18"/>
                      <w:lang w:val="es-CR" w:eastAsia="es-CR"/>
                    </w:rPr>
                  </w:pPr>
                </w:p>
                <w:p w14:paraId="1FB0CDAE" w14:textId="77777777" w:rsidR="00096AA9" w:rsidRPr="00444235" w:rsidRDefault="00096AA9" w:rsidP="00096AA9">
                  <w:pPr>
                    <w:spacing w:after="0" w:line="240" w:lineRule="auto"/>
                    <w:rPr>
                      <w:rFonts w:eastAsia="Times New Roman" w:cs="Arial"/>
                      <w:sz w:val="18"/>
                      <w:szCs w:val="18"/>
                      <w:lang w:val="es-CR" w:eastAsia="es-CR"/>
                    </w:rPr>
                  </w:pPr>
                </w:p>
                <w:p w14:paraId="5CCF60CE" w14:textId="77777777" w:rsidR="00096AA9" w:rsidRPr="00444235" w:rsidRDefault="00096AA9" w:rsidP="00096AA9">
                  <w:pPr>
                    <w:spacing w:after="0" w:line="240" w:lineRule="auto"/>
                    <w:rPr>
                      <w:rFonts w:eastAsia="Times New Roman" w:cs="Arial"/>
                      <w:sz w:val="18"/>
                      <w:szCs w:val="18"/>
                      <w:lang w:val="es-CR" w:eastAsia="es-CR"/>
                    </w:rPr>
                  </w:pPr>
                </w:p>
                <w:p w14:paraId="1AC19B73" w14:textId="77777777" w:rsidR="00096AA9" w:rsidRPr="00444235" w:rsidRDefault="00096AA9" w:rsidP="00096AA9">
                  <w:pPr>
                    <w:spacing w:after="0" w:line="240" w:lineRule="auto"/>
                    <w:rPr>
                      <w:rFonts w:eastAsia="Times New Roman" w:cs="Arial"/>
                      <w:sz w:val="18"/>
                      <w:szCs w:val="18"/>
                      <w:lang w:val="es-CR" w:eastAsia="es-CR"/>
                    </w:rPr>
                  </w:pPr>
                </w:p>
                <w:p w14:paraId="107551BD" w14:textId="77777777" w:rsidR="00096AA9" w:rsidRPr="00444235" w:rsidRDefault="00096AA9" w:rsidP="00096AA9">
                  <w:pPr>
                    <w:spacing w:after="0" w:line="240" w:lineRule="auto"/>
                    <w:rPr>
                      <w:rFonts w:eastAsia="Times New Roman" w:cs="Arial"/>
                      <w:sz w:val="18"/>
                      <w:szCs w:val="18"/>
                      <w:lang w:val="es-CR" w:eastAsia="es-CR"/>
                    </w:rPr>
                  </w:pPr>
                </w:p>
                <w:p w14:paraId="7FCD73A8" w14:textId="77777777" w:rsidR="00096AA9" w:rsidRPr="00444235" w:rsidRDefault="00096AA9" w:rsidP="00096AA9">
                  <w:pPr>
                    <w:spacing w:after="0" w:line="240" w:lineRule="auto"/>
                    <w:rPr>
                      <w:rFonts w:eastAsia="Times New Roman" w:cs="Arial"/>
                      <w:sz w:val="18"/>
                      <w:szCs w:val="18"/>
                      <w:lang w:val="es-CR" w:eastAsia="es-CR"/>
                    </w:rPr>
                  </w:pPr>
                </w:p>
                <w:p w14:paraId="07DAF67C" w14:textId="77777777" w:rsidR="00096AA9" w:rsidRPr="00444235" w:rsidRDefault="00096AA9" w:rsidP="00096AA9">
                  <w:pPr>
                    <w:spacing w:after="0" w:line="240" w:lineRule="auto"/>
                    <w:rPr>
                      <w:rFonts w:eastAsia="Times New Roman" w:cs="Arial"/>
                      <w:sz w:val="18"/>
                      <w:szCs w:val="18"/>
                      <w:lang w:val="es-CR" w:eastAsia="es-CR"/>
                    </w:rPr>
                  </w:pPr>
                  <w:proofErr w:type="spellStart"/>
                  <w:r w:rsidRPr="00444235">
                    <w:rPr>
                      <w:rFonts w:eastAsia="Times New Roman" w:cs="Arial"/>
                      <w:sz w:val="18"/>
                      <w:szCs w:val="18"/>
                      <w:lang w:val="es-CR" w:eastAsia="es-CR"/>
                    </w:rPr>
                    <w:t>Mendocel</w:t>
                  </w:r>
                  <w:proofErr w:type="spellEnd"/>
                  <w:r w:rsidRPr="00444235">
                    <w:rPr>
                      <w:rFonts w:eastAsia="Times New Roman" w:cs="Arial"/>
                      <w:sz w:val="18"/>
                      <w:szCs w:val="18"/>
                      <w:lang w:val="es-CR" w:eastAsia="es-CR"/>
                    </w:rPr>
                    <w:t xml:space="preserve"> SGV-A-188</w:t>
                  </w:r>
                </w:p>
                <w:p w14:paraId="762EAFA9" w14:textId="77777777" w:rsidR="00096AA9" w:rsidRPr="00444235" w:rsidRDefault="00096AA9" w:rsidP="00096AA9">
                  <w:pPr>
                    <w:spacing w:after="0" w:line="240" w:lineRule="auto"/>
                    <w:rPr>
                      <w:rFonts w:eastAsia="Times New Roman" w:cs="Arial"/>
                      <w:sz w:val="18"/>
                      <w:szCs w:val="18"/>
                      <w:lang w:val="es-CR" w:eastAsia="es-CR"/>
                    </w:rPr>
                  </w:pPr>
                </w:p>
                <w:p w14:paraId="7815E492" w14:textId="77777777" w:rsidR="00096AA9" w:rsidRPr="00444235" w:rsidRDefault="00096AA9" w:rsidP="00096AA9">
                  <w:pPr>
                    <w:spacing w:after="0" w:line="240" w:lineRule="auto"/>
                    <w:rPr>
                      <w:rFonts w:eastAsia="Times New Roman" w:cs="Arial"/>
                      <w:sz w:val="18"/>
                      <w:szCs w:val="18"/>
                      <w:lang w:val="es-CR" w:eastAsia="es-CR"/>
                    </w:rPr>
                  </w:pPr>
                </w:p>
              </w:tc>
              <w:tc>
                <w:tcPr>
                  <w:tcW w:w="1411" w:type="dxa"/>
                  <w:shd w:val="clear" w:color="000000" w:fill="FFFFFF"/>
                  <w:hideMark/>
                </w:tcPr>
                <w:p w14:paraId="7AEEB0BE" w14:textId="77777777" w:rsidR="00096AA9" w:rsidRPr="00444235" w:rsidRDefault="00096AA9" w:rsidP="0061129B">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t>Solo aplica a emisiones, fondos de inversión y universalidades que califiquen como verdes, sociales y sostenibles.</w:t>
                  </w:r>
                </w:p>
                <w:p w14:paraId="31FF6508" w14:textId="77777777" w:rsidR="00096AA9" w:rsidRPr="00444235" w:rsidRDefault="00096AA9" w:rsidP="0061129B">
                  <w:pPr>
                    <w:spacing w:after="0" w:line="240" w:lineRule="auto"/>
                    <w:rPr>
                      <w:rFonts w:eastAsia="Times New Roman" w:cs="Arial"/>
                      <w:sz w:val="18"/>
                      <w:szCs w:val="18"/>
                      <w:lang w:val="es-CR" w:eastAsia="es-CR"/>
                    </w:rPr>
                  </w:pPr>
                </w:p>
                <w:p w14:paraId="5241C02B" w14:textId="77777777" w:rsidR="00096AA9" w:rsidRPr="00444235" w:rsidRDefault="00096AA9" w:rsidP="0061129B">
                  <w:pPr>
                    <w:spacing w:after="0" w:line="240" w:lineRule="auto"/>
                    <w:rPr>
                      <w:rFonts w:eastAsia="Times New Roman" w:cs="Arial"/>
                      <w:sz w:val="18"/>
                      <w:szCs w:val="18"/>
                      <w:lang w:val="es-CR" w:eastAsia="es-CR"/>
                    </w:rPr>
                  </w:pPr>
                </w:p>
                <w:p w14:paraId="3F7619EC" w14:textId="77777777" w:rsidR="00096AA9" w:rsidRPr="00444235" w:rsidRDefault="00096AA9" w:rsidP="0061129B">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t xml:space="preserve">El envío por medio de </w:t>
                  </w:r>
                  <w:proofErr w:type="spellStart"/>
                  <w:r w:rsidRPr="00444235">
                    <w:rPr>
                      <w:rFonts w:eastAsia="Times New Roman" w:cs="Arial"/>
                      <w:b/>
                      <w:bCs/>
                      <w:sz w:val="18"/>
                      <w:szCs w:val="18"/>
                      <w:lang w:val="es-CR" w:eastAsia="es-CR"/>
                    </w:rPr>
                    <w:t>Mendocel</w:t>
                  </w:r>
                  <w:proofErr w:type="spellEnd"/>
                  <w:r w:rsidRPr="00444235">
                    <w:rPr>
                      <w:rFonts w:eastAsia="Times New Roman" w:cs="Arial"/>
                      <w:sz w:val="18"/>
                      <w:szCs w:val="18"/>
                      <w:lang w:val="es-CR" w:eastAsia="es-CR"/>
                    </w:rPr>
                    <w:t xml:space="preserve"> solo aplica para valores emitidos por el Gobierno Central y Banco Central costarricenses y extranjeros y organismos</w:t>
                  </w:r>
                  <w:r w:rsidRPr="00444235">
                    <w:rPr>
                      <w:rFonts w:eastAsia="+mj-ea" w:cs="Arial"/>
                      <w:kern w:val="24"/>
                      <w:sz w:val="18"/>
                      <w:szCs w:val="18"/>
                    </w:rPr>
                    <w:t xml:space="preserve"> internacionales con participación del Estado costarricense.</w:t>
                  </w:r>
                </w:p>
                <w:p w14:paraId="30CD4695" w14:textId="77777777" w:rsidR="00096AA9" w:rsidRPr="00444235" w:rsidRDefault="00096AA9" w:rsidP="0061129B">
                  <w:pPr>
                    <w:spacing w:after="0" w:line="240" w:lineRule="auto"/>
                    <w:rPr>
                      <w:rFonts w:eastAsia="Times New Roman" w:cs="Arial"/>
                      <w:sz w:val="18"/>
                      <w:szCs w:val="18"/>
                      <w:lang w:val="es-CR" w:eastAsia="es-CR"/>
                    </w:rPr>
                  </w:pPr>
                </w:p>
                <w:p w14:paraId="4E197F6B" w14:textId="77777777" w:rsidR="00096AA9" w:rsidRPr="00444235" w:rsidRDefault="00096AA9" w:rsidP="0061129B">
                  <w:pPr>
                    <w:pStyle w:val="Textocomentario"/>
                    <w:spacing w:after="0"/>
                    <w:rPr>
                      <w:rFonts w:eastAsia="Times New Roman" w:cs="Arial"/>
                      <w:sz w:val="18"/>
                      <w:szCs w:val="18"/>
                      <w:lang w:val="es-CR" w:eastAsia="es-CR"/>
                    </w:rPr>
                  </w:pPr>
                  <w:r w:rsidRPr="00444235">
                    <w:rPr>
                      <w:rFonts w:eastAsia="Times New Roman" w:cs="Arial"/>
                      <w:strike/>
                      <w:sz w:val="18"/>
                      <w:szCs w:val="18"/>
                      <w:lang w:val="es-CR" w:eastAsia="es-CR"/>
                    </w:rPr>
                    <w:t>No será necesario el envío de la</w:t>
                  </w:r>
                  <w:r w:rsidRPr="00444235">
                    <w:rPr>
                      <w:rFonts w:eastAsia="Times New Roman" w:cs="Arial"/>
                      <w:sz w:val="18"/>
                      <w:szCs w:val="18"/>
                      <w:lang w:val="es-CR" w:eastAsia="es-CR"/>
                    </w:rPr>
                    <w:t xml:space="preserve"> </w:t>
                  </w:r>
                  <w:r w:rsidRPr="00444235">
                    <w:rPr>
                      <w:rFonts w:eastAsia="Times New Roman" w:cs="Arial"/>
                      <w:strike/>
                      <w:sz w:val="18"/>
                      <w:szCs w:val="18"/>
                      <w:lang w:val="es-CR" w:eastAsia="es-CR"/>
                    </w:rPr>
                    <w:t xml:space="preserve">revisión externa, si al momento de la primera remisión anual, </w:t>
                  </w:r>
                  <w:r w:rsidRPr="00444235">
                    <w:rPr>
                      <w:rFonts w:eastAsia="Times New Roman" w:cs="Arial"/>
                      <w:strike/>
                      <w:sz w:val="18"/>
                      <w:szCs w:val="18"/>
                      <w:lang w:val="es-CR" w:eastAsia="es-CR"/>
                    </w:rPr>
                    <w:lastRenderedPageBreak/>
                    <w:t>la emisión o fondo de inversión tiene menos de 6 meses de haberse inscrito en el Registro Nacional de Valores e Intermediarios</w:t>
                  </w:r>
                </w:p>
              </w:tc>
            </w:tr>
            <w:tr w:rsidR="00096AA9" w:rsidRPr="00444235" w14:paraId="7498B924" w14:textId="77777777" w:rsidTr="005351FE">
              <w:trPr>
                <w:trHeight w:val="4641"/>
                <w:tblHeader/>
                <w:tblCellSpacing w:w="7" w:type="dxa"/>
              </w:trPr>
              <w:tc>
                <w:tcPr>
                  <w:tcW w:w="1250" w:type="dxa"/>
                  <w:shd w:val="clear" w:color="auto" w:fill="auto"/>
                </w:tcPr>
                <w:p w14:paraId="27528240" w14:textId="1729EB10" w:rsidR="00096AA9" w:rsidRPr="00444235" w:rsidRDefault="00096AA9" w:rsidP="00096AA9">
                  <w:pPr>
                    <w:widowControl w:val="0"/>
                    <w:spacing w:after="0" w:line="240" w:lineRule="auto"/>
                    <w:jc w:val="both"/>
                    <w:rPr>
                      <w:rFonts w:eastAsia="Calibri" w:cs="Arial"/>
                      <w:bCs/>
                      <w:sz w:val="18"/>
                      <w:szCs w:val="18"/>
                    </w:rPr>
                  </w:pPr>
                  <w:r w:rsidRPr="00444235">
                    <w:rPr>
                      <w:rFonts w:eastAsia="Calibri" w:cs="Arial"/>
                      <w:bCs/>
                      <w:sz w:val="18"/>
                      <w:szCs w:val="18"/>
                    </w:rPr>
                    <w:lastRenderedPageBreak/>
                    <w:t xml:space="preserve">Informe del uso de los fondos </w:t>
                  </w:r>
                  <w:r w:rsidRPr="00444235">
                    <w:rPr>
                      <w:rFonts w:eastAsia="Times New Roman" w:cs="Arial"/>
                      <w:sz w:val="18"/>
                      <w:szCs w:val="18"/>
                      <w:lang w:val="es-CR" w:eastAsia="es-CR"/>
                    </w:rPr>
                    <w:t>de emisiones que califiquen como verdes, sociales o sostenibles</w:t>
                  </w:r>
                </w:p>
                <w:p w14:paraId="235BAA31" w14:textId="77777777" w:rsidR="00096AA9" w:rsidRPr="00444235" w:rsidRDefault="00096AA9" w:rsidP="00096AA9">
                  <w:pPr>
                    <w:spacing w:after="0" w:line="240" w:lineRule="auto"/>
                    <w:jc w:val="both"/>
                    <w:rPr>
                      <w:rFonts w:eastAsia="Times New Roman" w:cs="Arial"/>
                      <w:bCs/>
                      <w:sz w:val="18"/>
                      <w:szCs w:val="18"/>
                      <w:lang w:eastAsia="es-CR"/>
                    </w:rPr>
                  </w:pPr>
                </w:p>
              </w:tc>
              <w:tc>
                <w:tcPr>
                  <w:tcW w:w="1120" w:type="dxa"/>
                  <w:shd w:val="clear" w:color="000000" w:fill="FFFFFF"/>
                </w:tcPr>
                <w:p w14:paraId="0E9CE495" w14:textId="77777777" w:rsidR="00096AA9" w:rsidRPr="00444235" w:rsidRDefault="00096AA9" w:rsidP="00096AA9">
                  <w:pPr>
                    <w:spacing w:after="0" w:line="240" w:lineRule="auto"/>
                    <w:jc w:val="center"/>
                    <w:rPr>
                      <w:rFonts w:eastAsia="Times New Roman" w:cs="Arial"/>
                      <w:sz w:val="18"/>
                      <w:szCs w:val="18"/>
                      <w:lang w:val="es-CR" w:eastAsia="es-CR"/>
                    </w:rPr>
                  </w:pPr>
                  <w:r w:rsidRPr="00444235">
                    <w:rPr>
                      <w:rFonts w:eastAsia="Times New Roman" w:cs="Arial"/>
                      <w:sz w:val="18"/>
                      <w:szCs w:val="18"/>
                      <w:lang w:val="es-CR" w:eastAsia="es-CR"/>
                    </w:rPr>
                    <w:t>Anual</w:t>
                  </w:r>
                </w:p>
              </w:tc>
              <w:tc>
                <w:tcPr>
                  <w:tcW w:w="1371" w:type="dxa"/>
                  <w:shd w:val="clear" w:color="000000" w:fill="FFFFFF"/>
                </w:tcPr>
                <w:p w14:paraId="33F9E63F" w14:textId="77777777" w:rsidR="00096AA9" w:rsidRPr="00444235" w:rsidRDefault="00096AA9" w:rsidP="00096AA9">
                  <w:pPr>
                    <w:spacing w:after="0" w:line="240" w:lineRule="auto"/>
                    <w:jc w:val="center"/>
                    <w:rPr>
                      <w:rFonts w:eastAsia="Times New Roman" w:cs="Arial"/>
                      <w:strike/>
                      <w:sz w:val="18"/>
                      <w:szCs w:val="18"/>
                      <w:lang w:val="es-CR" w:eastAsia="es-CR"/>
                    </w:rPr>
                  </w:pPr>
                  <w:r w:rsidRPr="00444235">
                    <w:rPr>
                      <w:rFonts w:eastAsia="Times New Roman" w:cs="Arial"/>
                      <w:strike/>
                      <w:sz w:val="18"/>
                      <w:szCs w:val="18"/>
                      <w:lang w:val="es-CR" w:eastAsia="es-CR"/>
                    </w:rPr>
                    <w:t>20 días hábiles posteriores a la fecha límite para prestación de los estados financieros auditados.</w:t>
                  </w:r>
                </w:p>
                <w:p w14:paraId="1502C89E" w14:textId="77777777" w:rsidR="00096AA9" w:rsidRPr="00444235" w:rsidRDefault="00096AA9" w:rsidP="0017079A">
                  <w:pPr>
                    <w:spacing w:after="0" w:line="240" w:lineRule="auto"/>
                    <w:jc w:val="both"/>
                    <w:rPr>
                      <w:rFonts w:eastAsia="Times New Roman" w:cs="Arial"/>
                      <w:sz w:val="18"/>
                      <w:szCs w:val="18"/>
                      <w:lang w:val="es-CR" w:eastAsia="es-CR"/>
                    </w:rPr>
                  </w:pPr>
                </w:p>
                <w:p w14:paraId="26D7250D" w14:textId="2CF53623" w:rsidR="00096AA9" w:rsidRPr="00444235" w:rsidRDefault="005275D0" w:rsidP="0017079A">
                  <w:pPr>
                    <w:spacing w:after="0" w:line="240" w:lineRule="auto"/>
                    <w:jc w:val="both"/>
                    <w:rPr>
                      <w:rFonts w:eastAsia="Times New Roman" w:cs="Arial"/>
                      <w:b/>
                      <w:bCs/>
                      <w:color w:val="4472C4" w:themeColor="accent1"/>
                      <w:sz w:val="20"/>
                      <w:szCs w:val="20"/>
                      <w:lang w:val="es-CR" w:eastAsia="es-CR"/>
                    </w:rPr>
                  </w:pPr>
                  <w:bookmarkStart w:id="2" w:name="_Hlk87517583"/>
                  <w:r w:rsidRPr="00444235">
                    <w:rPr>
                      <w:rFonts w:eastAsia="Times New Roman" w:cs="Arial"/>
                      <w:b/>
                      <w:bCs/>
                      <w:color w:val="4472C4" w:themeColor="accent1"/>
                      <w:sz w:val="20"/>
                      <w:szCs w:val="20"/>
                      <w:lang w:val="es-CR" w:eastAsia="es-CR"/>
                    </w:rPr>
                    <w:t>A</w:t>
                  </w:r>
                  <w:r w:rsidR="0017079A" w:rsidRPr="00444235">
                    <w:rPr>
                      <w:rFonts w:eastAsia="Times New Roman" w:cs="Arial"/>
                      <w:b/>
                      <w:bCs/>
                      <w:color w:val="4472C4" w:themeColor="accent1"/>
                      <w:sz w:val="20"/>
                      <w:szCs w:val="20"/>
                      <w:lang w:val="es-CR" w:eastAsia="es-CR"/>
                    </w:rPr>
                    <w:t>nualmente a partir del año siguiente de la fecha de la primera revisión externa y hasta por el plazo de la emisión</w:t>
                  </w:r>
                </w:p>
                <w:p w14:paraId="42202C46" w14:textId="3872A293" w:rsidR="0017079A" w:rsidRPr="00444235" w:rsidRDefault="0017079A" w:rsidP="0017079A">
                  <w:pPr>
                    <w:jc w:val="both"/>
                    <w:rPr>
                      <w:rFonts w:eastAsia="Times New Roman" w:cs="Arial"/>
                      <w:b/>
                      <w:bCs/>
                      <w:color w:val="4472C4" w:themeColor="accent1"/>
                      <w:sz w:val="20"/>
                      <w:szCs w:val="20"/>
                      <w:lang w:val="es-CR" w:eastAsia="es-CR"/>
                    </w:rPr>
                  </w:pPr>
                  <w:r w:rsidRPr="00444235">
                    <w:rPr>
                      <w:rFonts w:eastAsia="Times New Roman" w:cs="Arial"/>
                      <w:b/>
                      <w:bCs/>
                      <w:color w:val="4472C4" w:themeColor="accent1"/>
                      <w:sz w:val="20"/>
                      <w:szCs w:val="20"/>
                      <w:lang w:val="es-CR" w:eastAsia="es-CR"/>
                    </w:rPr>
                    <w:t xml:space="preserve">Si la revisión externa </w:t>
                  </w:r>
                  <w:r w:rsidRPr="00444235">
                    <w:rPr>
                      <w:rFonts w:eastAsia="Times New Roman" w:cs="Arial"/>
                      <w:b/>
                      <w:bCs/>
                      <w:color w:val="4472C4" w:themeColor="accent1"/>
                      <w:sz w:val="20"/>
                      <w:szCs w:val="20"/>
                      <w:lang w:val="es-CR" w:eastAsia="es-CR"/>
                    </w:rPr>
                    <w:lastRenderedPageBreak/>
                    <w:t>cumple con el contenido mínimo</w:t>
                  </w:r>
                  <w:r w:rsidRPr="00444235">
                    <w:rPr>
                      <w:rFonts w:eastAsia="Times New Roman" w:cs="Arial"/>
                      <w:color w:val="4472C4" w:themeColor="accent1"/>
                      <w:sz w:val="18"/>
                      <w:szCs w:val="18"/>
                      <w:lang w:val="es-CR" w:eastAsia="es-CR"/>
                    </w:rPr>
                    <w:t xml:space="preserve"> </w:t>
                  </w:r>
                  <w:r w:rsidRPr="00444235">
                    <w:rPr>
                      <w:rFonts w:eastAsia="Times New Roman" w:cs="Arial"/>
                      <w:b/>
                      <w:bCs/>
                      <w:color w:val="4472C4" w:themeColor="accent1"/>
                      <w:sz w:val="20"/>
                      <w:szCs w:val="20"/>
                      <w:lang w:val="es-CR" w:eastAsia="es-CR"/>
                    </w:rPr>
                    <w:t xml:space="preserve">solicitado en </w:t>
                  </w:r>
                  <w:r w:rsidR="006830FA" w:rsidRPr="00444235">
                    <w:rPr>
                      <w:rFonts w:eastAsia="Times New Roman" w:cs="Arial"/>
                      <w:b/>
                      <w:bCs/>
                      <w:color w:val="4472C4" w:themeColor="accent1"/>
                      <w:sz w:val="20"/>
                      <w:szCs w:val="20"/>
                      <w:lang w:val="es-CR" w:eastAsia="es-CR"/>
                    </w:rPr>
                    <w:t>el</w:t>
                  </w:r>
                  <w:r w:rsidRPr="00444235">
                    <w:rPr>
                      <w:rFonts w:eastAsia="Times New Roman" w:cs="Arial"/>
                      <w:b/>
                      <w:bCs/>
                      <w:color w:val="4472C4" w:themeColor="accent1"/>
                      <w:sz w:val="20"/>
                      <w:szCs w:val="20"/>
                      <w:lang w:val="es-CR" w:eastAsia="es-CR"/>
                    </w:rPr>
                    <w:t xml:space="preserve"> </w:t>
                  </w:r>
                  <w:r w:rsidR="006830FA" w:rsidRPr="00444235">
                    <w:rPr>
                      <w:rFonts w:eastAsia="Times New Roman" w:cs="Arial"/>
                      <w:b/>
                      <w:bCs/>
                      <w:color w:val="4472C4" w:themeColor="accent1"/>
                      <w:sz w:val="20"/>
                      <w:szCs w:val="20"/>
                      <w:lang w:val="es-CR" w:eastAsia="es-CR"/>
                    </w:rPr>
                    <w:t>A</w:t>
                  </w:r>
                  <w:r w:rsidRPr="00444235">
                    <w:rPr>
                      <w:rFonts w:eastAsia="Times New Roman" w:cs="Arial"/>
                      <w:b/>
                      <w:bCs/>
                      <w:color w:val="4472C4" w:themeColor="accent1"/>
                      <w:sz w:val="20"/>
                      <w:szCs w:val="20"/>
                      <w:lang w:val="es-CR" w:eastAsia="es-CR"/>
                    </w:rPr>
                    <w:t>nexo</w:t>
                  </w:r>
                  <w:r w:rsidR="006830FA" w:rsidRPr="00444235">
                    <w:rPr>
                      <w:rFonts w:eastAsia="Times New Roman" w:cs="Arial"/>
                      <w:b/>
                      <w:bCs/>
                      <w:color w:val="4472C4" w:themeColor="accent1"/>
                      <w:sz w:val="20"/>
                      <w:szCs w:val="20"/>
                      <w:lang w:val="es-CR" w:eastAsia="es-CR"/>
                    </w:rPr>
                    <w:t xml:space="preserve"> 3 de los Lineamientos para la autorización y registro de emisiones verdes sociales y sostenibles de oferta pública</w:t>
                  </w:r>
                  <w:r w:rsidRPr="00444235">
                    <w:rPr>
                      <w:rFonts w:eastAsia="Times New Roman" w:cs="Arial"/>
                      <w:b/>
                      <w:bCs/>
                      <w:color w:val="4472C4" w:themeColor="accent1"/>
                      <w:sz w:val="20"/>
                      <w:szCs w:val="20"/>
                      <w:lang w:val="es-CR" w:eastAsia="es-CR"/>
                    </w:rPr>
                    <w:t>, se podrá presentar únicamente la revisión externa en sustitución del informe del uso de fondos.</w:t>
                  </w:r>
                </w:p>
                <w:bookmarkEnd w:id="2"/>
                <w:p w14:paraId="26B51A6C" w14:textId="674F481A" w:rsidR="00096AA9" w:rsidRPr="00444235" w:rsidRDefault="00096AA9" w:rsidP="0017079A">
                  <w:pPr>
                    <w:spacing w:after="0" w:line="240" w:lineRule="auto"/>
                    <w:jc w:val="both"/>
                    <w:rPr>
                      <w:rFonts w:eastAsia="Times New Roman" w:cs="Arial"/>
                      <w:sz w:val="18"/>
                      <w:szCs w:val="18"/>
                      <w:lang w:val="es-CR" w:eastAsia="es-CR"/>
                    </w:rPr>
                  </w:pPr>
                </w:p>
                <w:p w14:paraId="0CC36BA4" w14:textId="77777777" w:rsidR="00096AA9" w:rsidRPr="00444235" w:rsidRDefault="00096AA9" w:rsidP="00096AA9">
                  <w:pPr>
                    <w:spacing w:after="0" w:line="240" w:lineRule="auto"/>
                    <w:jc w:val="both"/>
                    <w:rPr>
                      <w:rFonts w:eastAsia="Times New Roman" w:cs="Arial"/>
                      <w:sz w:val="18"/>
                      <w:szCs w:val="18"/>
                      <w:lang w:val="es-CR" w:eastAsia="es-CR"/>
                    </w:rPr>
                  </w:pPr>
                  <w:r w:rsidRPr="00444235">
                    <w:rPr>
                      <w:rFonts w:eastAsia="Times New Roman" w:cs="Arial"/>
                      <w:strike/>
                      <w:sz w:val="18"/>
                      <w:szCs w:val="18"/>
                      <w:lang w:val="es-CR" w:eastAsia="es-CR"/>
                    </w:rPr>
                    <w:t>31 de marzo en el caso de Gobierno Central y Banco Central</w:t>
                  </w:r>
                  <w:r w:rsidRPr="00444235">
                    <w:rPr>
                      <w:rFonts w:eastAsia="Times New Roman" w:cs="Arial"/>
                      <w:sz w:val="18"/>
                      <w:szCs w:val="18"/>
                      <w:lang w:val="es-CR" w:eastAsia="es-CR"/>
                    </w:rPr>
                    <w:t xml:space="preserve"> </w:t>
                  </w:r>
                  <w:r w:rsidRPr="00444235">
                    <w:rPr>
                      <w:rFonts w:eastAsia="Times New Roman" w:cs="Arial"/>
                      <w:strike/>
                      <w:sz w:val="18"/>
                      <w:szCs w:val="18"/>
                      <w:lang w:val="es-CR" w:eastAsia="es-CR"/>
                    </w:rPr>
                    <w:t xml:space="preserve">costarricenses y extranjeros y  </w:t>
                  </w:r>
                  <w:r w:rsidRPr="00444235">
                    <w:rPr>
                      <w:rFonts w:eastAsia="+mj-ea" w:cs="Arial"/>
                      <w:strike/>
                      <w:kern w:val="24"/>
                      <w:sz w:val="18"/>
                      <w:szCs w:val="18"/>
                    </w:rPr>
                    <w:t xml:space="preserve">organismos internacionales con </w:t>
                  </w:r>
                  <w:r w:rsidRPr="00444235">
                    <w:rPr>
                      <w:rFonts w:eastAsia="+mj-ea" w:cs="Arial"/>
                      <w:strike/>
                      <w:kern w:val="24"/>
                      <w:sz w:val="18"/>
                      <w:szCs w:val="18"/>
                    </w:rPr>
                    <w:lastRenderedPageBreak/>
                    <w:t>participación del Estado costarricense.</w:t>
                  </w:r>
                </w:p>
              </w:tc>
              <w:tc>
                <w:tcPr>
                  <w:tcW w:w="1231" w:type="dxa"/>
                  <w:shd w:val="clear" w:color="000000" w:fill="FFFFFF"/>
                </w:tcPr>
                <w:p w14:paraId="40053437" w14:textId="77777777" w:rsidR="00096AA9" w:rsidRPr="00444235" w:rsidRDefault="00096AA9" w:rsidP="00096AA9">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lastRenderedPageBreak/>
                    <w:t>Acuerdo SGV-A-XXX  Lineamientos para emisiones verdes, sociales y sostenibles de oferta pública</w:t>
                  </w:r>
                </w:p>
                <w:p w14:paraId="22B10051" w14:textId="77777777" w:rsidR="00096AA9" w:rsidRPr="00444235" w:rsidRDefault="00096AA9" w:rsidP="00096AA9">
                  <w:pPr>
                    <w:spacing w:after="0" w:line="240" w:lineRule="auto"/>
                    <w:jc w:val="center"/>
                    <w:rPr>
                      <w:rFonts w:eastAsia="Times New Roman" w:cs="Arial"/>
                      <w:sz w:val="18"/>
                      <w:szCs w:val="18"/>
                      <w:lang w:val="es-CR" w:eastAsia="es-CR"/>
                    </w:rPr>
                  </w:pPr>
                </w:p>
              </w:tc>
              <w:tc>
                <w:tcPr>
                  <w:tcW w:w="1021" w:type="dxa"/>
                  <w:shd w:val="clear" w:color="000000" w:fill="FFFFFF"/>
                </w:tcPr>
                <w:p w14:paraId="7B65F133" w14:textId="77777777" w:rsidR="00096AA9" w:rsidRPr="00444235" w:rsidRDefault="00096AA9" w:rsidP="00096AA9">
                  <w:pPr>
                    <w:spacing w:after="0" w:line="240" w:lineRule="auto"/>
                    <w:jc w:val="center"/>
                    <w:rPr>
                      <w:rFonts w:eastAsia="Times New Roman" w:cs="Arial"/>
                      <w:sz w:val="18"/>
                      <w:szCs w:val="18"/>
                      <w:lang w:val="es-CR" w:eastAsia="es-CR"/>
                    </w:rPr>
                  </w:pPr>
                  <w:r w:rsidRPr="00444235">
                    <w:rPr>
                      <w:rFonts w:eastAsia="Times New Roman" w:cs="Arial"/>
                      <w:sz w:val="18"/>
                      <w:szCs w:val="18"/>
                      <w:lang w:val="es-CR" w:eastAsia="es-CR"/>
                    </w:rPr>
                    <w:t xml:space="preserve">Sistema </w:t>
                  </w:r>
                  <w:proofErr w:type="spellStart"/>
                  <w:r w:rsidRPr="00444235">
                    <w:rPr>
                      <w:rFonts w:eastAsia="Times New Roman" w:cs="Arial"/>
                      <w:sz w:val="18"/>
                      <w:szCs w:val="18"/>
                      <w:lang w:val="es-CR" w:eastAsia="es-CR"/>
                    </w:rPr>
                    <w:t>Ingresador</w:t>
                  </w:r>
                  <w:proofErr w:type="spellEnd"/>
                </w:p>
                <w:p w14:paraId="10E32033" w14:textId="77777777" w:rsidR="00096AA9" w:rsidRPr="00444235" w:rsidRDefault="00096AA9" w:rsidP="00096AA9">
                  <w:pPr>
                    <w:spacing w:after="0" w:line="240" w:lineRule="auto"/>
                    <w:jc w:val="center"/>
                    <w:rPr>
                      <w:rFonts w:eastAsia="Times New Roman" w:cs="Arial"/>
                      <w:sz w:val="18"/>
                      <w:szCs w:val="18"/>
                      <w:lang w:val="es-CR" w:eastAsia="es-CR"/>
                    </w:rPr>
                  </w:pPr>
                </w:p>
                <w:p w14:paraId="745702F1" w14:textId="77777777" w:rsidR="00096AA9" w:rsidRPr="00444235" w:rsidRDefault="00096AA9" w:rsidP="00096AA9">
                  <w:pPr>
                    <w:spacing w:after="0" w:line="240" w:lineRule="auto"/>
                    <w:jc w:val="center"/>
                    <w:rPr>
                      <w:rFonts w:eastAsia="Times New Roman" w:cs="Arial"/>
                      <w:sz w:val="18"/>
                      <w:szCs w:val="18"/>
                      <w:lang w:val="es-CR" w:eastAsia="es-CR"/>
                    </w:rPr>
                  </w:pPr>
                  <w:proofErr w:type="spellStart"/>
                  <w:r w:rsidRPr="00444235">
                    <w:rPr>
                      <w:rFonts w:eastAsia="Times New Roman" w:cs="Arial"/>
                      <w:sz w:val="18"/>
                      <w:szCs w:val="18"/>
                      <w:lang w:val="es-CR" w:eastAsia="es-CR"/>
                    </w:rPr>
                    <w:t>Mendocel</w:t>
                  </w:r>
                  <w:proofErr w:type="spellEnd"/>
                </w:p>
                <w:p w14:paraId="4918BD27" w14:textId="77777777" w:rsidR="00096AA9" w:rsidRPr="00444235" w:rsidRDefault="00096AA9" w:rsidP="00096AA9">
                  <w:pPr>
                    <w:spacing w:after="0" w:line="240" w:lineRule="auto"/>
                    <w:jc w:val="center"/>
                    <w:rPr>
                      <w:rFonts w:eastAsia="Times New Roman" w:cs="Arial"/>
                      <w:sz w:val="18"/>
                      <w:szCs w:val="18"/>
                      <w:lang w:val="es-CR" w:eastAsia="es-CR"/>
                    </w:rPr>
                  </w:pPr>
                  <w:r w:rsidRPr="00444235">
                    <w:rPr>
                      <w:rFonts w:eastAsia="Times New Roman" w:cs="Arial"/>
                      <w:sz w:val="18"/>
                      <w:szCs w:val="18"/>
                      <w:lang w:val="es-CR" w:eastAsia="es-CR"/>
                    </w:rPr>
                    <w:t>SGV-A-188</w:t>
                  </w:r>
                </w:p>
                <w:p w14:paraId="551D66B2" w14:textId="77777777" w:rsidR="00096AA9" w:rsidRPr="00444235" w:rsidRDefault="00096AA9" w:rsidP="00096AA9">
                  <w:pPr>
                    <w:spacing w:after="0" w:line="240" w:lineRule="auto"/>
                    <w:jc w:val="center"/>
                    <w:rPr>
                      <w:rFonts w:eastAsia="Times New Roman" w:cs="Arial"/>
                      <w:sz w:val="18"/>
                      <w:szCs w:val="18"/>
                      <w:lang w:val="es-CR" w:eastAsia="es-CR"/>
                    </w:rPr>
                  </w:pPr>
                </w:p>
                <w:p w14:paraId="63F99939" w14:textId="77777777" w:rsidR="00096AA9" w:rsidRPr="00444235" w:rsidRDefault="00096AA9" w:rsidP="00096AA9">
                  <w:pPr>
                    <w:spacing w:after="0" w:line="240" w:lineRule="auto"/>
                    <w:rPr>
                      <w:rFonts w:eastAsia="Times New Roman" w:cs="Arial"/>
                      <w:sz w:val="18"/>
                      <w:szCs w:val="18"/>
                      <w:lang w:val="es-CR" w:eastAsia="es-CR"/>
                    </w:rPr>
                  </w:pPr>
                </w:p>
              </w:tc>
              <w:tc>
                <w:tcPr>
                  <w:tcW w:w="1411" w:type="dxa"/>
                  <w:shd w:val="clear" w:color="000000" w:fill="FFFFFF"/>
                </w:tcPr>
                <w:p w14:paraId="79780262" w14:textId="77777777" w:rsidR="00096AA9" w:rsidRPr="00444235" w:rsidRDefault="00096AA9" w:rsidP="0061129B">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t>Solo aplica a emisiones, fondos de inversión y universalidades que califiquen como verdes, sociales y sostenibles.</w:t>
                  </w:r>
                </w:p>
                <w:p w14:paraId="0C007246" w14:textId="77777777" w:rsidR="00096AA9" w:rsidRPr="00444235" w:rsidRDefault="00096AA9" w:rsidP="0061129B">
                  <w:pPr>
                    <w:spacing w:after="0" w:line="240" w:lineRule="auto"/>
                    <w:rPr>
                      <w:rFonts w:eastAsia="Times New Roman" w:cs="Arial"/>
                      <w:sz w:val="18"/>
                      <w:szCs w:val="18"/>
                      <w:lang w:val="es-CR" w:eastAsia="es-CR"/>
                    </w:rPr>
                  </w:pPr>
                </w:p>
                <w:p w14:paraId="082CA6E6" w14:textId="77777777" w:rsidR="00096AA9" w:rsidRPr="00444235" w:rsidRDefault="00096AA9" w:rsidP="0061129B">
                  <w:pPr>
                    <w:spacing w:after="0" w:line="240" w:lineRule="auto"/>
                    <w:rPr>
                      <w:rFonts w:eastAsia="Times New Roman" w:cs="Arial"/>
                      <w:sz w:val="18"/>
                      <w:szCs w:val="18"/>
                      <w:lang w:val="es-CR" w:eastAsia="es-CR"/>
                    </w:rPr>
                  </w:pPr>
                </w:p>
                <w:p w14:paraId="340B7343" w14:textId="77777777" w:rsidR="00096AA9" w:rsidRPr="00444235" w:rsidRDefault="00096AA9" w:rsidP="0061129B">
                  <w:pPr>
                    <w:spacing w:after="0" w:line="240" w:lineRule="auto"/>
                    <w:rPr>
                      <w:rFonts w:eastAsia="Times New Roman" w:cs="Arial"/>
                      <w:sz w:val="18"/>
                      <w:szCs w:val="18"/>
                      <w:lang w:val="es-CR" w:eastAsia="es-CR"/>
                    </w:rPr>
                  </w:pPr>
                  <w:r w:rsidRPr="00444235">
                    <w:rPr>
                      <w:rFonts w:eastAsia="Times New Roman" w:cs="Arial"/>
                      <w:sz w:val="18"/>
                      <w:szCs w:val="18"/>
                      <w:lang w:val="es-CR" w:eastAsia="es-CR"/>
                    </w:rPr>
                    <w:t xml:space="preserve">El envío por medio de </w:t>
                  </w:r>
                  <w:proofErr w:type="spellStart"/>
                  <w:r w:rsidRPr="00444235">
                    <w:rPr>
                      <w:rFonts w:eastAsia="Times New Roman" w:cs="Arial"/>
                      <w:b/>
                      <w:bCs/>
                      <w:sz w:val="18"/>
                      <w:szCs w:val="18"/>
                      <w:lang w:val="es-CR" w:eastAsia="es-CR"/>
                    </w:rPr>
                    <w:t>Mendocel</w:t>
                  </w:r>
                  <w:proofErr w:type="spellEnd"/>
                  <w:r w:rsidRPr="00444235">
                    <w:rPr>
                      <w:rFonts w:eastAsia="Times New Roman" w:cs="Arial"/>
                      <w:sz w:val="18"/>
                      <w:szCs w:val="18"/>
                      <w:lang w:val="es-CR" w:eastAsia="es-CR"/>
                    </w:rPr>
                    <w:t xml:space="preserve"> solo aplica para valores emitidos por el Gobierno Central y Banco Central costarricenses y extranjeros y </w:t>
                  </w:r>
                  <w:r w:rsidRPr="00444235">
                    <w:rPr>
                      <w:rFonts w:eastAsia="+mj-ea" w:cs="Arial"/>
                      <w:kern w:val="24"/>
                      <w:sz w:val="18"/>
                      <w:szCs w:val="18"/>
                    </w:rPr>
                    <w:t xml:space="preserve">organismos </w:t>
                  </w:r>
                  <w:r w:rsidRPr="00444235">
                    <w:rPr>
                      <w:rFonts w:eastAsia="+mj-ea" w:cs="Arial"/>
                      <w:kern w:val="24"/>
                      <w:sz w:val="18"/>
                      <w:szCs w:val="18"/>
                    </w:rPr>
                    <w:lastRenderedPageBreak/>
                    <w:t>internacionales con participación del Estado costarricense.</w:t>
                  </w:r>
                </w:p>
                <w:p w14:paraId="3651A389" w14:textId="77777777" w:rsidR="00096AA9" w:rsidRPr="00444235" w:rsidRDefault="00096AA9" w:rsidP="0061129B">
                  <w:pPr>
                    <w:spacing w:after="0" w:line="240" w:lineRule="auto"/>
                    <w:rPr>
                      <w:rFonts w:eastAsia="Times New Roman" w:cs="Arial"/>
                      <w:sz w:val="18"/>
                      <w:szCs w:val="18"/>
                      <w:lang w:val="es-CR" w:eastAsia="es-CR"/>
                    </w:rPr>
                  </w:pPr>
                </w:p>
                <w:p w14:paraId="74FBA292" w14:textId="77777777" w:rsidR="00096AA9" w:rsidRPr="00444235" w:rsidRDefault="00096AA9" w:rsidP="0061129B">
                  <w:pPr>
                    <w:pStyle w:val="Textocomentario"/>
                    <w:spacing w:after="0"/>
                    <w:rPr>
                      <w:rFonts w:eastAsia="Times New Roman" w:cs="Arial"/>
                      <w:sz w:val="18"/>
                      <w:szCs w:val="18"/>
                      <w:lang w:val="es-CR" w:eastAsia="es-CR"/>
                    </w:rPr>
                  </w:pPr>
                  <w:r w:rsidRPr="00444235">
                    <w:rPr>
                      <w:rFonts w:eastAsia="Times New Roman" w:cs="Arial"/>
                      <w:strike/>
                      <w:sz w:val="18"/>
                      <w:szCs w:val="18"/>
                      <w:lang w:val="es-CR" w:eastAsia="es-CR"/>
                    </w:rPr>
                    <w:t>No será necesario el envío del informe, si al momento de la primera remisión anual, la emisión o fondo de inversión tiene menos de 6 meses de haberse inscrito en el Registro Nacional de Valores e Intermediarios</w:t>
                  </w:r>
                  <w:r w:rsidRPr="00444235">
                    <w:rPr>
                      <w:rFonts w:eastAsia="Times New Roman" w:cs="Arial"/>
                      <w:sz w:val="18"/>
                      <w:szCs w:val="18"/>
                      <w:lang w:val="es-CR" w:eastAsia="es-CR"/>
                    </w:rPr>
                    <w:t>.</w:t>
                  </w:r>
                </w:p>
              </w:tc>
            </w:tr>
          </w:tbl>
          <w:p w14:paraId="2491C782" w14:textId="478BACB2" w:rsidR="00096AA9" w:rsidRPr="00444235" w:rsidRDefault="008C0283" w:rsidP="00096AA9">
            <w:pPr>
              <w:ind w:left="360"/>
              <w:jc w:val="center"/>
              <w:rPr>
                <w:rFonts w:eastAsia="Times New Roman" w:cs="Arial"/>
                <w:b/>
                <w:bCs/>
                <w:strike/>
                <w:sz w:val="20"/>
                <w:szCs w:val="20"/>
                <w:lang w:val="es-CR" w:eastAsia="es-CR"/>
              </w:rPr>
            </w:pPr>
            <w:r w:rsidRPr="00444235">
              <w:rPr>
                <w:rStyle w:val="Hipervnculo"/>
                <w:rFonts w:eastAsia="Calibri" w:cs="Arial"/>
                <w:strike/>
                <w:color w:val="auto"/>
                <w:sz w:val="18"/>
                <w:szCs w:val="18"/>
              </w:rPr>
              <w:object w:dxaOrig="1534" w:dyaOrig="991" w14:anchorId="031D96C2">
                <v:shape id="_x0000_i1026" type="#_x0000_t75" style="width:76.6pt;height:49.55pt" o:ole="">
                  <v:imagedata r:id="rId10" o:title=""/>
                </v:shape>
                <o:OLEObject Type="Embed" ProgID="Excel.Sheet.8" ShapeID="_x0000_i1026" DrawAspect="Icon" ObjectID="_1701624127" r:id="rId11"/>
              </w:object>
            </w:r>
            <w:r w:rsidR="004A7DB8" w:rsidRPr="00444235">
              <w:rPr>
                <w:rStyle w:val="Hipervnculo"/>
                <w:rFonts w:eastAsia="Calibri" w:cs="Arial"/>
                <w:strike/>
                <w:color w:val="auto"/>
                <w:sz w:val="18"/>
                <w:szCs w:val="18"/>
              </w:rPr>
              <w:t xml:space="preserve"> </w:t>
            </w:r>
            <w:bookmarkStart w:id="3" w:name="_MON_1698133290"/>
            <w:bookmarkEnd w:id="3"/>
            <w:r w:rsidR="00495557" w:rsidRPr="00444235">
              <w:rPr>
                <w:rStyle w:val="Hipervnculo"/>
                <w:rFonts w:eastAsia="Calibri" w:cs="Arial"/>
                <w:color w:val="auto"/>
                <w:sz w:val="18"/>
                <w:szCs w:val="18"/>
                <w:u w:val="none"/>
              </w:rPr>
              <w:object w:dxaOrig="1311" w:dyaOrig="849" w14:anchorId="30CC65B1">
                <v:shape id="_x0000_i1027" type="#_x0000_t75" style="width:65.1pt;height:42.6pt" o:ole="">
                  <v:imagedata r:id="rId12" o:title=""/>
                </v:shape>
                <o:OLEObject Type="Embed" ProgID="Excel.Sheet.8" ShapeID="_x0000_i1027" DrawAspect="Icon" ObjectID="_1701624128" r:id="rId13"/>
              </w:object>
            </w:r>
          </w:p>
        </w:tc>
      </w:tr>
      <w:tr w:rsidR="00096AA9" w:rsidRPr="00096AA9" w14:paraId="0D7F5004" w14:textId="37CAB420" w:rsidTr="00024F0F">
        <w:tc>
          <w:tcPr>
            <w:tcW w:w="8090" w:type="dxa"/>
          </w:tcPr>
          <w:p w14:paraId="05F7C64E" w14:textId="77777777" w:rsidR="00096AA9" w:rsidRPr="00096AA9" w:rsidRDefault="00096AA9" w:rsidP="00096AA9">
            <w:pPr>
              <w:tabs>
                <w:tab w:val="center" w:pos="4419"/>
              </w:tabs>
              <w:rPr>
                <w:rFonts w:eastAsia="Calibri" w:cs="Arial"/>
              </w:rPr>
            </w:pPr>
            <w:r w:rsidRPr="00096AA9">
              <w:rPr>
                <w:rFonts w:eastAsia="Calibri" w:cs="Arial"/>
                <w:b/>
              </w:rPr>
              <w:lastRenderedPageBreak/>
              <w:t>Artículo 2.-</w:t>
            </w:r>
            <w:r w:rsidRPr="00096AA9">
              <w:rPr>
                <w:rFonts w:eastAsia="Calibri" w:cs="Arial"/>
              </w:rPr>
              <w:t xml:space="preserve"> Vigencia</w:t>
            </w:r>
            <w:r w:rsidRPr="00096AA9">
              <w:rPr>
                <w:rFonts w:eastAsia="Calibri" w:cs="Arial"/>
              </w:rPr>
              <w:tab/>
            </w:r>
          </w:p>
        </w:tc>
        <w:tc>
          <w:tcPr>
            <w:tcW w:w="1833" w:type="dxa"/>
          </w:tcPr>
          <w:p w14:paraId="7E8CC3FA" w14:textId="77777777" w:rsidR="00096AA9" w:rsidRPr="00096AA9" w:rsidRDefault="00096AA9" w:rsidP="00096AA9">
            <w:pPr>
              <w:tabs>
                <w:tab w:val="center" w:pos="4419"/>
              </w:tabs>
              <w:ind w:left="360"/>
              <w:rPr>
                <w:rFonts w:eastAsia="Calibri" w:cs="Arial"/>
                <w:b/>
              </w:rPr>
            </w:pPr>
          </w:p>
        </w:tc>
        <w:tc>
          <w:tcPr>
            <w:tcW w:w="1985" w:type="dxa"/>
          </w:tcPr>
          <w:p w14:paraId="433F5C55" w14:textId="77777777" w:rsidR="00096AA9" w:rsidRPr="00096AA9" w:rsidRDefault="00096AA9" w:rsidP="00096AA9">
            <w:pPr>
              <w:tabs>
                <w:tab w:val="center" w:pos="4419"/>
              </w:tabs>
              <w:ind w:left="360"/>
              <w:rPr>
                <w:rFonts w:eastAsia="Calibri" w:cs="Arial"/>
                <w:b/>
              </w:rPr>
            </w:pPr>
          </w:p>
        </w:tc>
        <w:tc>
          <w:tcPr>
            <w:tcW w:w="7371" w:type="dxa"/>
          </w:tcPr>
          <w:p w14:paraId="0D5A3110" w14:textId="7D8DA18F" w:rsidR="00096AA9" w:rsidRPr="00096AA9" w:rsidRDefault="00096AA9" w:rsidP="00096AA9">
            <w:pPr>
              <w:tabs>
                <w:tab w:val="center" w:pos="4419"/>
              </w:tabs>
              <w:ind w:left="25"/>
              <w:rPr>
                <w:rFonts w:eastAsia="Calibri" w:cs="Arial"/>
                <w:b/>
              </w:rPr>
            </w:pPr>
            <w:r w:rsidRPr="00096AA9">
              <w:rPr>
                <w:rFonts w:eastAsia="Calibri" w:cs="Arial"/>
                <w:b/>
              </w:rPr>
              <w:t>Artículo 2.-</w:t>
            </w:r>
            <w:r w:rsidRPr="00096AA9">
              <w:rPr>
                <w:rFonts w:eastAsia="Calibri" w:cs="Arial"/>
              </w:rPr>
              <w:t xml:space="preserve"> Vigencia</w:t>
            </w:r>
            <w:r w:rsidRPr="00096AA9">
              <w:rPr>
                <w:rFonts w:eastAsia="Calibri" w:cs="Arial"/>
              </w:rPr>
              <w:tab/>
            </w:r>
          </w:p>
        </w:tc>
      </w:tr>
      <w:tr w:rsidR="00096AA9" w:rsidRPr="00D673AA" w14:paraId="31C86BD0" w14:textId="4E75DE65" w:rsidTr="00024F0F">
        <w:tc>
          <w:tcPr>
            <w:tcW w:w="8090" w:type="dxa"/>
          </w:tcPr>
          <w:p w14:paraId="682D6D56" w14:textId="77777777" w:rsidR="00096AA9" w:rsidRPr="00D673AA" w:rsidRDefault="00096AA9" w:rsidP="00096AA9">
            <w:pPr>
              <w:rPr>
                <w:rFonts w:eastAsia="Calibri" w:cs="Arial"/>
              </w:rPr>
            </w:pPr>
            <w:r w:rsidRPr="00096AA9">
              <w:rPr>
                <w:rFonts w:eastAsia="Calibri" w:cs="Arial"/>
              </w:rPr>
              <w:t xml:space="preserve">Rige a partir del </w:t>
            </w:r>
            <w:r w:rsidRPr="00096AA9">
              <w:rPr>
                <w:rFonts w:eastAsia="Calibri" w:cs="Arial"/>
                <w:highlight w:val="cyan"/>
              </w:rPr>
              <w:t>XXXX</w:t>
            </w:r>
          </w:p>
        </w:tc>
        <w:tc>
          <w:tcPr>
            <w:tcW w:w="1833" w:type="dxa"/>
          </w:tcPr>
          <w:p w14:paraId="3F948D69" w14:textId="77777777" w:rsidR="00096AA9" w:rsidRPr="00096AA9" w:rsidRDefault="00096AA9" w:rsidP="00096AA9">
            <w:pPr>
              <w:ind w:left="360"/>
              <w:rPr>
                <w:rFonts w:eastAsia="Calibri" w:cs="Arial"/>
              </w:rPr>
            </w:pPr>
          </w:p>
        </w:tc>
        <w:tc>
          <w:tcPr>
            <w:tcW w:w="1985" w:type="dxa"/>
          </w:tcPr>
          <w:p w14:paraId="76DEE476" w14:textId="77777777" w:rsidR="00096AA9" w:rsidRPr="00096AA9" w:rsidRDefault="00096AA9" w:rsidP="00096AA9">
            <w:pPr>
              <w:ind w:left="360"/>
              <w:rPr>
                <w:rFonts w:eastAsia="Calibri" w:cs="Arial"/>
              </w:rPr>
            </w:pPr>
          </w:p>
        </w:tc>
        <w:tc>
          <w:tcPr>
            <w:tcW w:w="7371" w:type="dxa"/>
          </w:tcPr>
          <w:p w14:paraId="514F93A3" w14:textId="3D7BD7E5" w:rsidR="00096AA9" w:rsidRPr="00096AA9" w:rsidRDefault="00096AA9" w:rsidP="00096AA9">
            <w:pPr>
              <w:ind w:left="25"/>
              <w:rPr>
                <w:rFonts w:eastAsia="Calibri" w:cs="Arial"/>
              </w:rPr>
            </w:pPr>
            <w:r w:rsidRPr="00096AA9">
              <w:rPr>
                <w:rFonts w:eastAsia="Calibri" w:cs="Arial"/>
              </w:rPr>
              <w:t xml:space="preserve">Rige a partir del </w:t>
            </w:r>
            <w:r w:rsidRPr="00096AA9">
              <w:rPr>
                <w:rFonts w:eastAsia="Calibri" w:cs="Arial"/>
                <w:highlight w:val="cyan"/>
              </w:rPr>
              <w:t>XXXX</w:t>
            </w:r>
          </w:p>
        </w:tc>
      </w:tr>
    </w:tbl>
    <w:p w14:paraId="13764588" w14:textId="3F8145FF" w:rsidR="00904D6F" w:rsidRPr="00D673AA" w:rsidRDefault="00904D6F" w:rsidP="007D15AC">
      <w:pPr>
        <w:rPr>
          <w:rFonts w:eastAsia="Calibri" w:cs="Arial"/>
        </w:rPr>
      </w:pPr>
    </w:p>
    <w:sectPr w:rsidR="00904D6F" w:rsidRPr="00D673AA" w:rsidSect="00096AA9">
      <w:headerReference w:type="even" r:id="rId14"/>
      <w:headerReference w:type="default" r:id="rId15"/>
      <w:footerReference w:type="even" r:id="rId16"/>
      <w:footerReference w:type="default" r:id="rId17"/>
      <w:headerReference w:type="first" r:id="rId18"/>
      <w:footerReference w:type="first" r:id="rId19"/>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3F0DE" w14:textId="77777777" w:rsidR="00662D6A" w:rsidRDefault="00662D6A" w:rsidP="00904D6F">
      <w:pPr>
        <w:spacing w:after="0" w:line="240" w:lineRule="auto"/>
      </w:pPr>
      <w:r>
        <w:separator/>
      </w:r>
    </w:p>
  </w:endnote>
  <w:endnote w:type="continuationSeparator" w:id="0">
    <w:p w14:paraId="1AFACB1E" w14:textId="77777777" w:rsidR="00662D6A" w:rsidRDefault="00662D6A" w:rsidP="009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EA03" w14:textId="77777777" w:rsidR="006C704F" w:rsidRDefault="006C70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026056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F243B77" w14:textId="4B5008CA" w:rsidR="00D673AA" w:rsidRPr="00D673AA" w:rsidRDefault="00D673AA">
            <w:pPr>
              <w:pStyle w:val="Piedepgina"/>
              <w:jc w:val="right"/>
              <w:rPr>
                <w:sz w:val="20"/>
                <w:szCs w:val="20"/>
              </w:rPr>
            </w:pPr>
            <w:r w:rsidRPr="00D673AA">
              <w:rPr>
                <w:sz w:val="20"/>
                <w:szCs w:val="20"/>
              </w:rPr>
              <w:t xml:space="preserve">Página </w:t>
            </w:r>
            <w:r w:rsidRPr="00D673AA">
              <w:rPr>
                <w:b/>
                <w:bCs/>
              </w:rPr>
              <w:fldChar w:fldCharType="begin"/>
            </w:r>
            <w:r w:rsidRPr="00D673AA">
              <w:rPr>
                <w:b/>
                <w:bCs/>
                <w:sz w:val="20"/>
                <w:szCs w:val="20"/>
              </w:rPr>
              <w:instrText>PAGE</w:instrText>
            </w:r>
            <w:r w:rsidRPr="00D673AA">
              <w:rPr>
                <w:b/>
                <w:bCs/>
              </w:rPr>
              <w:fldChar w:fldCharType="separate"/>
            </w:r>
            <w:r w:rsidRPr="00D673AA">
              <w:rPr>
                <w:b/>
                <w:bCs/>
                <w:sz w:val="20"/>
                <w:szCs w:val="20"/>
              </w:rPr>
              <w:t>2</w:t>
            </w:r>
            <w:r w:rsidRPr="00D673AA">
              <w:rPr>
                <w:b/>
                <w:bCs/>
              </w:rPr>
              <w:fldChar w:fldCharType="end"/>
            </w:r>
            <w:r w:rsidRPr="00D673AA">
              <w:rPr>
                <w:sz w:val="20"/>
                <w:szCs w:val="20"/>
              </w:rPr>
              <w:t xml:space="preserve"> de </w:t>
            </w:r>
            <w:r w:rsidRPr="00D673AA">
              <w:rPr>
                <w:b/>
                <w:bCs/>
              </w:rPr>
              <w:fldChar w:fldCharType="begin"/>
            </w:r>
            <w:r w:rsidRPr="00D673AA">
              <w:rPr>
                <w:b/>
                <w:bCs/>
                <w:sz w:val="20"/>
                <w:szCs w:val="20"/>
              </w:rPr>
              <w:instrText>NUMPAGES</w:instrText>
            </w:r>
            <w:r w:rsidRPr="00D673AA">
              <w:rPr>
                <w:b/>
                <w:bCs/>
              </w:rPr>
              <w:fldChar w:fldCharType="separate"/>
            </w:r>
            <w:r w:rsidRPr="00D673AA">
              <w:rPr>
                <w:b/>
                <w:bCs/>
                <w:sz w:val="20"/>
                <w:szCs w:val="20"/>
              </w:rPr>
              <w:t>2</w:t>
            </w:r>
            <w:r w:rsidRPr="00D673AA">
              <w:rPr>
                <w:b/>
                <w:bCs/>
              </w:rPr>
              <w:fldChar w:fldCharType="end"/>
            </w:r>
          </w:p>
        </w:sdtContent>
      </w:sdt>
    </w:sdtContent>
  </w:sdt>
  <w:p w14:paraId="6F72674E" w14:textId="77777777" w:rsidR="00C2203D" w:rsidRDefault="00C220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E4065" w14:textId="77777777" w:rsidR="006C704F" w:rsidRDefault="006C70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3C3E" w14:textId="77777777" w:rsidR="00662D6A" w:rsidRDefault="00662D6A" w:rsidP="00904D6F">
      <w:pPr>
        <w:spacing w:after="0" w:line="240" w:lineRule="auto"/>
      </w:pPr>
      <w:r>
        <w:separator/>
      </w:r>
    </w:p>
  </w:footnote>
  <w:footnote w:type="continuationSeparator" w:id="0">
    <w:p w14:paraId="5EAC4762" w14:textId="77777777" w:rsidR="00662D6A" w:rsidRDefault="00662D6A" w:rsidP="009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37CAD" w14:textId="77777777" w:rsidR="006C704F" w:rsidRDefault="006C70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AF65" w14:textId="77777777" w:rsidR="006C704F" w:rsidRDefault="006C70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44568" w14:textId="77777777" w:rsidR="006C704F" w:rsidRDefault="006C70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87F"/>
    <w:multiLevelType w:val="hybridMultilevel"/>
    <w:tmpl w:val="55D65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F4D7A"/>
    <w:multiLevelType w:val="hybridMultilevel"/>
    <w:tmpl w:val="36523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E706EC"/>
    <w:multiLevelType w:val="hybridMultilevel"/>
    <w:tmpl w:val="56182F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BC5506"/>
    <w:multiLevelType w:val="hybridMultilevel"/>
    <w:tmpl w:val="36523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017BF2"/>
    <w:multiLevelType w:val="hybridMultilevel"/>
    <w:tmpl w:val="678A76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EAB3A78"/>
    <w:multiLevelType w:val="hybridMultilevel"/>
    <w:tmpl w:val="C278EF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547C5B96"/>
    <w:multiLevelType w:val="hybridMultilevel"/>
    <w:tmpl w:val="36523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1F3D53"/>
    <w:multiLevelType w:val="hybridMultilevel"/>
    <w:tmpl w:val="9DB818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BE64075"/>
    <w:multiLevelType w:val="hybridMultilevel"/>
    <w:tmpl w:val="1D4C53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62BF7740"/>
    <w:multiLevelType w:val="hybridMultilevel"/>
    <w:tmpl w:val="BB6CABFA"/>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6814253"/>
    <w:multiLevelType w:val="hybridMultilevel"/>
    <w:tmpl w:val="64FCA196"/>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696D4130"/>
    <w:multiLevelType w:val="hybridMultilevel"/>
    <w:tmpl w:val="3698D8EC"/>
    <w:lvl w:ilvl="0" w:tplc="140A000F">
      <w:start w:val="1"/>
      <w:numFmt w:val="decimal"/>
      <w:lvlText w:val="%1."/>
      <w:lvlJc w:val="left"/>
      <w:pPr>
        <w:ind w:left="643" w:hanging="360"/>
      </w:pPr>
      <w:rPr>
        <w:rFonts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D0F01"/>
    <w:multiLevelType w:val="hybridMultilevel"/>
    <w:tmpl w:val="95740D42"/>
    <w:lvl w:ilvl="0" w:tplc="FA94AF7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F33D8C"/>
    <w:multiLevelType w:val="hybridMultilevel"/>
    <w:tmpl w:val="3624758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15"/>
  </w:num>
  <w:num w:numId="5">
    <w:abstractNumId w:val="9"/>
  </w:num>
  <w:num w:numId="6">
    <w:abstractNumId w:val="7"/>
  </w:num>
  <w:num w:numId="7">
    <w:abstractNumId w:val="10"/>
  </w:num>
  <w:num w:numId="8">
    <w:abstractNumId w:val="14"/>
  </w:num>
  <w:num w:numId="9">
    <w:abstractNumId w:val="1"/>
    <w:lvlOverride w:ilvl="0">
      <w:startOverride w:val="1"/>
    </w:lvlOverride>
  </w:num>
  <w:num w:numId="10">
    <w:abstractNumId w:val="13"/>
  </w:num>
  <w:num w:numId="11">
    <w:abstractNumId w:val="3"/>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6F"/>
    <w:rsid w:val="000070AF"/>
    <w:rsid w:val="00024F0F"/>
    <w:rsid w:val="000268A4"/>
    <w:rsid w:val="000361A7"/>
    <w:rsid w:val="000365FA"/>
    <w:rsid w:val="00046F2F"/>
    <w:rsid w:val="00072C5C"/>
    <w:rsid w:val="00090CBE"/>
    <w:rsid w:val="000937CD"/>
    <w:rsid w:val="00096AA9"/>
    <w:rsid w:val="000A30A7"/>
    <w:rsid w:val="000B6820"/>
    <w:rsid w:val="000C6CBA"/>
    <w:rsid w:val="00106AC3"/>
    <w:rsid w:val="00115B93"/>
    <w:rsid w:val="00137FAD"/>
    <w:rsid w:val="00143D4B"/>
    <w:rsid w:val="0014513B"/>
    <w:rsid w:val="0015240C"/>
    <w:rsid w:val="001539AE"/>
    <w:rsid w:val="00162CE5"/>
    <w:rsid w:val="0017079A"/>
    <w:rsid w:val="0018550B"/>
    <w:rsid w:val="00192D8F"/>
    <w:rsid w:val="001933B3"/>
    <w:rsid w:val="00195F3A"/>
    <w:rsid w:val="001A06CF"/>
    <w:rsid w:val="001C177C"/>
    <w:rsid w:val="001D05AA"/>
    <w:rsid w:val="001D23C3"/>
    <w:rsid w:val="00225636"/>
    <w:rsid w:val="0024598E"/>
    <w:rsid w:val="00255DF5"/>
    <w:rsid w:val="00271612"/>
    <w:rsid w:val="00274B97"/>
    <w:rsid w:val="0027737E"/>
    <w:rsid w:val="002A3E73"/>
    <w:rsid w:val="002C67FF"/>
    <w:rsid w:val="002D3B9C"/>
    <w:rsid w:val="002F58CB"/>
    <w:rsid w:val="003054A8"/>
    <w:rsid w:val="0031308F"/>
    <w:rsid w:val="0033124D"/>
    <w:rsid w:val="0034611A"/>
    <w:rsid w:val="00361818"/>
    <w:rsid w:val="003A1146"/>
    <w:rsid w:val="003A539B"/>
    <w:rsid w:val="003B0A1A"/>
    <w:rsid w:val="003C39D5"/>
    <w:rsid w:val="003C4D9E"/>
    <w:rsid w:val="003C656C"/>
    <w:rsid w:val="003F163B"/>
    <w:rsid w:val="00400F62"/>
    <w:rsid w:val="00401640"/>
    <w:rsid w:val="0041515E"/>
    <w:rsid w:val="00424910"/>
    <w:rsid w:val="00444235"/>
    <w:rsid w:val="00460983"/>
    <w:rsid w:val="0046518F"/>
    <w:rsid w:val="004913C1"/>
    <w:rsid w:val="00495557"/>
    <w:rsid w:val="004A7459"/>
    <w:rsid w:val="004A7DB8"/>
    <w:rsid w:val="004B0977"/>
    <w:rsid w:val="004C4C60"/>
    <w:rsid w:val="004C554F"/>
    <w:rsid w:val="004E0DCF"/>
    <w:rsid w:val="004F512A"/>
    <w:rsid w:val="005275D0"/>
    <w:rsid w:val="005351FE"/>
    <w:rsid w:val="00535923"/>
    <w:rsid w:val="0056083D"/>
    <w:rsid w:val="00561749"/>
    <w:rsid w:val="00585422"/>
    <w:rsid w:val="005A58D3"/>
    <w:rsid w:val="005C71B7"/>
    <w:rsid w:val="005C7ED2"/>
    <w:rsid w:val="005E2DB3"/>
    <w:rsid w:val="005E6A67"/>
    <w:rsid w:val="005F168F"/>
    <w:rsid w:val="005F659D"/>
    <w:rsid w:val="00601965"/>
    <w:rsid w:val="0061036C"/>
    <w:rsid w:val="0061129B"/>
    <w:rsid w:val="00627D51"/>
    <w:rsid w:val="00632686"/>
    <w:rsid w:val="00635202"/>
    <w:rsid w:val="00662D6A"/>
    <w:rsid w:val="00664616"/>
    <w:rsid w:val="006767EA"/>
    <w:rsid w:val="006830FA"/>
    <w:rsid w:val="00683EEF"/>
    <w:rsid w:val="006A04EB"/>
    <w:rsid w:val="006C1ECF"/>
    <w:rsid w:val="006C704F"/>
    <w:rsid w:val="006D1BFE"/>
    <w:rsid w:val="006F0CFA"/>
    <w:rsid w:val="006F1F61"/>
    <w:rsid w:val="00712F46"/>
    <w:rsid w:val="00716A44"/>
    <w:rsid w:val="00737579"/>
    <w:rsid w:val="007654FF"/>
    <w:rsid w:val="007701D1"/>
    <w:rsid w:val="00780262"/>
    <w:rsid w:val="007830CE"/>
    <w:rsid w:val="007A593C"/>
    <w:rsid w:val="007C12A7"/>
    <w:rsid w:val="007C2EEA"/>
    <w:rsid w:val="007D0A3B"/>
    <w:rsid w:val="007D15AC"/>
    <w:rsid w:val="007E7B38"/>
    <w:rsid w:val="00801333"/>
    <w:rsid w:val="00804979"/>
    <w:rsid w:val="00817457"/>
    <w:rsid w:val="00822BAE"/>
    <w:rsid w:val="008241EE"/>
    <w:rsid w:val="008247FB"/>
    <w:rsid w:val="008255A3"/>
    <w:rsid w:val="0084513C"/>
    <w:rsid w:val="0084652D"/>
    <w:rsid w:val="00861AC9"/>
    <w:rsid w:val="00867FAB"/>
    <w:rsid w:val="00895873"/>
    <w:rsid w:val="008B1176"/>
    <w:rsid w:val="008C0283"/>
    <w:rsid w:val="008C7250"/>
    <w:rsid w:val="008D2EA9"/>
    <w:rsid w:val="008D4047"/>
    <w:rsid w:val="00904D6F"/>
    <w:rsid w:val="00913450"/>
    <w:rsid w:val="00913759"/>
    <w:rsid w:val="00922310"/>
    <w:rsid w:val="00922D39"/>
    <w:rsid w:val="00984A55"/>
    <w:rsid w:val="00990470"/>
    <w:rsid w:val="009A69B6"/>
    <w:rsid w:val="009B535E"/>
    <w:rsid w:val="009D7193"/>
    <w:rsid w:val="009F56D5"/>
    <w:rsid w:val="009F7B0F"/>
    <w:rsid w:val="00A13EA8"/>
    <w:rsid w:val="00A228A5"/>
    <w:rsid w:val="00A30EE7"/>
    <w:rsid w:val="00A33247"/>
    <w:rsid w:val="00A6549F"/>
    <w:rsid w:val="00A86F40"/>
    <w:rsid w:val="00AC3838"/>
    <w:rsid w:val="00AE6D87"/>
    <w:rsid w:val="00AF0088"/>
    <w:rsid w:val="00AF3A7D"/>
    <w:rsid w:val="00B13FE4"/>
    <w:rsid w:val="00B17E93"/>
    <w:rsid w:val="00B24F99"/>
    <w:rsid w:val="00B261F3"/>
    <w:rsid w:val="00B26B19"/>
    <w:rsid w:val="00B3210C"/>
    <w:rsid w:val="00B35565"/>
    <w:rsid w:val="00B44EC2"/>
    <w:rsid w:val="00B50B9A"/>
    <w:rsid w:val="00B61733"/>
    <w:rsid w:val="00B76274"/>
    <w:rsid w:val="00B801F5"/>
    <w:rsid w:val="00B97367"/>
    <w:rsid w:val="00BA3BBF"/>
    <w:rsid w:val="00BB04A9"/>
    <w:rsid w:val="00BC7A9F"/>
    <w:rsid w:val="00BD2960"/>
    <w:rsid w:val="00BE7020"/>
    <w:rsid w:val="00BE73F8"/>
    <w:rsid w:val="00BF4305"/>
    <w:rsid w:val="00C017A6"/>
    <w:rsid w:val="00C2203D"/>
    <w:rsid w:val="00C25926"/>
    <w:rsid w:val="00C26CBE"/>
    <w:rsid w:val="00C5566D"/>
    <w:rsid w:val="00C84F57"/>
    <w:rsid w:val="00C878C2"/>
    <w:rsid w:val="00CA6562"/>
    <w:rsid w:val="00CB339B"/>
    <w:rsid w:val="00CE3162"/>
    <w:rsid w:val="00CE667D"/>
    <w:rsid w:val="00D040D1"/>
    <w:rsid w:val="00D47C0A"/>
    <w:rsid w:val="00D50DFA"/>
    <w:rsid w:val="00D511B6"/>
    <w:rsid w:val="00D673AA"/>
    <w:rsid w:val="00DA3E95"/>
    <w:rsid w:val="00DB630C"/>
    <w:rsid w:val="00DB6577"/>
    <w:rsid w:val="00DE4584"/>
    <w:rsid w:val="00DF41F4"/>
    <w:rsid w:val="00DF4618"/>
    <w:rsid w:val="00E04FC4"/>
    <w:rsid w:val="00E102F9"/>
    <w:rsid w:val="00E105CF"/>
    <w:rsid w:val="00E21CAF"/>
    <w:rsid w:val="00E3231F"/>
    <w:rsid w:val="00E567BC"/>
    <w:rsid w:val="00E639AF"/>
    <w:rsid w:val="00E64B36"/>
    <w:rsid w:val="00E70F4B"/>
    <w:rsid w:val="00EF44C1"/>
    <w:rsid w:val="00EF4F30"/>
    <w:rsid w:val="00F07AB5"/>
    <w:rsid w:val="00F14D35"/>
    <w:rsid w:val="00F15089"/>
    <w:rsid w:val="00F204BB"/>
    <w:rsid w:val="00F33092"/>
    <w:rsid w:val="00F4194A"/>
    <w:rsid w:val="00F42EFD"/>
    <w:rsid w:val="00F44695"/>
    <w:rsid w:val="00F51268"/>
    <w:rsid w:val="00F72211"/>
    <w:rsid w:val="00F7407C"/>
    <w:rsid w:val="00F75B41"/>
    <w:rsid w:val="00F87C89"/>
    <w:rsid w:val="00F92B9C"/>
    <w:rsid w:val="00F9570C"/>
    <w:rsid w:val="00FF66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7082"/>
  <w15:chartTrackingRefBased/>
  <w15:docId w15:val="{01A0F896-4339-417B-BEA0-FD8A30ED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6F"/>
    <w:rPr>
      <w:rFonts w:ascii="Arial" w:hAnsi="Arial"/>
      <w:lang w:val="es-ES"/>
    </w:rPr>
  </w:style>
  <w:style w:type="paragraph" w:styleId="Ttulo1">
    <w:name w:val="heading 1"/>
    <w:basedOn w:val="Normal"/>
    <w:next w:val="Normal"/>
    <w:link w:val="Ttulo1Car"/>
    <w:qFormat/>
    <w:rsid w:val="005E6A67"/>
    <w:pPr>
      <w:keepNext/>
      <w:spacing w:after="0" w:line="240" w:lineRule="auto"/>
      <w:jc w:val="both"/>
      <w:outlineLvl w:val="0"/>
    </w:pPr>
    <w:rPr>
      <w:rFonts w:ascii="Century Gothic" w:eastAsia="Times New Roman" w:hAnsi="Century Gothic" w:cs="Times New Roman"/>
      <w:b/>
      <w:sz w:val="20"/>
      <w:szCs w:val="20"/>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904D6F"/>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904D6F"/>
    <w:pPr>
      <w:numPr>
        <w:numId w:val="1"/>
      </w:numPr>
    </w:pPr>
  </w:style>
  <w:style w:type="character" w:customStyle="1" w:styleId="TextodereglamentoChar">
    <w:name w:val="Texto de reglamento Char"/>
    <w:link w:val="Textodereglamento"/>
    <w:rsid w:val="00904D6F"/>
    <w:rPr>
      <w:rFonts w:ascii="Times New Roman" w:eastAsia="Times New Roman" w:hAnsi="Times New Roman" w:cs="Times New Roman"/>
      <w:szCs w:val="24"/>
      <w:lang w:val="es-ES" w:eastAsia="es-ES"/>
    </w:rPr>
  </w:style>
  <w:style w:type="character" w:customStyle="1" w:styleId="NumeracinChar">
    <w:name w:val="Numeración Char"/>
    <w:link w:val="Numeracin"/>
    <w:rsid w:val="00904D6F"/>
    <w:rPr>
      <w:rFonts w:ascii="Times New Roman" w:eastAsia="Times New Roman" w:hAnsi="Times New Roman" w:cs="Times New Roman"/>
      <w:szCs w:val="24"/>
      <w:lang w:val="es-ES" w:eastAsia="es-ES"/>
    </w:rPr>
  </w:style>
  <w:style w:type="paragraph" w:styleId="Prrafodelista">
    <w:name w:val="List Paragraph"/>
    <w:aliases w:val="Titulo 2,Informe,Con viñetas,Normal con viñetas,3,Use Case List Paragraph,Bullet 1,List Paragraph 1,Numbered List Paragraph,Main numbered paragraph,Bullets,List Paragraph (numbered (a)),Akapit z listą BS,List_Paragraph,titulo 3,Viñetas"/>
    <w:basedOn w:val="Normal"/>
    <w:link w:val="PrrafodelistaCar"/>
    <w:uiPriority w:val="34"/>
    <w:qFormat/>
    <w:rsid w:val="00904D6F"/>
    <w:pPr>
      <w:ind w:left="720"/>
      <w:contextualSpacing/>
    </w:pPr>
  </w:style>
  <w:style w:type="character" w:customStyle="1" w:styleId="PrrafodelistaCar">
    <w:name w:val="Párrafo de lista Car"/>
    <w:aliases w:val="Titulo 2 Car,Informe Car,Con viñetas Car,Normal con viñetas Car,3 Car,Use Case List Paragraph Car,Bullet 1 Car,List Paragraph 1 Car,Numbered List Paragraph Car,Main numbered paragraph Car,Bullets Car,Akapit z listą BS Car"/>
    <w:link w:val="Prrafodelista"/>
    <w:uiPriority w:val="34"/>
    <w:qFormat/>
    <w:locked/>
    <w:rsid w:val="00904D6F"/>
    <w:rPr>
      <w:rFonts w:ascii="Arial" w:hAnsi="Arial"/>
      <w:lang w:val="es-ES"/>
    </w:rPr>
  </w:style>
  <w:style w:type="character" w:styleId="Hipervnculo">
    <w:name w:val="Hyperlink"/>
    <w:basedOn w:val="Fuentedeprrafopredeter"/>
    <w:uiPriority w:val="99"/>
    <w:unhideWhenUsed/>
    <w:rsid w:val="00904D6F"/>
    <w:rPr>
      <w:color w:val="0563C1" w:themeColor="hyperlink"/>
      <w:u w:val="single"/>
    </w:rPr>
  </w:style>
  <w:style w:type="paragraph" w:styleId="Textodeglobo">
    <w:name w:val="Balloon Text"/>
    <w:basedOn w:val="Normal"/>
    <w:link w:val="TextodegloboCar"/>
    <w:uiPriority w:val="99"/>
    <w:semiHidden/>
    <w:unhideWhenUsed/>
    <w:rsid w:val="008247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7FB"/>
    <w:rPr>
      <w:rFonts w:ascii="Segoe UI" w:hAnsi="Segoe UI" w:cs="Segoe UI"/>
      <w:sz w:val="18"/>
      <w:szCs w:val="18"/>
      <w:lang w:val="es-ES"/>
    </w:rPr>
  </w:style>
  <w:style w:type="paragraph" w:customStyle="1" w:styleId="Default">
    <w:name w:val="Default"/>
    <w:rsid w:val="0061036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DB630C"/>
    <w:rPr>
      <w:sz w:val="16"/>
      <w:szCs w:val="16"/>
    </w:rPr>
  </w:style>
  <w:style w:type="paragraph" w:styleId="Textocomentario">
    <w:name w:val="annotation text"/>
    <w:basedOn w:val="Normal"/>
    <w:link w:val="TextocomentarioCar"/>
    <w:uiPriority w:val="99"/>
    <w:unhideWhenUsed/>
    <w:rsid w:val="00DB630C"/>
    <w:pPr>
      <w:spacing w:line="240" w:lineRule="auto"/>
    </w:pPr>
    <w:rPr>
      <w:sz w:val="20"/>
      <w:szCs w:val="20"/>
    </w:rPr>
  </w:style>
  <w:style w:type="character" w:customStyle="1" w:styleId="TextocomentarioCar">
    <w:name w:val="Texto comentario Car"/>
    <w:basedOn w:val="Fuentedeprrafopredeter"/>
    <w:link w:val="Textocomentario"/>
    <w:uiPriority w:val="99"/>
    <w:rsid w:val="00DB630C"/>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DB630C"/>
    <w:rPr>
      <w:b/>
      <w:bCs/>
    </w:rPr>
  </w:style>
  <w:style w:type="character" w:customStyle="1" w:styleId="AsuntodelcomentarioCar">
    <w:name w:val="Asunto del comentario Car"/>
    <w:basedOn w:val="TextocomentarioCar"/>
    <w:link w:val="Asuntodelcomentario"/>
    <w:uiPriority w:val="99"/>
    <w:semiHidden/>
    <w:rsid w:val="00DB630C"/>
    <w:rPr>
      <w:rFonts w:ascii="Arial" w:hAnsi="Arial"/>
      <w:b/>
      <w:bCs/>
      <w:sz w:val="20"/>
      <w:szCs w:val="20"/>
      <w:lang w:val="es-ES"/>
    </w:rPr>
  </w:style>
  <w:style w:type="paragraph" w:styleId="Encabezado">
    <w:name w:val="header"/>
    <w:basedOn w:val="Normal"/>
    <w:link w:val="EncabezadoCar"/>
    <w:uiPriority w:val="99"/>
    <w:unhideWhenUsed/>
    <w:rsid w:val="00C220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03D"/>
    <w:rPr>
      <w:rFonts w:ascii="Arial" w:hAnsi="Arial"/>
      <w:lang w:val="es-ES"/>
    </w:rPr>
  </w:style>
  <w:style w:type="paragraph" w:styleId="Piedepgina">
    <w:name w:val="footer"/>
    <w:basedOn w:val="Normal"/>
    <w:link w:val="PiedepginaCar"/>
    <w:uiPriority w:val="99"/>
    <w:unhideWhenUsed/>
    <w:rsid w:val="00C220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03D"/>
    <w:rPr>
      <w:rFonts w:ascii="Arial" w:hAnsi="Arial"/>
      <w:lang w:val="es-ES"/>
    </w:rPr>
  </w:style>
  <w:style w:type="character" w:customStyle="1" w:styleId="Ttulo1Car">
    <w:name w:val="Título 1 Car"/>
    <w:basedOn w:val="Fuentedeprrafopredeter"/>
    <w:link w:val="Ttulo1"/>
    <w:rsid w:val="005E6A67"/>
    <w:rPr>
      <w:rFonts w:ascii="Century Gothic" w:eastAsia="Times New Roman" w:hAnsi="Century Gothic" w:cs="Times New Roman"/>
      <w:b/>
      <w:sz w:val="20"/>
      <w:szCs w:val="20"/>
      <w:lang w:eastAsia="es-ES"/>
    </w:rPr>
  </w:style>
  <w:style w:type="table" w:styleId="Tablaconcuadrcula">
    <w:name w:val="Table Grid"/>
    <w:basedOn w:val="Tablanormal"/>
    <w:uiPriority w:val="39"/>
    <w:rsid w:val="0009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96789">
      <w:bodyDiv w:val="1"/>
      <w:marLeft w:val="0"/>
      <w:marRight w:val="0"/>
      <w:marTop w:val="0"/>
      <w:marBottom w:val="0"/>
      <w:divBdr>
        <w:top w:val="none" w:sz="0" w:space="0" w:color="auto"/>
        <w:left w:val="none" w:sz="0" w:space="0" w:color="auto"/>
        <w:bottom w:val="none" w:sz="0" w:space="0" w:color="auto"/>
        <w:right w:val="none" w:sz="0" w:space="0" w:color="auto"/>
      </w:divBdr>
    </w:div>
    <w:div w:id="1160120109">
      <w:bodyDiv w:val="1"/>
      <w:marLeft w:val="0"/>
      <w:marRight w:val="0"/>
      <w:marTop w:val="0"/>
      <w:marBottom w:val="0"/>
      <w:divBdr>
        <w:top w:val="none" w:sz="0" w:space="0" w:color="auto"/>
        <w:left w:val="none" w:sz="0" w:space="0" w:color="auto"/>
        <w:bottom w:val="none" w:sz="0" w:space="0" w:color="auto"/>
        <w:right w:val="none" w:sz="0" w:space="0" w:color="auto"/>
      </w:divBdr>
    </w:div>
    <w:div w:id="1801999034">
      <w:bodyDiv w:val="1"/>
      <w:marLeft w:val="0"/>
      <w:marRight w:val="0"/>
      <w:marTop w:val="0"/>
      <w:marBottom w:val="0"/>
      <w:divBdr>
        <w:top w:val="none" w:sz="0" w:space="0" w:color="auto"/>
        <w:left w:val="none" w:sz="0" w:space="0" w:color="auto"/>
        <w:bottom w:val="none" w:sz="0" w:space="0" w:color="auto"/>
        <w:right w:val="none" w:sz="0" w:space="0" w:color="auto"/>
      </w:divBdr>
    </w:div>
    <w:div w:id="20551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1.xml"/><Relationship Id="rId27"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Interno" ma:contentTypeID="0x01010012C0FFB329D6C54DA198FD200837683401003F5DD23B17499344A698D4BA329064F9" ma:contentTypeVersion="85" ma:contentTypeDescription="Crear nuevo documento." ma:contentTypeScope="" ma:versionID="ffb003168ea4dd5a1384f20d906a7268">
  <xsd:schema xmlns:xsd="http://www.w3.org/2001/XMLSchema" xmlns:xs="http://www.w3.org/2001/XMLSchema" xmlns:p="http://schemas.microsoft.com/office/2006/metadata/properties" xmlns:ns1="http://schemas.microsoft.com/sharepoint/v3" xmlns:ns2="d84ba8d6-d99c-426b-9ce0-bd863618ee62" xmlns:ns4="http://schemas.microsoft.com/sharepoint/v4" targetNamespace="http://schemas.microsoft.com/office/2006/metadata/properties" ma:root="true" ma:fieldsID="5be4e7c7f4c784630cda6c4da13be21a" ns1:_="" ns2:_="" ns4:_="">
    <xsd:import namespace="http://schemas.microsoft.com/sharepoint/v3"/>
    <xsd:import namespace="d84ba8d6-d99c-426b-9ce0-bd863618ee62"/>
    <xsd:import namespace="http://schemas.microsoft.com/sharepoint/v4"/>
    <xsd:element name="properties">
      <xsd:complexType>
        <xsd:sequence>
          <xsd:element name="documentManagement">
            <xsd:complexType>
              <xsd:all>
                <xsd:element ref="ns2:RemitenteInterno"/>
                <xsd:element ref="ns2:DestinatarioInterno" minOccurs="0"/>
                <xsd:element ref="ns2:DestinatarioExterno" minOccurs="0"/>
                <xsd:element ref="ns2:NotificarA" minOccurs="0"/>
                <xsd:element ref="ns2:Observaciones" minOccurs="0"/>
                <xsd:element ref="ns2:Periodo" minOccurs="0"/>
                <xsd:element ref="ns2:_dlc_DocId" minOccurs="0"/>
                <xsd:element ref="ns2:_dlc_DocIdUrl" minOccurs="0"/>
                <xsd:element ref="ns2:_dlc_DocIdPersistId" minOccurs="0"/>
                <xsd:element ref="ns2:FechaRecibido" minOccurs="0"/>
                <xsd:element ref="ns2:AsuntoGED"/>
                <xsd:element ref="ns2:TituloCompleto" minOccurs="0"/>
                <xsd:element ref="ns2:DocumentoMigrado" minOccurs="0"/>
                <xsd:element ref="ns2:HistorialUsuarios" minOccurs="0"/>
                <xsd:element ref="ns1:FormData"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Datos del formulario" ma:hidden="true" ma:internalName="FormData" ma:readOnly="false">
      <xsd:simpleType>
        <xsd:restriction base="dms:Note"/>
      </xsd:simpleType>
    </xsd:element>
    <xsd:element name="_vti_ItemDeclaredRecord" ma:index="28" nillable="true" ma:displayName="Declarado como registro" ma:hidden="true" ma:internalName="_vti_ItemDeclaredRecord" ma:readOnly="true">
      <xsd:simpleType>
        <xsd:restriction base="dms:DateTime"/>
      </xsd:simpleType>
    </xsd:element>
    <xsd:element name="_vti_ItemHoldRecordStatus" ma:index="29" nillable="true" ma:displayName="Estado de suspensión y registro"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ba8d6-d99c-426b-9ce0-bd863618ee62" elementFormDefault="qualified">
    <xsd:import namespace="http://schemas.microsoft.com/office/2006/documentManagement/types"/>
    <xsd:import namespace="http://schemas.microsoft.com/office/infopath/2007/PartnerControls"/>
    <xsd:element name="RemitenteInterno" ma:index="2" ma:displayName="Remitente Interno" ma:list="UserInfo" ma:internalName="RemitenteIntern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stinatarioInterno" ma:index="3" nillable="true" ma:displayName="Destinatario Interno" ma:list="UserInfo" ma:SearchPeopleOnly="false" ma:SharePointGroup="0" ma:internalName="DestinatarioIntern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inatarioExterno" ma:index="4" nillable="true" ma:displayName="Destinatario Externo" ma:internalName="DestinatarioExterno">
      <xsd:simpleType>
        <xsd:restriction base="dms:Text"/>
      </xsd:simpleType>
    </xsd:element>
    <xsd:element name="NotificarA" ma:index="5" nillable="true" ma:displayName="Notificar a" ma:list="UserInfo" ma:SearchPeopleOnly="false" ma:internalName="Notifica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ervaciones" ma:index="6" nillable="true" ma:displayName="Observaciones" ma:internalName="Observaciones" ma:readOnly="false">
      <xsd:simpleType>
        <xsd:restriction base="dms:Note"/>
      </xsd:simpleType>
    </xsd:element>
    <xsd:element name="Periodo" ma:index="7" nillable="true" ma:displayName="Periodo" ma:internalName="Periodo">
      <xsd:simpleType>
        <xsd:restriction base="dms:Text"/>
      </xsd:simpleType>
    </xsd:element>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echaRecibido" ma:index="11" nillable="true" ma:displayName="Fecha de Recibido" ma:format="DateTime" ma:internalName="FechaRecibido">
      <xsd:simpleType>
        <xsd:restriction base="dms:DateTime"/>
      </xsd:simpleType>
    </xsd:element>
    <xsd:element name="AsuntoGED" ma:index="13" ma:displayName="Asunto" ma:internalName="AsuntoGED" ma:readOnly="false">
      <xsd:simpleType>
        <xsd:restriction base="dms:Note">
          <xsd:maxLength value="255"/>
        </xsd:restriction>
      </xsd:simpleType>
    </xsd:element>
    <xsd:element name="TituloCompleto" ma:index="15" nillable="true" ma:displayName="Título completo" ma:internalName="TituloCompleto">
      <xsd:simpleType>
        <xsd:restriction base="dms:Note">
          <xsd:maxLength value="255"/>
        </xsd:restriction>
      </xsd:simpleType>
    </xsd:element>
    <xsd:element name="DocumentoMigrado" ma:index="16" nillable="true" ma:displayName="Migrado" ma:default="0" ma:internalName="DocumentoMigrado">
      <xsd:simpleType>
        <xsd:restriction base="dms:Boolean"/>
      </xsd:simpleType>
    </xsd:element>
    <xsd:element name="HistorialUsuarios" ma:index="17" nillable="true" ma:displayName="Historial de usuarios" ma:internalName="HistorialUsu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8CE3AB66-960D-4062-9844-EEC2FA881819}">
  <ds:schemaRefs>
    <ds:schemaRef ds:uri="http://schemas.openxmlformats.org/officeDocument/2006/bibliography"/>
  </ds:schemaRefs>
</ds:datastoreItem>
</file>

<file path=customXml/itemProps2.xml><?xml version="1.0" encoding="utf-8"?>
<ds:datastoreItem xmlns:ds="http://schemas.openxmlformats.org/officeDocument/2006/customXml" ds:itemID="{19707E6B-C3F5-4D6E-848D-3C964831D9A5}"/>
</file>

<file path=customXml/itemProps3.xml><?xml version="1.0" encoding="utf-8"?>
<ds:datastoreItem xmlns:ds="http://schemas.openxmlformats.org/officeDocument/2006/customXml" ds:itemID="{FA53026A-0B82-4385-B43F-AADFFF1C3727}"/>
</file>

<file path=customXml/itemProps4.xml><?xml version="1.0" encoding="utf-8"?>
<ds:datastoreItem xmlns:ds="http://schemas.openxmlformats.org/officeDocument/2006/customXml" ds:itemID="{AC73AC3A-7B2C-45EF-959D-00CA6BE56A7E}"/>
</file>

<file path=customXml/itemProps5.xml><?xml version="1.0" encoding="utf-8"?>
<ds:datastoreItem xmlns:ds="http://schemas.openxmlformats.org/officeDocument/2006/customXml" ds:itemID="{E690DB4B-E287-4353-8CE8-32078E9E8B5E}"/>
</file>

<file path=customXml/itemProps6.xml><?xml version="1.0" encoding="utf-8"?>
<ds:datastoreItem xmlns:ds="http://schemas.openxmlformats.org/officeDocument/2006/customXml" ds:itemID="{FB2DB4ED-648F-4661-8428-6FB6784D10BC}"/>
</file>

<file path=customXml/itemProps7.xml><?xml version="1.0" encoding="utf-8"?>
<ds:datastoreItem xmlns:ds="http://schemas.openxmlformats.org/officeDocument/2006/customXml" ds:itemID="{9528C6F4-0081-4A6F-BF17-71BE0C5B3A68}"/>
</file>

<file path=docProps/app.xml><?xml version="1.0" encoding="utf-8"?>
<Properties xmlns="http://schemas.openxmlformats.org/officeDocument/2006/extended-properties" xmlns:vt="http://schemas.openxmlformats.org/officeDocument/2006/docPropsVTypes">
  <Template>Normal</Template>
  <TotalTime>5</TotalTime>
  <Pages>10</Pages>
  <Words>3274</Words>
  <Characters>18663</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Reforma SGV-A-75 -informes periódicos revisión externa y uso de fondos para emisiones verdes, sociales o sostenibles</dc:title>
  <dc:subject/>
  <dc:creator>JGS</dc:creator>
  <cp:keywords/>
  <dc:description/>
  <cp:lastModifiedBy>MATA SOLIS PATRICIA</cp:lastModifiedBy>
  <cp:revision>3</cp:revision>
  <dcterms:created xsi:type="dcterms:W3CDTF">2021-12-22T02:27:00Z</dcterms:created>
  <dcterms:modified xsi:type="dcterms:W3CDTF">2021-12-22T02:35:00Z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0722cd23-24c7-4fea-b6ea-0af3965fd246</vt:lpwstr>
  </property>
</Properties>
</file>