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3834" w:type="dxa"/>
        <w:tblLook w:val="04A0" w:firstRow="1" w:lastRow="0" w:firstColumn="1" w:lastColumn="0" w:noHBand="0" w:noVBand="1"/>
      </w:tblPr>
      <w:tblGrid>
        <w:gridCol w:w="4082"/>
        <w:gridCol w:w="2835"/>
        <w:gridCol w:w="2835"/>
        <w:gridCol w:w="4082"/>
      </w:tblGrid>
      <w:tr w:rsidR="00E8390A" w:rsidRPr="007F6EAB" w14:paraId="4CB8E727" w14:textId="77777777" w:rsidTr="00D91B10">
        <w:trPr>
          <w:tblHeader/>
        </w:trPr>
        <w:tc>
          <w:tcPr>
            <w:tcW w:w="13834" w:type="dxa"/>
            <w:gridSpan w:val="4"/>
          </w:tcPr>
          <w:p w14:paraId="2941647D" w14:textId="4EC6EC03" w:rsidR="00E8390A" w:rsidRPr="007F6EAB" w:rsidRDefault="00E8390A" w:rsidP="00E8390A">
            <w:pPr>
              <w:spacing w:before="120" w:after="120"/>
              <w:ind w:left="68"/>
              <w:jc w:val="center"/>
              <w:rPr>
                <w:rFonts w:ascii="Arial" w:eastAsia="Times New Roman" w:hAnsi="Arial" w:cs="Arial"/>
                <w:b/>
                <w:bCs/>
                <w:sz w:val="20"/>
                <w:szCs w:val="20"/>
                <w:lang w:val="es-ES"/>
              </w:rPr>
            </w:pPr>
            <w:r w:rsidRPr="007F6EAB">
              <w:rPr>
                <w:rFonts w:ascii="Arial" w:eastAsia="Times New Roman" w:hAnsi="Arial" w:cs="Arial"/>
                <w:b/>
                <w:bCs/>
                <w:sz w:val="20"/>
                <w:szCs w:val="20"/>
                <w:lang w:val="es-ES"/>
              </w:rPr>
              <w:t>MATRIZ COMPARATIVA</w:t>
            </w:r>
          </w:p>
        </w:tc>
      </w:tr>
      <w:tr w:rsidR="00E8390A" w:rsidRPr="007F6EAB" w14:paraId="3E20E9F0" w14:textId="77777777" w:rsidTr="00D91B10">
        <w:trPr>
          <w:tblHeader/>
        </w:trPr>
        <w:tc>
          <w:tcPr>
            <w:tcW w:w="13834" w:type="dxa"/>
            <w:gridSpan w:val="4"/>
          </w:tcPr>
          <w:p w14:paraId="2D7A0BBC" w14:textId="1409E871" w:rsidR="00E8390A" w:rsidRPr="007F6EAB" w:rsidRDefault="00E8390A" w:rsidP="00E8390A">
            <w:pPr>
              <w:spacing w:before="120" w:after="120"/>
              <w:ind w:left="68"/>
              <w:jc w:val="center"/>
              <w:rPr>
                <w:rFonts w:ascii="Arial" w:eastAsia="Times New Roman" w:hAnsi="Arial" w:cs="Arial"/>
                <w:b/>
                <w:bCs/>
                <w:sz w:val="20"/>
                <w:szCs w:val="20"/>
                <w:lang w:val="es-ES"/>
              </w:rPr>
            </w:pPr>
            <w:r w:rsidRPr="007F6EAB">
              <w:rPr>
                <w:rFonts w:ascii="Arial" w:eastAsia="Times New Roman" w:hAnsi="Arial" w:cs="Arial"/>
                <w:b/>
                <w:bCs/>
                <w:sz w:val="20"/>
                <w:szCs w:val="20"/>
                <w:lang w:val="es-ES"/>
              </w:rPr>
              <w:t>Propuesta de Acuerdo SGV-A-xxx.</w:t>
            </w:r>
            <w:r w:rsidRPr="007F6EAB">
              <w:rPr>
                <w:rFonts w:ascii="Arial" w:eastAsia="Times New Roman" w:hAnsi="Arial" w:cs="Arial"/>
                <w:bCs/>
                <w:sz w:val="20"/>
                <w:szCs w:val="20"/>
                <w:lang w:val="es-ES"/>
              </w:rPr>
              <w:t xml:space="preserve"> </w:t>
            </w:r>
            <w:r w:rsidRPr="007F6EAB">
              <w:rPr>
                <w:rFonts w:ascii="Arial" w:eastAsia="Times New Roman" w:hAnsi="Arial" w:cs="Arial"/>
                <w:b/>
                <w:sz w:val="20"/>
                <w:szCs w:val="20"/>
                <w:lang w:val="es-ES" w:eastAsia="es-ES"/>
              </w:rPr>
              <w:t xml:space="preserve">MODIFICACIÓN AL ACUERDO SGV-A-158 “GUÍA PARA LA ELABORACION Y REMISION DE PROSPECTOS DE FONDOS DE INVERSION” </w:t>
            </w:r>
          </w:p>
        </w:tc>
      </w:tr>
      <w:tr w:rsidR="00605339" w:rsidRPr="007F6EAB" w14:paraId="103D6F8E" w14:textId="77777777" w:rsidTr="00D91B10">
        <w:trPr>
          <w:tblHeader/>
        </w:trPr>
        <w:tc>
          <w:tcPr>
            <w:tcW w:w="4082" w:type="dxa"/>
          </w:tcPr>
          <w:p w14:paraId="7C6DFDC3" w14:textId="3110EB36" w:rsidR="00605339" w:rsidRPr="007F6EAB" w:rsidRDefault="00E8390A" w:rsidP="00E8390A">
            <w:pPr>
              <w:spacing w:before="120" w:after="120"/>
              <w:jc w:val="center"/>
              <w:rPr>
                <w:rFonts w:ascii="Arial" w:eastAsia="Times New Roman" w:hAnsi="Arial" w:cs="Arial"/>
                <w:b/>
                <w:bCs/>
                <w:sz w:val="20"/>
                <w:szCs w:val="20"/>
                <w:lang w:val="es-ES"/>
              </w:rPr>
            </w:pPr>
            <w:r w:rsidRPr="007F6EAB">
              <w:rPr>
                <w:rFonts w:ascii="Arial" w:eastAsia="Times New Roman" w:hAnsi="Arial" w:cs="Arial"/>
                <w:b/>
                <w:bCs/>
                <w:sz w:val="20"/>
                <w:szCs w:val="20"/>
                <w:lang w:val="es-ES"/>
              </w:rPr>
              <w:t>T</w:t>
            </w:r>
            <w:r w:rsidR="00605339" w:rsidRPr="007F6EAB">
              <w:rPr>
                <w:rFonts w:ascii="Arial" w:eastAsia="Times New Roman" w:hAnsi="Arial" w:cs="Arial"/>
                <w:b/>
                <w:bCs/>
                <w:sz w:val="20"/>
                <w:szCs w:val="20"/>
                <w:lang w:val="es-ES"/>
              </w:rPr>
              <w:t>e</w:t>
            </w:r>
            <w:r w:rsidRPr="007F6EAB">
              <w:rPr>
                <w:rFonts w:ascii="Arial" w:eastAsia="Times New Roman" w:hAnsi="Arial" w:cs="Arial"/>
                <w:b/>
                <w:bCs/>
                <w:sz w:val="20"/>
                <w:szCs w:val="20"/>
                <w:lang w:val="es-ES"/>
              </w:rPr>
              <w:t>xto en consulta</w:t>
            </w:r>
          </w:p>
        </w:tc>
        <w:tc>
          <w:tcPr>
            <w:tcW w:w="2835" w:type="dxa"/>
          </w:tcPr>
          <w:p w14:paraId="22AD1B60" w14:textId="128C7DA3" w:rsidR="00605339" w:rsidRPr="007F6EAB" w:rsidRDefault="00E8390A" w:rsidP="00E8390A">
            <w:pPr>
              <w:spacing w:before="120" w:after="120"/>
              <w:ind w:left="360"/>
              <w:jc w:val="center"/>
              <w:rPr>
                <w:rFonts w:ascii="Arial" w:eastAsia="Times New Roman" w:hAnsi="Arial" w:cs="Arial"/>
                <w:b/>
                <w:bCs/>
                <w:sz w:val="20"/>
                <w:szCs w:val="20"/>
                <w:lang w:val="es-ES"/>
              </w:rPr>
            </w:pPr>
            <w:r w:rsidRPr="007F6EAB">
              <w:rPr>
                <w:rFonts w:ascii="Arial" w:eastAsia="Times New Roman" w:hAnsi="Arial" w:cs="Arial"/>
                <w:b/>
                <w:bCs/>
                <w:sz w:val="20"/>
                <w:szCs w:val="20"/>
                <w:lang w:val="es-ES"/>
              </w:rPr>
              <w:t>Observaciones del medio</w:t>
            </w:r>
          </w:p>
        </w:tc>
        <w:tc>
          <w:tcPr>
            <w:tcW w:w="2835" w:type="dxa"/>
          </w:tcPr>
          <w:p w14:paraId="65FFFD53" w14:textId="5F24DF31" w:rsidR="00605339" w:rsidRPr="007F6EAB" w:rsidRDefault="00E8390A" w:rsidP="00E8390A">
            <w:pPr>
              <w:spacing w:before="120" w:after="120"/>
              <w:ind w:left="360"/>
              <w:jc w:val="center"/>
              <w:rPr>
                <w:rFonts w:ascii="Arial" w:eastAsia="Times New Roman" w:hAnsi="Arial" w:cs="Arial"/>
                <w:b/>
                <w:bCs/>
                <w:sz w:val="20"/>
                <w:szCs w:val="20"/>
                <w:lang w:val="es-ES"/>
              </w:rPr>
            </w:pPr>
            <w:r w:rsidRPr="007F6EAB">
              <w:rPr>
                <w:rFonts w:ascii="Arial" w:eastAsia="Times New Roman" w:hAnsi="Arial" w:cs="Arial"/>
                <w:b/>
                <w:bCs/>
                <w:sz w:val="20"/>
                <w:szCs w:val="20"/>
                <w:lang w:val="es-ES"/>
              </w:rPr>
              <w:t>Comentarios de la SUG</w:t>
            </w:r>
            <w:r w:rsidR="00CD6C8F">
              <w:rPr>
                <w:rFonts w:ascii="Arial" w:eastAsia="Times New Roman" w:hAnsi="Arial" w:cs="Arial"/>
                <w:b/>
                <w:bCs/>
                <w:sz w:val="20"/>
                <w:szCs w:val="20"/>
                <w:lang w:val="es-ES"/>
              </w:rPr>
              <w:t>E</w:t>
            </w:r>
            <w:r w:rsidRPr="007F6EAB">
              <w:rPr>
                <w:rFonts w:ascii="Arial" w:eastAsia="Times New Roman" w:hAnsi="Arial" w:cs="Arial"/>
                <w:b/>
                <w:bCs/>
                <w:sz w:val="20"/>
                <w:szCs w:val="20"/>
                <w:lang w:val="es-ES"/>
              </w:rPr>
              <w:t>VAL</w:t>
            </w:r>
          </w:p>
        </w:tc>
        <w:tc>
          <w:tcPr>
            <w:tcW w:w="4082" w:type="dxa"/>
          </w:tcPr>
          <w:p w14:paraId="28A655FC" w14:textId="07E84631" w:rsidR="00605339" w:rsidRPr="007F6EAB" w:rsidRDefault="00E8390A" w:rsidP="00E8390A">
            <w:pPr>
              <w:spacing w:before="120" w:after="120"/>
              <w:ind w:left="68"/>
              <w:jc w:val="center"/>
              <w:rPr>
                <w:rFonts w:ascii="Arial" w:eastAsia="Times New Roman" w:hAnsi="Arial" w:cs="Arial"/>
                <w:b/>
                <w:bCs/>
                <w:sz w:val="20"/>
                <w:szCs w:val="20"/>
                <w:lang w:val="es-ES"/>
              </w:rPr>
            </w:pPr>
            <w:r w:rsidRPr="007F6EAB">
              <w:rPr>
                <w:rFonts w:ascii="Arial" w:eastAsia="Times New Roman" w:hAnsi="Arial" w:cs="Arial"/>
                <w:b/>
                <w:bCs/>
                <w:sz w:val="20"/>
                <w:szCs w:val="20"/>
                <w:lang w:val="es-ES"/>
              </w:rPr>
              <w:t>Texto final</w:t>
            </w:r>
          </w:p>
        </w:tc>
      </w:tr>
      <w:tr w:rsidR="006B0083" w:rsidRPr="007F6EAB" w14:paraId="4BC8F371" w14:textId="100AA27C" w:rsidTr="00D91B10">
        <w:tc>
          <w:tcPr>
            <w:tcW w:w="4082" w:type="dxa"/>
          </w:tcPr>
          <w:p w14:paraId="321E344B" w14:textId="1AB188BE" w:rsidR="006B0083" w:rsidRPr="007F6EAB" w:rsidRDefault="006B0083" w:rsidP="006B0083">
            <w:pPr>
              <w:jc w:val="both"/>
              <w:rPr>
                <w:rFonts w:ascii="Arial" w:eastAsia="Times New Roman" w:hAnsi="Arial" w:cs="Arial"/>
                <w:bCs/>
                <w:i/>
                <w:iCs/>
                <w:noProof/>
                <w:sz w:val="20"/>
                <w:szCs w:val="20"/>
                <w:lang w:val="es-ES_tradnl" w:eastAsia="es-ES"/>
              </w:rPr>
            </w:pPr>
            <w:r w:rsidRPr="007F6EAB">
              <w:rPr>
                <w:rFonts w:ascii="Arial" w:eastAsia="Times New Roman" w:hAnsi="Arial" w:cs="Arial"/>
                <w:b/>
                <w:bCs/>
                <w:sz w:val="20"/>
                <w:szCs w:val="20"/>
                <w:lang w:val="es-ES"/>
              </w:rPr>
              <w:t>SGV-A-xxx.</w:t>
            </w:r>
            <w:r w:rsidRPr="007F6EAB">
              <w:rPr>
                <w:rFonts w:ascii="Arial" w:eastAsia="Times New Roman" w:hAnsi="Arial" w:cs="Arial"/>
                <w:bCs/>
                <w:sz w:val="20"/>
                <w:szCs w:val="20"/>
                <w:lang w:val="es-ES"/>
              </w:rPr>
              <w:t xml:space="preserve"> </w:t>
            </w:r>
            <w:r w:rsidRPr="007F6EAB">
              <w:rPr>
                <w:rFonts w:ascii="Arial" w:eastAsia="Times New Roman" w:hAnsi="Arial" w:cs="Arial"/>
                <w:b/>
                <w:sz w:val="20"/>
                <w:szCs w:val="20"/>
                <w:lang w:val="es-ES" w:eastAsia="es-ES"/>
              </w:rPr>
              <w:t xml:space="preserve">MODIFICACIÓN AL ACUERDO SGV-A-158 “GUÍA PARA LA ELABORACION Y REMISION DE PROSPECTOS DE FONDOS DE INVERSION” </w:t>
            </w:r>
          </w:p>
        </w:tc>
        <w:tc>
          <w:tcPr>
            <w:tcW w:w="2835" w:type="dxa"/>
          </w:tcPr>
          <w:p w14:paraId="5D356D69" w14:textId="77777777" w:rsidR="006B0083" w:rsidRPr="007F6EAB" w:rsidRDefault="006B0083" w:rsidP="006B0083">
            <w:pPr>
              <w:ind w:left="360"/>
              <w:jc w:val="both"/>
              <w:rPr>
                <w:rFonts w:ascii="Arial" w:eastAsia="Times New Roman" w:hAnsi="Arial" w:cs="Arial"/>
                <w:b/>
                <w:bCs/>
                <w:sz w:val="20"/>
                <w:szCs w:val="20"/>
                <w:lang w:val="es-ES"/>
              </w:rPr>
            </w:pPr>
          </w:p>
        </w:tc>
        <w:tc>
          <w:tcPr>
            <w:tcW w:w="2835" w:type="dxa"/>
          </w:tcPr>
          <w:p w14:paraId="6C654307" w14:textId="77777777" w:rsidR="006B0083" w:rsidRPr="007F6EAB" w:rsidRDefault="006B0083" w:rsidP="006B0083">
            <w:pPr>
              <w:ind w:left="360"/>
              <w:jc w:val="both"/>
              <w:rPr>
                <w:rFonts w:ascii="Arial" w:eastAsia="Times New Roman" w:hAnsi="Arial" w:cs="Arial"/>
                <w:b/>
                <w:bCs/>
                <w:sz w:val="20"/>
                <w:szCs w:val="20"/>
                <w:lang w:val="es-ES"/>
              </w:rPr>
            </w:pPr>
          </w:p>
        </w:tc>
        <w:tc>
          <w:tcPr>
            <w:tcW w:w="4082" w:type="dxa"/>
          </w:tcPr>
          <w:p w14:paraId="3981DD3E" w14:textId="27D79207" w:rsidR="006B0083" w:rsidRPr="007F6EAB" w:rsidRDefault="006B0083" w:rsidP="006B0083">
            <w:pPr>
              <w:ind w:left="68"/>
              <w:jc w:val="both"/>
              <w:rPr>
                <w:rFonts w:ascii="Arial" w:eastAsia="Times New Roman" w:hAnsi="Arial" w:cs="Arial"/>
                <w:b/>
                <w:bCs/>
                <w:sz w:val="20"/>
                <w:szCs w:val="20"/>
                <w:lang w:val="es-ES"/>
              </w:rPr>
            </w:pPr>
            <w:r w:rsidRPr="007F6EAB">
              <w:rPr>
                <w:rFonts w:ascii="Arial" w:eastAsia="Times New Roman" w:hAnsi="Arial" w:cs="Arial"/>
                <w:b/>
                <w:bCs/>
                <w:sz w:val="20"/>
                <w:szCs w:val="20"/>
                <w:lang w:val="es-ES"/>
              </w:rPr>
              <w:t>SGV-A-xxx.</w:t>
            </w:r>
            <w:r w:rsidRPr="007F6EAB">
              <w:rPr>
                <w:rFonts w:ascii="Arial" w:eastAsia="Times New Roman" w:hAnsi="Arial" w:cs="Arial"/>
                <w:bCs/>
                <w:sz w:val="20"/>
                <w:szCs w:val="20"/>
                <w:lang w:val="es-ES"/>
              </w:rPr>
              <w:t xml:space="preserve"> </w:t>
            </w:r>
            <w:r w:rsidRPr="007F6EAB">
              <w:rPr>
                <w:rFonts w:ascii="Arial" w:eastAsia="Times New Roman" w:hAnsi="Arial" w:cs="Arial"/>
                <w:b/>
                <w:sz w:val="20"/>
                <w:szCs w:val="20"/>
                <w:lang w:val="es-ES" w:eastAsia="es-ES"/>
              </w:rPr>
              <w:t xml:space="preserve">MODIFICACIÓN AL ACUERDO SGV-A-158 “GUÍA PARA LA ELABORACION Y REMISION DE PROSPECTOS DE FONDOS DE INVERSION” </w:t>
            </w:r>
          </w:p>
        </w:tc>
      </w:tr>
      <w:tr w:rsidR="006B0083" w:rsidRPr="007F6EAB" w14:paraId="0B5CBE4E" w14:textId="691BAC1E" w:rsidTr="00D91B10">
        <w:tc>
          <w:tcPr>
            <w:tcW w:w="4082" w:type="dxa"/>
          </w:tcPr>
          <w:p w14:paraId="773019DA" w14:textId="77777777" w:rsidR="006B0083" w:rsidRPr="007F6EAB" w:rsidRDefault="006B0083" w:rsidP="006B0083">
            <w:pPr>
              <w:jc w:val="both"/>
              <w:rPr>
                <w:rFonts w:ascii="Arial" w:eastAsia="Times New Roman" w:hAnsi="Arial" w:cs="Arial"/>
                <w:b/>
                <w:bCs/>
                <w:sz w:val="20"/>
                <w:szCs w:val="20"/>
                <w:lang w:eastAsia="es-ES"/>
              </w:rPr>
            </w:pPr>
            <w:r w:rsidRPr="007F6EAB">
              <w:rPr>
                <w:rFonts w:ascii="Arial" w:eastAsia="Times New Roman" w:hAnsi="Arial" w:cs="Arial"/>
                <w:b/>
                <w:bCs/>
                <w:sz w:val="20"/>
                <w:szCs w:val="20"/>
                <w:lang w:eastAsia="es-ES"/>
              </w:rPr>
              <w:t>Considerando que:</w:t>
            </w:r>
          </w:p>
        </w:tc>
        <w:tc>
          <w:tcPr>
            <w:tcW w:w="2835" w:type="dxa"/>
          </w:tcPr>
          <w:p w14:paraId="2591718F" w14:textId="77777777" w:rsidR="006B0083" w:rsidRPr="007F6EAB" w:rsidRDefault="006B0083" w:rsidP="006B0083">
            <w:pPr>
              <w:ind w:left="360"/>
              <w:jc w:val="both"/>
              <w:rPr>
                <w:rFonts w:ascii="Arial" w:eastAsia="Times New Roman" w:hAnsi="Arial" w:cs="Arial"/>
                <w:b/>
                <w:bCs/>
                <w:sz w:val="20"/>
                <w:szCs w:val="20"/>
                <w:lang w:eastAsia="es-ES"/>
              </w:rPr>
            </w:pPr>
          </w:p>
        </w:tc>
        <w:tc>
          <w:tcPr>
            <w:tcW w:w="2835" w:type="dxa"/>
          </w:tcPr>
          <w:p w14:paraId="5C66D1C6" w14:textId="77777777" w:rsidR="006B0083" w:rsidRPr="007F6EAB" w:rsidRDefault="006B0083" w:rsidP="006B0083">
            <w:pPr>
              <w:ind w:left="360"/>
              <w:jc w:val="both"/>
              <w:rPr>
                <w:rFonts w:ascii="Arial" w:eastAsia="Times New Roman" w:hAnsi="Arial" w:cs="Arial"/>
                <w:b/>
                <w:bCs/>
                <w:sz w:val="20"/>
                <w:szCs w:val="20"/>
                <w:lang w:eastAsia="es-ES"/>
              </w:rPr>
            </w:pPr>
          </w:p>
        </w:tc>
        <w:tc>
          <w:tcPr>
            <w:tcW w:w="4082" w:type="dxa"/>
          </w:tcPr>
          <w:p w14:paraId="2516408A" w14:textId="56CB015F" w:rsidR="006B0083" w:rsidRPr="007F6EAB" w:rsidRDefault="006B0083" w:rsidP="006B0083">
            <w:pPr>
              <w:ind w:left="426" w:hanging="284"/>
              <w:jc w:val="both"/>
              <w:rPr>
                <w:rFonts w:ascii="Arial" w:eastAsia="Times New Roman" w:hAnsi="Arial" w:cs="Arial"/>
                <w:b/>
                <w:bCs/>
                <w:sz w:val="20"/>
                <w:szCs w:val="20"/>
                <w:lang w:eastAsia="es-ES"/>
              </w:rPr>
            </w:pPr>
            <w:r w:rsidRPr="007F6EAB">
              <w:rPr>
                <w:rFonts w:ascii="Arial" w:eastAsia="Times New Roman" w:hAnsi="Arial" w:cs="Arial"/>
                <w:b/>
                <w:bCs/>
                <w:sz w:val="20"/>
                <w:szCs w:val="20"/>
                <w:lang w:eastAsia="es-ES"/>
              </w:rPr>
              <w:t>Considerando que:</w:t>
            </w:r>
          </w:p>
        </w:tc>
      </w:tr>
      <w:tr w:rsidR="006B0083" w:rsidRPr="007F6EAB" w14:paraId="361C35E5" w14:textId="50A02CC5" w:rsidTr="00D91B10">
        <w:tc>
          <w:tcPr>
            <w:tcW w:w="4082" w:type="dxa"/>
          </w:tcPr>
          <w:p w14:paraId="7FFD5E6B" w14:textId="77777777" w:rsidR="006B0083" w:rsidRPr="007F6EAB" w:rsidRDefault="006B0083" w:rsidP="006B0083">
            <w:pPr>
              <w:pStyle w:val="Numeracin"/>
              <w:numPr>
                <w:ilvl w:val="0"/>
                <w:numId w:val="4"/>
              </w:numPr>
              <w:spacing w:before="0"/>
              <w:ind w:left="425" w:hanging="284"/>
              <w:rPr>
                <w:rFonts w:ascii="Arial" w:hAnsi="Arial" w:cs="Arial"/>
                <w:bCs/>
                <w:sz w:val="20"/>
                <w:szCs w:val="20"/>
                <w:lang w:val="es-MX" w:eastAsia="en-US"/>
              </w:rPr>
            </w:pPr>
            <w:r w:rsidRPr="007F6EAB">
              <w:rPr>
                <w:rFonts w:ascii="Arial" w:hAnsi="Arial" w:cs="Arial"/>
                <w:bCs/>
                <w:sz w:val="20"/>
                <w:szCs w:val="20"/>
                <w:lang w:val="es-MX" w:eastAsia="en-US"/>
              </w:rPr>
              <w:t xml:space="preserve">Mediante el artículo 17 de la Sesión 762-2008 del 19 de diciembre del 2008, el Consejo Nacional de Supervisión del Sistema Financiero aprobó el Reglamento General  sobre Sociedades Administradoras  y Fondos de Inversión. Los artículos 19, 23, 24 y 25 del Reglamento disponen que el Superintendente General de Valores emitirá una guía que defina el contenido mínimo, las normas de presentación y diseño de los prospectos de fondos de inversión, así como la definición de los medios electrónicos que se utilizarán en los procedimientos de autorización y modificación de prospectos. </w:t>
            </w:r>
          </w:p>
        </w:tc>
        <w:tc>
          <w:tcPr>
            <w:tcW w:w="2835" w:type="dxa"/>
          </w:tcPr>
          <w:p w14:paraId="377AAC96" w14:textId="77777777" w:rsidR="006B0083" w:rsidRPr="007F6EAB" w:rsidRDefault="006B0083" w:rsidP="006B0083">
            <w:pPr>
              <w:pStyle w:val="Numeracin"/>
              <w:spacing w:before="0"/>
              <w:ind w:left="360"/>
              <w:rPr>
                <w:rFonts w:ascii="Arial" w:hAnsi="Arial" w:cs="Arial"/>
                <w:bCs/>
                <w:sz w:val="20"/>
                <w:szCs w:val="20"/>
                <w:lang w:val="es-MX" w:eastAsia="en-US"/>
              </w:rPr>
            </w:pPr>
          </w:p>
        </w:tc>
        <w:tc>
          <w:tcPr>
            <w:tcW w:w="2835" w:type="dxa"/>
          </w:tcPr>
          <w:p w14:paraId="31BFEEEF" w14:textId="77777777" w:rsidR="006B0083" w:rsidRPr="007F6EAB" w:rsidRDefault="006B0083" w:rsidP="006B0083">
            <w:pPr>
              <w:pStyle w:val="Numeracin"/>
              <w:spacing w:before="0"/>
              <w:ind w:left="360"/>
              <w:rPr>
                <w:rFonts w:ascii="Arial" w:hAnsi="Arial" w:cs="Arial"/>
                <w:bCs/>
                <w:sz w:val="20"/>
                <w:szCs w:val="20"/>
                <w:lang w:val="es-MX" w:eastAsia="en-US"/>
              </w:rPr>
            </w:pPr>
          </w:p>
        </w:tc>
        <w:tc>
          <w:tcPr>
            <w:tcW w:w="4082" w:type="dxa"/>
          </w:tcPr>
          <w:p w14:paraId="36994CE3" w14:textId="5C468EDF" w:rsidR="006B0083" w:rsidRPr="007F6EAB" w:rsidRDefault="006B0083" w:rsidP="006B0083">
            <w:pPr>
              <w:pStyle w:val="Numeracin"/>
              <w:numPr>
                <w:ilvl w:val="0"/>
                <w:numId w:val="14"/>
              </w:numPr>
              <w:spacing w:before="0"/>
              <w:ind w:left="426" w:hanging="73"/>
              <w:rPr>
                <w:rFonts w:ascii="Arial" w:hAnsi="Arial" w:cs="Arial"/>
                <w:bCs/>
                <w:sz w:val="20"/>
                <w:szCs w:val="20"/>
                <w:lang w:val="es-MX" w:eastAsia="en-US"/>
              </w:rPr>
            </w:pPr>
            <w:r w:rsidRPr="007F6EAB">
              <w:rPr>
                <w:rFonts w:ascii="Arial" w:hAnsi="Arial" w:cs="Arial"/>
                <w:bCs/>
                <w:sz w:val="20"/>
                <w:szCs w:val="20"/>
                <w:lang w:val="es-MX" w:eastAsia="en-US"/>
              </w:rPr>
              <w:t xml:space="preserve">Mediante el artículo 17 de la Sesión 762-2008 del 19 de diciembre del 2008, el Consejo Nacional de Supervisión del Sistema Financiero aprobó el Reglamento General sobre Sociedades Administradoras y Fondos de Inversión. Los artículos 19, 23, 24 y 25 del Reglamento disponen que el Superintendente General de Valores emitirá una guía que defina el contenido mínimo, las normas de presentación y diseño de los prospectos de fondos de inversión, así como la definición de los medios electrónicos que se utilizarán en los procedimientos de autorización y modificación de prospectos. </w:t>
            </w:r>
          </w:p>
        </w:tc>
      </w:tr>
      <w:tr w:rsidR="006B0083" w:rsidRPr="007F6EAB" w14:paraId="51F0ED95" w14:textId="24698702" w:rsidTr="00D91B10">
        <w:tc>
          <w:tcPr>
            <w:tcW w:w="4082" w:type="dxa"/>
          </w:tcPr>
          <w:p w14:paraId="734C51F4" w14:textId="77777777" w:rsidR="006B0083" w:rsidRPr="007F6EAB" w:rsidRDefault="006B0083" w:rsidP="006B0083">
            <w:pPr>
              <w:pStyle w:val="Numeracin"/>
              <w:widowControl w:val="0"/>
              <w:numPr>
                <w:ilvl w:val="0"/>
                <w:numId w:val="4"/>
              </w:numPr>
              <w:tabs>
                <w:tab w:val="left" w:pos="567"/>
              </w:tabs>
              <w:spacing w:before="0"/>
              <w:ind w:left="425" w:hanging="284"/>
              <w:rPr>
                <w:rFonts w:ascii="Arial" w:hAnsi="Arial" w:cs="Arial"/>
                <w:color w:val="000000" w:themeColor="text1"/>
                <w:sz w:val="20"/>
                <w:szCs w:val="20"/>
                <w:lang w:val="es-CR"/>
              </w:rPr>
            </w:pPr>
            <w:r w:rsidRPr="007F6EAB">
              <w:rPr>
                <w:rFonts w:ascii="Arial" w:hAnsi="Arial" w:cs="Arial"/>
                <w:bCs/>
                <w:sz w:val="20"/>
                <w:szCs w:val="20"/>
                <w:lang w:val="es-MX" w:eastAsia="en-US"/>
              </w:rPr>
              <w:t xml:space="preserve">El artículo 22 Reglamento General sobre Sociedades Administradoras y Fondos de Inversión señala que la sociedad administradora está obligada a mantener el prospecto de los fondos que administra actualizado. </w:t>
            </w:r>
            <w:r w:rsidRPr="007F6EAB">
              <w:rPr>
                <w:rFonts w:ascii="Arial" w:hAnsi="Arial" w:cs="Arial"/>
                <w:sz w:val="20"/>
                <w:szCs w:val="20"/>
              </w:rPr>
              <w:t xml:space="preserve">No </w:t>
            </w:r>
            <w:r w:rsidRPr="007F6EAB">
              <w:rPr>
                <w:rFonts w:ascii="Arial" w:hAnsi="Arial" w:cs="Arial"/>
                <w:sz w:val="20"/>
                <w:szCs w:val="20"/>
              </w:rPr>
              <w:lastRenderedPageBreak/>
              <w:t>obstante, al menos una vez al año en la fecha que defina el Superintendente, la sociedad debe referirse a la actualización del prospecto, para lo cual podrá remitir una declaración jurada rendida ante notario público por su representante legal, en donde se confirma que la versión electrónica del prospecto vigente se encuentra actualizada según lo requerido en la normativa vigente.</w:t>
            </w:r>
          </w:p>
        </w:tc>
        <w:tc>
          <w:tcPr>
            <w:tcW w:w="2835" w:type="dxa"/>
          </w:tcPr>
          <w:p w14:paraId="2A74B5E3" w14:textId="77777777" w:rsidR="006B0083" w:rsidRPr="007F6EAB" w:rsidRDefault="006B0083" w:rsidP="006B0083">
            <w:pPr>
              <w:pStyle w:val="Numeracin"/>
              <w:widowControl w:val="0"/>
              <w:tabs>
                <w:tab w:val="left" w:pos="567"/>
              </w:tabs>
              <w:spacing w:before="0"/>
              <w:ind w:left="360"/>
              <w:rPr>
                <w:rFonts w:ascii="Arial" w:hAnsi="Arial" w:cs="Arial"/>
                <w:bCs/>
                <w:sz w:val="20"/>
                <w:szCs w:val="20"/>
                <w:lang w:val="es-MX" w:eastAsia="en-US"/>
              </w:rPr>
            </w:pPr>
          </w:p>
        </w:tc>
        <w:tc>
          <w:tcPr>
            <w:tcW w:w="2835" w:type="dxa"/>
          </w:tcPr>
          <w:p w14:paraId="04E32033" w14:textId="77777777" w:rsidR="006B0083" w:rsidRPr="007F6EAB" w:rsidRDefault="006B0083" w:rsidP="006B0083">
            <w:pPr>
              <w:pStyle w:val="Numeracin"/>
              <w:widowControl w:val="0"/>
              <w:tabs>
                <w:tab w:val="left" w:pos="567"/>
              </w:tabs>
              <w:spacing w:before="0"/>
              <w:ind w:left="360"/>
              <w:rPr>
                <w:rFonts w:ascii="Arial" w:hAnsi="Arial" w:cs="Arial"/>
                <w:bCs/>
                <w:sz w:val="20"/>
                <w:szCs w:val="20"/>
                <w:lang w:val="es-MX" w:eastAsia="en-US"/>
              </w:rPr>
            </w:pPr>
          </w:p>
        </w:tc>
        <w:tc>
          <w:tcPr>
            <w:tcW w:w="4082" w:type="dxa"/>
          </w:tcPr>
          <w:p w14:paraId="2F3E3780" w14:textId="3E502A1E" w:rsidR="006B0083" w:rsidRPr="007F6EAB" w:rsidRDefault="006B0083" w:rsidP="006B0083">
            <w:pPr>
              <w:pStyle w:val="Numeracin"/>
              <w:numPr>
                <w:ilvl w:val="0"/>
                <w:numId w:val="14"/>
              </w:numPr>
              <w:spacing w:before="0"/>
              <w:ind w:left="426" w:hanging="73"/>
              <w:rPr>
                <w:rFonts w:ascii="Arial" w:hAnsi="Arial" w:cs="Arial"/>
                <w:bCs/>
                <w:sz w:val="20"/>
                <w:szCs w:val="20"/>
                <w:lang w:val="es-MX" w:eastAsia="en-US"/>
              </w:rPr>
            </w:pPr>
            <w:r w:rsidRPr="007F6EAB">
              <w:rPr>
                <w:rFonts w:ascii="Arial" w:hAnsi="Arial" w:cs="Arial"/>
                <w:bCs/>
                <w:sz w:val="20"/>
                <w:szCs w:val="20"/>
                <w:lang w:val="es-MX" w:eastAsia="en-US"/>
              </w:rPr>
              <w:t xml:space="preserve">El artículo 22 Reglamento General sobre Sociedades Administradoras y Fondos de Inversión señala que la sociedad administradora está obligada a mantener el prospecto de los fondos que administra actualizado. </w:t>
            </w:r>
            <w:r w:rsidRPr="007F6EAB">
              <w:rPr>
                <w:rFonts w:ascii="Arial" w:hAnsi="Arial" w:cs="Arial"/>
                <w:sz w:val="20"/>
                <w:szCs w:val="20"/>
              </w:rPr>
              <w:t xml:space="preserve">No </w:t>
            </w:r>
            <w:r w:rsidRPr="007F6EAB">
              <w:rPr>
                <w:rFonts w:ascii="Arial" w:hAnsi="Arial" w:cs="Arial"/>
                <w:sz w:val="20"/>
                <w:szCs w:val="20"/>
              </w:rPr>
              <w:lastRenderedPageBreak/>
              <w:t>obstante, al menos una vez al año en la fecha que defina el Superintendente, la sociedad debe referirse a la actualización del prospecto, para lo cual podrá remitir una declaración jurada rendida ante notario público por su representante legal, en donde se confirma que la versión electrónica del prospecto vigente se encuentra actualizada según lo requerido en la normativa vigente.</w:t>
            </w:r>
          </w:p>
        </w:tc>
      </w:tr>
      <w:tr w:rsidR="006B0083" w:rsidRPr="007F6EAB" w14:paraId="39F250F0" w14:textId="19922AAE" w:rsidTr="00D91B10">
        <w:tc>
          <w:tcPr>
            <w:tcW w:w="4082" w:type="dxa"/>
          </w:tcPr>
          <w:p w14:paraId="22D7555B" w14:textId="77777777" w:rsidR="006B0083" w:rsidRPr="007F6EAB" w:rsidRDefault="006B0083" w:rsidP="006B0083">
            <w:pPr>
              <w:widowControl w:val="0"/>
              <w:numPr>
                <w:ilvl w:val="0"/>
                <w:numId w:val="4"/>
              </w:numPr>
              <w:ind w:left="425" w:hanging="284"/>
              <w:jc w:val="both"/>
              <w:rPr>
                <w:rFonts w:ascii="Arial" w:hAnsi="Arial" w:cs="Arial"/>
                <w:sz w:val="20"/>
                <w:szCs w:val="20"/>
              </w:rPr>
            </w:pPr>
            <w:r w:rsidRPr="007F6EAB">
              <w:rPr>
                <w:rFonts w:ascii="Arial" w:hAnsi="Arial" w:cs="Arial"/>
                <w:sz w:val="20"/>
                <w:szCs w:val="20"/>
              </w:rPr>
              <w:lastRenderedPageBreak/>
              <w:t xml:space="preserve">Mediante el artículo 11 del acta de sesión 1620-2020 celebrada el 16 de noviembre del 2020, el Consejo Nacional de Supervisión del Sistema Financiero aprobó la modificación a los reglamentos Reglamento sobre Oferta Pública de Valores para la adición del literal d) al artículo 17, literal g) al artículo 18, literal g) a la referencia que incluye el literal a) del artículo 29, literal e) al artículo 31, Reglamento sobre Financiamiento de Proyectos de Infraestructura para la adición del artículo 27 Bis, párrafo segundo al artículo 28, Reglamento sobre Procesos de Titularización para la adición del artículo 40 Bis, literal f) al artículo 42, literal m) al artículo 43 y al Reglamento sobre Sociedades </w:t>
            </w:r>
            <w:r w:rsidRPr="007F6EAB">
              <w:rPr>
                <w:rFonts w:ascii="Arial" w:hAnsi="Arial" w:cs="Arial"/>
                <w:sz w:val="20"/>
                <w:szCs w:val="20"/>
              </w:rPr>
              <w:lastRenderedPageBreak/>
              <w:t>Administradoras y Fondos de Inversión para la adición del literal g) al artículo 15. La modificación planteada a estos cuatro reglamentos incorpora como parte de los requerimientos para la inscripción de las emisiones o fondos de inversión que califiquen como verdes, sociales o sostenibles deban presentar una revisión externa, que contenga la opinión de un tercero experto e independiente del emisor, que acredite al menos el cumplimiento de estándares nacionales o internacionales para las emisiones de contenido crediticio que califiquen como verdes, sociales o sostenibles. La revisión externa se deberá incluir como anexo al prospecto y deberá actualizarse como mínimo anualmente, durante el plazo de la emisión.</w:t>
            </w:r>
          </w:p>
        </w:tc>
        <w:tc>
          <w:tcPr>
            <w:tcW w:w="2835" w:type="dxa"/>
          </w:tcPr>
          <w:p w14:paraId="792592B7" w14:textId="77777777" w:rsidR="006B0083" w:rsidRPr="007F6EAB" w:rsidRDefault="006B0083" w:rsidP="006B0083">
            <w:pPr>
              <w:widowControl w:val="0"/>
              <w:ind w:left="360"/>
              <w:jc w:val="both"/>
              <w:rPr>
                <w:rFonts w:ascii="Arial" w:hAnsi="Arial" w:cs="Arial"/>
                <w:sz w:val="20"/>
                <w:szCs w:val="20"/>
              </w:rPr>
            </w:pPr>
          </w:p>
        </w:tc>
        <w:tc>
          <w:tcPr>
            <w:tcW w:w="2835" w:type="dxa"/>
          </w:tcPr>
          <w:p w14:paraId="5A66DC31" w14:textId="77777777" w:rsidR="006B0083" w:rsidRPr="007F6EAB" w:rsidRDefault="006B0083" w:rsidP="006B0083">
            <w:pPr>
              <w:widowControl w:val="0"/>
              <w:ind w:left="360"/>
              <w:jc w:val="both"/>
              <w:rPr>
                <w:rFonts w:ascii="Arial" w:hAnsi="Arial" w:cs="Arial"/>
                <w:sz w:val="20"/>
                <w:szCs w:val="20"/>
              </w:rPr>
            </w:pPr>
          </w:p>
        </w:tc>
        <w:tc>
          <w:tcPr>
            <w:tcW w:w="4082" w:type="dxa"/>
          </w:tcPr>
          <w:p w14:paraId="45BD19A6" w14:textId="246C8D07" w:rsidR="006B0083" w:rsidRPr="007F6EAB" w:rsidRDefault="006B0083" w:rsidP="006B0083">
            <w:pPr>
              <w:pStyle w:val="Prrafodelista"/>
              <w:widowControl w:val="0"/>
              <w:numPr>
                <w:ilvl w:val="0"/>
                <w:numId w:val="14"/>
              </w:numPr>
              <w:ind w:left="426" w:hanging="73"/>
              <w:contextualSpacing w:val="0"/>
              <w:jc w:val="both"/>
              <w:rPr>
                <w:rFonts w:ascii="Arial" w:hAnsi="Arial" w:cs="Arial"/>
                <w:sz w:val="20"/>
                <w:szCs w:val="20"/>
              </w:rPr>
            </w:pPr>
            <w:r w:rsidRPr="007F6EAB">
              <w:rPr>
                <w:rFonts w:ascii="Arial" w:hAnsi="Arial" w:cs="Arial"/>
                <w:sz w:val="20"/>
                <w:szCs w:val="20"/>
              </w:rPr>
              <w:t xml:space="preserve">Mediante el artículo 11 del acta de sesión 1620-2020 celebrada el 16 de noviembre del 2020, el Consejo Nacional de Supervisión del Sistema Financiero aprobó la modificación a los reglamentos Reglamento sobre Oferta Pública de Valores para la adición del literal d) al artículo 17, literal g) al artículo 18, literal g) a la referencia que incluye el literal a) del artículo 29, literal e) al artículo 31, Reglamento sobre Financiamiento de Proyectos de Infraestructura para la adición del artículo 27 Bis, párrafo segundo al artículo 28, Reglamento sobre Procesos de Titularización para la adición del artículo 40 Bis, literal f) al artículo 42, literal m) al artículo 43 y al Reglamento sobre Sociedades </w:t>
            </w:r>
            <w:r w:rsidRPr="007F6EAB">
              <w:rPr>
                <w:rFonts w:ascii="Arial" w:hAnsi="Arial" w:cs="Arial"/>
                <w:sz w:val="20"/>
                <w:szCs w:val="20"/>
              </w:rPr>
              <w:lastRenderedPageBreak/>
              <w:t>Administradoras y Fondos de Inversión para la adición del literal g) al artículo 15. La modificación planteada a estos cuatro reglamentos incorpora como parte de los requerimientos para la inscripción de las emisiones o fondos de inversión que califiquen como verdes, sociales o sostenibles deban presentar una revisión externa, que contenga la opinión de un tercero experto e independiente del emisor, que acredite al menos el cumplimiento de estándares nacionales o internacionales para las emisiones de contenido crediticio que califiquen como verdes, sociales o sostenibles. La revisión externa se deberá incluir como anexo al prospecto y deberá actualizarse como mínimo anualmente, durante el plazo de la emisión.</w:t>
            </w:r>
          </w:p>
        </w:tc>
      </w:tr>
      <w:tr w:rsidR="006B0083" w:rsidRPr="007F6EAB" w14:paraId="4B778560" w14:textId="0E998044" w:rsidTr="00D91B10">
        <w:tc>
          <w:tcPr>
            <w:tcW w:w="4082" w:type="dxa"/>
          </w:tcPr>
          <w:p w14:paraId="2017C89A" w14:textId="77777777" w:rsidR="006B0083" w:rsidRPr="007F6EAB" w:rsidRDefault="006B0083" w:rsidP="006B0083">
            <w:pPr>
              <w:widowControl w:val="0"/>
              <w:numPr>
                <w:ilvl w:val="0"/>
                <w:numId w:val="4"/>
              </w:numPr>
              <w:ind w:left="425" w:hanging="284"/>
              <w:jc w:val="both"/>
              <w:rPr>
                <w:rFonts w:ascii="Arial" w:hAnsi="Arial" w:cs="Arial"/>
                <w:sz w:val="20"/>
                <w:szCs w:val="20"/>
              </w:rPr>
            </w:pPr>
            <w:r w:rsidRPr="007F6EAB">
              <w:rPr>
                <w:rFonts w:ascii="Arial" w:hAnsi="Arial" w:cs="Arial"/>
                <w:sz w:val="20"/>
                <w:szCs w:val="20"/>
              </w:rPr>
              <w:lastRenderedPageBreak/>
              <w:t xml:space="preserve">El acuerdo SGV-A- XXX Lineamientos para emisiones verdes, sociales y sostenibles de oferta pública pretende orientar a los emisores y a las sociedades administradoras de fondos de inversión sobre el contenido mínimo de información relacionado exclusivamente con emisiones verdes, sociales y sostenibles, el cual se deberá incluir dentro del prospecto del </w:t>
            </w:r>
            <w:r w:rsidRPr="007F6EAB">
              <w:rPr>
                <w:rFonts w:ascii="Arial" w:hAnsi="Arial" w:cs="Arial"/>
                <w:sz w:val="20"/>
                <w:szCs w:val="20"/>
              </w:rPr>
              <w:lastRenderedPageBreak/>
              <w:t xml:space="preserve">emisor cuando emitan este tipo de productos. </w:t>
            </w:r>
          </w:p>
        </w:tc>
        <w:tc>
          <w:tcPr>
            <w:tcW w:w="2835" w:type="dxa"/>
          </w:tcPr>
          <w:p w14:paraId="3E9012B5" w14:textId="77777777" w:rsidR="006B0083" w:rsidRPr="007F6EAB" w:rsidRDefault="006B0083" w:rsidP="006B0083">
            <w:pPr>
              <w:widowControl w:val="0"/>
              <w:ind w:left="360"/>
              <w:jc w:val="both"/>
              <w:rPr>
                <w:rFonts w:ascii="Arial" w:hAnsi="Arial" w:cs="Arial"/>
                <w:sz w:val="20"/>
                <w:szCs w:val="20"/>
              </w:rPr>
            </w:pPr>
          </w:p>
        </w:tc>
        <w:tc>
          <w:tcPr>
            <w:tcW w:w="2835" w:type="dxa"/>
          </w:tcPr>
          <w:p w14:paraId="006E6890" w14:textId="77777777" w:rsidR="006B0083" w:rsidRPr="007F6EAB" w:rsidRDefault="006B0083" w:rsidP="006B0083">
            <w:pPr>
              <w:widowControl w:val="0"/>
              <w:ind w:left="360"/>
              <w:jc w:val="both"/>
              <w:rPr>
                <w:rFonts w:ascii="Arial" w:hAnsi="Arial" w:cs="Arial"/>
                <w:sz w:val="20"/>
                <w:szCs w:val="20"/>
              </w:rPr>
            </w:pPr>
          </w:p>
        </w:tc>
        <w:tc>
          <w:tcPr>
            <w:tcW w:w="4082" w:type="dxa"/>
          </w:tcPr>
          <w:p w14:paraId="15F47435" w14:textId="4B76AA07" w:rsidR="006B0083" w:rsidRPr="007F6EAB" w:rsidRDefault="006B0083" w:rsidP="006B0083">
            <w:pPr>
              <w:pStyle w:val="Prrafodelista"/>
              <w:widowControl w:val="0"/>
              <w:numPr>
                <w:ilvl w:val="0"/>
                <w:numId w:val="14"/>
              </w:numPr>
              <w:ind w:left="426" w:hanging="73"/>
              <w:contextualSpacing w:val="0"/>
              <w:jc w:val="both"/>
              <w:rPr>
                <w:rFonts w:ascii="Arial" w:hAnsi="Arial" w:cs="Arial"/>
                <w:sz w:val="20"/>
                <w:szCs w:val="20"/>
              </w:rPr>
            </w:pPr>
            <w:r w:rsidRPr="007F6EAB">
              <w:rPr>
                <w:rFonts w:ascii="Arial" w:hAnsi="Arial" w:cs="Arial"/>
                <w:sz w:val="20"/>
                <w:szCs w:val="20"/>
              </w:rPr>
              <w:t xml:space="preserve">El acuerdo SGV-A- XXX Lineamientos para emisiones verdes, sociales y sostenibles de oferta pública pretende orientar a los emisores y a las sociedades administradoras de fondos de inversión sobre el contenido mínimo de información relacionado exclusivamente con emisiones verdes, sociales y sostenibles, el cual se deberá incluir dentro del prospecto </w:t>
            </w:r>
            <w:r w:rsidRPr="007F6EAB">
              <w:rPr>
                <w:rFonts w:ascii="Arial" w:hAnsi="Arial" w:cs="Arial"/>
                <w:sz w:val="20"/>
                <w:szCs w:val="20"/>
              </w:rPr>
              <w:lastRenderedPageBreak/>
              <w:t>del</w:t>
            </w:r>
            <w:r w:rsidR="00CD6C8F">
              <w:rPr>
                <w:rFonts w:ascii="Arial" w:hAnsi="Arial" w:cs="Arial"/>
                <w:sz w:val="20"/>
                <w:szCs w:val="20"/>
              </w:rPr>
              <w:t>e</w:t>
            </w:r>
            <w:r w:rsidRPr="007F6EAB">
              <w:rPr>
                <w:rFonts w:ascii="Arial" w:hAnsi="Arial" w:cs="Arial"/>
                <w:sz w:val="20"/>
                <w:szCs w:val="20"/>
              </w:rPr>
              <w:t xml:space="preserve">emisor cuando emitan este tipo de productos. </w:t>
            </w:r>
          </w:p>
        </w:tc>
      </w:tr>
      <w:tr w:rsidR="006B0083" w:rsidRPr="007F6EAB" w14:paraId="3808F6A3" w14:textId="21E04EC8" w:rsidTr="00D91B10">
        <w:tc>
          <w:tcPr>
            <w:tcW w:w="4082" w:type="dxa"/>
          </w:tcPr>
          <w:p w14:paraId="43448E04" w14:textId="77777777" w:rsidR="006B0083" w:rsidRPr="007F6EAB" w:rsidRDefault="006B0083" w:rsidP="006B0083">
            <w:pPr>
              <w:pStyle w:val="Prrafodelista"/>
              <w:numPr>
                <w:ilvl w:val="0"/>
                <w:numId w:val="4"/>
              </w:numPr>
              <w:ind w:left="425" w:hanging="284"/>
              <w:contextualSpacing w:val="0"/>
              <w:jc w:val="both"/>
              <w:rPr>
                <w:rFonts w:ascii="Arial" w:eastAsia="Times New Roman" w:hAnsi="Arial" w:cs="Arial"/>
                <w:sz w:val="20"/>
                <w:szCs w:val="20"/>
                <w:lang w:val="es-ES" w:eastAsia="es-ES"/>
              </w:rPr>
            </w:pPr>
            <w:r w:rsidRPr="007F6EAB">
              <w:rPr>
                <w:rFonts w:ascii="Arial" w:eastAsia="Times New Roman" w:hAnsi="Arial" w:cs="Arial"/>
                <w:sz w:val="20"/>
                <w:szCs w:val="20"/>
                <w:lang w:val="es-ES" w:eastAsia="es-ES"/>
              </w:rPr>
              <w:lastRenderedPageBreak/>
              <w:t>Mediante el acuerdo del Superintendente SGV-A-158 Guía para la elaboración y remisión de prospectos de fondos de inversión se definieron las reglas y criterios que han de observarse para la presentación y tramitación por medios electrónicos de solicitudes de autorización y modificación de prospectos de fondos de inversión, así como el contenido mínimo y normas de presentación y de diseño de los prospectos de fondos de inversión.  Es necesario ajustar dicho acuerdo con el fin de incorporar el requisito de la revisión externa en el caso de los trámites relacionados con fondos de inversión verdes, sociales y sostenibles.</w:t>
            </w:r>
          </w:p>
        </w:tc>
        <w:tc>
          <w:tcPr>
            <w:tcW w:w="2835" w:type="dxa"/>
          </w:tcPr>
          <w:p w14:paraId="4F696E06" w14:textId="77777777" w:rsidR="006B0083" w:rsidRPr="007F6EAB" w:rsidRDefault="006B0083" w:rsidP="006B0083">
            <w:pPr>
              <w:ind w:left="360"/>
              <w:jc w:val="both"/>
              <w:rPr>
                <w:rFonts w:ascii="Arial" w:eastAsia="Times New Roman" w:hAnsi="Arial" w:cs="Arial"/>
                <w:sz w:val="20"/>
                <w:szCs w:val="20"/>
                <w:lang w:val="es-ES" w:eastAsia="es-ES"/>
              </w:rPr>
            </w:pPr>
          </w:p>
        </w:tc>
        <w:tc>
          <w:tcPr>
            <w:tcW w:w="2835" w:type="dxa"/>
          </w:tcPr>
          <w:p w14:paraId="0021B8BB" w14:textId="77777777" w:rsidR="006B0083" w:rsidRPr="007F6EAB" w:rsidRDefault="006B0083" w:rsidP="006B0083">
            <w:pPr>
              <w:ind w:left="360"/>
              <w:jc w:val="both"/>
              <w:rPr>
                <w:rFonts w:ascii="Arial" w:eastAsia="Times New Roman" w:hAnsi="Arial" w:cs="Arial"/>
                <w:sz w:val="20"/>
                <w:szCs w:val="20"/>
                <w:lang w:val="es-ES" w:eastAsia="es-ES"/>
              </w:rPr>
            </w:pPr>
          </w:p>
        </w:tc>
        <w:tc>
          <w:tcPr>
            <w:tcW w:w="4082" w:type="dxa"/>
          </w:tcPr>
          <w:p w14:paraId="48596B28" w14:textId="6D04E246" w:rsidR="006B0083" w:rsidRPr="007F6EAB" w:rsidRDefault="006B0083" w:rsidP="006B0083">
            <w:pPr>
              <w:pStyle w:val="Prrafodelista"/>
              <w:numPr>
                <w:ilvl w:val="0"/>
                <w:numId w:val="14"/>
              </w:numPr>
              <w:ind w:left="426" w:hanging="73"/>
              <w:contextualSpacing w:val="0"/>
              <w:jc w:val="both"/>
              <w:rPr>
                <w:rFonts w:ascii="Arial" w:eastAsia="Times New Roman" w:hAnsi="Arial" w:cs="Arial"/>
                <w:sz w:val="20"/>
                <w:szCs w:val="20"/>
                <w:lang w:val="es-ES" w:eastAsia="es-ES"/>
              </w:rPr>
            </w:pPr>
            <w:r w:rsidRPr="007F6EAB">
              <w:rPr>
                <w:rFonts w:ascii="Arial" w:eastAsia="Times New Roman" w:hAnsi="Arial" w:cs="Arial"/>
                <w:sz w:val="20"/>
                <w:szCs w:val="20"/>
                <w:lang w:val="es-ES" w:eastAsia="es-ES"/>
              </w:rPr>
              <w:t>Mediante el acuerdo del Superintendente SGV-A-158 Guía para la elaboración y remisión de prospectos de fondos de inversión se definieron las reglas y criterios que han de observarse para la presentación y tramitación por medios electrónicos de solicitudes de autorización y modificación de prospectos de fondos de inversión, así como el contenido mínimo y normas de presentación y de diseño de los prospectos de fondos de inversión.  Es necesario ajustar dicho acuerdo con el fin de incorporar el requisito de la revisión externa en el caso de los trámites relacionados con fondos de inversión verdes, sociales y sostenibles.</w:t>
            </w:r>
          </w:p>
        </w:tc>
      </w:tr>
      <w:tr w:rsidR="006B0083" w:rsidRPr="007F6EAB" w14:paraId="244138FD" w14:textId="377C799B" w:rsidTr="00D91B10">
        <w:tc>
          <w:tcPr>
            <w:tcW w:w="4082" w:type="dxa"/>
          </w:tcPr>
          <w:p w14:paraId="4AEA941F" w14:textId="77777777" w:rsidR="006B0083" w:rsidRPr="007F6EAB" w:rsidRDefault="006B0083" w:rsidP="006B0083">
            <w:pPr>
              <w:pStyle w:val="Prrafodelista"/>
              <w:numPr>
                <w:ilvl w:val="0"/>
                <w:numId w:val="4"/>
              </w:numPr>
              <w:ind w:left="425" w:hanging="284"/>
              <w:contextualSpacing w:val="0"/>
              <w:jc w:val="both"/>
              <w:rPr>
                <w:rFonts w:ascii="Arial" w:eastAsia="Times New Roman" w:hAnsi="Arial" w:cs="Arial"/>
                <w:sz w:val="20"/>
                <w:szCs w:val="20"/>
                <w:lang w:val="es-ES" w:eastAsia="es-ES"/>
              </w:rPr>
            </w:pPr>
            <w:r w:rsidRPr="007F6EAB">
              <w:rPr>
                <w:rFonts w:ascii="Arial" w:eastAsia="Times New Roman" w:hAnsi="Arial" w:cs="Arial"/>
                <w:sz w:val="20"/>
                <w:szCs w:val="20"/>
                <w:lang w:val="es-ES" w:eastAsia="es-ES"/>
              </w:rPr>
              <w:t xml:space="preserve"> De acuerdo con el artículo 8 de la </w:t>
            </w:r>
            <w:r w:rsidRPr="007F6EAB">
              <w:rPr>
                <w:rFonts w:ascii="Arial" w:eastAsia="Times New Roman" w:hAnsi="Arial" w:cs="Arial"/>
                <w:i/>
                <w:sz w:val="20"/>
                <w:szCs w:val="20"/>
                <w:lang w:val="es-ES" w:eastAsia="es-ES"/>
              </w:rPr>
              <w:t>Ley Reguladora del Mercado de Valores</w:t>
            </w:r>
            <w:r w:rsidRPr="007F6EAB">
              <w:rPr>
                <w:rFonts w:ascii="Arial" w:eastAsia="Times New Roman" w:hAnsi="Arial" w:cs="Arial"/>
                <w:sz w:val="20"/>
                <w:szCs w:val="20"/>
                <w:lang w:val="es-ES" w:eastAsia="es-ES"/>
              </w:rPr>
              <w:t xml:space="preserve"> corresponde al Superintendente General adoptar todas las acciones necesarias para el cumplimiento efectivo de las funciones de regulación, fiscalización y supervisión que le competen a la Superintendencia General de Valores.</w:t>
            </w:r>
          </w:p>
        </w:tc>
        <w:tc>
          <w:tcPr>
            <w:tcW w:w="2835" w:type="dxa"/>
          </w:tcPr>
          <w:p w14:paraId="3BA38E53" w14:textId="77777777" w:rsidR="006B0083" w:rsidRPr="007F6EAB" w:rsidRDefault="006B0083" w:rsidP="006B0083">
            <w:pPr>
              <w:ind w:left="360"/>
              <w:jc w:val="both"/>
              <w:rPr>
                <w:rFonts w:ascii="Arial" w:eastAsia="Times New Roman" w:hAnsi="Arial" w:cs="Arial"/>
                <w:sz w:val="20"/>
                <w:szCs w:val="20"/>
                <w:lang w:val="es-ES" w:eastAsia="es-ES"/>
              </w:rPr>
            </w:pPr>
          </w:p>
        </w:tc>
        <w:tc>
          <w:tcPr>
            <w:tcW w:w="2835" w:type="dxa"/>
          </w:tcPr>
          <w:p w14:paraId="4B1291DE" w14:textId="77777777" w:rsidR="006B0083" w:rsidRPr="007F6EAB" w:rsidRDefault="006B0083" w:rsidP="006B0083">
            <w:pPr>
              <w:ind w:left="360"/>
              <w:jc w:val="both"/>
              <w:rPr>
                <w:rFonts w:ascii="Arial" w:eastAsia="Times New Roman" w:hAnsi="Arial" w:cs="Arial"/>
                <w:sz w:val="20"/>
                <w:szCs w:val="20"/>
                <w:lang w:val="es-ES" w:eastAsia="es-ES"/>
              </w:rPr>
            </w:pPr>
          </w:p>
        </w:tc>
        <w:tc>
          <w:tcPr>
            <w:tcW w:w="4082" w:type="dxa"/>
          </w:tcPr>
          <w:p w14:paraId="62407FD0" w14:textId="34EA2963" w:rsidR="006B0083" w:rsidRPr="007F6EAB" w:rsidRDefault="006B0083" w:rsidP="006B0083">
            <w:pPr>
              <w:pStyle w:val="Prrafodelista"/>
              <w:numPr>
                <w:ilvl w:val="0"/>
                <w:numId w:val="14"/>
              </w:numPr>
              <w:ind w:left="426" w:hanging="73"/>
              <w:contextualSpacing w:val="0"/>
              <w:jc w:val="both"/>
              <w:rPr>
                <w:rFonts w:ascii="Arial" w:eastAsia="Times New Roman" w:hAnsi="Arial" w:cs="Arial"/>
                <w:sz w:val="20"/>
                <w:szCs w:val="20"/>
                <w:lang w:val="es-ES" w:eastAsia="es-ES"/>
              </w:rPr>
            </w:pPr>
            <w:r w:rsidRPr="007F6EAB">
              <w:rPr>
                <w:rFonts w:ascii="Arial" w:eastAsia="Times New Roman" w:hAnsi="Arial" w:cs="Arial"/>
                <w:sz w:val="20"/>
                <w:szCs w:val="20"/>
                <w:lang w:val="es-ES" w:eastAsia="es-ES"/>
              </w:rPr>
              <w:t xml:space="preserve">De acuerdo con el artículo 8 de la </w:t>
            </w:r>
            <w:r w:rsidRPr="007F6EAB">
              <w:rPr>
                <w:rFonts w:ascii="Arial" w:eastAsia="Times New Roman" w:hAnsi="Arial" w:cs="Arial"/>
                <w:i/>
                <w:sz w:val="20"/>
                <w:szCs w:val="20"/>
                <w:lang w:val="es-ES" w:eastAsia="es-ES"/>
              </w:rPr>
              <w:t>Ley Reguladora del Mercado de Valores</w:t>
            </w:r>
            <w:r w:rsidRPr="007F6EAB">
              <w:rPr>
                <w:rFonts w:ascii="Arial" w:eastAsia="Times New Roman" w:hAnsi="Arial" w:cs="Arial"/>
                <w:sz w:val="20"/>
                <w:szCs w:val="20"/>
                <w:lang w:val="es-ES" w:eastAsia="es-ES"/>
              </w:rPr>
              <w:t xml:space="preserve"> corresponde al Superintendente General adoptar todas las acciones necesarias para el cumplimiento efectivo de las funciones de regulación, fiscalización y supervisión que le competen a la Superintendencia General de Valores.</w:t>
            </w:r>
          </w:p>
        </w:tc>
      </w:tr>
      <w:tr w:rsidR="006B0083" w:rsidRPr="007F6EAB" w14:paraId="66E0970C" w14:textId="0DCB98C6" w:rsidTr="00D91B10">
        <w:tc>
          <w:tcPr>
            <w:tcW w:w="4082" w:type="dxa"/>
          </w:tcPr>
          <w:p w14:paraId="7533FF93" w14:textId="77777777" w:rsidR="006B0083" w:rsidRPr="007F6EAB" w:rsidRDefault="006B0083" w:rsidP="006B0083">
            <w:pPr>
              <w:pStyle w:val="Prrafodelista"/>
              <w:numPr>
                <w:ilvl w:val="0"/>
                <w:numId w:val="4"/>
              </w:numPr>
              <w:ind w:left="425" w:hanging="284"/>
              <w:contextualSpacing w:val="0"/>
              <w:jc w:val="both"/>
              <w:rPr>
                <w:rFonts w:ascii="Arial" w:eastAsia="Times New Roman" w:hAnsi="Arial" w:cs="Arial"/>
                <w:sz w:val="20"/>
                <w:szCs w:val="20"/>
                <w:lang w:val="es-ES" w:eastAsia="es-ES"/>
              </w:rPr>
            </w:pPr>
            <w:r w:rsidRPr="007F6EAB">
              <w:rPr>
                <w:rFonts w:ascii="Arial" w:eastAsia="Times New Roman" w:hAnsi="Arial" w:cs="Arial"/>
                <w:sz w:val="20"/>
                <w:szCs w:val="20"/>
                <w:lang w:val="es-ES" w:eastAsia="es-ES"/>
              </w:rPr>
              <w:lastRenderedPageBreak/>
              <w:t xml:space="preserve">Según lo previsto por la “Ley General de Administración Pública” en el artículo 361. </w:t>
            </w:r>
            <w:r w:rsidRPr="007F6EAB">
              <w:rPr>
                <w:rFonts w:ascii="Arial" w:eastAsia="Times New Roman" w:hAnsi="Arial" w:cs="Arial"/>
                <w:i/>
                <w:iCs/>
                <w:sz w:val="20"/>
                <w:szCs w:val="20"/>
                <w:lang w:val="es-ES" w:eastAsia="es-ES"/>
              </w:rPr>
              <w:t>“Se concederá a las entidades representativas de intereses de carácter general o corporativo afectados por la disposición la oportunidad de exponer su parecer, dentro del plazo de diez días, salvo cuando se opongan a ello razones de interés público o de urgencia debidamente consignadas en el anteproyecto</w:t>
            </w:r>
            <w:r w:rsidRPr="007F6EAB">
              <w:rPr>
                <w:rFonts w:ascii="Arial" w:eastAsia="Times New Roman" w:hAnsi="Arial" w:cs="Arial"/>
                <w:sz w:val="20"/>
                <w:szCs w:val="20"/>
                <w:lang w:val="es-ES" w:eastAsia="es-ES"/>
              </w:rPr>
              <w:t xml:space="preserve">”.  </w:t>
            </w:r>
          </w:p>
        </w:tc>
        <w:tc>
          <w:tcPr>
            <w:tcW w:w="2835" w:type="dxa"/>
          </w:tcPr>
          <w:p w14:paraId="39988386" w14:textId="77777777" w:rsidR="006B0083" w:rsidRPr="007F6EAB" w:rsidRDefault="006B0083" w:rsidP="006B0083">
            <w:pPr>
              <w:ind w:left="360"/>
              <w:jc w:val="both"/>
              <w:rPr>
                <w:rFonts w:ascii="Arial" w:eastAsia="Times New Roman" w:hAnsi="Arial" w:cs="Arial"/>
                <w:sz w:val="20"/>
                <w:szCs w:val="20"/>
                <w:lang w:val="es-ES" w:eastAsia="es-ES"/>
              </w:rPr>
            </w:pPr>
          </w:p>
        </w:tc>
        <w:tc>
          <w:tcPr>
            <w:tcW w:w="2835" w:type="dxa"/>
          </w:tcPr>
          <w:p w14:paraId="2755EECF" w14:textId="77777777" w:rsidR="006B0083" w:rsidRPr="007F6EAB" w:rsidRDefault="006B0083" w:rsidP="006B0083">
            <w:pPr>
              <w:ind w:left="360"/>
              <w:jc w:val="both"/>
              <w:rPr>
                <w:rFonts w:ascii="Arial" w:eastAsia="Times New Roman" w:hAnsi="Arial" w:cs="Arial"/>
                <w:sz w:val="20"/>
                <w:szCs w:val="20"/>
                <w:lang w:val="es-ES" w:eastAsia="es-ES"/>
              </w:rPr>
            </w:pPr>
          </w:p>
        </w:tc>
        <w:tc>
          <w:tcPr>
            <w:tcW w:w="4082" w:type="dxa"/>
          </w:tcPr>
          <w:p w14:paraId="0AC534FA" w14:textId="406C794A" w:rsidR="006B0083" w:rsidRPr="007F6EAB" w:rsidRDefault="006B0083" w:rsidP="006B0083">
            <w:pPr>
              <w:pStyle w:val="Prrafodelista"/>
              <w:numPr>
                <w:ilvl w:val="0"/>
                <w:numId w:val="14"/>
              </w:numPr>
              <w:ind w:left="426" w:hanging="73"/>
              <w:contextualSpacing w:val="0"/>
              <w:jc w:val="both"/>
              <w:rPr>
                <w:rFonts w:ascii="Arial" w:eastAsia="Times New Roman" w:hAnsi="Arial" w:cs="Arial"/>
                <w:sz w:val="20"/>
                <w:szCs w:val="20"/>
                <w:lang w:val="es-ES" w:eastAsia="es-ES"/>
              </w:rPr>
            </w:pPr>
            <w:r w:rsidRPr="007F6EAB">
              <w:rPr>
                <w:rFonts w:ascii="Arial" w:eastAsia="Times New Roman" w:hAnsi="Arial" w:cs="Arial"/>
                <w:sz w:val="20"/>
                <w:szCs w:val="20"/>
                <w:lang w:val="es-ES" w:eastAsia="es-ES"/>
              </w:rPr>
              <w:t xml:space="preserve">Según lo previsto por la “Ley General de Administración Pública” en el artículo 361. </w:t>
            </w:r>
            <w:r w:rsidRPr="007F6EAB">
              <w:rPr>
                <w:rFonts w:ascii="Arial" w:eastAsia="Times New Roman" w:hAnsi="Arial" w:cs="Arial"/>
                <w:i/>
                <w:iCs/>
                <w:sz w:val="20"/>
                <w:szCs w:val="20"/>
                <w:lang w:val="es-ES" w:eastAsia="es-ES"/>
              </w:rPr>
              <w:t>“Se concederá a las entidades representativas de intereses de carácter general o corporativo afectados por la disposición la oportunidad de exponer su parecer, dentro del plazo de diez días, salvo cuando se opongan a ello razones de interés público o de urgencia debidamente consignadas en el anteproyecto</w:t>
            </w:r>
            <w:r w:rsidRPr="007F6EAB">
              <w:rPr>
                <w:rFonts w:ascii="Arial" w:eastAsia="Times New Roman" w:hAnsi="Arial" w:cs="Arial"/>
                <w:sz w:val="20"/>
                <w:szCs w:val="20"/>
                <w:lang w:val="es-ES" w:eastAsia="es-ES"/>
              </w:rPr>
              <w:t xml:space="preserve">”.  </w:t>
            </w:r>
          </w:p>
        </w:tc>
      </w:tr>
      <w:tr w:rsidR="006B0083" w:rsidRPr="007F6EAB" w14:paraId="5D0FB9DA" w14:textId="52AF9FCB" w:rsidTr="00D91B10">
        <w:tc>
          <w:tcPr>
            <w:tcW w:w="4082" w:type="dxa"/>
          </w:tcPr>
          <w:p w14:paraId="510F8FE2" w14:textId="77777777" w:rsidR="006B0083" w:rsidRPr="007F6EAB" w:rsidRDefault="006B0083" w:rsidP="006B0083">
            <w:pPr>
              <w:tabs>
                <w:tab w:val="left" w:pos="567"/>
              </w:tabs>
              <w:jc w:val="both"/>
              <w:rPr>
                <w:rFonts w:ascii="Arial" w:eastAsia="Times New Roman" w:hAnsi="Arial" w:cs="Arial"/>
                <w:b/>
                <w:sz w:val="20"/>
                <w:szCs w:val="20"/>
                <w:lang w:val="es-ES" w:eastAsia="es-ES"/>
              </w:rPr>
            </w:pPr>
            <w:r w:rsidRPr="007F6EAB">
              <w:rPr>
                <w:rFonts w:ascii="Arial" w:eastAsia="Times New Roman" w:hAnsi="Arial" w:cs="Arial"/>
                <w:b/>
                <w:sz w:val="20"/>
                <w:szCs w:val="20"/>
                <w:lang w:val="es-ES" w:eastAsia="es-ES"/>
              </w:rPr>
              <w:t>Por tanto, dispone el presente acuerdo:</w:t>
            </w:r>
          </w:p>
        </w:tc>
        <w:tc>
          <w:tcPr>
            <w:tcW w:w="2835" w:type="dxa"/>
          </w:tcPr>
          <w:p w14:paraId="66C47DCA" w14:textId="77777777" w:rsidR="006B0083" w:rsidRPr="007F6EAB" w:rsidRDefault="006B0083" w:rsidP="006B0083">
            <w:pPr>
              <w:tabs>
                <w:tab w:val="left" w:pos="567"/>
              </w:tabs>
              <w:ind w:left="360"/>
              <w:jc w:val="both"/>
              <w:rPr>
                <w:rFonts w:ascii="Arial" w:eastAsia="Times New Roman" w:hAnsi="Arial" w:cs="Arial"/>
                <w:b/>
                <w:sz w:val="20"/>
                <w:szCs w:val="20"/>
                <w:lang w:val="es-ES" w:eastAsia="es-ES"/>
              </w:rPr>
            </w:pPr>
          </w:p>
        </w:tc>
        <w:tc>
          <w:tcPr>
            <w:tcW w:w="2835" w:type="dxa"/>
          </w:tcPr>
          <w:p w14:paraId="5FFBCCAF" w14:textId="77777777" w:rsidR="006B0083" w:rsidRPr="007F6EAB" w:rsidRDefault="006B0083" w:rsidP="006B0083">
            <w:pPr>
              <w:tabs>
                <w:tab w:val="left" w:pos="567"/>
              </w:tabs>
              <w:ind w:left="360"/>
              <w:jc w:val="both"/>
              <w:rPr>
                <w:rFonts w:ascii="Arial" w:eastAsia="Times New Roman" w:hAnsi="Arial" w:cs="Arial"/>
                <w:b/>
                <w:sz w:val="20"/>
                <w:szCs w:val="20"/>
                <w:lang w:val="es-ES" w:eastAsia="es-ES"/>
              </w:rPr>
            </w:pPr>
          </w:p>
        </w:tc>
        <w:tc>
          <w:tcPr>
            <w:tcW w:w="4082" w:type="dxa"/>
          </w:tcPr>
          <w:p w14:paraId="4509BF54" w14:textId="1C75E1D4" w:rsidR="006B0083" w:rsidRPr="007F6EAB" w:rsidRDefault="006B0083" w:rsidP="006B0083">
            <w:pPr>
              <w:tabs>
                <w:tab w:val="left" w:pos="567"/>
              </w:tabs>
              <w:ind w:left="57"/>
              <w:jc w:val="both"/>
              <w:rPr>
                <w:rFonts w:ascii="Arial" w:eastAsia="Times New Roman" w:hAnsi="Arial" w:cs="Arial"/>
                <w:b/>
                <w:sz w:val="20"/>
                <w:szCs w:val="20"/>
                <w:lang w:val="es-ES" w:eastAsia="es-ES"/>
              </w:rPr>
            </w:pPr>
            <w:r w:rsidRPr="007F6EAB">
              <w:rPr>
                <w:rFonts w:ascii="Arial" w:eastAsia="Times New Roman" w:hAnsi="Arial" w:cs="Arial"/>
                <w:b/>
                <w:sz w:val="20"/>
                <w:szCs w:val="20"/>
                <w:lang w:val="es-ES" w:eastAsia="es-ES"/>
              </w:rPr>
              <w:t>Por tanto, dispone el presente acuerdo:</w:t>
            </w:r>
          </w:p>
        </w:tc>
      </w:tr>
      <w:tr w:rsidR="006B0083" w:rsidRPr="007F6EAB" w14:paraId="6FE10156" w14:textId="1C8566FA" w:rsidTr="00D91B10">
        <w:tc>
          <w:tcPr>
            <w:tcW w:w="4082" w:type="dxa"/>
          </w:tcPr>
          <w:p w14:paraId="3F59B77D" w14:textId="77777777" w:rsidR="006B0083" w:rsidRPr="007F6EAB" w:rsidRDefault="006B0083" w:rsidP="006B0083">
            <w:pPr>
              <w:jc w:val="both"/>
              <w:rPr>
                <w:rFonts w:ascii="Arial" w:eastAsia="Times New Roman" w:hAnsi="Arial" w:cs="Arial"/>
                <w:bCs/>
                <w:i/>
                <w:iCs/>
                <w:noProof/>
                <w:sz w:val="20"/>
                <w:szCs w:val="20"/>
                <w:lang w:val="es-ES_tradnl" w:eastAsia="es-ES"/>
              </w:rPr>
            </w:pPr>
            <w:r w:rsidRPr="007F6EAB">
              <w:rPr>
                <w:rFonts w:ascii="Arial" w:eastAsia="Times New Roman" w:hAnsi="Arial" w:cs="Arial"/>
                <w:b/>
                <w:bCs/>
                <w:iCs/>
                <w:noProof/>
                <w:sz w:val="20"/>
                <w:szCs w:val="20"/>
                <w:lang w:val="es-ES_tradnl" w:eastAsia="es-ES"/>
              </w:rPr>
              <w:t>SGV-A-xxx.</w:t>
            </w:r>
            <w:r w:rsidRPr="007F6EAB">
              <w:rPr>
                <w:rFonts w:ascii="Arial" w:eastAsia="Times New Roman" w:hAnsi="Arial" w:cs="Arial"/>
                <w:bCs/>
                <w:iCs/>
                <w:noProof/>
                <w:sz w:val="20"/>
                <w:szCs w:val="20"/>
                <w:lang w:val="es-ES_tradnl" w:eastAsia="es-ES"/>
              </w:rPr>
              <w:t xml:space="preserve"> </w:t>
            </w:r>
            <w:r w:rsidRPr="007F6EAB">
              <w:rPr>
                <w:rFonts w:ascii="Arial" w:eastAsia="Times New Roman" w:hAnsi="Arial" w:cs="Arial"/>
                <w:b/>
                <w:sz w:val="20"/>
                <w:szCs w:val="20"/>
                <w:lang w:val="es-ES" w:eastAsia="es-ES"/>
              </w:rPr>
              <w:t xml:space="preserve">MODIFICACIÓN AL ACUERDO SGV-A-158 “GUÍA PARA LA ELABORACION Y REMISION DE PROSPECTOS DE FONDOS DE INVERSION” </w:t>
            </w:r>
          </w:p>
        </w:tc>
        <w:tc>
          <w:tcPr>
            <w:tcW w:w="2835" w:type="dxa"/>
          </w:tcPr>
          <w:p w14:paraId="1A436C23" w14:textId="77777777" w:rsidR="006B0083" w:rsidRPr="007F6EAB" w:rsidRDefault="001F5B83" w:rsidP="001F5B83">
            <w:pPr>
              <w:jc w:val="both"/>
              <w:rPr>
                <w:rFonts w:ascii="Arial" w:eastAsia="Times New Roman" w:hAnsi="Arial" w:cs="Arial"/>
                <w:b/>
                <w:bCs/>
                <w:iCs/>
                <w:noProof/>
                <w:sz w:val="20"/>
                <w:szCs w:val="20"/>
                <w:lang w:val="es-ES_tradnl" w:eastAsia="es-ES"/>
              </w:rPr>
            </w:pPr>
            <w:r w:rsidRPr="007F6EAB">
              <w:rPr>
                <w:rFonts w:ascii="Arial" w:eastAsia="Times New Roman" w:hAnsi="Arial" w:cs="Arial"/>
                <w:b/>
                <w:bCs/>
                <w:iCs/>
                <w:noProof/>
                <w:sz w:val="20"/>
                <w:szCs w:val="20"/>
                <w:lang w:val="es-ES_tradnl" w:eastAsia="es-ES"/>
              </w:rPr>
              <w:t>Conglomerado Banco Nacional de Costa Rica</w:t>
            </w:r>
          </w:p>
          <w:p w14:paraId="677DBB1F" w14:textId="33A08047" w:rsidR="001F5B83" w:rsidRPr="007F6EAB" w:rsidRDefault="001F5B83" w:rsidP="001F5B83">
            <w:pPr>
              <w:jc w:val="both"/>
              <w:rPr>
                <w:rFonts w:ascii="Arial" w:eastAsia="Times New Roman" w:hAnsi="Arial" w:cs="Arial"/>
                <w:b/>
                <w:bCs/>
                <w:iCs/>
                <w:noProof/>
                <w:sz w:val="20"/>
                <w:szCs w:val="20"/>
                <w:lang w:val="es-ES_tradnl" w:eastAsia="es-ES"/>
              </w:rPr>
            </w:pPr>
            <w:r w:rsidRPr="007F6EAB">
              <w:rPr>
                <w:rFonts w:ascii="Arial" w:hAnsi="Arial" w:cs="Arial"/>
                <w:bCs/>
                <w:noProof/>
                <w:sz w:val="20"/>
                <w:szCs w:val="20"/>
                <w:lang w:val="es-ES"/>
              </w:rPr>
              <w:t>Agradecemos se tome en cuenta que el acuerdo se refiera a la necesidad de llevar una trazabilidad de impacto generado por estas inversiones. </w:t>
            </w:r>
          </w:p>
        </w:tc>
        <w:tc>
          <w:tcPr>
            <w:tcW w:w="2835" w:type="dxa"/>
          </w:tcPr>
          <w:p w14:paraId="660AE286" w14:textId="7FD90D38" w:rsidR="007A7C1A" w:rsidRPr="007F6EAB" w:rsidRDefault="00A65841" w:rsidP="003B17C5">
            <w:pPr>
              <w:jc w:val="both"/>
              <w:rPr>
                <w:rFonts w:ascii="Arial" w:eastAsia="Times New Roman" w:hAnsi="Arial" w:cs="Arial"/>
                <w:iCs/>
                <w:noProof/>
                <w:sz w:val="20"/>
                <w:szCs w:val="20"/>
                <w:lang w:val="es-ES_tradnl" w:eastAsia="es-ES"/>
              </w:rPr>
            </w:pPr>
            <w:r w:rsidRPr="007F6EAB">
              <w:rPr>
                <w:rFonts w:ascii="Arial" w:eastAsia="Times New Roman" w:hAnsi="Arial" w:cs="Arial"/>
                <w:b/>
                <w:bCs/>
                <w:iCs/>
                <w:noProof/>
                <w:sz w:val="20"/>
                <w:szCs w:val="20"/>
                <w:lang w:val="es-ES_tradnl" w:eastAsia="es-ES"/>
              </w:rPr>
              <w:t xml:space="preserve">Se aclara </w:t>
            </w:r>
          </w:p>
          <w:p w14:paraId="409FCB6E" w14:textId="19E3F7B3" w:rsidR="003B17C5" w:rsidRPr="007F6EAB" w:rsidRDefault="003B17C5" w:rsidP="003B17C5">
            <w:pPr>
              <w:jc w:val="both"/>
              <w:rPr>
                <w:rFonts w:ascii="Arial" w:eastAsia="Times New Roman" w:hAnsi="Arial" w:cs="Arial"/>
                <w:iCs/>
                <w:noProof/>
                <w:sz w:val="20"/>
                <w:szCs w:val="20"/>
                <w:lang w:val="es-ES_tradnl" w:eastAsia="es-ES"/>
              </w:rPr>
            </w:pPr>
            <w:r w:rsidRPr="007F6EAB">
              <w:rPr>
                <w:rFonts w:ascii="Arial" w:eastAsia="Times New Roman" w:hAnsi="Arial" w:cs="Arial"/>
                <w:iCs/>
                <w:noProof/>
                <w:sz w:val="20"/>
                <w:szCs w:val="20"/>
                <w:lang w:val="es-ES_tradnl" w:eastAsia="es-ES"/>
              </w:rPr>
              <w:t xml:space="preserve">La trazabilidad del impacto generado por estas inversiones se tranparenta mediante </w:t>
            </w:r>
            <w:r w:rsidR="007A7C1A" w:rsidRPr="007F6EAB">
              <w:rPr>
                <w:rFonts w:ascii="Arial" w:eastAsia="Times New Roman" w:hAnsi="Arial" w:cs="Arial"/>
                <w:iCs/>
                <w:noProof/>
                <w:sz w:val="20"/>
                <w:szCs w:val="20"/>
                <w:lang w:val="es-ES_tradnl" w:eastAsia="es-ES"/>
              </w:rPr>
              <w:t xml:space="preserve">los </w:t>
            </w:r>
            <w:r w:rsidR="007A7C1A" w:rsidRPr="007F6EAB">
              <w:rPr>
                <w:rFonts w:ascii="Arial" w:hAnsi="Arial" w:cs="Arial"/>
                <w:sz w:val="20"/>
                <w:szCs w:val="20"/>
              </w:rPr>
              <w:t>informes</w:t>
            </w:r>
            <w:r w:rsidRPr="007F6EAB">
              <w:rPr>
                <w:rFonts w:ascii="Arial" w:hAnsi="Arial" w:cs="Arial"/>
                <w:sz w:val="20"/>
                <w:szCs w:val="20"/>
              </w:rPr>
              <w:t xml:space="preserve"> </w:t>
            </w:r>
            <w:r w:rsidR="007A7C1A" w:rsidRPr="007F6EAB">
              <w:rPr>
                <w:rFonts w:ascii="Arial" w:hAnsi="Arial" w:cs="Arial"/>
                <w:sz w:val="20"/>
                <w:szCs w:val="20"/>
              </w:rPr>
              <w:t xml:space="preserve">de </w:t>
            </w:r>
            <w:r w:rsidRPr="007F6EAB">
              <w:rPr>
                <w:rFonts w:ascii="Arial" w:hAnsi="Arial" w:cs="Arial"/>
                <w:sz w:val="20"/>
                <w:szCs w:val="20"/>
              </w:rPr>
              <w:t xml:space="preserve">uso de los fondos, los cuales se deben actualizar una vez al año, de </w:t>
            </w:r>
            <w:r w:rsidR="007A7C1A" w:rsidRPr="007F6EAB">
              <w:rPr>
                <w:rFonts w:ascii="Arial" w:hAnsi="Arial" w:cs="Arial"/>
                <w:sz w:val="20"/>
                <w:szCs w:val="20"/>
              </w:rPr>
              <w:t>conformidad</w:t>
            </w:r>
            <w:r w:rsidRPr="007F6EAB">
              <w:rPr>
                <w:rFonts w:ascii="Arial" w:hAnsi="Arial" w:cs="Arial"/>
                <w:sz w:val="20"/>
                <w:szCs w:val="20"/>
              </w:rPr>
              <w:t xml:space="preserve"> con lo que establece los L</w:t>
            </w:r>
            <w:r w:rsidRPr="007F6EAB">
              <w:rPr>
                <w:rFonts w:ascii="Arial" w:eastAsia="Times New Roman" w:hAnsi="Arial" w:cs="Arial"/>
                <w:iCs/>
                <w:noProof/>
                <w:sz w:val="20"/>
                <w:szCs w:val="20"/>
                <w:lang w:val="es-ES_tradnl" w:eastAsia="es-ES"/>
              </w:rPr>
              <w:t>ineamientos para la autorización y registro de emisiones verdes sociales y sostenibles de oferta pública</w:t>
            </w:r>
            <w:r w:rsidR="007A7C1A" w:rsidRPr="007F6EAB">
              <w:rPr>
                <w:rFonts w:ascii="Arial" w:eastAsia="Times New Roman" w:hAnsi="Arial" w:cs="Arial"/>
                <w:iCs/>
                <w:noProof/>
                <w:sz w:val="20"/>
                <w:szCs w:val="20"/>
                <w:lang w:val="es-ES_tradnl" w:eastAsia="es-ES"/>
              </w:rPr>
              <w:t>.</w:t>
            </w:r>
          </w:p>
        </w:tc>
        <w:tc>
          <w:tcPr>
            <w:tcW w:w="4082" w:type="dxa"/>
          </w:tcPr>
          <w:p w14:paraId="1F8E53A8" w14:textId="7165429A" w:rsidR="006B0083" w:rsidRPr="007F6EAB" w:rsidRDefault="006B0083" w:rsidP="006B0083">
            <w:pPr>
              <w:ind w:left="57"/>
              <w:jc w:val="both"/>
              <w:rPr>
                <w:rFonts w:ascii="Arial" w:eastAsia="Times New Roman" w:hAnsi="Arial" w:cs="Arial"/>
                <w:b/>
                <w:bCs/>
                <w:iCs/>
                <w:noProof/>
                <w:sz w:val="20"/>
                <w:szCs w:val="20"/>
                <w:lang w:val="es-ES_tradnl" w:eastAsia="es-ES"/>
              </w:rPr>
            </w:pPr>
            <w:r w:rsidRPr="007F6EAB">
              <w:rPr>
                <w:rFonts w:ascii="Arial" w:eastAsia="Times New Roman" w:hAnsi="Arial" w:cs="Arial"/>
                <w:b/>
                <w:bCs/>
                <w:iCs/>
                <w:noProof/>
                <w:sz w:val="20"/>
                <w:szCs w:val="20"/>
                <w:lang w:val="es-ES_tradnl" w:eastAsia="es-ES"/>
              </w:rPr>
              <w:t>SGV-A-xxx.</w:t>
            </w:r>
            <w:r w:rsidRPr="007F6EAB">
              <w:rPr>
                <w:rFonts w:ascii="Arial" w:eastAsia="Times New Roman" w:hAnsi="Arial" w:cs="Arial"/>
                <w:bCs/>
                <w:iCs/>
                <w:noProof/>
                <w:sz w:val="20"/>
                <w:szCs w:val="20"/>
                <w:lang w:val="es-ES_tradnl" w:eastAsia="es-ES"/>
              </w:rPr>
              <w:t xml:space="preserve"> </w:t>
            </w:r>
            <w:r w:rsidRPr="007F6EAB">
              <w:rPr>
                <w:rFonts w:ascii="Arial" w:eastAsia="Times New Roman" w:hAnsi="Arial" w:cs="Arial"/>
                <w:b/>
                <w:sz w:val="20"/>
                <w:szCs w:val="20"/>
                <w:lang w:val="es-ES" w:eastAsia="es-ES"/>
              </w:rPr>
              <w:t xml:space="preserve">MODIFICACIÓN AL ACUERDO SGV-A-158 “GUÍA PARA LA ELABORACION Y REMISION DE PROSPECTOS DE FONDOS DE INVERSION” </w:t>
            </w:r>
          </w:p>
        </w:tc>
      </w:tr>
      <w:tr w:rsidR="006B0083" w:rsidRPr="007F6EAB" w14:paraId="7D8D3EF4" w14:textId="69C68B36" w:rsidTr="00D91B10">
        <w:tc>
          <w:tcPr>
            <w:tcW w:w="4082" w:type="dxa"/>
          </w:tcPr>
          <w:p w14:paraId="25FD32A9" w14:textId="77777777" w:rsidR="006B0083" w:rsidRPr="007F6EAB" w:rsidRDefault="006B0083" w:rsidP="006B0083">
            <w:pPr>
              <w:jc w:val="both"/>
              <w:rPr>
                <w:rFonts w:ascii="Arial" w:eastAsia="Times New Roman" w:hAnsi="Arial" w:cs="Arial"/>
                <w:sz w:val="20"/>
                <w:szCs w:val="20"/>
                <w:lang w:val="es-ES" w:eastAsia="es-ES"/>
              </w:rPr>
            </w:pPr>
            <w:r w:rsidRPr="007F6EAB">
              <w:rPr>
                <w:rFonts w:ascii="Arial" w:eastAsia="Times New Roman" w:hAnsi="Arial" w:cs="Arial"/>
                <w:b/>
                <w:sz w:val="20"/>
                <w:szCs w:val="20"/>
                <w:lang w:val="es-ES" w:eastAsia="es-ES"/>
              </w:rPr>
              <w:t xml:space="preserve">Artículo 1. </w:t>
            </w:r>
            <w:r w:rsidRPr="007F6EAB">
              <w:rPr>
                <w:rFonts w:ascii="Arial" w:eastAsia="Times New Roman" w:hAnsi="Arial" w:cs="Arial"/>
                <w:sz w:val="20"/>
                <w:szCs w:val="20"/>
                <w:lang w:val="es-ES" w:eastAsia="es-ES"/>
              </w:rPr>
              <w:t xml:space="preserve">Adicionar el inciso k) al artículo 3, el inciso l) al artículo 4, el párrafo 2 al artículo 9 y el inciso i) al artículo 11 del </w:t>
            </w:r>
            <w:r w:rsidRPr="007F6EAB">
              <w:rPr>
                <w:rFonts w:ascii="Arial" w:eastAsia="Times New Roman" w:hAnsi="Arial" w:cs="Arial"/>
                <w:sz w:val="20"/>
                <w:szCs w:val="20"/>
                <w:lang w:val="es-ES" w:eastAsia="es-ES"/>
              </w:rPr>
              <w:lastRenderedPageBreak/>
              <w:t xml:space="preserve">Acuerdo </w:t>
            </w:r>
            <w:r w:rsidRPr="007F6EAB">
              <w:rPr>
                <w:rFonts w:ascii="Arial" w:eastAsia="Times New Roman" w:hAnsi="Arial" w:cs="Arial"/>
                <w:i/>
                <w:sz w:val="20"/>
                <w:szCs w:val="20"/>
                <w:lang w:val="es-ES" w:eastAsia="es-ES"/>
              </w:rPr>
              <w:t>“SGV-A-158 Guía para la elaboración y remisión de prospectos de fondos de inversión”</w:t>
            </w:r>
            <w:r w:rsidRPr="007F6EAB">
              <w:rPr>
                <w:rFonts w:ascii="Arial" w:eastAsia="Times New Roman" w:hAnsi="Arial" w:cs="Arial"/>
                <w:sz w:val="20"/>
                <w:szCs w:val="20"/>
                <w:lang w:val="es-ES" w:eastAsia="es-ES"/>
              </w:rPr>
              <w:t xml:space="preserve"> para que se lean de la siguiente forma</w:t>
            </w:r>
          </w:p>
        </w:tc>
        <w:tc>
          <w:tcPr>
            <w:tcW w:w="2835" w:type="dxa"/>
          </w:tcPr>
          <w:p w14:paraId="27315D66" w14:textId="77777777" w:rsidR="006B0083" w:rsidRPr="007F6EAB" w:rsidRDefault="006B0083" w:rsidP="006B0083">
            <w:pPr>
              <w:ind w:left="360"/>
              <w:jc w:val="both"/>
              <w:rPr>
                <w:rFonts w:ascii="Arial" w:eastAsia="Times New Roman" w:hAnsi="Arial" w:cs="Arial"/>
                <w:b/>
                <w:sz w:val="20"/>
                <w:szCs w:val="20"/>
                <w:lang w:val="es-ES" w:eastAsia="es-ES"/>
              </w:rPr>
            </w:pPr>
          </w:p>
        </w:tc>
        <w:tc>
          <w:tcPr>
            <w:tcW w:w="2835" w:type="dxa"/>
          </w:tcPr>
          <w:p w14:paraId="7CD7B658" w14:textId="77777777" w:rsidR="006B0083" w:rsidRPr="007F6EAB" w:rsidRDefault="006B0083" w:rsidP="006B0083">
            <w:pPr>
              <w:ind w:left="360"/>
              <w:jc w:val="both"/>
              <w:rPr>
                <w:rFonts w:ascii="Arial" w:eastAsia="Times New Roman" w:hAnsi="Arial" w:cs="Arial"/>
                <w:b/>
                <w:sz w:val="20"/>
                <w:szCs w:val="20"/>
                <w:lang w:val="es-ES" w:eastAsia="es-ES"/>
              </w:rPr>
            </w:pPr>
          </w:p>
        </w:tc>
        <w:tc>
          <w:tcPr>
            <w:tcW w:w="4082" w:type="dxa"/>
          </w:tcPr>
          <w:p w14:paraId="631C7EDD" w14:textId="54B8FDD0" w:rsidR="006B0083" w:rsidRPr="007F6EAB" w:rsidRDefault="006B0083" w:rsidP="006B0083">
            <w:pPr>
              <w:ind w:left="57"/>
              <w:jc w:val="both"/>
              <w:rPr>
                <w:rFonts w:ascii="Arial" w:eastAsia="Times New Roman" w:hAnsi="Arial" w:cs="Arial"/>
                <w:b/>
                <w:sz w:val="20"/>
                <w:szCs w:val="20"/>
                <w:lang w:val="es-ES" w:eastAsia="es-ES"/>
              </w:rPr>
            </w:pPr>
            <w:r w:rsidRPr="007F6EAB">
              <w:rPr>
                <w:rFonts w:ascii="Arial" w:eastAsia="Times New Roman" w:hAnsi="Arial" w:cs="Arial"/>
                <w:b/>
                <w:sz w:val="20"/>
                <w:szCs w:val="20"/>
                <w:lang w:val="es-ES" w:eastAsia="es-ES"/>
              </w:rPr>
              <w:t xml:space="preserve">Artículo 1. </w:t>
            </w:r>
            <w:r w:rsidRPr="007F6EAB">
              <w:rPr>
                <w:rFonts w:ascii="Arial" w:eastAsia="Times New Roman" w:hAnsi="Arial" w:cs="Arial"/>
                <w:sz w:val="20"/>
                <w:szCs w:val="20"/>
                <w:lang w:val="es-ES" w:eastAsia="es-ES"/>
              </w:rPr>
              <w:t xml:space="preserve">Adicionar el inciso k) al artículo 3, el inciso l) al artículo 4, el párrafo 2 al artículo 9 y el inciso i) al artículo 11 del </w:t>
            </w:r>
            <w:r w:rsidRPr="007F6EAB">
              <w:rPr>
                <w:rFonts w:ascii="Arial" w:eastAsia="Times New Roman" w:hAnsi="Arial" w:cs="Arial"/>
                <w:sz w:val="20"/>
                <w:szCs w:val="20"/>
                <w:lang w:val="es-ES" w:eastAsia="es-ES"/>
              </w:rPr>
              <w:lastRenderedPageBreak/>
              <w:t xml:space="preserve">Acuerdo </w:t>
            </w:r>
            <w:r w:rsidRPr="007F6EAB">
              <w:rPr>
                <w:rFonts w:ascii="Arial" w:eastAsia="Times New Roman" w:hAnsi="Arial" w:cs="Arial"/>
                <w:i/>
                <w:sz w:val="20"/>
                <w:szCs w:val="20"/>
                <w:lang w:val="es-ES" w:eastAsia="es-ES"/>
              </w:rPr>
              <w:t>“SGV-A-158 Guía para la elaboración y remisión de prospectos de fondos de inversión”</w:t>
            </w:r>
            <w:r w:rsidRPr="007F6EAB">
              <w:rPr>
                <w:rFonts w:ascii="Arial" w:eastAsia="Times New Roman" w:hAnsi="Arial" w:cs="Arial"/>
                <w:sz w:val="20"/>
                <w:szCs w:val="20"/>
                <w:lang w:val="es-ES" w:eastAsia="es-ES"/>
              </w:rPr>
              <w:t xml:space="preserve"> para que se lean de la siguiente forma</w:t>
            </w:r>
          </w:p>
        </w:tc>
      </w:tr>
      <w:tr w:rsidR="006B0083" w:rsidRPr="007F6EAB" w14:paraId="73DB528E" w14:textId="658EB854" w:rsidTr="00D91B10">
        <w:tc>
          <w:tcPr>
            <w:tcW w:w="4082" w:type="dxa"/>
          </w:tcPr>
          <w:p w14:paraId="2EB5145F" w14:textId="77777777" w:rsidR="006B0083" w:rsidRPr="007F6EAB" w:rsidRDefault="006B0083" w:rsidP="006B0083">
            <w:pPr>
              <w:pStyle w:val="Ttulo1"/>
              <w:numPr>
                <w:ilvl w:val="0"/>
                <w:numId w:val="0"/>
              </w:numPr>
              <w:outlineLvl w:val="0"/>
              <w:rPr>
                <w:rFonts w:ascii="Arial" w:hAnsi="Arial" w:cs="Arial"/>
                <w:lang w:val="es-ES_tradnl"/>
              </w:rPr>
            </w:pPr>
            <w:r w:rsidRPr="007F6EAB">
              <w:rPr>
                <w:rFonts w:ascii="Arial" w:hAnsi="Arial" w:cs="Arial"/>
                <w:lang w:val="es-ES_tradnl"/>
              </w:rPr>
              <w:lastRenderedPageBreak/>
              <w:t>“Artículo 3. Procedimiento de solicitud de autorización de fondos de inversión</w:t>
            </w:r>
          </w:p>
        </w:tc>
        <w:tc>
          <w:tcPr>
            <w:tcW w:w="2835" w:type="dxa"/>
          </w:tcPr>
          <w:p w14:paraId="38214CEE" w14:textId="77777777" w:rsidR="006B0083" w:rsidRPr="007F6EAB" w:rsidRDefault="006B0083" w:rsidP="006B0083">
            <w:pPr>
              <w:pStyle w:val="Ttulo1"/>
              <w:numPr>
                <w:ilvl w:val="0"/>
                <w:numId w:val="0"/>
              </w:numPr>
              <w:ind w:left="360"/>
              <w:outlineLvl w:val="0"/>
              <w:rPr>
                <w:rFonts w:ascii="Arial" w:hAnsi="Arial" w:cs="Arial"/>
                <w:lang w:val="es-ES_tradnl"/>
              </w:rPr>
            </w:pPr>
          </w:p>
        </w:tc>
        <w:tc>
          <w:tcPr>
            <w:tcW w:w="2835" w:type="dxa"/>
          </w:tcPr>
          <w:p w14:paraId="68BA70FC" w14:textId="77777777" w:rsidR="006B0083" w:rsidRPr="007F6EAB" w:rsidRDefault="006B0083" w:rsidP="006B0083">
            <w:pPr>
              <w:pStyle w:val="Ttulo1"/>
              <w:numPr>
                <w:ilvl w:val="0"/>
                <w:numId w:val="0"/>
              </w:numPr>
              <w:ind w:left="360"/>
              <w:outlineLvl w:val="0"/>
              <w:rPr>
                <w:rFonts w:ascii="Arial" w:hAnsi="Arial" w:cs="Arial"/>
                <w:lang w:val="es-ES_tradnl"/>
              </w:rPr>
            </w:pPr>
          </w:p>
        </w:tc>
        <w:tc>
          <w:tcPr>
            <w:tcW w:w="4082" w:type="dxa"/>
          </w:tcPr>
          <w:p w14:paraId="2D831A90" w14:textId="57EDF5BE" w:rsidR="006B0083" w:rsidRPr="007F6EAB" w:rsidRDefault="006B0083" w:rsidP="006B0083">
            <w:pPr>
              <w:pStyle w:val="Ttulo1"/>
              <w:numPr>
                <w:ilvl w:val="0"/>
                <w:numId w:val="0"/>
              </w:numPr>
              <w:ind w:left="57"/>
              <w:outlineLvl w:val="0"/>
              <w:rPr>
                <w:rFonts w:ascii="Arial" w:hAnsi="Arial" w:cs="Arial"/>
                <w:lang w:val="es-ES_tradnl"/>
              </w:rPr>
            </w:pPr>
            <w:r w:rsidRPr="007F6EAB">
              <w:rPr>
                <w:rFonts w:ascii="Arial" w:hAnsi="Arial" w:cs="Arial"/>
                <w:lang w:val="es-ES_tradnl"/>
              </w:rPr>
              <w:t>“Artículo 3. Procedimiento de solicitud de autorización de fondos de inversión</w:t>
            </w:r>
          </w:p>
        </w:tc>
      </w:tr>
      <w:tr w:rsidR="006B0083" w:rsidRPr="007F6EAB" w14:paraId="1D4DEB10" w14:textId="1DD01D55" w:rsidTr="00D91B10">
        <w:tc>
          <w:tcPr>
            <w:tcW w:w="4082" w:type="dxa"/>
          </w:tcPr>
          <w:p w14:paraId="19FDFD30" w14:textId="77777777" w:rsidR="00D91B10" w:rsidRDefault="006B0083" w:rsidP="006B0083">
            <w:pPr>
              <w:jc w:val="both"/>
              <w:rPr>
                <w:rFonts w:ascii="Arial" w:hAnsi="Arial" w:cs="Arial"/>
                <w:sz w:val="20"/>
                <w:szCs w:val="20"/>
              </w:rPr>
            </w:pPr>
            <w:r w:rsidRPr="007F6EAB">
              <w:rPr>
                <w:rFonts w:ascii="Arial" w:hAnsi="Arial" w:cs="Arial"/>
                <w:sz w:val="20"/>
                <w:szCs w:val="20"/>
              </w:rPr>
              <w:t>La sociedad administradora selecciona en la Ventanilla Virtual la opción para un nuevo trámite y procede a presentar la siguiente documentación:</w:t>
            </w:r>
            <w:r w:rsidR="00D91B10" w:rsidRPr="007F6EAB">
              <w:rPr>
                <w:rFonts w:ascii="Arial" w:hAnsi="Arial" w:cs="Arial"/>
                <w:sz w:val="20"/>
                <w:szCs w:val="20"/>
              </w:rPr>
              <w:t xml:space="preserve"> </w:t>
            </w:r>
          </w:p>
          <w:p w14:paraId="3FFB0DD1" w14:textId="5CA751E7" w:rsidR="006B0083" w:rsidRPr="007F6EAB" w:rsidRDefault="00D91B10" w:rsidP="006B0083">
            <w:pPr>
              <w:jc w:val="both"/>
              <w:rPr>
                <w:rFonts w:ascii="Arial" w:hAnsi="Arial" w:cs="Arial"/>
                <w:sz w:val="20"/>
                <w:szCs w:val="20"/>
              </w:rPr>
            </w:pPr>
            <w:r w:rsidRPr="007F6EAB">
              <w:rPr>
                <w:rFonts w:ascii="Arial" w:hAnsi="Arial" w:cs="Arial"/>
                <w:sz w:val="20"/>
                <w:szCs w:val="20"/>
              </w:rPr>
              <w:t>(…)</w:t>
            </w:r>
          </w:p>
        </w:tc>
        <w:tc>
          <w:tcPr>
            <w:tcW w:w="2835" w:type="dxa"/>
          </w:tcPr>
          <w:p w14:paraId="092F6B8E" w14:textId="77777777" w:rsidR="006B0083" w:rsidRPr="007F6EAB" w:rsidRDefault="006B0083" w:rsidP="006B0083">
            <w:pPr>
              <w:ind w:left="360"/>
              <w:jc w:val="both"/>
              <w:rPr>
                <w:rFonts w:ascii="Arial" w:hAnsi="Arial" w:cs="Arial"/>
                <w:sz w:val="20"/>
                <w:szCs w:val="20"/>
              </w:rPr>
            </w:pPr>
          </w:p>
        </w:tc>
        <w:tc>
          <w:tcPr>
            <w:tcW w:w="2835" w:type="dxa"/>
          </w:tcPr>
          <w:p w14:paraId="74312355" w14:textId="77777777" w:rsidR="006B0083" w:rsidRPr="007F6EAB" w:rsidRDefault="006B0083" w:rsidP="006B0083">
            <w:pPr>
              <w:ind w:left="360"/>
              <w:jc w:val="both"/>
              <w:rPr>
                <w:rFonts w:ascii="Arial" w:hAnsi="Arial" w:cs="Arial"/>
                <w:sz w:val="20"/>
                <w:szCs w:val="20"/>
              </w:rPr>
            </w:pPr>
          </w:p>
        </w:tc>
        <w:tc>
          <w:tcPr>
            <w:tcW w:w="4082" w:type="dxa"/>
          </w:tcPr>
          <w:p w14:paraId="14793B8E" w14:textId="77777777" w:rsidR="006B0083" w:rsidRDefault="006B0083" w:rsidP="006B0083">
            <w:pPr>
              <w:ind w:left="57"/>
              <w:jc w:val="both"/>
              <w:rPr>
                <w:rFonts w:ascii="Arial" w:hAnsi="Arial" w:cs="Arial"/>
                <w:sz w:val="20"/>
                <w:szCs w:val="20"/>
              </w:rPr>
            </w:pPr>
            <w:r w:rsidRPr="007F6EAB">
              <w:rPr>
                <w:rFonts w:ascii="Arial" w:hAnsi="Arial" w:cs="Arial"/>
                <w:sz w:val="20"/>
                <w:szCs w:val="20"/>
              </w:rPr>
              <w:t>La sociedad administradora selecciona en la Ventanilla Virtual la opción para un nuevo trámite y procede a presentar la siguiente documentación:</w:t>
            </w:r>
          </w:p>
          <w:p w14:paraId="7A27A218" w14:textId="09EE657F" w:rsidR="00D91B10" w:rsidRPr="007F6EAB" w:rsidRDefault="00D91B10" w:rsidP="006B0083">
            <w:pPr>
              <w:ind w:left="57"/>
              <w:jc w:val="both"/>
              <w:rPr>
                <w:rFonts w:ascii="Arial" w:hAnsi="Arial" w:cs="Arial"/>
                <w:sz w:val="20"/>
                <w:szCs w:val="20"/>
              </w:rPr>
            </w:pPr>
            <w:r w:rsidRPr="007F6EAB">
              <w:rPr>
                <w:rFonts w:ascii="Arial" w:eastAsia="Times New Roman" w:hAnsi="Arial" w:cs="Arial"/>
                <w:sz w:val="20"/>
                <w:szCs w:val="20"/>
                <w:lang w:eastAsia="es-ES"/>
              </w:rPr>
              <w:t>(…) “</w:t>
            </w:r>
          </w:p>
        </w:tc>
      </w:tr>
      <w:tr w:rsidR="006B0083" w:rsidRPr="007F6EAB" w14:paraId="6B3D99B5" w14:textId="4B6470D9" w:rsidTr="00D91B10">
        <w:tc>
          <w:tcPr>
            <w:tcW w:w="4082" w:type="dxa"/>
          </w:tcPr>
          <w:p w14:paraId="0B79F487" w14:textId="77777777" w:rsidR="006B0083" w:rsidRDefault="006B0083" w:rsidP="006B0083">
            <w:pPr>
              <w:widowControl w:val="0"/>
              <w:numPr>
                <w:ilvl w:val="0"/>
                <w:numId w:val="6"/>
              </w:numPr>
              <w:jc w:val="both"/>
              <w:rPr>
                <w:rFonts w:ascii="Arial" w:hAnsi="Arial" w:cs="Arial"/>
                <w:sz w:val="20"/>
                <w:szCs w:val="20"/>
              </w:rPr>
            </w:pPr>
            <w:r w:rsidRPr="007F6EAB">
              <w:rPr>
                <w:rFonts w:ascii="Arial" w:hAnsi="Arial" w:cs="Arial"/>
                <w:sz w:val="20"/>
                <w:szCs w:val="20"/>
              </w:rPr>
              <w:t>Imagen digital escaneada de la revisión externa en caso de fondos de inversión que califiquen como verdes, sociales o sostenibles.</w:t>
            </w:r>
          </w:p>
          <w:p w14:paraId="16022477" w14:textId="432B5A3B" w:rsidR="00D91B10" w:rsidRPr="00D91B10" w:rsidRDefault="00D91B10" w:rsidP="00D91B10">
            <w:pPr>
              <w:widowControl w:val="0"/>
              <w:jc w:val="both"/>
              <w:rPr>
                <w:rFonts w:ascii="Arial" w:hAnsi="Arial" w:cs="Arial"/>
                <w:sz w:val="20"/>
                <w:szCs w:val="20"/>
              </w:rPr>
            </w:pPr>
            <w:r w:rsidRPr="00D91B10">
              <w:rPr>
                <w:rFonts w:ascii="Arial" w:hAnsi="Arial" w:cs="Arial"/>
                <w:sz w:val="20"/>
                <w:szCs w:val="20"/>
              </w:rPr>
              <w:t>(…) “</w:t>
            </w:r>
          </w:p>
        </w:tc>
        <w:tc>
          <w:tcPr>
            <w:tcW w:w="2835" w:type="dxa"/>
          </w:tcPr>
          <w:p w14:paraId="79FDC04F" w14:textId="77777777" w:rsidR="006B0083" w:rsidRPr="007F6EAB" w:rsidRDefault="00C17A9F" w:rsidP="00C17A9F">
            <w:pPr>
              <w:widowControl w:val="0"/>
              <w:jc w:val="both"/>
              <w:rPr>
                <w:rFonts w:ascii="Arial" w:hAnsi="Arial" w:cs="Arial"/>
                <w:b/>
                <w:bCs/>
                <w:sz w:val="20"/>
                <w:szCs w:val="20"/>
              </w:rPr>
            </w:pPr>
            <w:r w:rsidRPr="007F6EAB">
              <w:rPr>
                <w:rFonts w:ascii="Arial" w:hAnsi="Arial" w:cs="Arial"/>
                <w:b/>
                <w:bCs/>
                <w:sz w:val="20"/>
                <w:szCs w:val="20"/>
              </w:rPr>
              <w:t>Fitch Costa Rica Calificadora de Riesgo S.A.</w:t>
            </w:r>
          </w:p>
          <w:p w14:paraId="01065854" w14:textId="77777777" w:rsidR="00C17A9F" w:rsidRPr="007F6EAB" w:rsidRDefault="00C17A9F" w:rsidP="00C17A9F">
            <w:pPr>
              <w:widowControl w:val="0"/>
              <w:jc w:val="both"/>
              <w:rPr>
                <w:rFonts w:ascii="Arial" w:hAnsi="Arial" w:cs="Arial"/>
                <w:b/>
                <w:bCs/>
                <w:sz w:val="20"/>
                <w:szCs w:val="20"/>
              </w:rPr>
            </w:pPr>
          </w:p>
          <w:p w14:paraId="3CA27514" w14:textId="77777777" w:rsidR="00C17A9F" w:rsidRPr="007F6EAB" w:rsidRDefault="00C17A9F" w:rsidP="00C17A9F">
            <w:pPr>
              <w:widowControl w:val="0"/>
              <w:jc w:val="both"/>
              <w:rPr>
                <w:rFonts w:ascii="Arial" w:hAnsi="Arial" w:cs="Arial"/>
                <w:sz w:val="20"/>
                <w:szCs w:val="20"/>
              </w:rPr>
            </w:pPr>
            <w:r w:rsidRPr="007F6EAB">
              <w:rPr>
                <w:rFonts w:ascii="Arial" w:hAnsi="Arial" w:cs="Arial"/>
                <w:sz w:val="20"/>
                <w:szCs w:val="20"/>
              </w:rPr>
              <w:t>IV. Acuerdo SGV-A-XXX Reforma al “SGV-A-158 “Guía para la elaboración y remisión de prospectos de fondos de inversión”</w:t>
            </w:r>
          </w:p>
          <w:p w14:paraId="3F724F9D" w14:textId="4A512B52" w:rsidR="00C17A9F" w:rsidRPr="007F6EAB" w:rsidRDefault="00C17A9F" w:rsidP="00C17A9F">
            <w:pPr>
              <w:widowControl w:val="0"/>
              <w:jc w:val="both"/>
              <w:rPr>
                <w:rFonts w:ascii="Arial" w:hAnsi="Arial" w:cs="Arial"/>
                <w:sz w:val="20"/>
                <w:szCs w:val="20"/>
              </w:rPr>
            </w:pPr>
            <w:r w:rsidRPr="007F6EAB">
              <w:rPr>
                <w:rFonts w:ascii="Arial" w:hAnsi="Arial" w:cs="Arial"/>
                <w:sz w:val="20"/>
                <w:szCs w:val="20"/>
              </w:rPr>
              <w:t>• Artículos 3 (Procedimiento de solicitud de autorización de fondos de inversión) literal k), 4 (Procedimiento de solicitud de modificación de prospectos que requieren autorización previa) y literal l).</w:t>
            </w:r>
          </w:p>
          <w:p w14:paraId="26F7D344" w14:textId="0C708F74" w:rsidR="00C17A9F" w:rsidRPr="007F6EAB" w:rsidRDefault="00C17A9F" w:rsidP="00C17A9F">
            <w:pPr>
              <w:widowControl w:val="0"/>
              <w:jc w:val="both"/>
              <w:rPr>
                <w:rFonts w:ascii="Arial" w:hAnsi="Arial" w:cs="Arial"/>
                <w:sz w:val="20"/>
                <w:szCs w:val="20"/>
              </w:rPr>
            </w:pPr>
          </w:p>
          <w:p w14:paraId="7BF25DC1" w14:textId="77777777" w:rsidR="00C17A9F" w:rsidRPr="007F6EAB" w:rsidRDefault="00C17A9F" w:rsidP="00C17A9F">
            <w:pPr>
              <w:widowControl w:val="0"/>
              <w:jc w:val="both"/>
              <w:rPr>
                <w:rFonts w:ascii="Arial" w:hAnsi="Arial" w:cs="Arial"/>
                <w:sz w:val="20"/>
                <w:szCs w:val="20"/>
              </w:rPr>
            </w:pPr>
            <w:r w:rsidRPr="007F6EAB">
              <w:rPr>
                <w:rFonts w:ascii="Arial" w:hAnsi="Arial" w:cs="Arial"/>
                <w:sz w:val="20"/>
                <w:szCs w:val="20"/>
              </w:rPr>
              <w:t xml:space="preserve">Se sugiere reemplazar la remisión de la imagen digital </w:t>
            </w:r>
            <w:r w:rsidRPr="007F6EAB">
              <w:rPr>
                <w:rFonts w:ascii="Arial" w:hAnsi="Arial" w:cs="Arial"/>
                <w:sz w:val="20"/>
                <w:szCs w:val="20"/>
              </w:rPr>
              <w:lastRenderedPageBreak/>
              <w:t>escaneada de la revisión externa de las emisiones catalogadas como ESG por el envío del documento electrónico sin necesidad de impresión ni escaneo. Lo anterior, para generar una reducción de la huella ambiental y una mayor eficiencia en este tipo de trámites.</w:t>
            </w:r>
          </w:p>
          <w:p w14:paraId="62F552BD" w14:textId="0F98918E" w:rsidR="00C17A9F" w:rsidRPr="007F6EAB" w:rsidRDefault="00C17A9F" w:rsidP="00C17A9F">
            <w:pPr>
              <w:widowControl w:val="0"/>
              <w:jc w:val="both"/>
              <w:rPr>
                <w:rFonts w:ascii="Arial" w:hAnsi="Arial" w:cs="Arial"/>
                <w:sz w:val="20"/>
                <w:szCs w:val="20"/>
              </w:rPr>
            </w:pPr>
            <w:r w:rsidRPr="007F6EAB">
              <w:rPr>
                <w:rFonts w:ascii="Arial" w:hAnsi="Arial" w:cs="Arial"/>
                <w:sz w:val="20"/>
                <w:szCs w:val="20"/>
              </w:rPr>
              <w:t>Teniendo en cuenta lo expuesto en el punto anterior, sometemos a su consideración implementar esta modificación en estas disposiciones.</w:t>
            </w:r>
          </w:p>
        </w:tc>
        <w:tc>
          <w:tcPr>
            <w:tcW w:w="2835" w:type="dxa"/>
          </w:tcPr>
          <w:p w14:paraId="33E99934" w14:textId="15A0B94A" w:rsidR="006B0083" w:rsidRPr="007F6EAB" w:rsidRDefault="00C17A9F" w:rsidP="00C17A9F">
            <w:pPr>
              <w:widowControl w:val="0"/>
              <w:jc w:val="both"/>
              <w:rPr>
                <w:rFonts w:ascii="Arial" w:hAnsi="Arial" w:cs="Arial"/>
                <w:b/>
                <w:bCs/>
                <w:sz w:val="20"/>
                <w:szCs w:val="20"/>
              </w:rPr>
            </w:pPr>
            <w:r w:rsidRPr="007F6EAB">
              <w:rPr>
                <w:rFonts w:ascii="Arial" w:hAnsi="Arial" w:cs="Arial"/>
                <w:b/>
                <w:bCs/>
                <w:sz w:val="20"/>
                <w:szCs w:val="20"/>
              </w:rPr>
              <w:lastRenderedPageBreak/>
              <w:t>Se acepta</w:t>
            </w:r>
          </w:p>
        </w:tc>
        <w:tc>
          <w:tcPr>
            <w:tcW w:w="4082" w:type="dxa"/>
          </w:tcPr>
          <w:p w14:paraId="57E636D1" w14:textId="77777777" w:rsidR="006B0083" w:rsidRDefault="006B0083" w:rsidP="006B0083">
            <w:pPr>
              <w:pStyle w:val="Prrafodelista"/>
              <w:widowControl w:val="0"/>
              <w:numPr>
                <w:ilvl w:val="0"/>
                <w:numId w:val="16"/>
              </w:numPr>
              <w:ind w:left="527" w:hanging="357"/>
              <w:jc w:val="both"/>
              <w:rPr>
                <w:rFonts w:ascii="Arial" w:hAnsi="Arial" w:cs="Arial"/>
                <w:sz w:val="20"/>
                <w:szCs w:val="20"/>
              </w:rPr>
            </w:pPr>
            <w:r w:rsidRPr="007F6EAB">
              <w:rPr>
                <w:rFonts w:ascii="Arial" w:hAnsi="Arial" w:cs="Arial"/>
                <w:sz w:val="20"/>
                <w:szCs w:val="20"/>
              </w:rPr>
              <w:t>Imagen digital escaneada</w:t>
            </w:r>
            <w:r w:rsidR="00C17A9F" w:rsidRPr="007F6EAB">
              <w:rPr>
                <w:rFonts w:ascii="Arial" w:hAnsi="Arial" w:cs="Arial"/>
                <w:sz w:val="20"/>
                <w:szCs w:val="20"/>
              </w:rPr>
              <w:t xml:space="preserve"> </w:t>
            </w:r>
            <w:r w:rsidR="00C17A9F" w:rsidRPr="007F6EAB">
              <w:rPr>
                <w:rFonts w:ascii="Arial" w:hAnsi="Arial" w:cs="Arial"/>
                <w:b/>
                <w:bCs/>
                <w:color w:val="4472C4" w:themeColor="accent1"/>
                <w:sz w:val="20"/>
                <w:szCs w:val="20"/>
              </w:rPr>
              <w:t xml:space="preserve">o documento </w:t>
            </w:r>
            <w:r w:rsidR="009239E4" w:rsidRPr="007F6EAB">
              <w:rPr>
                <w:rFonts w:ascii="Arial" w:hAnsi="Arial" w:cs="Arial"/>
                <w:b/>
                <w:bCs/>
                <w:color w:val="4472C4" w:themeColor="accent1"/>
                <w:sz w:val="20"/>
                <w:szCs w:val="20"/>
              </w:rPr>
              <w:t xml:space="preserve">en formato </w:t>
            </w:r>
            <w:r w:rsidR="00C17A9F" w:rsidRPr="007F6EAB">
              <w:rPr>
                <w:rFonts w:ascii="Arial" w:hAnsi="Arial" w:cs="Arial"/>
                <w:b/>
                <w:bCs/>
                <w:color w:val="4472C4" w:themeColor="accent1"/>
                <w:sz w:val="20"/>
                <w:szCs w:val="20"/>
              </w:rPr>
              <w:t xml:space="preserve">digital </w:t>
            </w:r>
            <w:r w:rsidRPr="007F6EAB">
              <w:rPr>
                <w:rFonts w:ascii="Arial" w:hAnsi="Arial" w:cs="Arial"/>
                <w:sz w:val="20"/>
                <w:szCs w:val="20"/>
              </w:rPr>
              <w:t>de la revisión externa en caso de fondos de inversión que califiquen como verdes, sociales o sostenibles.</w:t>
            </w:r>
          </w:p>
          <w:p w14:paraId="5A5940BD" w14:textId="6695B632" w:rsidR="00D91B10" w:rsidRPr="00D91B10" w:rsidRDefault="00D91B10" w:rsidP="00D91B10">
            <w:pPr>
              <w:widowControl w:val="0"/>
              <w:jc w:val="both"/>
              <w:rPr>
                <w:rFonts w:ascii="Arial" w:hAnsi="Arial" w:cs="Arial"/>
                <w:sz w:val="20"/>
                <w:szCs w:val="20"/>
              </w:rPr>
            </w:pPr>
            <w:r w:rsidRPr="00D91B10">
              <w:rPr>
                <w:rFonts w:ascii="Arial" w:hAnsi="Arial" w:cs="Arial"/>
                <w:sz w:val="20"/>
                <w:szCs w:val="20"/>
              </w:rPr>
              <w:t>(…)</w:t>
            </w:r>
            <w:r>
              <w:rPr>
                <w:rFonts w:ascii="Arial" w:hAnsi="Arial" w:cs="Arial"/>
                <w:sz w:val="20"/>
                <w:szCs w:val="20"/>
              </w:rPr>
              <w:t>”</w:t>
            </w:r>
          </w:p>
        </w:tc>
      </w:tr>
      <w:tr w:rsidR="006B0083" w:rsidRPr="007F6EAB" w14:paraId="34393E7D" w14:textId="133F201D" w:rsidTr="00D91B10">
        <w:tc>
          <w:tcPr>
            <w:tcW w:w="4082" w:type="dxa"/>
          </w:tcPr>
          <w:p w14:paraId="3216EAC4" w14:textId="77777777" w:rsidR="006B0083" w:rsidRPr="007F6EAB" w:rsidRDefault="006B0083" w:rsidP="006B0083">
            <w:pPr>
              <w:pStyle w:val="Ttulo1"/>
              <w:numPr>
                <w:ilvl w:val="0"/>
                <w:numId w:val="0"/>
              </w:numPr>
              <w:outlineLvl w:val="0"/>
              <w:rPr>
                <w:rFonts w:ascii="Arial" w:hAnsi="Arial" w:cs="Arial"/>
                <w:lang w:val="es-ES_tradnl"/>
              </w:rPr>
            </w:pPr>
            <w:r w:rsidRPr="007F6EAB">
              <w:rPr>
                <w:rFonts w:ascii="Arial" w:hAnsi="Arial" w:cs="Arial"/>
                <w:lang w:val="es-ES_tradnl"/>
              </w:rPr>
              <w:t xml:space="preserve">“Artículo 4. Procedimiento de solicitud de modificación de prospectos que requieren autorización previa </w:t>
            </w:r>
          </w:p>
        </w:tc>
        <w:tc>
          <w:tcPr>
            <w:tcW w:w="2835" w:type="dxa"/>
          </w:tcPr>
          <w:p w14:paraId="3378C689" w14:textId="77777777" w:rsidR="006B0083" w:rsidRPr="007F6EAB" w:rsidRDefault="006B0083" w:rsidP="006B0083">
            <w:pPr>
              <w:pStyle w:val="Ttulo1"/>
              <w:numPr>
                <w:ilvl w:val="0"/>
                <w:numId w:val="0"/>
              </w:numPr>
              <w:ind w:left="360"/>
              <w:outlineLvl w:val="0"/>
              <w:rPr>
                <w:rFonts w:ascii="Arial" w:hAnsi="Arial" w:cs="Arial"/>
                <w:lang w:val="es-ES_tradnl"/>
              </w:rPr>
            </w:pPr>
          </w:p>
        </w:tc>
        <w:tc>
          <w:tcPr>
            <w:tcW w:w="2835" w:type="dxa"/>
          </w:tcPr>
          <w:p w14:paraId="289E3F84" w14:textId="77777777" w:rsidR="006B0083" w:rsidRPr="007F6EAB" w:rsidRDefault="006B0083" w:rsidP="006B0083">
            <w:pPr>
              <w:pStyle w:val="Ttulo1"/>
              <w:numPr>
                <w:ilvl w:val="0"/>
                <w:numId w:val="0"/>
              </w:numPr>
              <w:ind w:left="360"/>
              <w:outlineLvl w:val="0"/>
              <w:rPr>
                <w:rFonts w:ascii="Arial" w:hAnsi="Arial" w:cs="Arial"/>
                <w:lang w:val="es-ES_tradnl"/>
              </w:rPr>
            </w:pPr>
          </w:p>
        </w:tc>
        <w:tc>
          <w:tcPr>
            <w:tcW w:w="4082" w:type="dxa"/>
          </w:tcPr>
          <w:p w14:paraId="0BF0FC2B" w14:textId="67DCEB30" w:rsidR="006B0083" w:rsidRPr="007F6EAB" w:rsidRDefault="006B0083" w:rsidP="006B0083">
            <w:pPr>
              <w:pStyle w:val="Ttulo1"/>
              <w:numPr>
                <w:ilvl w:val="0"/>
                <w:numId w:val="0"/>
              </w:numPr>
              <w:ind w:left="57"/>
              <w:outlineLvl w:val="0"/>
              <w:rPr>
                <w:rFonts w:ascii="Arial" w:hAnsi="Arial" w:cs="Arial"/>
                <w:lang w:val="es-ES_tradnl"/>
              </w:rPr>
            </w:pPr>
            <w:r w:rsidRPr="007F6EAB">
              <w:rPr>
                <w:rFonts w:ascii="Arial" w:hAnsi="Arial" w:cs="Arial"/>
                <w:lang w:val="es-ES_tradnl"/>
              </w:rPr>
              <w:t xml:space="preserve">“Artículo 4. Procedimiento de solicitud de modificación de prospectos que requieren autorización previa </w:t>
            </w:r>
          </w:p>
        </w:tc>
      </w:tr>
      <w:tr w:rsidR="006B0083" w:rsidRPr="007F6EAB" w14:paraId="2C370E7C" w14:textId="12923A19" w:rsidTr="00D91B10">
        <w:tc>
          <w:tcPr>
            <w:tcW w:w="4082" w:type="dxa"/>
          </w:tcPr>
          <w:p w14:paraId="5276FF50" w14:textId="77777777" w:rsidR="00D91B10" w:rsidRDefault="006B0083" w:rsidP="006B0083">
            <w:pPr>
              <w:jc w:val="both"/>
              <w:rPr>
                <w:rFonts w:ascii="Arial" w:hAnsi="Arial" w:cs="Arial"/>
                <w:sz w:val="20"/>
                <w:szCs w:val="20"/>
              </w:rPr>
            </w:pPr>
            <w:r w:rsidRPr="007F6EAB">
              <w:rPr>
                <w:rFonts w:ascii="Arial" w:hAnsi="Arial" w:cs="Arial"/>
                <w:sz w:val="20"/>
                <w:szCs w:val="20"/>
              </w:rPr>
              <w:t>La sociedad administradora selecciona en la Ventanilla Virtual el fondo de inversión al cual desea realizar la modificación al prospecto y procede a presentar la siguiente documentación:</w:t>
            </w:r>
            <w:r w:rsidR="00D91B10" w:rsidRPr="007F6EAB">
              <w:rPr>
                <w:rFonts w:ascii="Arial" w:hAnsi="Arial" w:cs="Arial"/>
                <w:sz w:val="20"/>
                <w:szCs w:val="20"/>
              </w:rPr>
              <w:t xml:space="preserve"> </w:t>
            </w:r>
          </w:p>
          <w:p w14:paraId="131F20B9" w14:textId="01EF4000" w:rsidR="006B0083" w:rsidRPr="007F6EAB" w:rsidRDefault="00D91B10" w:rsidP="006B0083">
            <w:pPr>
              <w:jc w:val="both"/>
              <w:rPr>
                <w:rFonts w:ascii="Arial" w:hAnsi="Arial" w:cs="Arial"/>
                <w:sz w:val="20"/>
                <w:szCs w:val="20"/>
              </w:rPr>
            </w:pPr>
            <w:r w:rsidRPr="007F6EAB">
              <w:rPr>
                <w:rFonts w:ascii="Arial" w:hAnsi="Arial" w:cs="Arial"/>
                <w:sz w:val="20"/>
                <w:szCs w:val="20"/>
              </w:rPr>
              <w:t>(…)</w:t>
            </w:r>
          </w:p>
        </w:tc>
        <w:tc>
          <w:tcPr>
            <w:tcW w:w="2835" w:type="dxa"/>
          </w:tcPr>
          <w:p w14:paraId="36E5B9C7" w14:textId="77777777" w:rsidR="006B0083" w:rsidRPr="007F6EAB" w:rsidRDefault="006B0083" w:rsidP="006B0083">
            <w:pPr>
              <w:ind w:left="360"/>
              <w:jc w:val="both"/>
              <w:rPr>
                <w:rFonts w:ascii="Arial" w:hAnsi="Arial" w:cs="Arial"/>
                <w:sz w:val="20"/>
                <w:szCs w:val="20"/>
              </w:rPr>
            </w:pPr>
          </w:p>
        </w:tc>
        <w:tc>
          <w:tcPr>
            <w:tcW w:w="2835" w:type="dxa"/>
          </w:tcPr>
          <w:p w14:paraId="064401B8" w14:textId="77777777" w:rsidR="006B0083" w:rsidRPr="007F6EAB" w:rsidRDefault="006B0083" w:rsidP="006B0083">
            <w:pPr>
              <w:ind w:left="360"/>
              <w:jc w:val="both"/>
              <w:rPr>
                <w:rFonts w:ascii="Arial" w:hAnsi="Arial" w:cs="Arial"/>
                <w:sz w:val="20"/>
                <w:szCs w:val="20"/>
              </w:rPr>
            </w:pPr>
          </w:p>
        </w:tc>
        <w:tc>
          <w:tcPr>
            <w:tcW w:w="4082" w:type="dxa"/>
          </w:tcPr>
          <w:p w14:paraId="38F739F1" w14:textId="77777777" w:rsidR="00D91B10" w:rsidRDefault="006B0083" w:rsidP="006B0083">
            <w:pPr>
              <w:ind w:left="57"/>
              <w:jc w:val="both"/>
              <w:rPr>
                <w:rFonts w:ascii="Arial" w:hAnsi="Arial" w:cs="Arial"/>
                <w:sz w:val="20"/>
                <w:szCs w:val="20"/>
              </w:rPr>
            </w:pPr>
            <w:r w:rsidRPr="007F6EAB">
              <w:rPr>
                <w:rFonts w:ascii="Arial" w:hAnsi="Arial" w:cs="Arial"/>
                <w:sz w:val="20"/>
                <w:szCs w:val="20"/>
              </w:rPr>
              <w:t>La sociedad administradora selecciona en la Ventanilla Virtual el fondo de inversión al cual desea realizar la modificación al prospecto y procede a presentar la siguiente documentación:</w:t>
            </w:r>
            <w:r w:rsidR="00D91B10" w:rsidRPr="007F6EAB">
              <w:rPr>
                <w:rFonts w:ascii="Arial" w:hAnsi="Arial" w:cs="Arial"/>
                <w:sz w:val="20"/>
                <w:szCs w:val="20"/>
              </w:rPr>
              <w:t xml:space="preserve"> </w:t>
            </w:r>
          </w:p>
          <w:p w14:paraId="17FB4FCA" w14:textId="787EF12D" w:rsidR="006B0083" w:rsidRPr="007F6EAB" w:rsidRDefault="00D91B10" w:rsidP="006B0083">
            <w:pPr>
              <w:ind w:left="57"/>
              <w:jc w:val="both"/>
              <w:rPr>
                <w:rFonts w:ascii="Arial" w:hAnsi="Arial" w:cs="Arial"/>
                <w:sz w:val="20"/>
                <w:szCs w:val="20"/>
              </w:rPr>
            </w:pPr>
            <w:r w:rsidRPr="007F6EAB">
              <w:rPr>
                <w:rFonts w:ascii="Arial" w:hAnsi="Arial" w:cs="Arial"/>
                <w:sz w:val="20"/>
                <w:szCs w:val="20"/>
              </w:rPr>
              <w:t>(…)</w:t>
            </w:r>
          </w:p>
        </w:tc>
      </w:tr>
      <w:tr w:rsidR="00C17A9F" w:rsidRPr="007F6EAB" w14:paraId="53D4436D" w14:textId="3BE6DD03" w:rsidTr="00D91B10">
        <w:tc>
          <w:tcPr>
            <w:tcW w:w="4082" w:type="dxa"/>
          </w:tcPr>
          <w:p w14:paraId="16F0A853" w14:textId="77777777" w:rsidR="00C17A9F" w:rsidRDefault="00C17A9F" w:rsidP="00C17A9F">
            <w:pPr>
              <w:widowControl w:val="0"/>
              <w:numPr>
                <w:ilvl w:val="0"/>
                <w:numId w:val="6"/>
              </w:numPr>
              <w:jc w:val="both"/>
              <w:rPr>
                <w:rFonts w:ascii="Arial" w:hAnsi="Arial" w:cs="Arial"/>
                <w:sz w:val="20"/>
                <w:szCs w:val="20"/>
              </w:rPr>
            </w:pPr>
            <w:r w:rsidRPr="007F6EAB">
              <w:rPr>
                <w:rFonts w:ascii="Arial" w:hAnsi="Arial" w:cs="Arial"/>
                <w:sz w:val="20"/>
                <w:szCs w:val="20"/>
              </w:rPr>
              <w:t xml:space="preserve">Imagen digital escaneada de la revisión externa en caso de fondos de inversión que califiquen como verdes, </w:t>
            </w:r>
            <w:r w:rsidRPr="007F6EAB">
              <w:rPr>
                <w:rFonts w:ascii="Arial" w:hAnsi="Arial" w:cs="Arial"/>
                <w:sz w:val="20"/>
                <w:szCs w:val="20"/>
              </w:rPr>
              <w:lastRenderedPageBreak/>
              <w:t>sociales o sostenibles.</w:t>
            </w:r>
          </w:p>
          <w:p w14:paraId="36BF224A" w14:textId="77777777" w:rsidR="00D91B10" w:rsidRDefault="00D91B10" w:rsidP="00D91B10">
            <w:pPr>
              <w:widowControl w:val="0"/>
              <w:ind w:left="502"/>
              <w:jc w:val="both"/>
              <w:rPr>
                <w:rFonts w:ascii="Arial" w:hAnsi="Arial" w:cs="Arial"/>
                <w:sz w:val="20"/>
                <w:szCs w:val="20"/>
              </w:rPr>
            </w:pPr>
          </w:p>
          <w:p w14:paraId="2C8DB7E3" w14:textId="5D933CB5" w:rsidR="00D91B10" w:rsidRPr="007F6EAB" w:rsidRDefault="00D91B10" w:rsidP="00D91B10">
            <w:pPr>
              <w:widowControl w:val="0"/>
              <w:jc w:val="both"/>
              <w:rPr>
                <w:rFonts w:ascii="Arial" w:hAnsi="Arial" w:cs="Arial"/>
                <w:sz w:val="20"/>
                <w:szCs w:val="20"/>
              </w:rPr>
            </w:pPr>
            <w:r w:rsidRPr="007F6EAB">
              <w:rPr>
                <w:rFonts w:ascii="Arial" w:eastAsia="Times New Roman" w:hAnsi="Arial" w:cs="Arial"/>
                <w:sz w:val="20"/>
                <w:szCs w:val="20"/>
                <w:lang w:eastAsia="es-ES"/>
              </w:rPr>
              <w:t>(…) “</w:t>
            </w:r>
          </w:p>
        </w:tc>
        <w:tc>
          <w:tcPr>
            <w:tcW w:w="2835" w:type="dxa"/>
          </w:tcPr>
          <w:p w14:paraId="109C9540" w14:textId="77777777" w:rsidR="00C17A9F" w:rsidRPr="007F6EAB" w:rsidRDefault="00C17A9F" w:rsidP="00C17A9F">
            <w:pPr>
              <w:widowControl w:val="0"/>
              <w:jc w:val="both"/>
              <w:rPr>
                <w:rFonts w:ascii="Arial" w:hAnsi="Arial" w:cs="Arial"/>
                <w:b/>
                <w:bCs/>
                <w:sz w:val="20"/>
                <w:szCs w:val="20"/>
              </w:rPr>
            </w:pPr>
            <w:r w:rsidRPr="007F6EAB">
              <w:rPr>
                <w:rFonts w:ascii="Arial" w:hAnsi="Arial" w:cs="Arial"/>
                <w:b/>
                <w:bCs/>
                <w:sz w:val="20"/>
                <w:szCs w:val="20"/>
              </w:rPr>
              <w:lastRenderedPageBreak/>
              <w:t>Fitch Costa Rica Calificadora de Riesgo S.A.</w:t>
            </w:r>
          </w:p>
          <w:p w14:paraId="62167A09" w14:textId="77777777" w:rsidR="00C17A9F" w:rsidRPr="007F6EAB" w:rsidRDefault="00C17A9F" w:rsidP="00C17A9F">
            <w:pPr>
              <w:widowControl w:val="0"/>
              <w:jc w:val="both"/>
              <w:rPr>
                <w:rFonts w:ascii="Arial" w:hAnsi="Arial" w:cs="Arial"/>
                <w:b/>
                <w:bCs/>
                <w:sz w:val="20"/>
                <w:szCs w:val="20"/>
              </w:rPr>
            </w:pPr>
          </w:p>
          <w:p w14:paraId="1354978B" w14:textId="77777777" w:rsidR="00C17A9F" w:rsidRPr="007F6EAB" w:rsidRDefault="00C17A9F" w:rsidP="00C17A9F">
            <w:pPr>
              <w:widowControl w:val="0"/>
              <w:jc w:val="both"/>
              <w:rPr>
                <w:rFonts w:ascii="Arial" w:hAnsi="Arial" w:cs="Arial"/>
                <w:sz w:val="20"/>
                <w:szCs w:val="20"/>
              </w:rPr>
            </w:pPr>
            <w:r w:rsidRPr="007F6EAB">
              <w:rPr>
                <w:rFonts w:ascii="Arial" w:hAnsi="Arial" w:cs="Arial"/>
                <w:sz w:val="20"/>
                <w:szCs w:val="20"/>
              </w:rPr>
              <w:lastRenderedPageBreak/>
              <w:t>IV. Acuerdo SGV-A-XXX Reforma al “SGV-A-158 “Guía para la elaboración y remisión de prospectos de fondos de inversión”</w:t>
            </w:r>
          </w:p>
          <w:p w14:paraId="2F467508" w14:textId="77777777" w:rsidR="00C17A9F" w:rsidRPr="007F6EAB" w:rsidRDefault="00C17A9F" w:rsidP="00C17A9F">
            <w:pPr>
              <w:widowControl w:val="0"/>
              <w:jc w:val="both"/>
              <w:rPr>
                <w:rFonts w:ascii="Arial" w:hAnsi="Arial" w:cs="Arial"/>
                <w:sz w:val="20"/>
                <w:szCs w:val="20"/>
              </w:rPr>
            </w:pPr>
            <w:r w:rsidRPr="007F6EAB">
              <w:rPr>
                <w:rFonts w:ascii="Arial" w:hAnsi="Arial" w:cs="Arial"/>
                <w:sz w:val="20"/>
                <w:szCs w:val="20"/>
              </w:rPr>
              <w:t>• Artículos 3 (Procedimiento de solicitud de autorización de fondos de inversión) literal k), 4 (Procedimiento de solicitud de modificación de prospectos que requieren autorización previa) y literal l).</w:t>
            </w:r>
          </w:p>
          <w:p w14:paraId="703AC706" w14:textId="77777777" w:rsidR="00C17A9F" w:rsidRPr="007F6EAB" w:rsidRDefault="00C17A9F" w:rsidP="00C17A9F">
            <w:pPr>
              <w:widowControl w:val="0"/>
              <w:jc w:val="both"/>
              <w:rPr>
                <w:rFonts w:ascii="Arial" w:hAnsi="Arial" w:cs="Arial"/>
                <w:sz w:val="20"/>
                <w:szCs w:val="20"/>
              </w:rPr>
            </w:pPr>
            <w:r w:rsidRPr="007F6EAB">
              <w:rPr>
                <w:rFonts w:ascii="Arial" w:hAnsi="Arial" w:cs="Arial"/>
                <w:sz w:val="20"/>
                <w:szCs w:val="20"/>
              </w:rPr>
              <w:t>Se sugiere reemplazar la remisión de la imagen digital escaneada de la revisión externa de las emisiones catalogadas como ESG por el envío del documento electrónico sin necesidad de impresión ni escaneo. Lo anterior, para generar una reducción de la huella ambiental y una mayor eficiencia en este tipo de trámites.</w:t>
            </w:r>
          </w:p>
          <w:p w14:paraId="19F23355" w14:textId="77777777" w:rsidR="00C17A9F" w:rsidRPr="007F6EAB" w:rsidRDefault="00C17A9F" w:rsidP="00C17A9F">
            <w:pPr>
              <w:widowControl w:val="0"/>
              <w:jc w:val="both"/>
              <w:rPr>
                <w:rFonts w:ascii="Arial" w:hAnsi="Arial" w:cs="Arial"/>
                <w:sz w:val="20"/>
                <w:szCs w:val="20"/>
              </w:rPr>
            </w:pPr>
          </w:p>
          <w:p w14:paraId="4987ED35" w14:textId="7BA80AFC" w:rsidR="00C17A9F" w:rsidRPr="007F6EAB" w:rsidRDefault="00C17A9F" w:rsidP="00C17A9F">
            <w:pPr>
              <w:widowControl w:val="0"/>
              <w:jc w:val="both"/>
              <w:rPr>
                <w:rFonts w:ascii="Arial" w:hAnsi="Arial" w:cs="Arial"/>
                <w:sz w:val="20"/>
                <w:szCs w:val="20"/>
              </w:rPr>
            </w:pPr>
            <w:r w:rsidRPr="007F6EAB">
              <w:rPr>
                <w:rFonts w:ascii="Arial" w:hAnsi="Arial" w:cs="Arial"/>
                <w:sz w:val="20"/>
                <w:szCs w:val="20"/>
              </w:rPr>
              <w:t xml:space="preserve">Teniendo en cuenta lo expuesto en el punto anterior, sometemos a su consideración implementar </w:t>
            </w:r>
            <w:r w:rsidRPr="007F6EAB">
              <w:rPr>
                <w:rFonts w:ascii="Arial" w:hAnsi="Arial" w:cs="Arial"/>
                <w:sz w:val="20"/>
                <w:szCs w:val="20"/>
              </w:rPr>
              <w:lastRenderedPageBreak/>
              <w:t>esta modificación en estas disposiciones.</w:t>
            </w:r>
          </w:p>
        </w:tc>
        <w:tc>
          <w:tcPr>
            <w:tcW w:w="2835" w:type="dxa"/>
          </w:tcPr>
          <w:p w14:paraId="17B1CA79" w14:textId="638BED23" w:rsidR="00C17A9F" w:rsidRPr="007F6EAB" w:rsidRDefault="00656C80" w:rsidP="00656C80">
            <w:pPr>
              <w:widowControl w:val="0"/>
              <w:jc w:val="both"/>
              <w:rPr>
                <w:rFonts w:ascii="Arial" w:hAnsi="Arial" w:cs="Arial"/>
                <w:b/>
                <w:bCs/>
                <w:sz w:val="20"/>
                <w:szCs w:val="20"/>
              </w:rPr>
            </w:pPr>
            <w:r w:rsidRPr="007F6EAB">
              <w:rPr>
                <w:rFonts w:ascii="Arial" w:hAnsi="Arial" w:cs="Arial"/>
                <w:b/>
                <w:bCs/>
                <w:sz w:val="20"/>
                <w:szCs w:val="20"/>
              </w:rPr>
              <w:lastRenderedPageBreak/>
              <w:t>Se acepta</w:t>
            </w:r>
          </w:p>
        </w:tc>
        <w:tc>
          <w:tcPr>
            <w:tcW w:w="4082" w:type="dxa"/>
          </w:tcPr>
          <w:p w14:paraId="5C3C7393" w14:textId="77777777" w:rsidR="00C17A9F" w:rsidRDefault="00C17A9F" w:rsidP="00C17A9F">
            <w:pPr>
              <w:pStyle w:val="Prrafodelista"/>
              <w:widowControl w:val="0"/>
              <w:numPr>
                <w:ilvl w:val="0"/>
                <w:numId w:val="17"/>
              </w:numPr>
              <w:jc w:val="both"/>
              <w:rPr>
                <w:rFonts w:ascii="Arial" w:hAnsi="Arial" w:cs="Arial"/>
                <w:sz w:val="20"/>
                <w:szCs w:val="20"/>
              </w:rPr>
            </w:pPr>
            <w:r w:rsidRPr="007F6EAB">
              <w:rPr>
                <w:rFonts w:ascii="Arial" w:hAnsi="Arial" w:cs="Arial"/>
                <w:sz w:val="20"/>
                <w:szCs w:val="20"/>
              </w:rPr>
              <w:t>Imagen digital escaneada</w:t>
            </w:r>
            <w:r w:rsidR="00FE1916" w:rsidRPr="007F6EAB">
              <w:rPr>
                <w:rFonts w:ascii="Arial" w:hAnsi="Arial" w:cs="Arial"/>
                <w:sz w:val="20"/>
                <w:szCs w:val="20"/>
              </w:rPr>
              <w:t xml:space="preserve"> </w:t>
            </w:r>
            <w:r w:rsidR="00FE1916" w:rsidRPr="007F6EAB">
              <w:rPr>
                <w:rFonts w:ascii="Arial" w:hAnsi="Arial" w:cs="Arial"/>
                <w:b/>
                <w:bCs/>
                <w:color w:val="4472C4" w:themeColor="accent1"/>
                <w:sz w:val="20"/>
                <w:szCs w:val="20"/>
              </w:rPr>
              <w:t xml:space="preserve">o documento </w:t>
            </w:r>
            <w:r w:rsidR="009239E4" w:rsidRPr="007F6EAB">
              <w:rPr>
                <w:rFonts w:ascii="Arial" w:hAnsi="Arial" w:cs="Arial"/>
                <w:b/>
                <w:bCs/>
                <w:color w:val="4472C4" w:themeColor="accent1"/>
                <w:sz w:val="20"/>
                <w:szCs w:val="20"/>
              </w:rPr>
              <w:t xml:space="preserve">en formato </w:t>
            </w:r>
            <w:r w:rsidR="00FE1916" w:rsidRPr="007F6EAB">
              <w:rPr>
                <w:rFonts w:ascii="Arial" w:hAnsi="Arial" w:cs="Arial"/>
                <w:b/>
                <w:bCs/>
                <w:color w:val="4472C4" w:themeColor="accent1"/>
                <w:sz w:val="20"/>
                <w:szCs w:val="20"/>
              </w:rPr>
              <w:t xml:space="preserve">digital </w:t>
            </w:r>
            <w:r w:rsidRPr="007F6EAB">
              <w:rPr>
                <w:rFonts w:ascii="Arial" w:hAnsi="Arial" w:cs="Arial"/>
                <w:sz w:val="20"/>
                <w:szCs w:val="20"/>
              </w:rPr>
              <w:t xml:space="preserve">de la revisión externa en caso de fondos de </w:t>
            </w:r>
            <w:r w:rsidRPr="007F6EAB">
              <w:rPr>
                <w:rFonts w:ascii="Arial" w:hAnsi="Arial" w:cs="Arial"/>
                <w:sz w:val="20"/>
                <w:szCs w:val="20"/>
              </w:rPr>
              <w:lastRenderedPageBreak/>
              <w:t>inversión que califiquen como verdes, sociales o sostenibles.</w:t>
            </w:r>
          </w:p>
          <w:p w14:paraId="7BBE7F0B" w14:textId="2340EE49" w:rsidR="00D91B10" w:rsidRPr="00D91B10" w:rsidRDefault="00D91B10" w:rsidP="00D91B10">
            <w:pPr>
              <w:widowControl w:val="0"/>
              <w:jc w:val="both"/>
              <w:rPr>
                <w:rFonts w:ascii="Arial" w:hAnsi="Arial" w:cs="Arial"/>
                <w:sz w:val="20"/>
                <w:szCs w:val="20"/>
              </w:rPr>
            </w:pPr>
            <w:r w:rsidRPr="007F6EAB">
              <w:rPr>
                <w:rFonts w:ascii="Arial" w:eastAsia="Times New Roman" w:hAnsi="Arial" w:cs="Arial"/>
                <w:sz w:val="20"/>
                <w:szCs w:val="20"/>
                <w:lang w:eastAsia="es-ES"/>
              </w:rPr>
              <w:t>(…) “</w:t>
            </w:r>
          </w:p>
        </w:tc>
      </w:tr>
      <w:tr w:rsidR="00C17A9F" w:rsidRPr="007F6EAB" w14:paraId="11E9F1A2" w14:textId="3998399E" w:rsidTr="00D91B10">
        <w:tc>
          <w:tcPr>
            <w:tcW w:w="4082" w:type="dxa"/>
          </w:tcPr>
          <w:p w14:paraId="5F566EEA" w14:textId="0D8DB344" w:rsidR="00C17A9F" w:rsidRPr="007F6EAB" w:rsidRDefault="00C17A9F" w:rsidP="00C17A9F">
            <w:pPr>
              <w:pStyle w:val="Ttulo1"/>
              <w:numPr>
                <w:ilvl w:val="0"/>
                <w:numId w:val="0"/>
              </w:numPr>
              <w:outlineLvl w:val="0"/>
              <w:rPr>
                <w:rFonts w:ascii="Arial" w:hAnsi="Arial" w:cs="Arial"/>
                <w:lang w:val="es-ES_tradnl"/>
              </w:rPr>
            </w:pPr>
            <w:r w:rsidRPr="007F6EAB">
              <w:rPr>
                <w:rFonts w:ascii="Arial" w:hAnsi="Arial" w:cs="Arial"/>
                <w:lang w:val="es-ES_tradnl"/>
              </w:rPr>
              <w:lastRenderedPageBreak/>
              <w:t>“Artículo 9. Contenido mínimo de los prospectos</w:t>
            </w:r>
          </w:p>
        </w:tc>
        <w:tc>
          <w:tcPr>
            <w:tcW w:w="2835" w:type="dxa"/>
          </w:tcPr>
          <w:p w14:paraId="10EC608D" w14:textId="77777777" w:rsidR="00C17A9F" w:rsidRPr="007F6EAB" w:rsidRDefault="00C17A9F" w:rsidP="00C17A9F">
            <w:pPr>
              <w:pStyle w:val="Ttulo1"/>
              <w:numPr>
                <w:ilvl w:val="0"/>
                <w:numId w:val="0"/>
              </w:numPr>
              <w:ind w:left="360"/>
              <w:outlineLvl w:val="0"/>
              <w:rPr>
                <w:rFonts w:ascii="Arial" w:hAnsi="Arial" w:cs="Arial"/>
                <w:lang w:val="es-ES_tradnl"/>
              </w:rPr>
            </w:pPr>
          </w:p>
        </w:tc>
        <w:tc>
          <w:tcPr>
            <w:tcW w:w="2835" w:type="dxa"/>
          </w:tcPr>
          <w:p w14:paraId="0402361E" w14:textId="77777777" w:rsidR="00C17A9F" w:rsidRPr="007F6EAB" w:rsidRDefault="00C17A9F" w:rsidP="00C17A9F">
            <w:pPr>
              <w:pStyle w:val="Ttulo1"/>
              <w:numPr>
                <w:ilvl w:val="0"/>
                <w:numId w:val="0"/>
              </w:numPr>
              <w:ind w:left="360"/>
              <w:outlineLvl w:val="0"/>
              <w:rPr>
                <w:rFonts w:ascii="Arial" w:hAnsi="Arial" w:cs="Arial"/>
                <w:lang w:val="es-ES_tradnl"/>
              </w:rPr>
            </w:pPr>
          </w:p>
        </w:tc>
        <w:tc>
          <w:tcPr>
            <w:tcW w:w="4082" w:type="dxa"/>
          </w:tcPr>
          <w:p w14:paraId="145D531F" w14:textId="1022ECAE" w:rsidR="00C17A9F" w:rsidRPr="007F6EAB" w:rsidRDefault="00C17A9F" w:rsidP="00C17A9F">
            <w:pPr>
              <w:pStyle w:val="Ttulo1"/>
              <w:numPr>
                <w:ilvl w:val="0"/>
                <w:numId w:val="0"/>
              </w:numPr>
              <w:ind w:left="57"/>
              <w:outlineLvl w:val="0"/>
              <w:rPr>
                <w:rFonts w:ascii="Arial" w:hAnsi="Arial" w:cs="Arial"/>
                <w:lang w:val="es-ES_tradnl"/>
              </w:rPr>
            </w:pPr>
            <w:r w:rsidRPr="007F6EAB">
              <w:rPr>
                <w:rFonts w:ascii="Arial" w:hAnsi="Arial" w:cs="Arial"/>
                <w:lang w:val="es-ES_tradnl"/>
              </w:rPr>
              <w:t>“Artículo 9. Contenido mínimo de los prospectos</w:t>
            </w:r>
          </w:p>
        </w:tc>
      </w:tr>
      <w:tr w:rsidR="00C17A9F" w:rsidRPr="007F6EAB" w14:paraId="0DF9F3C4" w14:textId="04B9C4F1" w:rsidTr="00D91B10">
        <w:tc>
          <w:tcPr>
            <w:tcW w:w="4082" w:type="dxa"/>
          </w:tcPr>
          <w:p w14:paraId="56E79989" w14:textId="77777777" w:rsidR="00C17A9F" w:rsidRPr="007F6EAB" w:rsidRDefault="00C17A9F" w:rsidP="00C17A9F">
            <w:pPr>
              <w:tabs>
                <w:tab w:val="left" w:pos="8910"/>
              </w:tabs>
              <w:jc w:val="both"/>
              <w:rPr>
                <w:rFonts w:ascii="Arial" w:hAnsi="Arial" w:cs="Arial"/>
                <w:sz w:val="20"/>
                <w:szCs w:val="20"/>
              </w:rPr>
            </w:pPr>
            <w:r w:rsidRPr="007F6EAB">
              <w:rPr>
                <w:rFonts w:ascii="Arial" w:hAnsi="Arial" w:cs="Arial"/>
                <w:sz w:val="20"/>
                <w:szCs w:val="20"/>
              </w:rPr>
              <w:t xml:space="preserve">El contenido mínimo de los prospectos de los fondos de inversión se establece </w:t>
            </w:r>
            <w:r w:rsidRPr="007F6EAB">
              <w:rPr>
                <w:rFonts w:ascii="Arial" w:hAnsi="Arial" w:cs="Arial"/>
                <w:sz w:val="20"/>
                <w:szCs w:val="20"/>
                <w:lang w:val="es-MX"/>
              </w:rPr>
              <w:t xml:space="preserve">en el anexo 1 </w:t>
            </w:r>
            <w:r w:rsidRPr="007F6EAB">
              <w:rPr>
                <w:rFonts w:ascii="Arial" w:hAnsi="Arial" w:cs="Arial"/>
                <w:i/>
                <w:sz w:val="20"/>
                <w:szCs w:val="20"/>
                <w:lang w:val="es-MX"/>
              </w:rPr>
              <w:t>Guía para la elaboración de prospectos de fondos de inversión</w:t>
            </w:r>
            <w:r w:rsidRPr="007F6EAB">
              <w:rPr>
                <w:rFonts w:ascii="Arial" w:hAnsi="Arial" w:cs="Arial"/>
                <w:sz w:val="20"/>
                <w:szCs w:val="20"/>
                <w:lang w:val="es-MX"/>
              </w:rPr>
              <w:t>. Los lineamientos contenidos en este anexo no limitan la responsabilidad de la sociedad</w:t>
            </w:r>
            <w:r w:rsidRPr="007F6EAB">
              <w:rPr>
                <w:rFonts w:ascii="Arial" w:hAnsi="Arial" w:cs="Arial"/>
                <w:sz w:val="20"/>
                <w:szCs w:val="20"/>
              </w:rPr>
              <w:t xml:space="preserve"> administradora de incorporar toda aquella información adicional en el prospecto y sus anexos que,</w:t>
            </w:r>
            <w:r w:rsidRPr="007F6EAB">
              <w:rPr>
                <w:rFonts w:ascii="Arial" w:hAnsi="Arial" w:cs="Arial"/>
                <w:b/>
                <w:sz w:val="20"/>
                <w:szCs w:val="20"/>
              </w:rPr>
              <w:t xml:space="preserve"> </w:t>
            </w:r>
            <w:r w:rsidRPr="007F6EAB">
              <w:rPr>
                <w:rFonts w:ascii="Arial" w:hAnsi="Arial" w:cs="Arial"/>
                <w:sz w:val="20"/>
                <w:szCs w:val="20"/>
              </w:rPr>
              <w:t>a su juicio</w:t>
            </w:r>
            <w:r w:rsidRPr="007F6EAB">
              <w:rPr>
                <w:rFonts w:ascii="Arial" w:hAnsi="Arial" w:cs="Arial"/>
                <w:b/>
                <w:sz w:val="20"/>
                <w:szCs w:val="20"/>
              </w:rPr>
              <w:t xml:space="preserve">, </w:t>
            </w:r>
            <w:r w:rsidRPr="007F6EAB">
              <w:rPr>
                <w:rFonts w:ascii="Arial" w:hAnsi="Arial" w:cs="Arial"/>
                <w:sz w:val="20"/>
                <w:szCs w:val="20"/>
              </w:rPr>
              <w:t>le permita al inversionista tener criterio para decidir si el fondo se adapta a sus objetivos y necesidades de inversión.</w:t>
            </w:r>
          </w:p>
        </w:tc>
        <w:tc>
          <w:tcPr>
            <w:tcW w:w="2835" w:type="dxa"/>
          </w:tcPr>
          <w:p w14:paraId="6BA58310" w14:textId="77777777" w:rsidR="00C17A9F" w:rsidRPr="007F6EAB" w:rsidRDefault="00C17A9F" w:rsidP="00C17A9F">
            <w:pPr>
              <w:tabs>
                <w:tab w:val="left" w:pos="8910"/>
              </w:tabs>
              <w:ind w:left="360"/>
              <w:jc w:val="both"/>
              <w:rPr>
                <w:rFonts w:ascii="Arial" w:hAnsi="Arial" w:cs="Arial"/>
                <w:sz w:val="20"/>
                <w:szCs w:val="20"/>
              </w:rPr>
            </w:pPr>
          </w:p>
        </w:tc>
        <w:tc>
          <w:tcPr>
            <w:tcW w:w="2835" w:type="dxa"/>
          </w:tcPr>
          <w:p w14:paraId="0FD3BF61" w14:textId="77777777" w:rsidR="00C17A9F" w:rsidRPr="007F6EAB" w:rsidRDefault="00C17A9F" w:rsidP="00C17A9F">
            <w:pPr>
              <w:tabs>
                <w:tab w:val="left" w:pos="8910"/>
              </w:tabs>
              <w:ind w:left="360"/>
              <w:jc w:val="both"/>
              <w:rPr>
                <w:rFonts w:ascii="Arial" w:hAnsi="Arial" w:cs="Arial"/>
                <w:sz w:val="20"/>
                <w:szCs w:val="20"/>
              </w:rPr>
            </w:pPr>
          </w:p>
        </w:tc>
        <w:tc>
          <w:tcPr>
            <w:tcW w:w="4082" w:type="dxa"/>
          </w:tcPr>
          <w:p w14:paraId="5501DC99" w14:textId="475F8838" w:rsidR="00C17A9F" w:rsidRPr="007F6EAB" w:rsidRDefault="00C17A9F" w:rsidP="00C17A9F">
            <w:pPr>
              <w:tabs>
                <w:tab w:val="left" w:pos="8910"/>
              </w:tabs>
              <w:ind w:left="57"/>
              <w:jc w:val="both"/>
              <w:rPr>
                <w:rFonts w:ascii="Arial" w:hAnsi="Arial" w:cs="Arial"/>
                <w:sz w:val="20"/>
                <w:szCs w:val="20"/>
              </w:rPr>
            </w:pPr>
            <w:r w:rsidRPr="007F6EAB">
              <w:rPr>
                <w:rFonts w:ascii="Arial" w:hAnsi="Arial" w:cs="Arial"/>
                <w:sz w:val="20"/>
                <w:szCs w:val="20"/>
              </w:rPr>
              <w:t xml:space="preserve">El contenido mínimo de los prospectos de los fondos de inversión se establece </w:t>
            </w:r>
            <w:r w:rsidRPr="007F6EAB">
              <w:rPr>
                <w:rFonts w:ascii="Arial" w:hAnsi="Arial" w:cs="Arial"/>
                <w:sz w:val="20"/>
                <w:szCs w:val="20"/>
                <w:lang w:val="es-MX"/>
              </w:rPr>
              <w:t xml:space="preserve">en el anexo 1 </w:t>
            </w:r>
            <w:r w:rsidRPr="007F6EAB">
              <w:rPr>
                <w:rFonts w:ascii="Arial" w:hAnsi="Arial" w:cs="Arial"/>
                <w:i/>
                <w:sz w:val="20"/>
                <w:szCs w:val="20"/>
                <w:lang w:val="es-MX"/>
              </w:rPr>
              <w:t>Guía para la elaboración de prospectos de fondos de inversión</w:t>
            </w:r>
            <w:r w:rsidRPr="007F6EAB">
              <w:rPr>
                <w:rFonts w:ascii="Arial" w:hAnsi="Arial" w:cs="Arial"/>
                <w:sz w:val="20"/>
                <w:szCs w:val="20"/>
                <w:lang w:val="es-MX"/>
              </w:rPr>
              <w:t>. Los lineamientos contenidos en este anexo no limitan la responsabilidad de la sociedad</w:t>
            </w:r>
            <w:r w:rsidRPr="007F6EAB">
              <w:rPr>
                <w:rFonts w:ascii="Arial" w:hAnsi="Arial" w:cs="Arial"/>
                <w:sz w:val="20"/>
                <w:szCs w:val="20"/>
              </w:rPr>
              <w:t xml:space="preserve"> administradora de incorporar toda aquella información adicional en el prospecto y sus anexos que,</w:t>
            </w:r>
            <w:r w:rsidRPr="007F6EAB">
              <w:rPr>
                <w:rFonts w:ascii="Arial" w:hAnsi="Arial" w:cs="Arial"/>
                <w:b/>
                <w:sz w:val="20"/>
                <w:szCs w:val="20"/>
              </w:rPr>
              <w:t xml:space="preserve"> </w:t>
            </w:r>
            <w:r w:rsidRPr="007F6EAB">
              <w:rPr>
                <w:rFonts w:ascii="Arial" w:hAnsi="Arial" w:cs="Arial"/>
                <w:sz w:val="20"/>
                <w:szCs w:val="20"/>
              </w:rPr>
              <w:t>a su juicio</w:t>
            </w:r>
            <w:r w:rsidRPr="007F6EAB">
              <w:rPr>
                <w:rFonts w:ascii="Arial" w:hAnsi="Arial" w:cs="Arial"/>
                <w:b/>
                <w:sz w:val="20"/>
                <w:szCs w:val="20"/>
              </w:rPr>
              <w:t xml:space="preserve">, </w:t>
            </w:r>
            <w:r w:rsidRPr="007F6EAB">
              <w:rPr>
                <w:rFonts w:ascii="Arial" w:hAnsi="Arial" w:cs="Arial"/>
                <w:sz w:val="20"/>
                <w:szCs w:val="20"/>
              </w:rPr>
              <w:t>le permita al inversionista tener criterio para decidir si el fondo se adapta a sus objetivos y necesidades de inversión.</w:t>
            </w:r>
          </w:p>
        </w:tc>
      </w:tr>
      <w:tr w:rsidR="00C17A9F" w:rsidRPr="007F6EAB" w14:paraId="0618A184" w14:textId="4FE08BED" w:rsidTr="00D91B10">
        <w:tc>
          <w:tcPr>
            <w:tcW w:w="4082" w:type="dxa"/>
          </w:tcPr>
          <w:p w14:paraId="49095542" w14:textId="77777777" w:rsidR="00C17A9F" w:rsidRPr="007F6EAB" w:rsidRDefault="00C17A9F" w:rsidP="00C17A9F">
            <w:pPr>
              <w:tabs>
                <w:tab w:val="left" w:pos="8910"/>
              </w:tabs>
              <w:jc w:val="both"/>
              <w:rPr>
                <w:rFonts w:ascii="Arial" w:hAnsi="Arial" w:cs="Arial"/>
                <w:sz w:val="20"/>
                <w:szCs w:val="20"/>
              </w:rPr>
            </w:pPr>
            <w:r w:rsidRPr="007F6EAB">
              <w:rPr>
                <w:rFonts w:ascii="Arial" w:hAnsi="Arial" w:cs="Arial"/>
                <w:sz w:val="20"/>
                <w:szCs w:val="20"/>
              </w:rPr>
              <w:t>El prospecto de los fondos de inversión que califiquen como verdes, sociales o sostenibles deben cumplir con el contenido mínimo que establece el Anexo 1 de esta Guía y con las revelaciones que establece el Acuerdo SGV-A-xxx Lineamientos para emisiones verdes, sociales y sostenibles de oferta pública.</w:t>
            </w:r>
          </w:p>
        </w:tc>
        <w:tc>
          <w:tcPr>
            <w:tcW w:w="2835" w:type="dxa"/>
          </w:tcPr>
          <w:p w14:paraId="2AE4C61A" w14:textId="77777777" w:rsidR="00C17A9F" w:rsidRPr="007F6EAB" w:rsidRDefault="00C17A9F" w:rsidP="00C17A9F">
            <w:pPr>
              <w:tabs>
                <w:tab w:val="left" w:pos="8910"/>
              </w:tabs>
              <w:ind w:left="360"/>
              <w:jc w:val="both"/>
              <w:rPr>
                <w:rFonts w:ascii="Arial" w:hAnsi="Arial" w:cs="Arial"/>
                <w:sz w:val="20"/>
                <w:szCs w:val="20"/>
              </w:rPr>
            </w:pPr>
          </w:p>
        </w:tc>
        <w:tc>
          <w:tcPr>
            <w:tcW w:w="2835" w:type="dxa"/>
          </w:tcPr>
          <w:p w14:paraId="3F72D596" w14:textId="77777777" w:rsidR="00C17A9F" w:rsidRPr="007F6EAB" w:rsidRDefault="00C17A9F" w:rsidP="00C17A9F">
            <w:pPr>
              <w:tabs>
                <w:tab w:val="left" w:pos="8910"/>
              </w:tabs>
              <w:ind w:left="360"/>
              <w:jc w:val="both"/>
              <w:rPr>
                <w:rFonts w:ascii="Arial" w:hAnsi="Arial" w:cs="Arial"/>
                <w:sz w:val="20"/>
                <w:szCs w:val="20"/>
              </w:rPr>
            </w:pPr>
          </w:p>
        </w:tc>
        <w:tc>
          <w:tcPr>
            <w:tcW w:w="4082" w:type="dxa"/>
          </w:tcPr>
          <w:p w14:paraId="08F26320" w14:textId="36F9B612" w:rsidR="00C17A9F" w:rsidRPr="007F6EAB" w:rsidRDefault="00C17A9F" w:rsidP="00C17A9F">
            <w:pPr>
              <w:tabs>
                <w:tab w:val="left" w:pos="8910"/>
              </w:tabs>
              <w:ind w:left="57"/>
              <w:jc w:val="both"/>
              <w:rPr>
                <w:rFonts w:ascii="Arial" w:hAnsi="Arial" w:cs="Arial"/>
                <w:sz w:val="20"/>
                <w:szCs w:val="20"/>
              </w:rPr>
            </w:pPr>
            <w:r w:rsidRPr="007F6EAB">
              <w:rPr>
                <w:rFonts w:ascii="Arial" w:hAnsi="Arial" w:cs="Arial"/>
                <w:sz w:val="20"/>
                <w:szCs w:val="20"/>
              </w:rPr>
              <w:t>El prospecto de los fondos de inversión que califiquen como verdes, sociales o sostenibles deben cumplir con el contenido mínimo que establece el Anexo 1 de esta Guía y con las revelaciones que establece el Acuerdo SGV-A-xxx Lineamientos para emisiones verdes, sociales y sostenibles de oferta pública.</w:t>
            </w:r>
          </w:p>
        </w:tc>
      </w:tr>
      <w:tr w:rsidR="00C17A9F" w:rsidRPr="007F6EAB" w14:paraId="613F7009" w14:textId="5B8B3FB9" w:rsidTr="00D91B10">
        <w:tc>
          <w:tcPr>
            <w:tcW w:w="4082" w:type="dxa"/>
          </w:tcPr>
          <w:p w14:paraId="79F904F0" w14:textId="77777777" w:rsidR="00C17A9F" w:rsidRPr="007F6EAB" w:rsidRDefault="00C17A9F" w:rsidP="00C17A9F">
            <w:pPr>
              <w:tabs>
                <w:tab w:val="left" w:pos="8910"/>
              </w:tabs>
              <w:jc w:val="both"/>
              <w:rPr>
                <w:rFonts w:ascii="Arial" w:hAnsi="Arial" w:cs="Arial"/>
                <w:sz w:val="20"/>
                <w:szCs w:val="20"/>
              </w:rPr>
            </w:pPr>
            <w:r w:rsidRPr="007F6EAB">
              <w:rPr>
                <w:rFonts w:ascii="Arial" w:hAnsi="Arial" w:cs="Arial"/>
                <w:sz w:val="20"/>
                <w:szCs w:val="20"/>
              </w:rPr>
              <w:t xml:space="preserve">La presentación y estética quedan a discreción de la sociedad administradora, sin embargo </w:t>
            </w:r>
            <w:r w:rsidRPr="007F6EAB">
              <w:rPr>
                <w:rFonts w:ascii="Arial" w:hAnsi="Arial" w:cs="Arial"/>
                <w:sz w:val="20"/>
                <w:szCs w:val="20"/>
                <w:lang w:val="es-MX"/>
              </w:rPr>
              <w:t>se debe cumplir con las siguientes disposiciones adicionales mínimas:</w:t>
            </w:r>
          </w:p>
        </w:tc>
        <w:tc>
          <w:tcPr>
            <w:tcW w:w="2835" w:type="dxa"/>
          </w:tcPr>
          <w:p w14:paraId="39DEC07F" w14:textId="77777777" w:rsidR="00C17A9F" w:rsidRPr="007F6EAB" w:rsidRDefault="00C17A9F" w:rsidP="00C17A9F">
            <w:pPr>
              <w:tabs>
                <w:tab w:val="left" w:pos="8910"/>
              </w:tabs>
              <w:ind w:left="360"/>
              <w:jc w:val="both"/>
              <w:rPr>
                <w:rFonts w:ascii="Arial" w:hAnsi="Arial" w:cs="Arial"/>
                <w:sz w:val="20"/>
                <w:szCs w:val="20"/>
              </w:rPr>
            </w:pPr>
          </w:p>
        </w:tc>
        <w:tc>
          <w:tcPr>
            <w:tcW w:w="2835" w:type="dxa"/>
          </w:tcPr>
          <w:p w14:paraId="3897D223" w14:textId="77777777" w:rsidR="00C17A9F" w:rsidRPr="007F6EAB" w:rsidRDefault="00C17A9F" w:rsidP="00C17A9F">
            <w:pPr>
              <w:tabs>
                <w:tab w:val="left" w:pos="8910"/>
              </w:tabs>
              <w:ind w:left="360"/>
              <w:jc w:val="both"/>
              <w:rPr>
                <w:rFonts w:ascii="Arial" w:hAnsi="Arial" w:cs="Arial"/>
                <w:sz w:val="20"/>
                <w:szCs w:val="20"/>
              </w:rPr>
            </w:pPr>
          </w:p>
        </w:tc>
        <w:tc>
          <w:tcPr>
            <w:tcW w:w="4082" w:type="dxa"/>
          </w:tcPr>
          <w:p w14:paraId="5FC0B436" w14:textId="24CA8F55" w:rsidR="00C17A9F" w:rsidRPr="007F6EAB" w:rsidRDefault="00C17A9F" w:rsidP="00C17A9F">
            <w:pPr>
              <w:tabs>
                <w:tab w:val="left" w:pos="8910"/>
              </w:tabs>
              <w:ind w:left="57"/>
              <w:jc w:val="both"/>
              <w:rPr>
                <w:rFonts w:ascii="Arial" w:hAnsi="Arial" w:cs="Arial"/>
                <w:sz w:val="20"/>
                <w:szCs w:val="20"/>
              </w:rPr>
            </w:pPr>
            <w:r w:rsidRPr="007F6EAB">
              <w:rPr>
                <w:rFonts w:ascii="Arial" w:hAnsi="Arial" w:cs="Arial"/>
                <w:sz w:val="20"/>
                <w:szCs w:val="20"/>
              </w:rPr>
              <w:t xml:space="preserve">La presentación y estética quedan a discreción de la sociedad administradora, sin embargo </w:t>
            </w:r>
            <w:r w:rsidRPr="007F6EAB">
              <w:rPr>
                <w:rFonts w:ascii="Arial" w:hAnsi="Arial" w:cs="Arial"/>
                <w:sz w:val="20"/>
                <w:szCs w:val="20"/>
                <w:lang w:val="es-MX"/>
              </w:rPr>
              <w:t>se debe cumplir con las siguientes disposiciones adicionales mínimas:</w:t>
            </w:r>
          </w:p>
        </w:tc>
      </w:tr>
      <w:tr w:rsidR="00C17A9F" w:rsidRPr="007F6EAB" w14:paraId="4B95377B" w14:textId="2D8C7B00" w:rsidTr="00D91B10">
        <w:tc>
          <w:tcPr>
            <w:tcW w:w="4082" w:type="dxa"/>
          </w:tcPr>
          <w:p w14:paraId="59B9E50E" w14:textId="77777777" w:rsidR="00C17A9F" w:rsidRPr="007F6EAB" w:rsidRDefault="00C17A9F" w:rsidP="00C17A9F">
            <w:pPr>
              <w:tabs>
                <w:tab w:val="left" w:pos="8910"/>
              </w:tabs>
              <w:jc w:val="both"/>
              <w:rPr>
                <w:rFonts w:ascii="Arial" w:hAnsi="Arial" w:cs="Arial"/>
                <w:sz w:val="20"/>
                <w:szCs w:val="20"/>
              </w:rPr>
            </w:pPr>
            <w:r w:rsidRPr="007F6EAB">
              <w:rPr>
                <w:rFonts w:ascii="Arial" w:hAnsi="Arial" w:cs="Arial"/>
                <w:sz w:val="20"/>
                <w:szCs w:val="20"/>
              </w:rPr>
              <w:lastRenderedPageBreak/>
              <w:t>(…) “</w:t>
            </w:r>
          </w:p>
        </w:tc>
        <w:tc>
          <w:tcPr>
            <w:tcW w:w="2835" w:type="dxa"/>
          </w:tcPr>
          <w:p w14:paraId="5153CDB6" w14:textId="77777777" w:rsidR="00C17A9F" w:rsidRPr="007F6EAB" w:rsidRDefault="00C17A9F" w:rsidP="00C17A9F">
            <w:pPr>
              <w:tabs>
                <w:tab w:val="left" w:pos="8910"/>
              </w:tabs>
              <w:ind w:left="360"/>
              <w:jc w:val="both"/>
              <w:rPr>
                <w:rFonts w:ascii="Arial" w:hAnsi="Arial" w:cs="Arial"/>
                <w:sz w:val="20"/>
                <w:szCs w:val="20"/>
              </w:rPr>
            </w:pPr>
          </w:p>
        </w:tc>
        <w:tc>
          <w:tcPr>
            <w:tcW w:w="2835" w:type="dxa"/>
          </w:tcPr>
          <w:p w14:paraId="544BEA34" w14:textId="77777777" w:rsidR="00C17A9F" w:rsidRPr="007F6EAB" w:rsidRDefault="00C17A9F" w:rsidP="00C17A9F">
            <w:pPr>
              <w:tabs>
                <w:tab w:val="left" w:pos="8910"/>
              </w:tabs>
              <w:ind w:left="360"/>
              <w:jc w:val="both"/>
              <w:rPr>
                <w:rFonts w:ascii="Arial" w:hAnsi="Arial" w:cs="Arial"/>
                <w:sz w:val="20"/>
                <w:szCs w:val="20"/>
              </w:rPr>
            </w:pPr>
          </w:p>
        </w:tc>
        <w:tc>
          <w:tcPr>
            <w:tcW w:w="4082" w:type="dxa"/>
          </w:tcPr>
          <w:p w14:paraId="4E0D0B87" w14:textId="09E96B9A" w:rsidR="00C17A9F" w:rsidRPr="007F6EAB" w:rsidRDefault="00C17A9F" w:rsidP="00C17A9F">
            <w:pPr>
              <w:tabs>
                <w:tab w:val="left" w:pos="8910"/>
              </w:tabs>
              <w:ind w:left="57"/>
              <w:jc w:val="both"/>
              <w:rPr>
                <w:rFonts w:ascii="Arial" w:hAnsi="Arial" w:cs="Arial"/>
                <w:sz w:val="20"/>
                <w:szCs w:val="20"/>
              </w:rPr>
            </w:pPr>
            <w:r w:rsidRPr="007F6EAB">
              <w:rPr>
                <w:rFonts w:ascii="Arial" w:hAnsi="Arial" w:cs="Arial"/>
                <w:sz w:val="20"/>
                <w:szCs w:val="20"/>
              </w:rPr>
              <w:t>(…) “</w:t>
            </w:r>
          </w:p>
        </w:tc>
      </w:tr>
      <w:tr w:rsidR="00C17A9F" w:rsidRPr="007F6EAB" w14:paraId="2610B06C" w14:textId="11276B76" w:rsidTr="00D91B10">
        <w:tc>
          <w:tcPr>
            <w:tcW w:w="4082" w:type="dxa"/>
          </w:tcPr>
          <w:p w14:paraId="367E4B04" w14:textId="77777777" w:rsidR="00C17A9F" w:rsidRPr="007F6EAB" w:rsidRDefault="00C17A9F" w:rsidP="00C17A9F">
            <w:pPr>
              <w:pStyle w:val="Ttulo1"/>
              <w:numPr>
                <w:ilvl w:val="0"/>
                <w:numId w:val="0"/>
              </w:numPr>
              <w:outlineLvl w:val="0"/>
              <w:rPr>
                <w:rFonts w:ascii="Arial" w:hAnsi="Arial" w:cs="Arial"/>
                <w:lang w:val="es-ES_tradnl"/>
              </w:rPr>
            </w:pPr>
            <w:r w:rsidRPr="007F6EAB">
              <w:rPr>
                <w:rFonts w:ascii="Arial" w:hAnsi="Arial" w:cs="Arial"/>
                <w:lang w:val="es-ES_tradnl"/>
              </w:rPr>
              <w:t>“Artículo 11. Nombre de los fondos de inversión</w:t>
            </w:r>
          </w:p>
        </w:tc>
        <w:tc>
          <w:tcPr>
            <w:tcW w:w="2835" w:type="dxa"/>
          </w:tcPr>
          <w:p w14:paraId="1BCB466D" w14:textId="77777777" w:rsidR="00C17A9F" w:rsidRPr="007F6EAB" w:rsidRDefault="00C17A9F" w:rsidP="00C17A9F">
            <w:pPr>
              <w:pStyle w:val="Ttulo1"/>
              <w:numPr>
                <w:ilvl w:val="0"/>
                <w:numId w:val="0"/>
              </w:numPr>
              <w:ind w:left="360"/>
              <w:outlineLvl w:val="0"/>
              <w:rPr>
                <w:rFonts w:ascii="Arial" w:hAnsi="Arial" w:cs="Arial"/>
                <w:lang w:val="es-ES_tradnl"/>
              </w:rPr>
            </w:pPr>
          </w:p>
        </w:tc>
        <w:tc>
          <w:tcPr>
            <w:tcW w:w="2835" w:type="dxa"/>
          </w:tcPr>
          <w:p w14:paraId="560F0691" w14:textId="77777777" w:rsidR="00C17A9F" w:rsidRPr="007F6EAB" w:rsidRDefault="00C17A9F" w:rsidP="00C17A9F">
            <w:pPr>
              <w:pStyle w:val="Ttulo1"/>
              <w:numPr>
                <w:ilvl w:val="0"/>
                <w:numId w:val="0"/>
              </w:numPr>
              <w:ind w:left="360"/>
              <w:outlineLvl w:val="0"/>
              <w:rPr>
                <w:rFonts w:ascii="Arial" w:hAnsi="Arial" w:cs="Arial"/>
                <w:lang w:val="es-ES_tradnl"/>
              </w:rPr>
            </w:pPr>
          </w:p>
        </w:tc>
        <w:tc>
          <w:tcPr>
            <w:tcW w:w="4082" w:type="dxa"/>
          </w:tcPr>
          <w:p w14:paraId="7D7C174A" w14:textId="5AD19D81" w:rsidR="00C17A9F" w:rsidRPr="007F6EAB" w:rsidRDefault="00C17A9F" w:rsidP="00C17A9F">
            <w:pPr>
              <w:pStyle w:val="Ttulo1"/>
              <w:numPr>
                <w:ilvl w:val="0"/>
                <w:numId w:val="0"/>
              </w:numPr>
              <w:ind w:left="57"/>
              <w:outlineLvl w:val="0"/>
              <w:rPr>
                <w:rFonts w:ascii="Arial" w:hAnsi="Arial" w:cs="Arial"/>
                <w:lang w:val="es-ES_tradnl"/>
              </w:rPr>
            </w:pPr>
            <w:r w:rsidRPr="007F6EAB">
              <w:rPr>
                <w:rFonts w:ascii="Arial" w:hAnsi="Arial" w:cs="Arial"/>
                <w:lang w:val="es-ES_tradnl"/>
              </w:rPr>
              <w:t>“Artículo 11. Nombre de los fondos de inversión</w:t>
            </w:r>
          </w:p>
        </w:tc>
      </w:tr>
      <w:tr w:rsidR="00C17A9F" w:rsidRPr="007F6EAB" w14:paraId="44A6917E" w14:textId="5E0C30DE" w:rsidTr="00D91B10">
        <w:tc>
          <w:tcPr>
            <w:tcW w:w="4082" w:type="dxa"/>
          </w:tcPr>
          <w:p w14:paraId="53D53140" w14:textId="77777777" w:rsidR="00C17A9F" w:rsidRDefault="00C17A9F" w:rsidP="00C17A9F">
            <w:pPr>
              <w:pStyle w:val="CNV"/>
              <w:widowControl w:val="0"/>
              <w:tabs>
                <w:tab w:val="left" w:pos="8910"/>
              </w:tabs>
              <w:rPr>
                <w:rFonts w:ascii="Arial" w:hAnsi="Arial" w:cs="Arial"/>
                <w:sz w:val="20"/>
                <w:lang w:val="es-CR"/>
              </w:rPr>
            </w:pPr>
            <w:r w:rsidRPr="007F6EAB">
              <w:rPr>
                <w:rFonts w:ascii="Arial" w:hAnsi="Arial" w:cs="Arial"/>
                <w:sz w:val="20"/>
                <w:lang w:val="es-CR"/>
              </w:rPr>
              <w:t>En la definición del nombre de los fondos de inversión se deben considerar los siguientes aspectos:</w:t>
            </w:r>
          </w:p>
          <w:p w14:paraId="694CDC26" w14:textId="2A070993" w:rsidR="00D91B10" w:rsidRPr="007F6EAB" w:rsidRDefault="00D91B10" w:rsidP="00C17A9F">
            <w:pPr>
              <w:pStyle w:val="CNV"/>
              <w:widowControl w:val="0"/>
              <w:tabs>
                <w:tab w:val="left" w:pos="8910"/>
              </w:tabs>
              <w:rPr>
                <w:rFonts w:ascii="Arial" w:hAnsi="Arial" w:cs="Arial"/>
                <w:sz w:val="20"/>
                <w:lang w:val="es-CR"/>
              </w:rPr>
            </w:pPr>
            <w:r>
              <w:rPr>
                <w:rFonts w:ascii="Arial" w:hAnsi="Arial" w:cs="Arial"/>
                <w:sz w:val="20"/>
                <w:lang w:val="es-CR"/>
              </w:rPr>
              <w:t>(…)</w:t>
            </w:r>
          </w:p>
        </w:tc>
        <w:tc>
          <w:tcPr>
            <w:tcW w:w="2835" w:type="dxa"/>
          </w:tcPr>
          <w:p w14:paraId="6445398C" w14:textId="77777777" w:rsidR="00C17A9F" w:rsidRPr="007F6EAB" w:rsidRDefault="00C17A9F" w:rsidP="00C17A9F">
            <w:pPr>
              <w:pStyle w:val="CNV"/>
              <w:widowControl w:val="0"/>
              <w:tabs>
                <w:tab w:val="left" w:pos="8910"/>
              </w:tabs>
              <w:ind w:left="360"/>
              <w:rPr>
                <w:rFonts w:ascii="Arial" w:hAnsi="Arial" w:cs="Arial"/>
                <w:sz w:val="20"/>
                <w:lang w:val="es-CR"/>
              </w:rPr>
            </w:pPr>
          </w:p>
        </w:tc>
        <w:tc>
          <w:tcPr>
            <w:tcW w:w="2835" w:type="dxa"/>
          </w:tcPr>
          <w:p w14:paraId="3D1885A9" w14:textId="77777777" w:rsidR="00C17A9F" w:rsidRPr="007F6EAB" w:rsidRDefault="00C17A9F" w:rsidP="00C17A9F">
            <w:pPr>
              <w:pStyle w:val="CNV"/>
              <w:widowControl w:val="0"/>
              <w:tabs>
                <w:tab w:val="left" w:pos="8910"/>
              </w:tabs>
              <w:ind w:left="360"/>
              <w:rPr>
                <w:rFonts w:ascii="Arial" w:hAnsi="Arial" w:cs="Arial"/>
                <w:sz w:val="20"/>
                <w:lang w:val="es-CR"/>
              </w:rPr>
            </w:pPr>
          </w:p>
        </w:tc>
        <w:tc>
          <w:tcPr>
            <w:tcW w:w="4082" w:type="dxa"/>
          </w:tcPr>
          <w:p w14:paraId="0A4D817A" w14:textId="77777777" w:rsidR="00C17A9F" w:rsidRDefault="00C17A9F" w:rsidP="00C17A9F">
            <w:pPr>
              <w:pStyle w:val="CNV"/>
              <w:widowControl w:val="0"/>
              <w:tabs>
                <w:tab w:val="left" w:pos="8910"/>
              </w:tabs>
              <w:ind w:left="57"/>
              <w:rPr>
                <w:rFonts w:ascii="Arial" w:hAnsi="Arial" w:cs="Arial"/>
                <w:sz w:val="20"/>
                <w:lang w:val="es-CR"/>
              </w:rPr>
            </w:pPr>
            <w:r w:rsidRPr="007F6EAB">
              <w:rPr>
                <w:rFonts w:ascii="Arial" w:hAnsi="Arial" w:cs="Arial"/>
                <w:sz w:val="20"/>
                <w:lang w:val="es-CR"/>
              </w:rPr>
              <w:t>En la definición del nombre de los fondos de inversión se deben considerar los siguientes aspectos:</w:t>
            </w:r>
          </w:p>
          <w:p w14:paraId="4F4AEE47" w14:textId="2604CCAD" w:rsidR="00D91B10" w:rsidRPr="007F6EAB" w:rsidRDefault="00D91B10" w:rsidP="00C17A9F">
            <w:pPr>
              <w:pStyle w:val="CNV"/>
              <w:widowControl w:val="0"/>
              <w:tabs>
                <w:tab w:val="left" w:pos="8910"/>
              </w:tabs>
              <w:ind w:left="57"/>
              <w:rPr>
                <w:rFonts w:ascii="Arial" w:hAnsi="Arial" w:cs="Arial"/>
                <w:sz w:val="20"/>
                <w:lang w:val="es-CR"/>
              </w:rPr>
            </w:pPr>
            <w:r>
              <w:rPr>
                <w:rFonts w:ascii="Arial" w:hAnsi="Arial" w:cs="Arial"/>
                <w:sz w:val="20"/>
                <w:lang w:val="es-CR"/>
              </w:rPr>
              <w:t>(…)</w:t>
            </w:r>
          </w:p>
        </w:tc>
      </w:tr>
      <w:tr w:rsidR="00C17A9F" w:rsidRPr="007F6EAB" w14:paraId="54419DB5" w14:textId="3F1DD480" w:rsidTr="00D91B10">
        <w:tc>
          <w:tcPr>
            <w:tcW w:w="4082" w:type="dxa"/>
          </w:tcPr>
          <w:p w14:paraId="05BD8FC8" w14:textId="77777777" w:rsidR="00C17A9F" w:rsidRPr="007F6EAB" w:rsidRDefault="00C17A9F" w:rsidP="00C17A9F">
            <w:pPr>
              <w:pStyle w:val="Prrafodelista"/>
              <w:numPr>
                <w:ilvl w:val="0"/>
                <w:numId w:val="11"/>
              </w:numPr>
              <w:contextualSpacing w:val="0"/>
              <w:jc w:val="both"/>
              <w:rPr>
                <w:rFonts w:ascii="Arial" w:hAnsi="Arial" w:cs="Arial"/>
                <w:sz w:val="20"/>
                <w:szCs w:val="20"/>
              </w:rPr>
            </w:pPr>
            <w:r w:rsidRPr="007F6EAB">
              <w:rPr>
                <w:rFonts w:ascii="Arial" w:hAnsi="Arial" w:cs="Arial"/>
                <w:sz w:val="20"/>
                <w:szCs w:val="20"/>
              </w:rPr>
              <w:t>El término “verde”, “social” o “sostenible”, debe utilizarse únicamente cuando el fondo de inversión invierte el 100% de su cartera en valores o proyectos verdes, sociales o sostenibles conforme a los establecido en el Acuerdo SGV-A-xxx Lineamientos para emisiones verdes, sociales y sostenibles de oferta pública. “</w:t>
            </w:r>
          </w:p>
        </w:tc>
        <w:tc>
          <w:tcPr>
            <w:tcW w:w="2835" w:type="dxa"/>
          </w:tcPr>
          <w:p w14:paraId="622CAC6C" w14:textId="77777777" w:rsidR="00C17A9F" w:rsidRPr="007F6EAB" w:rsidRDefault="005C34D9" w:rsidP="005C34D9">
            <w:pPr>
              <w:jc w:val="both"/>
              <w:rPr>
                <w:rFonts w:ascii="Arial" w:hAnsi="Arial" w:cs="Arial"/>
                <w:b/>
                <w:bCs/>
                <w:sz w:val="20"/>
                <w:szCs w:val="20"/>
              </w:rPr>
            </w:pPr>
            <w:r w:rsidRPr="007F6EAB">
              <w:rPr>
                <w:rFonts w:ascii="Arial" w:hAnsi="Arial" w:cs="Arial"/>
                <w:b/>
                <w:bCs/>
                <w:sz w:val="20"/>
                <w:szCs w:val="20"/>
              </w:rPr>
              <w:t>Conglomerado Banco Nacional de Costa Rica</w:t>
            </w:r>
          </w:p>
          <w:p w14:paraId="7EB31BCC" w14:textId="77777777" w:rsidR="005C34D9" w:rsidRPr="007F6EAB" w:rsidRDefault="005C34D9" w:rsidP="005C34D9">
            <w:pPr>
              <w:jc w:val="both"/>
              <w:rPr>
                <w:rFonts w:ascii="Arial" w:hAnsi="Arial" w:cs="Arial"/>
                <w:sz w:val="20"/>
                <w:szCs w:val="20"/>
              </w:rPr>
            </w:pPr>
            <w:r w:rsidRPr="007F6EAB">
              <w:rPr>
                <w:rFonts w:ascii="Arial" w:hAnsi="Arial" w:cs="Arial"/>
                <w:sz w:val="20"/>
                <w:szCs w:val="20"/>
              </w:rPr>
              <w:t>Para el caso de fondos constituidos para el desarrollo de proyectos, el proyecto es el que debe cumplir con la definición de verde social o sostenible, no la cartera de inversión. La cartera financiera es un marginal que no forma parte del objeto del Fondo, pero es necesaria para su manejo operativo.  Pretender que esa cartera también sea verde en un mercado donde básicamente no hay instrumentos verdes, es generar una barrera de entrada que lejos de fomentar la creación de estos productos (Fondos), los desestimula.</w:t>
            </w:r>
          </w:p>
          <w:p w14:paraId="383E5061" w14:textId="77777777" w:rsidR="005C34D9" w:rsidRPr="007F6EAB" w:rsidRDefault="005C34D9" w:rsidP="005C34D9">
            <w:pPr>
              <w:jc w:val="both"/>
              <w:rPr>
                <w:rFonts w:ascii="Arial" w:hAnsi="Arial" w:cs="Arial"/>
                <w:sz w:val="20"/>
                <w:szCs w:val="20"/>
              </w:rPr>
            </w:pPr>
          </w:p>
          <w:p w14:paraId="499E6909" w14:textId="77777777" w:rsidR="005C34D9" w:rsidRPr="007F6EAB" w:rsidRDefault="005C34D9" w:rsidP="005C34D9">
            <w:pPr>
              <w:jc w:val="both"/>
              <w:rPr>
                <w:rFonts w:ascii="Arial" w:hAnsi="Arial" w:cs="Arial"/>
                <w:sz w:val="20"/>
                <w:szCs w:val="20"/>
              </w:rPr>
            </w:pPr>
            <w:r w:rsidRPr="007F6EAB">
              <w:rPr>
                <w:rFonts w:ascii="Arial" w:hAnsi="Arial" w:cs="Arial"/>
                <w:sz w:val="20"/>
                <w:szCs w:val="20"/>
              </w:rPr>
              <w:t>Ejemplo:</w:t>
            </w:r>
          </w:p>
          <w:p w14:paraId="5D306944" w14:textId="77777777" w:rsidR="005C34D9" w:rsidRPr="007F6EAB" w:rsidRDefault="005C34D9" w:rsidP="005C34D9">
            <w:pPr>
              <w:jc w:val="both"/>
              <w:rPr>
                <w:rFonts w:ascii="Arial" w:hAnsi="Arial" w:cs="Arial"/>
                <w:sz w:val="20"/>
                <w:szCs w:val="20"/>
              </w:rPr>
            </w:pPr>
            <w:r w:rsidRPr="007F6EAB">
              <w:rPr>
                <w:rFonts w:ascii="Arial" w:hAnsi="Arial" w:cs="Arial"/>
                <w:sz w:val="20"/>
                <w:szCs w:val="20"/>
              </w:rPr>
              <w:t xml:space="preserve">Cuando se realiza una inversión en un proyecto de generación eólica financiado con parte de una emisión de bonos verdes, la empresa gestora del proyecto, no está obligada a manejar su liquidez en instrumentos verdes, dado que el objeto es la generación eléctrica mediante una tecnología no contaminante.  El bono verde logra su objetivo. En el caso de los Fondos de Inversión, por ejemplo, denominados verdes, se exige que el 100% de su cartera sea invertida en instrumentos verdes.  Ahora bien, si el Fondo es uno de Desarrollo de Proyectos, que considera una edificación que cuenta con las certificaciones ambientales respectivas, así como con la segunda opinión que certifican que el objeto del Fondo es verde, nos parece que exigir que también la cartera financiera </w:t>
            </w:r>
            <w:r w:rsidRPr="007F6EAB">
              <w:rPr>
                <w:rFonts w:ascii="Arial" w:hAnsi="Arial" w:cs="Arial"/>
                <w:sz w:val="20"/>
                <w:szCs w:val="20"/>
              </w:rPr>
              <w:lastRenderedPageBreak/>
              <w:t>sea verde, es una situación innecesaria y muy difícil de cumplir por no decir imposible.</w:t>
            </w:r>
          </w:p>
          <w:p w14:paraId="25433E3B" w14:textId="77777777" w:rsidR="005C34D9" w:rsidRPr="007F6EAB" w:rsidRDefault="005C34D9" w:rsidP="005C34D9">
            <w:pPr>
              <w:jc w:val="both"/>
              <w:rPr>
                <w:rFonts w:ascii="Arial" w:hAnsi="Arial" w:cs="Arial"/>
                <w:sz w:val="20"/>
                <w:szCs w:val="20"/>
              </w:rPr>
            </w:pPr>
          </w:p>
          <w:p w14:paraId="1FB71FD3" w14:textId="77777777" w:rsidR="005C34D9" w:rsidRPr="007F6EAB" w:rsidRDefault="005C34D9" w:rsidP="005C34D9">
            <w:pPr>
              <w:jc w:val="both"/>
              <w:rPr>
                <w:rFonts w:ascii="Arial" w:hAnsi="Arial" w:cs="Arial"/>
                <w:sz w:val="20"/>
                <w:szCs w:val="20"/>
              </w:rPr>
            </w:pPr>
            <w:r w:rsidRPr="007F6EAB">
              <w:rPr>
                <w:rFonts w:ascii="Arial" w:hAnsi="Arial" w:cs="Arial"/>
                <w:sz w:val="20"/>
                <w:szCs w:val="20"/>
              </w:rPr>
              <w:t>Por lo tanto observamos un sesgo normativo muy difícil de cumplir por lo menos en la etapa en que la industria de bonos temáticos se encuentra en el país, aunque también a nivel mundial, las emisiones verdes representan un porcentaje muy pequeño aún de los bonos en circulación.</w:t>
            </w:r>
          </w:p>
          <w:p w14:paraId="4F4C9294" w14:textId="77777777" w:rsidR="005C34D9" w:rsidRPr="007F6EAB" w:rsidRDefault="005C34D9" w:rsidP="005C34D9">
            <w:pPr>
              <w:jc w:val="both"/>
              <w:rPr>
                <w:rFonts w:ascii="Arial" w:hAnsi="Arial" w:cs="Arial"/>
                <w:sz w:val="20"/>
                <w:szCs w:val="20"/>
              </w:rPr>
            </w:pPr>
          </w:p>
          <w:p w14:paraId="47A0290F" w14:textId="77777777" w:rsidR="005C34D9" w:rsidRPr="007F6EAB" w:rsidRDefault="005C34D9" w:rsidP="005C34D9">
            <w:pPr>
              <w:jc w:val="both"/>
              <w:rPr>
                <w:rFonts w:ascii="Arial" w:hAnsi="Arial" w:cs="Arial"/>
                <w:sz w:val="20"/>
                <w:szCs w:val="20"/>
              </w:rPr>
            </w:pPr>
            <w:r w:rsidRPr="007F6EAB">
              <w:rPr>
                <w:rFonts w:ascii="Arial" w:hAnsi="Arial" w:cs="Arial"/>
                <w:sz w:val="20"/>
                <w:szCs w:val="20"/>
              </w:rPr>
              <w:t xml:space="preserve">Nos parece que durante el proceso de desarrollo de la infraestructura, que es cuando normalmente el Fondo tiene una alta liquidez, pueda invertir en cualquier tipo de instrumento de acuerdo con su política de inversión, lo cual será por un tiempo corto.  Cuando la obra se termina, los recursos que conforman la cartera financiera será muy pequeña, </w:t>
            </w:r>
            <w:r w:rsidRPr="007F6EAB">
              <w:rPr>
                <w:rFonts w:ascii="Arial" w:hAnsi="Arial" w:cs="Arial"/>
                <w:sz w:val="20"/>
                <w:szCs w:val="20"/>
              </w:rPr>
              <w:lastRenderedPageBreak/>
              <w:t>en comparación con la obra objeto del Fondo y por lo tanto, también se considera exagerado y desproporcionado exigir que la cartera financiera sea también verde.  Si bien el Fondo puede estar interesado en que así sea, la realidad es que no hay instrumentos verdes de corto plazo, que son los que requiere el Fondo para manejar su liquidez.</w:t>
            </w:r>
          </w:p>
          <w:p w14:paraId="6653F080" w14:textId="77777777" w:rsidR="005C34D9" w:rsidRPr="007F6EAB" w:rsidRDefault="005C34D9" w:rsidP="005C34D9">
            <w:pPr>
              <w:jc w:val="both"/>
              <w:rPr>
                <w:rFonts w:ascii="Arial" w:hAnsi="Arial" w:cs="Arial"/>
                <w:sz w:val="20"/>
                <w:szCs w:val="20"/>
              </w:rPr>
            </w:pPr>
          </w:p>
          <w:p w14:paraId="191DBB19" w14:textId="212CE0F7" w:rsidR="005C34D9" w:rsidRPr="007F6EAB" w:rsidRDefault="005C34D9" w:rsidP="005C34D9">
            <w:pPr>
              <w:jc w:val="both"/>
              <w:rPr>
                <w:rFonts w:ascii="Arial" w:hAnsi="Arial" w:cs="Arial"/>
                <w:sz w:val="20"/>
                <w:szCs w:val="20"/>
              </w:rPr>
            </w:pPr>
            <w:r w:rsidRPr="007F6EAB">
              <w:rPr>
                <w:rFonts w:ascii="Arial" w:hAnsi="Arial" w:cs="Arial"/>
                <w:sz w:val="20"/>
                <w:szCs w:val="20"/>
              </w:rPr>
              <w:t>Propuesta:</w:t>
            </w:r>
          </w:p>
          <w:p w14:paraId="52B173E5" w14:textId="6C7E6BCA" w:rsidR="005C34D9" w:rsidRPr="007F6EAB" w:rsidRDefault="005C34D9" w:rsidP="00605339">
            <w:pPr>
              <w:jc w:val="both"/>
              <w:rPr>
                <w:rFonts w:ascii="Arial" w:hAnsi="Arial" w:cs="Arial"/>
                <w:sz w:val="20"/>
                <w:szCs w:val="20"/>
              </w:rPr>
            </w:pPr>
            <w:r w:rsidRPr="007F6EAB">
              <w:rPr>
                <w:rFonts w:ascii="Arial" w:hAnsi="Arial" w:cs="Arial"/>
                <w:sz w:val="20"/>
                <w:szCs w:val="20"/>
              </w:rPr>
              <w:t>Aclarar, en la definición de fondos de inversión “verdes”, “sociales” o “sostenibles”, que en el caso de fondos constituidos para el desarrollo de proyectos sea el proyecto para el cual fue creado el que debe cumplir con la definición de verde social o sostenible.</w:t>
            </w:r>
          </w:p>
        </w:tc>
        <w:tc>
          <w:tcPr>
            <w:tcW w:w="2835" w:type="dxa"/>
          </w:tcPr>
          <w:p w14:paraId="7375376F" w14:textId="77777777" w:rsidR="00C17A9F" w:rsidRPr="007F6EAB" w:rsidRDefault="00AE04E5" w:rsidP="00AE04E5">
            <w:pPr>
              <w:jc w:val="both"/>
              <w:rPr>
                <w:rFonts w:ascii="Arial" w:hAnsi="Arial" w:cs="Arial"/>
                <w:b/>
                <w:bCs/>
                <w:sz w:val="20"/>
                <w:szCs w:val="20"/>
              </w:rPr>
            </w:pPr>
            <w:r w:rsidRPr="007F6EAB">
              <w:rPr>
                <w:rFonts w:ascii="Arial" w:hAnsi="Arial" w:cs="Arial"/>
                <w:b/>
                <w:bCs/>
                <w:sz w:val="20"/>
                <w:szCs w:val="20"/>
              </w:rPr>
              <w:lastRenderedPageBreak/>
              <w:t>No se acepta</w:t>
            </w:r>
          </w:p>
          <w:p w14:paraId="3378EC3E" w14:textId="010CFC08" w:rsidR="00605339" w:rsidRPr="007F6EAB" w:rsidRDefault="00605339" w:rsidP="00605339">
            <w:pPr>
              <w:jc w:val="both"/>
              <w:rPr>
                <w:rFonts w:ascii="Arial" w:hAnsi="Arial" w:cs="Arial"/>
                <w:sz w:val="20"/>
                <w:szCs w:val="20"/>
              </w:rPr>
            </w:pPr>
            <w:r w:rsidRPr="007F6EAB">
              <w:rPr>
                <w:rFonts w:ascii="Arial" w:hAnsi="Arial" w:cs="Arial"/>
                <w:sz w:val="20"/>
                <w:szCs w:val="20"/>
              </w:rPr>
              <w:t>La aclaración sugerida requiere de una reforma reglamentaria (norma de mayor rango), por lo que no es posible realizarla a través de un acuerdo.</w:t>
            </w:r>
          </w:p>
          <w:p w14:paraId="6A2D7214" w14:textId="77777777" w:rsidR="00605339" w:rsidRPr="007F6EAB" w:rsidRDefault="00605339" w:rsidP="00605339">
            <w:pPr>
              <w:jc w:val="both"/>
              <w:rPr>
                <w:rFonts w:ascii="Arial" w:hAnsi="Arial" w:cs="Arial"/>
                <w:sz w:val="20"/>
                <w:szCs w:val="20"/>
              </w:rPr>
            </w:pPr>
          </w:p>
          <w:p w14:paraId="20B16E3E" w14:textId="0C6DF7B0" w:rsidR="00AE04E5" w:rsidRDefault="00605339" w:rsidP="00605339">
            <w:pPr>
              <w:jc w:val="both"/>
              <w:rPr>
                <w:rFonts w:ascii="Arial" w:hAnsi="Arial" w:cs="Arial"/>
                <w:sz w:val="20"/>
                <w:szCs w:val="20"/>
              </w:rPr>
            </w:pPr>
            <w:r w:rsidRPr="007F6EAB">
              <w:rPr>
                <w:rFonts w:ascii="Arial" w:hAnsi="Arial" w:cs="Arial"/>
                <w:sz w:val="20"/>
                <w:szCs w:val="20"/>
              </w:rPr>
              <w:t xml:space="preserve">Esta Superintendencia tiene la tarea de reglamentar las disposiciones establecidas en la “Ley para potenciar el financiamiento y la inversión para el desarrollo sostenible, mediante el uso de valores de oferta pública temáticos” en un plazo máximo de 6 meses contados a partir del 29 de octubre del 2021. Lo sugerido por esta entidad se </w:t>
            </w:r>
            <w:r w:rsidR="00BC49B3" w:rsidRPr="007F6EAB">
              <w:rPr>
                <w:rFonts w:ascii="Arial" w:hAnsi="Arial" w:cs="Arial"/>
                <w:sz w:val="20"/>
                <w:szCs w:val="20"/>
              </w:rPr>
              <w:t>valorará</w:t>
            </w:r>
            <w:r w:rsidRPr="007F6EAB">
              <w:rPr>
                <w:rFonts w:ascii="Arial" w:hAnsi="Arial" w:cs="Arial"/>
                <w:sz w:val="20"/>
                <w:szCs w:val="20"/>
              </w:rPr>
              <w:t xml:space="preserve"> como parte de dicho proceso.</w:t>
            </w:r>
          </w:p>
          <w:p w14:paraId="738DDB49" w14:textId="77777777" w:rsidR="00704136" w:rsidRDefault="00704136" w:rsidP="00605339">
            <w:pPr>
              <w:jc w:val="both"/>
              <w:rPr>
                <w:rFonts w:ascii="Arial" w:hAnsi="Arial" w:cs="Arial"/>
                <w:b/>
                <w:bCs/>
                <w:sz w:val="20"/>
                <w:szCs w:val="20"/>
              </w:rPr>
            </w:pPr>
          </w:p>
          <w:p w14:paraId="5AF7E90A" w14:textId="77777777" w:rsidR="00704136" w:rsidRDefault="00704136" w:rsidP="00605339">
            <w:pPr>
              <w:jc w:val="both"/>
              <w:rPr>
                <w:rFonts w:ascii="Arial" w:hAnsi="Arial" w:cs="Arial"/>
                <w:b/>
                <w:bCs/>
                <w:sz w:val="20"/>
                <w:szCs w:val="20"/>
              </w:rPr>
            </w:pPr>
          </w:p>
          <w:p w14:paraId="5BB793CF" w14:textId="77777777" w:rsidR="00704136" w:rsidRDefault="00704136" w:rsidP="00605339">
            <w:pPr>
              <w:jc w:val="both"/>
              <w:rPr>
                <w:rFonts w:ascii="Arial" w:hAnsi="Arial" w:cs="Arial"/>
                <w:b/>
                <w:bCs/>
                <w:sz w:val="20"/>
                <w:szCs w:val="20"/>
              </w:rPr>
            </w:pPr>
          </w:p>
          <w:p w14:paraId="35A7B4F6" w14:textId="77777777" w:rsidR="00704136" w:rsidRDefault="00704136" w:rsidP="00605339">
            <w:pPr>
              <w:jc w:val="both"/>
              <w:rPr>
                <w:rFonts w:ascii="Arial" w:hAnsi="Arial" w:cs="Arial"/>
                <w:b/>
                <w:bCs/>
                <w:sz w:val="20"/>
                <w:szCs w:val="20"/>
              </w:rPr>
            </w:pPr>
          </w:p>
          <w:p w14:paraId="16637A05" w14:textId="77777777" w:rsidR="00704136" w:rsidRDefault="00704136" w:rsidP="00605339">
            <w:pPr>
              <w:jc w:val="both"/>
              <w:rPr>
                <w:rFonts w:ascii="Arial" w:hAnsi="Arial" w:cs="Arial"/>
                <w:b/>
                <w:bCs/>
                <w:sz w:val="20"/>
                <w:szCs w:val="20"/>
              </w:rPr>
            </w:pPr>
          </w:p>
          <w:p w14:paraId="7AE30CC6" w14:textId="77777777" w:rsidR="00704136" w:rsidRDefault="00704136" w:rsidP="00605339">
            <w:pPr>
              <w:jc w:val="both"/>
              <w:rPr>
                <w:rFonts w:ascii="Arial" w:hAnsi="Arial" w:cs="Arial"/>
                <w:b/>
                <w:bCs/>
                <w:sz w:val="20"/>
                <w:szCs w:val="20"/>
              </w:rPr>
            </w:pPr>
          </w:p>
          <w:p w14:paraId="5FBF17B0" w14:textId="77777777" w:rsidR="00704136" w:rsidRDefault="00704136" w:rsidP="00605339">
            <w:pPr>
              <w:jc w:val="both"/>
              <w:rPr>
                <w:rFonts w:ascii="Arial" w:hAnsi="Arial" w:cs="Arial"/>
                <w:b/>
                <w:bCs/>
                <w:sz w:val="20"/>
                <w:szCs w:val="20"/>
              </w:rPr>
            </w:pPr>
          </w:p>
          <w:p w14:paraId="360F5A84" w14:textId="77777777" w:rsidR="00704136" w:rsidRDefault="00704136" w:rsidP="00605339">
            <w:pPr>
              <w:jc w:val="both"/>
              <w:rPr>
                <w:rFonts w:ascii="Arial" w:hAnsi="Arial" w:cs="Arial"/>
                <w:b/>
                <w:bCs/>
                <w:sz w:val="20"/>
                <w:szCs w:val="20"/>
              </w:rPr>
            </w:pPr>
          </w:p>
          <w:p w14:paraId="3A5D3093" w14:textId="77777777" w:rsidR="00704136" w:rsidRDefault="00704136" w:rsidP="00605339">
            <w:pPr>
              <w:jc w:val="both"/>
              <w:rPr>
                <w:rFonts w:ascii="Arial" w:hAnsi="Arial" w:cs="Arial"/>
                <w:b/>
                <w:bCs/>
                <w:sz w:val="20"/>
                <w:szCs w:val="20"/>
              </w:rPr>
            </w:pPr>
          </w:p>
          <w:p w14:paraId="14410382" w14:textId="77777777" w:rsidR="00704136" w:rsidRDefault="00704136" w:rsidP="00605339">
            <w:pPr>
              <w:jc w:val="both"/>
              <w:rPr>
                <w:rFonts w:ascii="Arial" w:hAnsi="Arial" w:cs="Arial"/>
                <w:b/>
                <w:bCs/>
                <w:sz w:val="20"/>
                <w:szCs w:val="20"/>
              </w:rPr>
            </w:pPr>
          </w:p>
          <w:p w14:paraId="61700ABB" w14:textId="77777777" w:rsidR="00704136" w:rsidRDefault="00704136" w:rsidP="00605339">
            <w:pPr>
              <w:jc w:val="both"/>
              <w:rPr>
                <w:rFonts w:ascii="Arial" w:hAnsi="Arial" w:cs="Arial"/>
                <w:b/>
                <w:bCs/>
                <w:sz w:val="20"/>
                <w:szCs w:val="20"/>
              </w:rPr>
            </w:pPr>
          </w:p>
          <w:p w14:paraId="3BE13349" w14:textId="77777777" w:rsidR="00704136" w:rsidRDefault="00704136" w:rsidP="00605339">
            <w:pPr>
              <w:jc w:val="both"/>
              <w:rPr>
                <w:rFonts w:ascii="Arial" w:hAnsi="Arial" w:cs="Arial"/>
                <w:b/>
                <w:bCs/>
                <w:sz w:val="20"/>
                <w:szCs w:val="20"/>
              </w:rPr>
            </w:pPr>
          </w:p>
          <w:p w14:paraId="501BB21C" w14:textId="77777777" w:rsidR="00704136" w:rsidRDefault="00704136" w:rsidP="00605339">
            <w:pPr>
              <w:jc w:val="both"/>
              <w:rPr>
                <w:rFonts w:ascii="Arial" w:hAnsi="Arial" w:cs="Arial"/>
                <w:b/>
                <w:bCs/>
                <w:sz w:val="20"/>
                <w:szCs w:val="20"/>
              </w:rPr>
            </w:pPr>
          </w:p>
          <w:p w14:paraId="1C9CF4DF" w14:textId="77777777" w:rsidR="00704136" w:rsidRDefault="00704136" w:rsidP="00605339">
            <w:pPr>
              <w:jc w:val="both"/>
              <w:rPr>
                <w:rFonts w:ascii="Arial" w:hAnsi="Arial" w:cs="Arial"/>
                <w:b/>
                <w:bCs/>
                <w:sz w:val="20"/>
                <w:szCs w:val="20"/>
              </w:rPr>
            </w:pPr>
          </w:p>
          <w:p w14:paraId="36DC4546" w14:textId="77777777" w:rsidR="00704136" w:rsidRDefault="00704136" w:rsidP="00605339">
            <w:pPr>
              <w:jc w:val="both"/>
              <w:rPr>
                <w:rFonts w:ascii="Arial" w:hAnsi="Arial" w:cs="Arial"/>
                <w:b/>
                <w:bCs/>
                <w:sz w:val="20"/>
                <w:szCs w:val="20"/>
              </w:rPr>
            </w:pPr>
          </w:p>
          <w:p w14:paraId="136812E2" w14:textId="77777777" w:rsidR="00704136" w:rsidRDefault="00704136" w:rsidP="00605339">
            <w:pPr>
              <w:jc w:val="both"/>
              <w:rPr>
                <w:rFonts w:ascii="Arial" w:hAnsi="Arial" w:cs="Arial"/>
                <w:b/>
                <w:bCs/>
                <w:sz w:val="20"/>
                <w:szCs w:val="20"/>
              </w:rPr>
            </w:pPr>
          </w:p>
          <w:p w14:paraId="6693776A" w14:textId="77777777" w:rsidR="00704136" w:rsidRDefault="00704136" w:rsidP="00605339">
            <w:pPr>
              <w:jc w:val="both"/>
              <w:rPr>
                <w:rFonts w:ascii="Arial" w:hAnsi="Arial" w:cs="Arial"/>
                <w:b/>
                <w:bCs/>
                <w:sz w:val="20"/>
                <w:szCs w:val="20"/>
              </w:rPr>
            </w:pPr>
          </w:p>
          <w:p w14:paraId="6F122995" w14:textId="77777777" w:rsidR="00704136" w:rsidRDefault="00704136" w:rsidP="00605339">
            <w:pPr>
              <w:jc w:val="both"/>
              <w:rPr>
                <w:rFonts w:ascii="Arial" w:hAnsi="Arial" w:cs="Arial"/>
                <w:b/>
                <w:bCs/>
                <w:sz w:val="20"/>
                <w:szCs w:val="20"/>
              </w:rPr>
            </w:pPr>
          </w:p>
          <w:p w14:paraId="65DDB271" w14:textId="77777777" w:rsidR="00704136" w:rsidRDefault="00704136" w:rsidP="00605339">
            <w:pPr>
              <w:jc w:val="both"/>
              <w:rPr>
                <w:rFonts w:ascii="Arial" w:hAnsi="Arial" w:cs="Arial"/>
                <w:b/>
                <w:bCs/>
                <w:sz w:val="20"/>
                <w:szCs w:val="20"/>
              </w:rPr>
            </w:pPr>
          </w:p>
          <w:p w14:paraId="567EC2C0" w14:textId="77777777" w:rsidR="00704136" w:rsidRDefault="00704136" w:rsidP="00605339">
            <w:pPr>
              <w:jc w:val="both"/>
              <w:rPr>
                <w:rFonts w:ascii="Arial" w:hAnsi="Arial" w:cs="Arial"/>
                <w:b/>
                <w:bCs/>
                <w:sz w:val="20"/>
                <w:szCs w:val="20"/>
              </w:rPr>
            </w:pPr>
          </w:p>
          <w:p w14:paraId="62E1AFEF" w14:textId="77777777" w:rsidR="00704136" w:rsidRDefault="00704136" w:rsidP="00605339">
            <w:pPr>
              <w:jc w:val="both"/>
              <w:rPr>
                <w:rFonts w:ascii="Arial" w:hAnsi="Arial" w:cs="Arial"/>
                <w:b/>
                <w:bCs/>
                <w:sz w:val="20"/>
                <w:szCs w:val="20"/>
              </w:rPr>
            </w:pPr>
          </w:p>
          <w:p w14:paraId="074A5660" w14:textId="77777777" w:rsidR="00704136" w:rsidRDefault="00704136" w:rsidP="00605339">
            <w:pPr>
              <w:jc w:val="both"/>
              <w:rPr>
                <w:rFonts w:ascii="Arial" w:hAnsi="Arial" w:cs="Arial"/>
                <w:b/>
                <w:bCs/>
                <w:sz w:val="20"/>
                <w:szCs w:val="20"/>
              </w:rPr>
            </w:pPr>
          </w:p>
          <w:p w14:paraId="3BC38CE1" w14:textId="77777777" w:rsidR="00704136" w:rsidRDefault="00704136" w:rsidP="00605339">
            <w:pPr>
              <w:jc w:val="both"/>
              <w:rPr>
                <w:rFonts w:ascii="Arial" w:hAnsi="Arial" w:cs="Arial"/>
                <w:b/>
                <w:bCs/>
                <w:sz w:val="20"/>
                <w:szCs w:val="20"/>
              </w:rPr>
            </w:pPr>
          </w:p>
          <w:p w14:paraId="2386F7CB" w14:textId="77777777" w:rsidR="00704136" w:rsidRDefault="00704136" w:rsidP="00605339">
            <w:pPr>
              <w:jc w:val="both"/>
              <w:rPr>
                <w:rFonts w:ascii="Arial" w:hAnsi="Arial" w:cs="Arial"/>
                <w:b/>
                <w:bCs/>
                <w:sz w:val="20"/>
                <w:szCs w:val="20"/>
              </w:rPr>
            </w:pPr>
          </w:p>
          <w:p w14:paraId="35449081" w14:textId="77777777" w:rsidR="00704136" w:rsidRDefault="00704136" w:rsidP="00605339">
            <w:pPr>
              <w:jc w:val="both"/>
              <w:rPr>
                <w:rFonts w:ascii="Arial" w:hAnsi="Arial" w:cs="Arial"/>
                <w:b/>
                <w:bCs/>
                <w:sz w:val="20"/>
                <w:szCs w:val="20"/>
              </w:rPr>
            </w:pPr>
          </w:p>
          <w:p w14:paraId="1ED1658E" w14:textId="77777777" w:rsidR="00704136" w:rsidRDefault="00704136" w:rsidP="00605339">
            <w:pPr>
              <w:jc w:val="both"/>
              <w:rPr>
                <w:rFonts w:ascii="Arial" w:hAnsi="Arial" w:cs="Arial"/>
                <w:b/>
                <w:bCs/>
                <w:sz w:val="20"/>
                <w:szCs w:val="20"/>
              </w:rPr>
            </w:pPr>
          </w:p>
          <w:p w14:paraId="2918372A" w14:textId="77777777" w:rsidR="00704136" w:rsidRDefault="00704136" w:rsidP="00605339">
            <w:pPr>
              <w:jc w:val="both"/>
              <w:rPr>
                <w:rFonts w:ascii="Arial" w:hAnsi="Arial" w:cs="Arial"/>
                <w:b/>
                <w:bCs/>
                <w:sz w:val="20"/>
                <w:szCs w:val="20"/>
              </w:rPr>
            </w:pPr>
          </w:p>
          <w:p w14:paraId="730AB451" w14:textId="77777777" w:rsidR="00704136" w:rsidRDefault="00704136" w:rsidP="00605339">
            <w:pPr>
              <w:jc w:val="both"/>
              <w:rPr>
                <w:rFonts w:ascii="Arial" w:hAnsi="Arial" w:cs="Arial"/>
                <w:b/>
                <w:bCs/>
                <w:sz w:val="20"/>
                <w:szCs w:val="20"/>
              </w:rPr>
            </w:pPr>
          </w:p>
          <w:p w14:paraId="320F3C7B" w14:textId="77777777" w:rsidR="00704136" w:rsidRDefault="00704136" w:rsidP="00605339">
            <w:pPr>
              <w:jc w:val="both"/>
              <w:rPr>
                <w:rFonts w:ascii="Arial" w:hAnsi="Arial" w:cs="Arial"/>
                <w:b/>
                <w:bCs/>
                <w:sz w:val="20"/>
                <w:szCs w:val="20"/>
              </w:rPr>
            </w:pPr>
          </w:p>
          <w:p w14:paraId="6714DC87" w14:textId="77777777" w:rsidR="00704136" w:rsidRDefault="00704136" w:rsidP="00605339">
            <w:pPr>
              <w:jc w:val="both"/>
              <w:rPr>
                <w:rFonts w:ascii="Arial" w:hAnsi="Arial" w:cs="Arial"/>
                <w:b/>
                <w:bCs/>
                <w:sz w:val="20"/>
                <w:szCs w:val="20"/>
              </w:rPr>
            </w:pPr>
          </w:p>
          <w:p w14:paraId="5CCEC38B" w14:textId="77777777" w:rsidR="00704136" w:rsidRDefault="00704136" w:rsidP="00605339">
            <w:pPr>
              <w:jc w:val="both"/>
              <w:rPr>
                <w:rFonts w:ascii="Arial" w:hAnsi="Arial" w:cs="Arial"/>
                <w:b/>
                <w:bCs/>
                <w:sz w:val="20"/>
                <w:szCs w:val="20"/>
              </w:rPr>
            </w:pPr>
          </w:p>
          <w:p w14:paraId="78E7F55B" w14:textId="77777777" w:rsidR="00704136" w:rsidRDefault="00704136" w:rsidP="00605339">
            <w:pPr>
              <w:jc w:val="both"/>
              <w:rPr>
                <w:rFonts w:ascii="Arial" w:hAnsi="Arial" w:cs="Arial"/>
                <w:b/>
                <w:bCs/>
                <w:sz w:val="20"/>
                <w:szCs w:val="20"/>
              </w:rPr>
            </w:pPr>
          </w:p>
          <w:p w14:paraId="6255373C" w14:textId="77777777" w:rsidR="00704136" w:rsidRDefault="00704136" w:rsidP="00605339">
            <w:pPr>
              <w:jc w:val="both"/>
              <w:rPr>
                <w:rFonts w:ascii="Arial" w:hAnsi="Arial" w:cs="Arial"/>
                <w:b/>
                <w:bCs/>
                <w:sz w:val="20"/>
                <w:szCs w:val="20"/>
              </w:rPr>
            </w:pPr>
          </w:p>
          <w:p w14:paraId="5B3BDDF3" w14:textId="77777777" w:rsidR="00704136" w:rsidRDefault="00704136" w:rsidP="00605339">
            <w:pPr>
              <w:jc w:val="both"/>
              <w:rPr>
                <w:rFonts w:ascii="Arial" w:hAnsi="Arial" w:cs="Arial"/>
                <w:b/>
                <w:bCs/>
                <w:sz w:val="20"/>
                <w:szCs w:val="20"/>
              </w:rPr>
            </w:pPr>
          </w:p>
          <w:p w14:paraId="051B73D9" w14:textId="77777777" w:rsidR="00704136" w:rsidRDefault="00704136" w:rsidP="00605339">
            <w:pPr>
              <w:jc w:val="both"/>
              <w:rPr>
                <w:rFonts w:ascii="Arial" w:hAnsi="Arial" w:cs="Arial"/>
                <w:b/>
                <w:bCs/>
                <w:sz w:val="20"/>
                <w:szCs w:val="20"/>
              </w:rPr>
            </w:pPr>
          </w:p>
          <w:p w14:paraId="43F40F40" w14:textId="77777777" w:rsidR="00704136" w:rsidRDefault="00704136" w:rsidP="00605339">
            <w:pPr>
              <w:jc w:val="both"/>
              <w:rPr>
                <w:rFonts w:ascii="Arial" w:hAnsi="Arial" w:cs="Arial"/>
                <w:b/>
                <w:bCs/>
                <w:sz w:val="20"/>
                <w:szCs w:val="20"/>
              </w:rPr>
            </w:pPr>
          </w:p>
          <w:p w14:paraId="02E68A10" w14:textId="77777777" w:rsidR="00704136" w:rsidRDefault="00704136" w:rsidP="00605339">
            <w:pPr>
              <w:jc w:val="both"/>
              <w:rPr>
                <w:rFonts w:ascii="Arial" w:hAnsi="Arial" w:cs="Arial"/>
                <w:b/>
                <w:bCs/>
                <w:sz w:val="20"/>
                <w:szCs w:val="20"/>
              </w:rPr>
            </w:pPr>
          </w:p>
          <w:p w14:paraId="20677DF4" w14:textId="77777777" w:rsidR="00704136" w:rsidRDefault="00704136" w:rsidP="00605339">
            <w:pPr>
              <w:jc w:val="both"/>
              <w:rPr>
                <w:rFonts w:ascii="Arial" w:hAnsi="Arial" w:cs="Arial"/>
                <w:b/>
                <w:bCs/>
                <w:sz w:val="20"/>
                <w:szCs w:val="20"/>
              </w:rPr>
            </w:pPr>
          </w:p>
          <w:p w14:paraId="696DB47D" w14:textId="77777777" w:rsidR="00704136" w:rsidRDefault="00704136" w:rsidP="00605339">
            <w:pPr>
              <w:jc w:val="both"/>
              <w:rPr>
                <w:rFonts w:ascii="Arial" w:hAnsi="Arial" w:cs="Arial"/>
                <w:b/>
                <w:bCs/>
                <w:sz w:val="20"/>
                <w:szCs w:val="20"/>
              </w:rPr>
            </w:pPr>
          </w:p>
          <w:p w14:paraId="39741E3D" w14:textId="77777777" w:rsidR="00704136" w:rsidRDefault="00704136" w:rsidP="00605339">
            <w:pPr>
              <w:jc w:val="both"/>
              <w:rPr>
                <w:rFonts w:ascii="Arial" w:hAnsi="Arial" w:cs="Arial"/>
                <w:b/>
                <w:bCs/>
                <w:sz w:val="20"/>
                <w:szCs w:val="20"/>
              </w:rPr>
            </w:pPr>
          </w:p>
          <w:p w14:paraId="6C29DB87" w14:textId="77777777" w:rsidR="00704136" w:rsidRDefault="00704136" w:rsidP="00605339">
            <w:pPr>
              <w:jc w:val="both"/>
              <w:rPr>
                <w:rFonts w:ascii="Arial" w:hAnsi="Arial" w:cs="Arial"/>
                <w:b/>
                <w:bCs/>
                <w:sz w:val="20"/>
                <w:szCs w:val="20"/>
              </w:rPr>
            </w:pPr>
          </w:p>
          <w:p w14:paraId="1888BD56" w14:textId="77777777" w:rsidR="00704136" w:rsidRDefault="00704136" w:rsidP="00605339">
            <w:pPr>
              <w:jc w:val="both"/>
              <w:rPr>
                <w:rFonts w:ascii="Arial" w:hAnsi="Arial" w:cs="Arial"/>
                <w:b/>
                <w:bCs/>
                <w:sz w:val="20"/>
                <w:szCs w:val="20"/>
              </w:rPr>
            </w:pPr>
          </w:p>
          <w:p w14:paraId="7A74DDD0" w14:textId="77777777" w:rsidR="00704136" w:rsidRDefault="00704136" w:rsidP="00605339">
            <w:pPr>
              <w:jc w:val="both"/>
              <w:rPr>
                <w:rFonts w:ascii="Arial" w:hAnsi="Arial" w:cs="Arial"/>
                <w:b/>
                <w:bCs/>
                <w:sz w:val="20"/>
                <w:szCs w:val="20"/>
              </w:rPr>
            </w:pPr>
          </w:p>
          <w:p w14:paraId="581DB966" w14:textId="77777777" w:rsidR="00704136" w:rsidRDefault="00704136" w:rsidP="00605339">
            <w:pPr>
              <w:jc w:val="both"/>
              <w:rPr>
                <w:rFonts w:ascii="Arial" w:hAnsi="Arial" w:cs="Arial"/>
                <w:b/>
                <w:bCs/>
                <w:sz w:val="20"/>
                <w:szCs w:val="20"/>
              </w:rPr>
            </w:pPr>
          </w:p>
          <w:p w14:paraId="4DAE8C34" w14:textId="77777777" w:rsidR="00704136" w:rsidRDefault="00704136" w:rsidP="00605339">
            <w:pPr>
              <w:jc w:val="both"/>
              <w:rPr>
                <w:rFonts w:ascii="Arial" w:hAnsi="Arial" w:cs="Arial"/>
                <w:b/>
                <w:bCs/>
                <w:sz w:val="20"/>
                <w:szCs w:val="20"/>
              </w:rPr>
            </w:pPr>
          </w:p>
          <w:p w14:paraId="4FE728EF" w14:textId="77777777" w:rsidR="00704136" w:rsidRDefault="00704136" w:rsidP="00605339">
            <w:pPr>
              <w:jc w:val="both"/>
              <w:rPr>
                <w:rFonts w:ascii="Arial" w:hAnsi="Arial" w:cs="Arial"/>
                <w:b/>
                <w:bCs/>
                <w:sz w:val="20"/>
                <w:szCs w:val="20"/>
              </w:rPr>
            </w:pPr>
          </w:p>
          <w:p w14:paraId="7449DC14" w14:textId="77777777" w:rsidR="00704136" w:rsidRDefault="00704136" w:rsidP="00605339">
            <w:pPr>
              <w:jc w:val="both"/>
              <w:rPr>
                <w:rFonts w:ascii="Arial" w:hAnsi="Arial" w:cs="Arial"/>
                <w:b/>
                <w:bCs/>
                <w:sz w:val="20"/>
                <w:szCs w:val="20"/>
              </w:rPr>
            </w:pPr>
          </w:p>
          <w:p w14:paraId="48D6307B" w14:textId="77777777" w:rsidR="00704136" w:rsidRDefault="00704136" w:rsidP="00605339">
            <w:pPr>
              <w:jc w:val="both"/>
              <w:rPr>
                <w:rFonts w:ascii="Arial" w:hAnsi="Arial" w:cs="Arial"/>
                <w:b/>
                <w:bCs/>
                <w:sz w:val="20"/>
                <w:szCs w:val="20"/>
              </w:rPr>
            </w:pPr>
          </w:p>
          <w:p w14:paraId="3987F859" w14:textId="77777777" w:rsidR="00704136" w:rsidRDefault="00704136" w:rsidP="00605339">
            <w:pPr>
              <w:jc w:val="both"/>
              <w:rPr>
                <w:rFonts w:ascii="Arial" w:hAnsi="Arial" w:cs="Arial"/>
                <w:b/>
                <w:bCs/>
                <w:sz w:val="20"/>
                <w:szCs w:val="20"/>
              </w:rPr>
            </w:pPr>
          </w:p>
          <w:p w14:paraId="6A268D76" w14:textId="77777777" w:rsidR="00704136" w:rsidRDefault="00704136" w:rsidP="00605339">
            <w:pPr>
              <w:jc w:val="both"/>
              <w:rPr>
                <w:rFonts w:ascii="Arial" w:hAnsi="Arial" w:cs="Arial"/>
                <w:b/>
                <w:bCs/>
                <w:sz w:val="20"/>
                <w:szCs w:val="20"/>
              </w:rPr>
            </w:pPr>
          </w:p>
          <w:p w14:paraId="7F48A8DC" w14:textId="77777777" w:rsidR="00704136" w:rsidRDefault="00704136" w:rsidP="00605339">
            <w:pPr>
              <w:jc w:val="both"/>
              <w:rPr>
                <w:rFonts w:ascii="Arial" w:hAnsi="Arial" w:cs="Arial"/>
                <w:b/>
                <w:bCs/>
                <w:sz w:val="20"/>
                <w:szCs w:val="20"/>
              </w:rPr>
            </w:pPr>
          </w:p>
          <w:p w14:paraId="3BC7E4DB" w14:textId="77777777" w:rsidR="00704136" w:rsidRDefault="00704136" w:rsidP="00605339">
            <w:pPr>
              <w:jc w:val="both"/>
              <w:rPr>
                <w:rFonts w:ascii="Arial" w:hAnsi="Arial" w:cs="Arial"/>
                <w:b/>
                <w:bCs/>
                <w:sz w:val="20"/>
                <w:szCs w:val="20"/>
              </w:rPr>
            </w:pPr>
          </w:p>
          <w:p w14:paraId="5F8C728C" w14:textId="77777777" w:rsidR="00704136" w:rsidRDefault="00704136" w:rsidP="00605339">
            <w:pPr>
              <w:jc w:val="both"/>
              <w:rPr>
                <w:rFonts w:ascii="Arial" w:hAnsi="Arial" w:cs="Arial"/>
                <w:b/>
                <w:bCs/>
                <w:sz w:val="20"/>
                <w:szCs w:val="20"/>
              </w:rPr>
            </w:pPr>
          </w:p>
          <w:p w14:paraId="40FCD7D1" w14:textId="77777777" w:rsidR="00704136" w:rsidRDefault="00704136" w:rsidP="00605339">
            <w:pPr>
              <w:jc w:val="both"/>
              <w:rPr>
                <w:rFonts w:ascii="Arial" w:hAnsi="Arial" w:cs="Arial"/>
                <w:b/>
                <w:bCs/>
                <w:sz w:val="20"/>
                <w:szCs w:val="20"/>
              </w:rPr>
            </w:pPr>
          </w:p>
          <w:p w14:paraId="24980AB4" w14:textId="77777777" w:rsidR="00704136" w:rsidRDefault="00704136" w:rsidP="00605339">
            <w:pPr>
              <w:jc w:val="both"/>
              <w:rPr>
                <w:rFonts w:ascii="Arial" w:hAnsi="Arial" w:cs="Arial"/>
                <w:b/>
                <w:bCs/>
                <w:sz w:val="20"/>
                <w:szCs w:val="20"/>
              </w:rPr>
            </w:pPr>
          </w:p>
          <w:p w14:paraId="4E349D0F" w14:textId="77777777" w:rsidR="00704136" w:rsidRDefault="00704136" w:rsidP="00605339">
            <w:pPr>
              <w:jc w:val="both"/>
              <w:rPr>
                <w:rFonts w:ascii="Arial" w:hAnsi="Arial" w:cs="Arial"/>
                <w:b/>
                <w:bCs/>
                <w:sz w:val="20"/>
                <w:szCs w:val="20"/>
              </w:rPr>
            </w:pPr>
          </w:p>
          <w:p w14:paraId="114E2DDE" w14:textId="77777777" w:rsidR="00704136" w:rsidRDefault="00704136" w:rsidP="00605339">
            <w:pPr>
              <w:jc w:val="both"/>
              <w:rPr>
                <w:rFonts w:ascii="Arial" w:hAnsi="Arial" w:cs="Arial"/>
                <w:b/>
                <w:bCs/>
                <w:sz w:val="20"/>
                <w:szCs w:val="20"/>
              </w:rPr>
            </w:pPr>
          </w:p>
          <w:p w14:paraId="2D09D77D" w14:textId="77777777" w:rsidR="00704136" w:rsidRDefault="00704136" w:rsidP="00605339">
            <w:pPr>
              <w:jc w:val="both"/>
              <w:rPr>
                <w:rFonts w:ascii="Arial" w:hAnsi="Arial" w:cs="Arial"/>
                <w:b/>
                <w:bCs/>
                <w:sz w:val="20"/>
                <w:szCs w:val="20"/>
              </w:rPr>
            </w:pPr>
          </w:p>
          <w:p w14:paraId="2ED1DC8B" w14:textId="77777777" w:rsidR="00704136" w:rsidRDefault="00704136" w:rsidP="00605339">
            <w:pPr>
              <w:jc w:val="both"/>
              <w:rPr>
                <w:rFonts w:ascii="Arial" w:hAnsi="Arial" w:cs="Arial"/>
                <w:b/>
                <w:bCs/>
                <w:sz w:val="20"/>
                <w:szCs w:val="20"/>
              </w:rPr>
            </w:pPr>
          </w:p>
          <w:p w14:paraId="4C5BA6EA" w14:textId="77777777" w:rsidR="00704136" w:rsidRDefault="00704136" w:rsidP="00605339">
            <w:pPr>
              <w:jc w:val="both"/>
              <w:rPr>
                <w:rFonts w:ascii="Arial" w:hAnsi="Arial" w:cs="Arial"/>
                <w:b/>
                <w:bCs/>
                <w:sz w:val="20"/>
                <w:szCs w:val="20"/>
              </w:rPr>
            </w:pPr>
          </w:p>
          <w:p w14:paraId="0FC36F48" w14:textId="77777777" w:rsidR="00704136" w:rsidRDefault="00704136" w:rsidP="00605339">
            <w:pPr>
              <w:jc w:val="both"/>
              <w:rPr>
                <w:rFonts w:ascii="Arial" w:hAnsi="Arial" w:cs="Arial"/>
                <w:b/>
                <w:bCs/>
                <w:sz w:val="20"/>
                <w:szCs w:val="20"/>
              </w:rPr>
            </w:pPr>
          </w:p>
          <w:p w14:paraId="6D43FE9F" w14:textId="77777777" w:rsidR="00704136" w:rsidRDefault="00704136" w:rsidP="00605339">
            <w:pPr>
              <w:jc w:val="both"/>
              <w:rPr>
                <w:rFonts w:ascii="Arial" w:hAnsi="Arial" w:cs="Arial"/>
                <w:b/>
                <w:bCs/>
                <w:sz w:val="20"/>
                <w:szCs w:val="20"/>
              </w:rPr>
            </w:pPr>
          </w:p>
          <w:p w14:paraId="691B6089" w14:textId="77777777" w:rsidR="00704136" w:rsidRDefault="00704136" w:rsidP="00605339">
            <w:pPr>
              <w:jc w:val="both"/>
              <w:rPr>
                <w:rFonts w:ascii="Arial" w:hAnsi="Arial" w:cs="Arial"/>
                <w:b/>
                <w:bCs/>
                <w:sz w:val="20"/>
                <w:szCs w:val="20"/>
              </w:rPr>
            </w:pPr>
          </w:p>
          <w:p w14:paraId="47732A8F" w14:textId="77777777" w:rsidR="00704136" w:rsidRDefault="00704136" w:rsidP="00605339">
            <w:pPr>
              <w:jc w:val="both"/>
              <w:rPr>
                <w:rFonts w:ascii="Arial" w:hAnsi="Arial" w:cs="Arial"/>
                <w:b/>
                <w:bCs/>
                <w:sz w:val="20"/>
                <w:szCs w:val="20"/>
              </w:rPr>
            </w:pPr>
          </w:p>
          <w:p w14:paraId="02AAFB27" w14:textId="77777777" w:rsidR="00704136" w:rsidRDefault="00704136" w:rsidP="00605339">
            <w:pPr>
              <w:jc w:val="both"/>
              <w:rPr>
                <w:rFonts w:ascii="Arial" w:hAnsi="Arial" w:cs="Arial"/>
                <w:b/>
                <w:bCs/>
                <w:sz w:val="20"/>
                <w:szCs w:val="20"/>
              </w:rPr>
            </w:pPr>
          </w:p>
          <w:p w14:paraId="4B6DEDF7" w14:textId="77777777" w:rsidR="00704136" w:rsidRDefault="00704136" w:rsidP="00605339">
            <w:pPr>
              <w:jc w:val="both"/>
              <w:rPr>
                <w:rFonts w:ascii="Arial" w:hAnsi="Arial" w:cs="Arial"/>
                <w:b/>
                <w:bCs/>
                <w:sz w:val="20"/>
                <w:szCs w:val="20"/>
              </w:rPr>
            </w:pPr>
          </w:p>
          <w:p w14:paraId="1ABA29A8" w14:textId="77777777" w:rsidR="00704136" w:rsidRDefault="00704136" w:rsidP="00605339">
            <w:pPr>
              <w:jc w:val="both"/>
              <w:rPr>
                <w:rFonts w:ascii="Arial" w:hAnsi="Arial" w:cs="Arial"/>
                <w:b/>
                <w:bCs/>
                <w:sz w:val="20"/>
                <w:szCs w:val="20"/>
              </w:rPr>
            </w:pPr>
          </w:p>
          <w:p w14:paraId="1DB6B9B1" w14:textId="77777777" w:rsidR="00704136" w:rsidRDefault="00704136" w:rsidP="00605339">
            <w:pPr>
              <w:jc w:val="both"/>
              <w:rPr>
                <w:rFonts w:ascii="Arial" w:hAnsi="Arial" w:cs="Arial"/>
                <w:b/>
                <w:bCs/>
                <w:sz w:val="20"/>
                <w:szCs w:val="20"/>
              </w:rPr>
            </w:pPr>
          </w:p>
          <w:p w14:paraId="0C6E1FA9" w14:textId="77777777" w:rsidR="00704136" w:rsidRDefault="00704136" w:rsidP="00605339">
            <w:pPr>
              <w:jc w:val="both"/>
              <w:rPr>
                <w:rFonts w:ascii="Arial" w:hAnsi="Arial" w:cs="Arial"/>
                <w:b/>
                <w:bCs/>
                <w:sz w:val="20"/>
                <w:szCs w:val="20"/>
              </w:rPr>
            </w:pPr>
          </w:p>
          <w:p w14:paraId="4B981491" w14:textId="77777777" w:rsidR="00704136" w:rsidRDefault="00704136" w:rsidP="00605339">
            <w:pPr>
              <w:jc w:val="both"/>
              <w:rPr>
                <w:rFonts w:ascii="Arial" w:hAnsi="Arial" w:cs="Arial"/>
                <w:b/>
                <w:bCs/>
                <w:sz w:val="20"/>
                <w:szCs w:val="20"/>
              </w:rPr>
            </w:pPr>
          </w:p>
          <w:p w14:paraId="23F1275B" w14:textId="77777777" w:rsidR="00704136" w:rsidRDefault="00704136" w:rsidP="00605339">
            <w:pPr>
              <w:jc w:val="both"/>
              <w:rPr>
                <w:rFonts w:ascii="Arial" w:hAnsi="Arial" w:cs="Arial"/>
                <w:b/>
                <w:bCs/>
                <w:sz w:val="20"/>
                <w:szCs w:val="20"/>
              </w:rPr>
            </w:pPr>
          </w:p>
          <w:p w14:paraId="37CCF41D" w14:textId="77777777" w:rsidR="00704136" w:rsidRDefault="00704136" w:rsidP="00605339">
            <w:pPr>
              <w:jc w:val="both"/>
              <w:rPr>
                <w:rFonts w:ascii="Arial" w:hAnsi="Arial" w:cs="Arial"/>
                <w:b/>
                <w:bCs/>
                <w:sz w:val="20"/>
                <w:szCs w:val="20"/>
              </w:rPr>
            </w:pPr>
          </w:p>
          <w:p w14:paraId="2A266EED" w14:textId="77777777" w:rsidR="00704136" w:rsidRDefault="00704136" w:rsidP="00605339">
            <w:pPr>
              <w:jc w:val="both"/>
              <w:rPr>
                <w:rFonts w:ascii="Arial" w:hAnsi="Arial" w:cs="Arial"/>
                <w:b/>
                <w:bCs/>
                <w:sz w:val="20"/>
                <w:szCs w:val="20"/>
              </w:rPr>
            </w:pPr>
          </w:p>
          <w:p w14:paraId="32D63127" w14:textId="77777777" w:rsidR="00704136" w:rsidRDefault="00704136" w:rsidP="00605339">
            <w:pPr>
              <w:jc w:val="both"/>
              <w:rPr>
                <w:rFonts w:ascii="Arial" w:hAnsi="Arial" w:cs="Arial"/>
                <w:b/>
                <w:bCs/>
                <w:sz w:val="20"/>
                <w:szCs w:val="20"/>
              </w:rPr>
            </w:pPr>
          </w:p>
          <w:p w14:paraId="52F93D42" w14:textId="77777777" w:rsidR="00704136" w:rsidRDefault="00704136" w:rsidP="00605339">
            <w:pPr>
              <w:jc w:val="both"/>
              <w:rPr>
                <w:rFonts w:ascii="Arial" w:hAnsi="Arial" w:cs="Arial"/>
                <w:b/>
                <w:bCs/>
                <w:sz w:val="20"/>
                <w:szCs w:val="20"/>
              </w:rPr>
            </w:pPr>
          </w:p>
          <w:p w14:paraId="0DC0FD18" w14:textId="77777777" w:rsidR="00704136" w:rsidRDefault="00704136" w:rsidP="00605339">
            <w:pPr>
              <w:jc w:val="both"/>
              <w:rPr>
                <w:rFonts w:ascii="Arial" w:hAnsi="Arial" w:cs="Arial"/>
                <w:b/>
                <w:bCs/>
                <w:sz w:val="20"/>
                <w:szCs w:val="20"/>
              </w:rPr>
            </w:pPr>
          </w:p>
          <w:p w14:paraId="686BF03E" w14:textId="77777777" w:rsidR="00704136" w:rsidRDefault="00704136" w:rsidP="00605339">
            <w:pPr>
              <w:jc w:val="both"/>
              <w:rPr>
                <w:rFonts w:ascii="Arial" w:hAnsi="Arial" w:cs="Arial"/>
                <w:b/>
                <w:bCs/>
                <w:sz w:val="20"/>
                <w:szCs w:val="20"/>
              </w:rPr>
            </w:pPr>
          </w:p>
          <w:p w14:paraId="7DB448AC" w14:textId="231D6984" w:rsidR="00704136" w:rsidRDefault="00704136" w:rsidP="00605339">
            <w:pPr>
              <w:jc w:val="both"/>
              <w:rPr>
                <w:rFonts w:ascii="Arial" w:hAnsi="Arial" w:cs="Arial"/>
                <w:b/>
                <w:bCs/>
                <w:sz w:val="20"/>
                <w:szCs w:val="20"/>
              </w:rPr>
            </w:pPr>
            <w:r>
              <w:rPr>
                <w:rFonts w:ascii="Arial" w:hAnsi="Arial" w:cs="Arial"/>
                <w:b/>
                <w:bCs/>
                <w:sz w:val="20"/>
                <w:szCs w:val="20"/>
              </w:rPr>
              <w:t>Se aclara</w:t>
            </w:r>
          </w:p>
          <w:p w14:paraId="76DAAB30" w14:textId="6B1A8A07" w:rsidR="00704136" w:rsidRPr="00704136" w:rsidRDefault="00704136" w:rsidP="00605339">
            <w:pPr>
              <w:jc w:val="both"/>
              <w:rPr>
                <w:rFonts w:ascii="Arial" w:hAnsi="Arial" w:cs="Arial"/>
                <w:sz w:val="20"/>
                <w:szCs w:val="20"/>
              </w:rPr>
            </w:pPr>
            <w:r w:rsidRPr="00704136">
              <w:rPr>
                <w:rFonts w:ascii="Arial" w:hAnsi="Arial" w:cs="Arial"/>
                <w:sz w:val="20"/>
                <w:szCs w:val="20"/>
              </w:rPr>
              <w:t>Se ajusta la referencia a la normativa</w:t>
            </w:r>
            <w:r>
              <w:rPr>
                <w:rFonts w:ascii="Arial" w:hAnsi="Arial" w:cs="Arial"/>
                <w:sz w:val="20"/>
                <w:szCs w:val="20"/>
              </w:rPr>
              <w:t xml:space="preserve"> correcta.</w:t>
            </w:r>
          </w:p>
          <w:p w14:paraId="3A75C8CB" w14:textId="77777777" w:rsidR="00704136" w:rsidRDefault="00704136" w:rsidP="00605339">
            <w:pPr>
              <w:jc w:val="both"/>
              <w:rPr>
                <w:rFonts w:ascii="Arial" w:hAnsi="Arial" w:cs="Arial"/>
                <w:b/>
                <w:bCs/>
                <w:sz w:val="20"/>
                <w:szCs w:val="20"/>
              </w:rPr>
            </w:pPr>
          </w:p>
          <w:p w14:paraId="1CA4332E" w14:textId="0854DB82" w:rsidR="00704136" w:rsidRPr="007F6EAB" w:rsidRDefault="00704136" w:rsidP="00605339">
            <w:pPr>
              <w:jc w:val="both"/>
              <w:rPr>
                <w:rFonts w:ascii="Arial" w:hAnsi="Arial" w:cs="Arial"/>
                <w:b/>
                <w:bCs/>
                <w:sz w:val="20"/>
                <w:szCs w:val="20"/>
              </w:rPr>
            </w:pPr>
          </w:p>
        </w:tc>
        <w:tc>
          <w:tcPr>
            <w:tcW w:w="4082" w:type="dxa"/>
          </w:tcPr>
          <w:p w14:paraId="30F6B09F" w14:textId="0A8E3402" w:rsidR="00C17A9F" w:rsidRPr="007F6EAB" w:rsidRDefault="00C17A9F" w:rsidP="00C17A9F">
            <w:pPr>
              <w:pStyle w:val="Prrafodelista"/>
              <w:numPr>
                <w:ilvl w:val="1"/>
                <w:numId w:val="17"/>
              </w:numPr>
              <w:ind w:left="714" w:hanging="357"/>
              <w:jc w:val="both"/>
              <w:rPr>
                <w:rFonts w:ascii="Arial" w:hAnsi="Arial" w:cs="Arial"/>
                <w:sz w:val="20"/>
                <w:szCs w:val="20"/>
              </w:rPr>
            </w:pPr>
            <w:r w:rsidRPr="007F6EAB">
              <w:rPr>
                <w:rFonts w:ascii="Arial" w:hAnsi="Arial" w:cs="Arial"/>
                <w:sz w:val="20"/>
                <w:szCs w:val="20"/>
              </w:rPr>
              <w:lastRenderedPageBreak/>
              <w:t xml:space="preserve">El término “verde”, “social” o “sostenible”, debe utilizarse únicamente cuando el fondo de inversión invierte el 100% de su cartera en valores o proyectos verdes, sociales o sostenibles conforme a lo establecido en el </w:t>
            </w:r>
            <w:r w:rsidRPr="00704136">
              <w:rPr>
                <w:rFonts w:ascii="Arial" w:hAnsi="Arial" w:cs="Arial"/>
                <w:strike/>
                <w:sz w:val="20"/>
                <w:szCs w:val="20"/>
              </w:rPr>
              <w:t>Acuerdo SGV-A-xxx Lineamientos para emisiones verdes, sociales y sostenibles de oferta pública.</w:t>
            </w:r>
            <w:r w:rsidRPr="007F6EAB">
              <w:rPr>
                <w:rFonts w:ascii="Arial" w:hAnsi="Arial" w:cs="Arial"/>
                <w:sz w:val="20"/>
                <w:szCs w:val="20"/>
              </w:rPr>
              <w:t xml:space="preserve"> </w:t>
            </w:r>
            <w:r w:rsidR="00704136" w:rsidRPr="00704136">
              <w:rPr>
                <w:rFonts w:ascii="Arial" w:hAnsi="Arial" w:cs="Arial"/>
                <w:b/>
                <w:bCs/>
                <w:color w:val="0070C0"/>
                <w:sz w:val="20"/>
                <w:szCs w:val="20"/>
              </w:rPr>
              <w:t>Reglamento general sobre sociedades administradoras y fondos de inversión.</w:t>
            </w:r>
          </w:p>
        </w:tc>
      </w:tr>
      <w:tr w:rsidR="00C17A9F" w:rsidRPr="007F6EAB" w14:paraId="24FABCA6" w14:textId="76329EE8" w:rsidTr="00D91B10">
        <w:tc>
          <w:tcPr>
            <w:tcW w:w="4082" w:type="dxa"/>
          </w:tcPr>
          <w:p w14:paraId="744C0F7A" w14:textId="77777777" w:rsidR="00C17A9F" w:rsidRPr="007F6EAB" w:rsidRDefault="00C17A9F" w:rsidP="00C17A9F">
            <w:pPr>
              <w:jc w:val="both"/>
              <w:rPr>
                <w:rFonts w:ascii="Arial" w:hAnsi="Arial" w:cs="Arial"/>
                <w:b/>
                <w:color w:val="000000" w:themeColor="text1"/>
                <w:sz w:val="20"/>
                <w:szCs w:val="20"/>
              </w:rPr>
            </w:pPr>
            <w:r w:rsidRPr="007F6EAB">
              <w:rPr>
                <w:rFonts w:ascii="Arial" w:hAnsi="Arial" w:cs="Arial"/>
                <w:b/>
                <w:color w:val="000000" w:themeColor="text1"/>
                <w:sz w:val="20"/>
                <w:szCs w:val="20"/>
              </w:rPr>
              <w:lastRenderedPageBreak/>
              <w:t>Artículo 2. Vigencia</w:t>
            </w:r>
          </w:p>
        </w:tc>
        <w:tc>
          <w:tcPr>
            <w:tcW w:w="2835" w:type="dxa"/>
          </w:tcPr>
          <w:p w14:paraId="3637A0D0" w14:textId="77777777" w:rsidR="00C17A9F" w:rsidRPr="007F6EAB" w:rsidRDefault="00C17A9F" w:rsidP="00C17A9F">
            <w:pPr>
              <w:ind w:left="360"/>
              <w:jc w:val="both"/>
              <w:rPr>
                <w:rFonts w:ascii="Arial" w:hAnsi="Arial" w:cs="Arial"/>
                <w:b/>
                <w:color w:val="000000" w:themeColor="text1"/>
                <w:sz w:val="20"/>
                <w:szCs w:val="20"/>
              </w:rPr>
            </w:pPr>
          </w:p>
        </w:tc>
        <w:tc>
          <w:tcPr>
            <w:tcW w:w="2835" w:type="dxa"/>
          </w:tcPr>
          <w:p w14:paraId="21041BB1" w14:textId="77777777" w:rsidR="00C17A9F" w:rsidRPr="007F6EAB" w:rsidRDefault="00C17A9F" w:rsidP="00C17A9F">
            <w:pPr>
              <w:ind w:left="360"/>
              <w:jc w:val="both"/>
              <w:rPr>
                <w:rFonts w:ascii="Arial" w:hAnsi="Arial" w:cs="Arial"/>
                <w:b/>
                <w:color w:val="000000" w:themeColor="text1"/>
                <w:sz w:val="20"/>
                <w:szCs w:val="20"/>
              </w:rPr>
            </w:pPr>
          </w:p>
        </w:tc>
        <w:tc>
          <w:tcPr>
            <w:tcW w:w="4082" w:type="dxa"/>
          </w:tcPr>
          <w:p w14:paraId="4B51C848" w14:textId="2E2E8409" w:rsidR="00C17A9F" w:rsidRPr="007F6EAB" w:rsidRDefault="00C17A9F" w:rsidP="00C17A9F">
            <w:pPr>
              <w:ind w:left="57"/>
              <w:jc w:val="both"/>
              <w:rPr>
                <w:rFonts w:ascii="Arial" w:hAnsi="Arial" w:cs="Arial"/>
                <w:b/>
                <w:color w:val="000000" w:themeColor="text1"/>
                <w:sz w:val="20"/>
                <w:szCs w:val="20"/>
              </w:rPr>
            </w:pPr>
            <w:r w:rsidRPr="007F6EAB">
              <w:rPr>
                <w:rFonts w:ascii="Arial" w:hAnsi="Arial" w:cs="Arial"/>
                <w:b/>
                <w:color w:val="000000" w:themeColor="text1"/>
                <w:sz w:val="20"/>
                <w:szCs w:val="20"/>
              </w:rPr>
              <w:t>Artículo 2. Vigencia</w:t>
            </w:r>
          </w:p>
        </w:tc>
      </w:tr>
      <w:tr w:rsidR="00C17A9F" w:rsidRPr="002D4A62" w14:paraId="7843AB2F" w14:textId="1D18D549" w:rsidTr="00D91B10">
        <w:tc>
          <w:tcPr>
            <w:tcW w:w="4082" w:type="dxa"/>
          </w:tcPr>
          <w:p w14:paraId="4223F390" w14:textId="77777777" w:rsidR="00C17A9F" w:rsidRPr="007F6EAB" w:rsidRDefault="00C17A9F" w:rsidP="00C17A9F">
            <w:pPr>
              <w:tabs>
                <w:tab w:val="left" w:pos="8910"/>
              </w:tabs>
              <w:jc w:val="both"/>
              <w:rPr>
                <w:rFonts w:ascii="Arial" w:hAnsi="Arial" w:cs="Arial"/>
                <w:sz w:val="20"/>
                <w:szCs w:val="20"/>
              </w:rPr>
            </w:pPr>
            <w:r w:rsidRPr="007F6EAB">
              <w:rPr>
                <w:rFonts w:ascii="Arial" w:hAnsi="Arial" w:cs="Arial"/>
                <w:sz w:val="20"/>
                <w:szCs w:val="20"/>
              </w:rPr>
              <w:t>Rige a partir del xxx de XXX del 2021.</w:t>
            </w:r>
          </w:p>
        </w:tc>
        <w:tc>
          <w:tcPr>
            <w:tcW w:w="2835" w:type="dxa"/>
          </w:tcPr>
          <w:p w14:paraId="066DE90A" w14:textId="77777777" w:rsidR="00C17A9F" w:rsidRPr="007F6EAB" w:rsidRDefault="00C17A9F" w:rsidP="00C17A9F">
            <w:pPr>
              <w:tabs>
                <w:tab w:val="left" w:pos="8910"/>
              </w:tabs>
              <w:ind w:left="360"/>
              <w:jc w:val="both"/>
              <w:rPr>
                <w:rFonts w:ascii="Arial" w:hAnsi="Arial" w:cs="Arial"/>
                <w:sz w:val="20"/>
                <w:szCs w:val="20"/>
              </w:rPr>
            </w:pPr>
          </w:p>
        </w:tc>
        <w:tc>
          <w:tcPr>
            <w:tcW w:w="2835" w:type="dxa"/>
          </w:tcPr>
          <w:p w14:paraId="685E1A0B" w14:textId="77777777" w:rsidR="00C17A9F" w:rsidRPr="007F6EAB" w:rsidRDefault="00C17A9F" w:rsidP="00C17A9F">
            <w:pPr>
              <w:tabs>
                <w:tab w:val="left" w:pos="8910"/>
              </w:tabs>
              <w:ind w:left="360"/>
              <w:jc w:val="both"/>
              <w:rPr>
                <w:rFonts w:ascii="Arial" w:hAnsi="Arial" w:cs="Arial"/>
                <w:sz w:val="20"/>
                <w:szCs w:val="20"/>
              </w:rPr>
            </w:pPr>
          </w:p>
        </w:tc>
        <w:tc>
          <w:tcPr>
            <w:tcW w:w="4082" w:type="dxa"/>
          </w:tcPr>
          <w:p w14:paraId="2F44108C" w14:textId="498C1CFE" w:rsidR="00C17A9F" w:rsidRPr="002D4A62" w:rsidRDefault="00C17A9F" w:rsidP="00C17A9F">
            <w:pPr>
              <w:tabs>
                <w:tab w:val="left" w:pos="8910"/>
              </w:tabs>
              <w:ind w:left="57"/>
              <w:jc w:val="both"/>
              <w:rPr>
                <w:rFonts w:ascii="Arial" w:hAnsi="Arial" w:cs="Arial"/>
                <w:sz w:val="20"/>
                <w:szCs w:val="20"/>
              </w:rPr>
            </w:pPr>
            <w:r w:rsidRPr="007F6EAB">
              <w:rPr>
                <w:rFonts w:ascii="Arial" w:hAnsi="Arial" w:cs="Arial"/>
                <w:sz w:val="20"/>
                <w:szCs w:val="20"/>
              </w:rPr>
              <w:t>Rige a partir del xxx de XXX del 2021.</w:t>
            </w:r>
          </w:p>
        </w:tc>
      </w:tr>
    </w:tbl>
    <w:p w14:paraId="6D1AC57B" w14:textId="2F6094E9" w:rsidR="004829FB" w:rsidRPr="002D4A62" w:rsidRDefault="004829FB" w:rsidP="00D91B10">
      <w:pPr>
        <w:tabs>
          <w:tab w:val="left" w:pos="8910"/>
        </w:tabs>
        <w:spacing w:before="240" w:after="240"/>
        <w:jc w:val="both"/>
        <w:rPr>
          <w:rFonts w:ascii="Arial" w:hAnsi="Arial" w:cs="Arial"/>
          <w:sz w:val="20"/>
          <w:szCs w:val="20"/>
        </w:rPr>
      </w:pPr>
    </w:p>
    <w:sectPr w:rsidR="004829FB" w:rsidRPr="002D4A62" w:rsidSect="006B0083">
      <w:headerReference w:type="even" r:id="rId13"/>
      <w:headerReference w:type="default" r:id="rId14"/>
      <w:footerReference w:type="even" r:id="rId15"/>
      <w:footerReference w:type="default" r:id="rId16"/>
      <w:headerReference w:type="first" r:id="rId17"/>
      <w:footerReference w:type="first" r:id="rId1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41B10" w14:textId="77777777" w:rsidR="00AC4A22" w:rsidRDefault="00AC4A22" w:rsidP="000448E2">
      <w:pPr>
        <w:spacing w:after="0" w:line="240" w:lineRule="auto"/>
      </w:pPr>
      <w:r>
        <w:separator/>
      </w:r>
    </w:p>
  </w:endnote>
  <w:endnote w:type="continuationSeparator" w:id="0">
    <w:p w14:paraId="3268C1CC" w14:textId="77777777" w:rsidR="00AC4A22" w:rsidRDefault="00AC4A22" w:rsidP="00044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FCF99" w14:textId="77777777" w:rsidR="00787AF9" w:rsidRDefault="00787A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0742228"/>
      <w:docPartObj>
        <w:docPartGallery w:val="Page Numbers (Bottom of Page)"/>
        <w:docPartUnique/>
      </w:docPartObj>
    </w:sdtPr>
    <w:sdtEndPr/>
    <w:sdtContent>
      <w:sdt>
        <w:sdtPr>
          <w:id w:val="-1769616900"/>
          <w:docPartObj>
            <w:docPartGallery w:val="Page Numbers (Top of Page)"/>
            <w:docPartUnique/>
          </w:docPartObj>
        </w:sdtPr>
        <w:sdtEndPr/>
        <w:sdtContent>
          <w:p w14:paraId="21E729C7" w14:textId="29D6A574" w:rsidR="00E8390A" w:rsidRDefault="00E8390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0575E8D" w14:textId="77777777" w:rsidR="0012347F" w:rsidRDefault="001234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CB534" w14:textId="77777777" w:rsidR="00787AF9" w:rsidRDefault="00787A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73DA3" w14:textId="77777777" w:rsidR="00AC4A22" w:rsidRDefault="00AC4A22" w:rsidP="000448E2">
      <w:pPr>
        <w:spacing w:after="0" w:line="240" w:lineRule="auto"/>
      </w:pPr>
      <w:r>
        <w:separator/>
      </w:r>
    </w:p>
  </w:footnote>
  <w:footnote w:type="continuationSeparator" w:id="0">
    <w:p w14:paraId="7B63C424" w14:textId="77777777" w:rsidR="00AC4A22" w:rsidRDefault="00AC4A22" w:rsidP="00044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0CB6A" w14:textId="77777777" w:rsidR="00787AF9" w:rsidRDefault="00787A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5761C" w14:textId="77777777" w:rsidR="0012347F" w:rsidRDefault="0012347F" w:rsidP="0012347F">
    <w:pPr>
      <w:pStyle w:val="Encabezado"/>
      <w:jc w:val="right"/>
    </w:pPr>
    <w:r>
      <w:rPr>
        <w:rFonts w:ascii="Calibri" w:hAnsi="Calibri" w:cs="Arial"/>
        <w:i/>
        <w:noProof/>
        <w:sz w:val="20"/>
        <w:szCs w:val="20"/>
        <w:lang w:eastAsia="es-CR"/>
      </w:rPr>
      <mc:AlternateContent>
        <mc:Choice Requires="wps">
          <w:drawing>
            <wp:anchor distT="4294967292" distB="4294967292" distL="114300" distR="114300" simplePos="0" relativeHeight="251658240" behindDoc="0" locked="0" layoutInCell="1" allowOverlap="1" wp14:anchorId="6E66C634" wp14:editId="77CEB019">
              <wp:simplePos x="0" y="0"/>
              <wp:positionH relativeFrom="margin">
                <wp:align>right</wp:align>
              </wp:positionH>
              <wp:positionV relativeFrom="paragraph">
                <wp:posOffset>424815</wp:posOffset>
              </wp:positionV>
              <wp:extent cx="5459730"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4A48" id="Conector recto 4" o:spid="_x0000_s1026" style="position:absolute;flip:y;z-index:251658240;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78.7pt,33.45pt" to="808.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" strokecolor="#1b75bb" strokeweight="1.5pt">
              <w10:wrap anchorx="margin"/>
            </v:line>
          </w:pict>
        </mc:Fallback>
      </mc:AlternateContent>
    </w:r>
    <w:r w:rsidRPr="00D076F9">
      <w:rPr>
        <w:rFonts w:ascii="Calibri" w:hAnsi="Calibri" w:cs="Arial"/>
        <w:i/>
        <w:noProof/>
        <w:sz w:val="20"/>
        <w:szCs w:val="20"/>
        <w:lang w:eastAsia="es-CR"/>
      </w:rPr>
      <w:drawing>
        <wp:inline distT="0" distB="0" distL="0" distR="0" wp14:anchorId="4F46AEFC" wp14:editId="65B3D5C8">
          <wp:extent cx="1581150" cy="390525"/>
          <wp:effectExtent l="0" t="0" r="0" b="9525"/>
          <wp:docPr id="1" name="Imagen 1"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009BE" w14:textId="77777777" w:rsidR="00787AF9" w:rsidRDefault="00787A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D4F61"/>
    <w:multiLevelType w:val="hybridMultilevel"/>
    <w:tmpl w:val="11867E62"/>
    <w:lvl w:ilvl="0" w:tplc="140A0017">
      <w:start w:val="1"/>
      <w:numFmt w:val="lowerLetter"/>
      <w:lvlText w:val="%1)"/>
      <w:lvlJc w:val="left"/>
      <w:pPr>
        <w:ind w:left="777" w:hanging="360"/>
      </w:pPr>
    </w:lvl>
    <w:lvl w:ilvl="1" w:tplc="140A0019" w:tentative="1">
      <w:start w:val="1"/>
      <w:numFmt w:val="lowerLetter"/>
      <w:lvlText w:val="%2."/>
      <w:lvlJc w:val="left"/>
      <w:pPr>
        <w:ind w:left="1497" w:hanging="360"/>
      </w:pPr>
    </w:lvl>
    <w:lvl w:ilvl="2" w:tplc="140A001B" w:tentative="1">
      <w:start w:val="1"/>
      <w:numFmt w:val="lowerRoman"/>
      <w:lvlText w:val="%3."/>
      <w:lvlJc w:val="right"/>
      <w:pPr>
        <w:ind w:left="2217" w:hanging="180"/>
      </w:pPr>
    </w:lvl>
    <w:lvl w:ilvl="3" w:tplc="140A000F" w:tentative="1">
      <w:start w:val="1"/>
      <w:numFmt w:val="decimal"/>
      <w:lvlText w:val="%4."/>
      <w:lvlJc w:val="left"/>
      <w:pPr>
        <w:ind w:left="2937" w:hanging="360"/>
      </w:pPr>
    </w:lvl>
    <w:lvl w:ilvl="4" w:tplc="140A0019" w:tentative="1">
      <w:start w:val="1"/>
      <w:numFmt w:val="lowerLetter"/>
      <w:lvlText w:val="%5."/>
      <w:lvlJc w:val="left"/>
      <w:pPr>
        <w:ind w:left="3657" w:hanging="360"/>
      </w:pPr>
    </w:lvl>
    <w:lvl w:ilvl="5" w:tplc="140A001B" w:tentative="1">
      <w:start w:val="1"/>
      <w:numFmt w:val="lowerRoman"/>
      <w:lvlText w:val="%6."/>
      <w:lvlJc w:val="right"/>
      <w:pPr>
        <w:ind w:left="4377" w:hanging="180"/>
      </w:pPr>
    </w:lvl>
    <w:lvl w:ilvl="6" w:tplc="140A000F" w:tentative="1">
      <w:start w:val="1"/>
      <w:numFmt w:val="decimal"/>
      <w:lvlText w:val="%7."/>
      <w:lvlJc w:val="left"/>
      <w:pPr>
        <w:ind w:left="5097" w:hanging="360"/>
      </w:pPr>
    </w:lvl>
    <w:lvl w:ilvl="7" w:tplc="140A0019" w:tentative="1">
      <w:start w:val="1"/>
      <w:numFmt w:val="lowerLetter"/>
      <w:lvlText w:val="%8."/>
      <w:lvlJc w:val="left"/>
      <w:pPr>
        <w:ind w:left="5817" w:hanging="360"/>
      </w:pPr>
    </w:lvl>
    <w:lvl w:ilvl="8" w:tplc="140A001B" w:tentative="1">
      <w:start w:val="1"/>
      <w:numFmt w:val="lowerRoman"/>
      <w:lvlText w:val="%9."/>
      <w:lvlJc w:val="right"/>
      <w:pPr>
        <w:ind w:left="6537" w:hanging="180"/>
      </w:pPr>
    </w:lvl>
  </w:abstractNum>
  <w:abstractNum w:abstractNumId="1" w15:restartNumberingAfterBreak="0">
    <w:nsid w:val="12696F72"/>
    <w:multiLevelType w:val="hybridMultilevel"/>
    <w:tmpl w:val="E152C606"/>
    <w:lvl w:ilvl="0" w:tplc="53C411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C02BBF"/>
    <w:multiLevelType w:val="hybridMultilevel"/>
    <w:tmpl w:val="EFCABB0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4B438A9"/>
    <w:multiLevelType w:val="hybridMultilevel"/>
    <w:tmpl w:val="F6D4EAA6"/>
    <w:lvl w:ilvl="0" w:tplc="140A0013">
      <w:start w:val="1"/>
      <w:numFmt w:val="upperRoman"/>
      <w:lvlText w:val="%1."/>
      <w:lvlJc w:val="right"/>
      <w:pPr>
        <w:ind w:left="862" w:hanging="360"/>
      </w:p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4" w15:restartNumberingAfterBreak="0">
    <w:nsid w:val="26AC5608"/>
    <w:multiLevelType w:val="hybridMultilevel"/>
    <w:tmpl w:val="D7B0357E"/>
    <w:lvl w:ilvl="0" w:tplc="991095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C21ABF"/>
    <w:multiLevelType w:val="hybridMultilevel"/>
    <w:tmpl w:val="8B4C74B0"/>
    <w:lvl w:ilvl="0" w:tplc="60A88198">
      <w:start w:val="11"/>
      <w:numFmt w:val="lowerLetter"/>
      <w:lvlText w:val="%1)"/>
      <w:lvlJc w:val="left"/>
      <w:pPr>
        <w:ind w:left="777"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8DA5B24"/>
    <w:multiLevelType w:val="hybridMultilevel"/>
    <w:tmpl w:val="776C07A2"/>
    <w:lvl w:ilvl="0" w:tplc="9910950E">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8374818"/>
    <w:multiLevelType w:val="multilevel"/>
    <w:tmpl w:val="467EC2EA"/>
    <w:lvl w:ilvl="0">
      <w:start w:val="12"/>
      <w:numFmt w:val="lowerLetter"/>
      <w:lvlText w:val="%1)"/>
      <w:lvlJc w:val="left"/>
      <w:pPr>
        <w:ind w:left="502" w:hanging="360"/>
      </w:pPr>
      <w:rPr>
        <w:rFonts w:hint="default"/>
      </w:rPr>
    </w:lvl>
    <w:lvl w:ilvl="1">
      <w:start w:val="1"/>
      <w:numFmt w:val="lowerRoman"/>
      <w:lvlText w:val="%2."/>
      <w:lvlJc w:val="left"/>
      <w:pPr>
        <w:ind w:left="1440" w:hanging="360"/>
      </w:pPr>
      <w:rPr>
        <w:rFonts w:asciiTheme="minorHAnsi" w:hAnsiTheme="minorHAnsi" w:cstheme="minorHAnsi"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Wingdings 2" w:hAnsi="Wingdings 2" w:hint="default"/>
        <w:color w:val="auto"/>
      </w:rPr>
    </w:lvl>
    <w:lvl w:ilvl="8">
      <w:start w:val="1"/>
      <w:numFmt w:val="bullet"/>
      <w:lvlText w:val=""/>
      <w:lvlJc w:val="left"/>
      <w:pPr>
        <w:ind w:left="6480" w:hanging="180"/>
      </w:pPr>
      <w:rPr>
        <w:rFonts w:ascii="Wingdings 2" w:hAnsi="Wingdings 2" w:hint="default"/>
        <w:color w:val="auto"/>
      </w:rPr>
    </w:lvl>
  </w:abstractNum>
  <w:abstractNum w:abstractNumId="8" w15:restartNumberingAfterBreak="0">
    <w:nsid w:val="3DC45179"/>
    <w:multiLevelType w:val="hybridMultilevel"/>
    <w:tmpl w:val="35BCD488"/>
    <w:lvl w:ilvl="0" w:tplc="E38AD4A8">
      <w:start w:val="1"/>
      <w:numFmt w:val="bullet"/>
      <w:pStyle w:val="Ttulo1"/>
      <w:lvlText w:val=""/>
      <w:lvlJc w:val="left"/>
      <w:pPr>
        <w:ind w:left="720" w:hanging="360"/>
      </w:pPr>
      <w:rPr>
        <w:rFonts w:ascii="Wingdings" w:hAnsi="Wingdings" w:hint="default"/>
        <w:color w:val="80808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64C07"/>
    <w:multiLevelType w:val="hybridMultilevel"/>
    <w:tmpl w:val="FFC8494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8373CA6"/>
    <w:multiLevelType w:val="multilevel"/>
    <w:tmpl w:val="8544EAA6"/>
    <w:lvl w:ilvl="0">
      <w:start w:val="11"/>
      <w:numFmt w:val="lowerLetter"/>
      <w:lvlText w:val="%1)"/>
      <w:lvlJc w:val="left"/>
      <w:pPr>
        <w:ind w:left="502"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Wingdings 2" w:hAnsi="Wingdings 2" w:hint="default"/>
        <w:color w:val="auto"/>
      </w:rPr>
    </w:lvl>
    <w:lvl w:ilvl="8">
      <w:start w:val="1"/>
      <w:numFmt w:val="bullet"/>
      <w:lvlText w:val=""/>
      <w:lvlJc w:val="left"/>
      <w:pPr>
        <w:ind w:left="6480" w:hanging="180"/>
      </w:pPr>
      <w:rPr>
        <w:rFonts w:ascii="Wingdings 2" w:hAnsi="Wingdings 2" w:hint="default"/>
        <w:color w:val="auto"/>
      </w:rPr>
    </w:lvl>
  </w:abstractNum>
  <w:abstractNum w:abstractNumId="11" w15:restartNumberingAfterBreak="0">
    <w:nsid w:val="4CCF5D06"/>
    <w:multiLevelType w:val="hybridMultilevel"/>
    <w:tmpl w:val="04F0CFD8"/>
    <w:lvl w:ilvl="0" w:tplc="140A0013">
      <w:start w:val="1"/>
      <w:numFmt w:val="upperRoman"/>
      <w:lvlText w:val="%1."/>
      <w:lvlJc w:val="right"/>
      <w:pPr>
        <w:ind w:left="862" w:hanging="360"/>
      </w:p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12" w15:restartNumberingAfterBreak="0">
    <w:nsid w:val="5852038D"/>
    <w:multiLevelType w:val="hybridMultilevel"/>
    <w:tmpl w:val="E286D02E"/>
    <w:lvl w:ilvl="0" w:tplc="140A000F">
      <w:start w:val="1"/>
      <w:numFmt w:val="decimal"/>
      <w:lvlText w:val="%1."/>
      <w:lvlJc w:val="left"/>
      <w:pPr>
        <w:ind w:left="786" w:hanging="360"/>
      </w:p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15:restartNumberingAfterBreak="0">
    <w:nsid w:val="5FD70235"/>
    <w:multiLevelType w:val="hybridMultilevel"/>
    <w:tmpl w:val="329C086E"/>
    <w:lvl w:ilvl="0" w:tplc="8EB8C770">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7EF0EB7"/>
    <w:multiLevelType w:val="hybridMultilevel"/>
    <w:tmpl w:val="C5481630"/>
    <w:lvl w:ilvl="0" w:tplc="8D50A2AA">
      <w:start w:val="9"/>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3F97A34"/>
    <w:multiLevelType w:val="multilevel"/>
    <w:tmpl w:val="5720FC72"/>
    <w:lvl w:ilvl="0">
      <w:start w:val="11"/>
      <w:numFmt w:val="lowerLetter"/>
      <w:lvlText w:val="%1)"/>
      <w:lvlJc w:val="left"/>
      <w:pPr>
        <w:ind w:left="502"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Wingdings 2" w:hAnsi="Wingdings 2" w:hint="default"/>
        <w:color w:val="auto"/>
      </w:rPr>
    </w:lvl>
    <w:lvl w:ilvl="8">
      <w:start w:val="1"/>
      <w:numFmt w:val="bullet"/>
      <w:lvlText w:val=""/>
      <w:lvlJc w:val="left"/>
      <w:pPr>
        <w:ind w:left="6480" w:hanging="180"/>
      </w:pPr>
      <w:rPr>
        <w:rFonts w:ascii="Wingdings 2" w:hAnsi="Wingdings 2" w:hint="default"/>
        <w:color w:val="auto"/>
      </w:rPr>
    </w:lvl>
  </w:abstractNum>
  <w:abstractNum w:abstractNumId="16" w15:restartNumberingAfterBreak="0">
    <w:nsid w:val="7C214D62"/>
    <w:multiLevelType w:val="hybridMultilevel"/>
    <w:tmpl w:val="DA7A090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2"/>
  </w:num>
  <w:num w:numId="2">
    <w:abstractNumId w:val="1"/>
  </w:num>
  <w:num w:numId="3">
    <w:abstractNumId w:val="4"/>
  </w:num>
  <w:num w:numId="4">
    <w:abstractNumId w:val="6"/>
  </w:num>
  <w:num w:numId="5">
    <w:abstractNumId w:val="8"/>
  </w:num>
  <w:num w:numId="6">
    <w:abstractNumId w:val="15"/>
  </w:num>
  <w:num w:numId="7">
    <w:abstractNumId w:val="10"/>
  </w:num>
  <w:num w:numId="8">
    <w:abstractNumId w:val="9"/>
  </w:num>
  <w:num w:numId="9">
    <w:abstractNumId w:val="16"/>
  </w:num>
  <w:num w:numId="10">
    <w:abstractNumId w:val="13"/>
  </w:num>
  <w:num w:numId="11">
    <w:abstractNumId w:val="14"/>
  </w:num>
  <w:num w:numId="12">
    <w:abstractNumId w:val="2"/>
  </w:num>
  <w:num w:numId="13">
    <w:abstractNumId w:val="3"/>
  </w:num>
  <w:num w:numId="14">
    <w:abstractNumId w:val="11"/>
  </w:num>
  <w:num w:numId="15">
    <w:abstractNumId w:val="0"/>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E2"/>
    <w:rsid w:val="00000598"/>
    <w:rsid w:val="000448E2"/>
    <w:rsid w:val="000842CC"/>
    <w:rsid w:val="000D6E3A"/>
    <w:rsid w:val="000E577A"/>
    <w:rsid w:val="0012347F"/>
    <w:rsid w:val="0014513B"/>
    <w:rsid w:val="001B4C28"/>
    <w:rsid w:val="001C61C5"/>
    <w:rsid w:val="001F5B83"/>
    <w:rsid w:val="00202D54"/>
    <w:rsid w:val="002A7667"/>
    <w:rsid w:val="002B7489"/>
    <w:rsid w:val="002D4A62"/>
    <w:rsid w:val="003149B0"/>
    <w:rsid w:val="003B17C5"/>
    <w:rsid w:val="003C1EE5"/>
    <w:rsid w:val="00413FB1"/>
    <w:rsid w:val="00452DE6"/>
    <w:rsid w:val="004829FB"/>
    <w:rsid w:val="004F535A"/>
    <w:rsid w:val="00556DE7"/>
    <w:rsid w:val="005C34D9"/>
    <w:rsid w:val="00605339"/>
    <w:rsid w:val="00656C80"/>
    <w:rsid w:val="006B0083"/>
    <w:rsid w:val="00704136"/>
    <w:rsid w:val="007069E2"/>
    <w:rsid w:val="00787AF9"/>
    <w:rsid w:val="00791C13"/>
    <w:rsid w:val="007A7C1A"/>
    <w:rsid w:val="007E6A0B"/>
    <w:rsid w:val="007F6EAB"/>
    <w:rsid w:val="00804D9F"/>
    <w:rsid w:val="00810CDE"/>
    <w:rsid w:val="00880118"/>
    <w:rsid w:val="008872C9"/>
    <w:rsid w:val="008A1775"/>
    <w:rsid w:val="008F2B75"/>
    <w:rsid w:val="00907A14"/>
    <w:rsid w:val="0091264F"/>
    <w:rsid w:val="00916D72"/>
    <w:rsid w:val="009239E4"/>
    <w:rsid w:val="009268F6"/>
    <w:rsid w:val="00930E7B"/>
    <w:rsid w:val="0098664F"/>
    <w:rsid w:val="009A1F11"/>
    <w:rsid w:val="009F2250"/>
    <w:rsid w:val="00A07008"/>
    <w:rsid w:val="00A225F1"/>
    <w:rsid w:val="00A402E1"/>
    <w:rsid w:val="00A47AFC"/>
    <w:rsid w:val="00A65841"/>
    <w:rsid w:val="00AC4A22"/>
    <w:rsid w:val="00AE04E5"/>
    <w:rsid w:val="00AE2F46"/>
    <w:rsid w:val="00B029B0"/>
    <w:rsid w:val="00B07BE1"/>
    <w:rsid w:val="00B90F80"/>
    <w:rsid w:val="00BC49B3"/>
    <w:rsid w:val="00BF0F67"/>
    <w:rsid w:val="00C1261F"/>
    <w:rsid w:val="00C17A9F"/>
    <w:rsid w:val="00C460C2"/>
    <w:rsid w:val="00CD6C8F"/>
    <w:rsid w:val="00CE08A4"/>
    <w:rsid w:val="00CE7DB3"/>
    <w:rsid w:val="00D15E47"/>
    <w:rsid w:val="00D67ECB"/>
    <w:rsid w:val="00D91B10"/>
    <w:rsid w:val="00E324EC"/>
    <w:rsid w:val="00E54822"/>
    <w:rsid w:val="00E70E20"/>
    <w:rsid w:val="00E75B61"/>
    <w:rsid w:val="00E8390A"/>
    <w:rsid w:val="00E83CCE"/>
    <w:rsid w:val="00EA24B1"/>
    <w:rsid w:val="00EF3BE8"/>
    <w:rsid w:val="00F23351"/>
    <w:rsid w:val="00FE1916"/>
    <w:rsid w:val="00FE4C12"/>
    <w:rsid w:val="00FE67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2A21DB"/>
  <w15:chartTrackingRefBased/>
  <w15:docId w15:val="{90924425-9B59-4960-9410-3547C0ED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8E2"/>
  </w:style>
  <w:style w:type="paragraph" w:styleId="Ttulo1">
    <w:name w:val="heading 1"/>
    <w:basedOn w:val="Normal"/>
    <w:next w:val="Normal"/>
    <w:link w:val="Ttulo1Car"/>
    <w:qFormat/>
    <w:rsid w:val="00A47AFC"/>
    <w:pPr>
      <w:keepNext/>
      <w:numPr>
        <w:numId w:val="5"/>
      </w:numPr>
      <w:spacing w:after="0" w:line="240" w:lineRule="auto"/>
      <w:jc w:val="both"/>
      <w:outlineLvl w:val="0"/>
    </w:pPr>
    <w:rPr>
      <w:rFonts w:ascii="Century Gothic" w:eastAsia="Times New Roman" w:hAnsi="Century Gothic"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448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48E2"/>
    <w:rPr>
      <w:sz w:val="20"/>
      <w:szCs w:val="20"/>
    </w:rPr>
  </w:style>
  <w:style w:type="character" w:styleId="Refdenotaalpie">
    <w:name w:val="footnote reference"/>
    <w:basedOn w:val="Fuentedeprrafopredeter"/>
    <w:uiPriority w:val="99"/>
    <w:semiHidden/>
    <w:unhideWhenUsed/>
    <w:rsid w:val="000448E2"/>
    <w:rPr>
      <w:vertAlign w:val="superscript"/>
    </w:rPr>
  </w:style>
  <w:style w:type="paragraph" w:styleId="Prrafodelista">
    <w:name w:val="List Paragraph"/>
    <w:basedOn w:val="Normal"/>
    <w:uiPriority w:val="34"/>
    <w:qFormat/>
    <w:rsid w:val="000448E2"/>
    <w:pPr>
      <w:ind w:left="720"/>
      <w:contextualSpacing/>
    </w:pPr>
  </w:style>
  <w:style w:type="paragraph" w:customStyle="1" w:styleId="Numeracin">
    <w:name w:val="Numeración"/>
    <w:basedOn w:val="Normal"/>
    <w:link w:val="NumeracinChar"/>
    <w:qFormat/>
    <w:rsid w:val="000448E2"/>
    <w:pPr>
      <w:spacing w:before="120" w:after="0" w:line="240" w:lineRule="auto"/>
      <w:jc w:val="both"/>
    </w:pPr>
    <w:rPr>
      <w:rFonts w:ascii="Times New Roman" w:eastAsia="Times New Roman" w:hAnsi="Times New Roman" w:cs="Times New Roman"/>
      <w:szCs w:val="24"/>
      <w:lang w:val="es-ES" w:eastAsia="es-ES"/>
    </w:rPr>
  </w:style>
  <w:style w:type="character" w:customStyle="1" w:styleId="NumeracinChar">
    <w:name w:val="Numeración Char"/>
    <w:link w:val="Numeracin"/>
    <w:rsid w:val="000448E2"/>
    <w:rPr>
      <w:rFonts w:ascii="Times New Roman" w:eastAsia="Times New Roman" w:hAnsi="Times New Roman" w:cs="Times New Roman"/>
      <w:szCs w:val="24"/>
      <w:lang w:val="es-ES" w:eastAsia="es-ES"/>
    </w:rPr>
  </w:style>
  <w:style w:type="paragraph" w:styleId="Textodeglobo">
    <w:name w:val="Balloon Text"/>
    <w:basedOn w:val="Normal"/>
    <w:link w:val="TextodegloboCar"/>
    <w:uiPriority w:val="99"/>
    <w:semiHidden/>
    <w:unhideWhenUsed/>
    <w:rsid w:val="00202D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2D54"/>
    <w:rPr>
      <w:rFonts w:ascii="Segoe UI" w:hAnsi="Segoe UI" w:cs="Segoe UI"/>
      <w:sz w:val="18"/>
      <w:szCs w:val="18"/>
    </w:rPr>
  </w:style>
  <w:style w:type="character" w:customStyle="1" w:styleId="Ttulo1Car">
    <w:name w:val="Título 1 Car"/>
    <w:basedOn w:val="Fuentedeprrafopredeter"/>
    <w:link w:val="Ttulo1"/>
    <w:rsid w:val="00A47AFC"/>
    <w:rPr>
      <w:rFonts w:ascii="Century Gothic" w:eastAsia="Times New Roman" w:hAnsi="Century Gothic" w:cs="Times New Roman"/>
      <w:b/>
      <w:sz w:val="20"/>
      <w:szCs w:val="20"/>
      <w:lang w:eastAsia="es-ES"/>
    </w:rPr>
  </w:style>
  <w:style w:type="paragraph" w:customStyle="1" w:styleId="CNV">
    <w:name w:val="CNV"/>
    <w:basedOn w:val="Normal"/>
    <w:rsid w:val="00AE2F46"/>
    <w:pPr>
      <w:spacing w:after="0" w:line="240" w:lineRule="auto"/>
      <w:jc w:val="both"/>
    </w:pPr>
    <w:rPr>
      <w:rFonts w:ascii="Times New Roman" w:eastAsia="Times New Roman" w:hAnsi="Times New Roman" w:cs="Times New Roman"/>
      <w:sz w:val="24"/>
      <w:szCs w:val="20"/>
      <w:lang w:val="es-ES_tradnl"/>
    </w:rPr>
  </w:style>
  <w:style w:type="paragraph" w:styleId="Encabezado">
    <w:name w:val="header"/>
    <w:basedOn w:val="Normal"/>
    <w:link w:val="EncabezadoCar"/>
    <w:uiPriority w:val="99"/>
    <w:unhideWhenUsed/>
    <w:rsid w:val="001234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347F"/>
  </w:style>
  <w:style w:type="paragraph" w:styleId="Piedepgina">
    <w:name w:val="footer"/>
    <w:basedOn w:val="Normal"/>
    <w:link w:val="PiedepginaCar"/>
    <w:uiPriority w:val="99"/>
    <w:unhideWhenUsed/>
    <w:rsid w:val="001234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347F"/>
  </w:style>
  <w:style w:type="character" w:styleId="Refdecomentario">
    <w:name w:val="annotation reference"/>
    <w:basedOn w:val="Fuentedeprrafopredeter"/>
    <w:uiPriority w:val="99"/>
    <w:semiHidden/>
    <w:unhideWhenUsed/>
    <w:rsid w:val="00804D9F"/>
    <w:rPr>
      <w:sz w:val="16"/>
      <w:szCs w:val="16"/>
    </w:rPr>
  </w:style>
  <w:style w:type="paragraph" w:styleId="Textocomentario">
    <w:name w:val="annotation text"/>
    <w:basedOn w:val="Normal"/>
    <w:link w:val="TextocomentarioCar"/>
    <w:uiPriority w:val="99"/>
    <w:unhideWhenUsed/>
    <w:rsid w:val="00804D9F"/>
    <w:pPr>
      <w:spacing w:after="0" w:line="240" w:lineRule="auto"/>
    </w:pPr>
    <w:rPr>
      <w:rFonts w:ascii="Arial Narrow" w:eastAsia="Times New Roman" w:hAnsi="Arial Narrow" w:cs="Times New Roman"/>
      <w:sz w:val="20"/>
      <w:szCs w:val="20"/>
      <w:lang w:eastAsia="es-ES"/>
    </w:rPr>
  </w:style>
  <w:style w:type="character" w:customStyle="1" w:styleId="TextocomentarioCar">
    <w:name w:val="Texto comentario Car"/>
    <w:basedOn w:val="Fuentedeprrafopredeter"/>
    <w:link w:val="Textocomentario"/>
    <w:uiPriority w:val="99"/>
    <w:rsid w:val="00804D9F"/>
    <w:rPr>
      <w:rFonts w:ascii="Arial Narrow" w:eastAsia="Times New Roman" w:hAnsi="Arial Narrow" w:cs="Times New Roman"/>
      <w:sz w:val="20"/>
      <w:szCs w:val="20"/>
      <w:lang w:eastAsia="es-ES"/>
    </w:rPr>
  </w:style>
  <w:style w:type="table" w:styleId="Tablaconcuadrcula">
    <w:name w:val="Table Grid"/>
    <w:basedOn w:val="Tablanormal"/>
    <w:uiPriority w:val="39"/>
    <w:rsid w:val="006B0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1F5B83"/>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1F5B83"/>
    <w:rPr>
      <w:rFonts w:ascii="Arial Narrow" w:eastAsia="Times New Roman" w:hAnsi="Arial Narrow"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36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Interno" ma:contentTypeID="0x01010012C0FFB329D6C54DA198FD200837683401003F5DD23B17499344A698D4BA329064F9" ma:contentTypeVersion="86" ma:contentTypeDescription="Crear nuevo documento." ma:contentTypeScope="" ma:versionID="fdbff17f916fdeeb77e0396073e0ec34">
  <xsd:schema xmlns:xsd="http://www.w3.org/2001/XMLSchema" xmlns:xs="http://www.w3.org/2001/XMLSchema" xmlns:p="http://schemas.microsoft.com/office/2006/metadata/properties" xmlns:ns1="http://schemas.microsoft.com/sharepoint/v3" xmlns:ns2="d84ba8d6-d99c-426b-9ce0-bd863618ee62" xmlns:ns4="http://schemas.microsoft.com/sharepoint/v4" targetNamespace="http://schemas.microsoft.com/office/2006/metadata/properties" ma:root="true" ma:fieldsID="5be4e7c7f4c784630cda6c4da13be21a" ns1:_="" ns2:_="" ns4:_="">
    <xsd:import namespace="http://schemas.microsoft.com/sharepoint/v3"/>
    <xsd:import namespace="d84ba8d6-d99c-426b-9ce0-bd863618ee62"/>
    <xsd:import namespace="http://schemas.microsoft.com/sharepoint/v4"/>
    <xsd:element name="properties">
      <xsd:complexType>
        <xsd:sequence>
          <xsd:element name="documentManagement">
            <xsd:complexType>
              <xsd:all>
                <xsd:element ref="ns2:RemitenteInterno"/>
                <xsd:element ref="ns2:DestinatarioInterno" minOccurs="0"/>
                <xsd:element ref="ns2:DestinatarioExterno" minOccurs="0"/>
                <xsd:element ref="ns2:NotificarA" minOccurs="0"/>
                <xsd:element ref="ns2:Observaciones" minOccurs="0"/>
                <xsd:element ref="ns2:Periodo" minOccurs="0"/>
                <xsd:element ref="ns2:_dlc_DocId" minOccurs="0"/>
                <xsd:element ref="ns2:_dlc_DocIdUrl" minOccurs="0"/>
                <xsd:element ref="ns2:_dlc_DocIdPersistId" minOccurs="0"/>
                <xsd:element ref="ns2:FechaRecibido" minOccurs="0"/>
                <xsd:element ref="ns2:AsuntoGED"/>
                <xsd:element ref="ns2:TituloCompleto" minOccurs="0"/>
                <xsd:element ref="ns2:DocumentoMigrado" minOccurs="0"/>
                <xsd:element ref="ns2:HistorialUsuarios" minOccurs="0"/>
                <xsd:element ref="ns1:FormData"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Datos del formulario" ma:hidden="true" ma:internalName="FormData" ma:readOnly="false">
      <xsd:simpleType>
        <xsd:restriction base="dms:Note"/>
      </xsd:simpleType>
    </xsd:element>
    <xsd:element name="_vti_ItemDeclaredRecord" ma:index="28" nillable="true" ma:displayName="Declarado como registro" ma:hidden="true" ma:internalName="_vti_ItemDeclaredRecord" ma:readOnly="true">
      <xsd:simpleType>
        <xsd:restriction base="dms:DateTime"/>
      </xsd:simpleType>
    </xsd:element>
    <xsd:element name="_vti_ItemHoldRecordStatus" ma:index="29" nillable="true" ma:displayName="Estado de suspensión y registro"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4ba8d6-d99c-426b-9ce0-bd863618ee62" elementFormDefault="qualified">
    <xsd:import namespace="http://schemas.microsoft.com/office/2006/documentManagement/types"/>
    <xsd:import namespace="http://schemas.microsoft.com/office/infopath/2007/PartnerControls"/>
    <xsd:element name="RemitenteInterno" ma:index="2" ma:displayName="Remitente Interno" ma:list="UserInfo" ma:internalName="RemitenteInterno">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stinatarioInterno" ma:index="3" nillable="true" ma:displayName="Destinatario Interno" ma:list="UserInfo" ma:SearchPeopleOnly="false" ma:SharePointGroup="0" ma:internalName="DestinatarioIntern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tinatarioExterno" ma:index="4" nillable="true" ma:displayName="Destinatario Externo" ma:internalName="DestinatarioExterno">
      <xsd:simpleType>
        <xsd:restriction base="dms:Text"/>
      </xsd:simpleType>
    </xsd:element>
    <xsd:element name="NotificarA" ma:index="5" nillable="true" ma:displayName="Notificar a" ma:list="UserInfo" ma:SearchPeopleOnly="false" ma:internalName="Notificar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bservaciones" ma:index="6" nillable="true" ma:displayName="Observaciones" ma:internalName="Observaciones" ma:readOnly="false">
      <xsd:simpleType>
        <xsd:restriction base="dms:Note"/>
      </xsd:simpleType>
    </xsd:element>
    <xsd:element name="Periodo" ma:index="7" nillable="true" ma:displayName="Periodo" ma:internalName="Periodo">
      <xsd:simpleType>
        <xsd:restriction base="dms:Text"/>
      </xsd:simpleType>
    </xsd:element>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echaRecibido" ma:index="11" nillable="true" ma:displayName="Fecha de Recibido" ma:format="DateTime" ma:internalName="FechaRecibido">
      <xsd:simpleType>
        <xsd:restriction base="dms:DateTime"/>
      </xsd:simpleType>
    </xsd:element>
    <xsd:element name="AsuntoGED" ma:index="13" ma:displayName="Asunto" ma:internalName="AsuntoGED" ma:readOnly="false">
      <xsd:simpleType>
        <xsd:restriction base="dms:Note">
          <xsd:maxLength value="255"/>
        </xsd:restriction>
      </xsd:simpleType>
    </xsd:element>
    <xsd:element name="TituloCompleto" ma:index="15" nillable="true" ma:displayName="Título completo" ma:internalName="TituloCompleto">
      <xsd:simpleType>
        <xsd:restriction base="dms:Note">
          <xsd:maxLength value="255"/>
        </xsd:restriction>
      </xsd:simpleType>
    </xsd:element>
    <xsd:element name="DocumentoMigrado" ma:index="16" nillable="true" ma:displayName="Migrado" ma:default="0" ma:internalName="DocumentoMigrado">
      <xsd:simpleType>
        <xsd:restriction base="dms:Boolean"/>
      </xsd:simpleType>
    </xsd:element>
    <xsd:element name="HistorialUsuarios" ma:index="17" nillable="true" ma:displayName="Historial de usuarios" ma:internalName="HistorialUsuario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731D6-BB93-491F-963A-C936C1C9CCDD}">
  <ds:schemaRefs>
    <ds:schemaRef ds:uri="http://schemas.microsoft.com/sharepoint/events"/>
  </ds:schemaRefs>
</ds:datastoreItem>
</file>

<file path=customXml/itemProps2.xml><?xml version="1.0" encoding="utf-8"?>
<ds:datastoreItem xmlns:ds="http://schemas.openxmlformats.org/officeDocument/2006/customXml" ds:itemID="{63A6AD72-F6DC-4009-BC28-38DD96996951}">
  <ds:schemaRefs/>
</ds:datastoreItem>
</file>

<file path=customXml/itemProps3.xml><?xml version="1.0" encoding="utf-8"?>
<ds:datastoreItem xmlns:ds="http://schemas.openxmlformats.org/officeDocument/2006/customXml" ds:itemID="{9BA99D6F-6B9D-4BA1-8ED6-C3046D0B8319}">
  <ds:schemaRefs>
    <ds:schemaRef ds:uri="http://purl.org/dc/elements/1.1/"/>
    <ds:schemaRef ds:uri="http://www.w3.org/XML/1998/namespace"/>
    <ds:schemaRef ds:uri="http://schemas.microsoft.com/office/2006/metadata/properties"/>
    <ds:schemaRef ds:uri="http://schemas.openxmlformats.org/package/2006/metadata/core-properties"/>
    <ds:schemaRef ds:uri="http://purl.org/dc/terms/"/>
    <ds:schemaRef ds:uri="http://schemas.microsoft.com/office/2006/documentManagement/types"/>
    <ds:schemaRef ds:uri="d84ba8d6-d99c-426b-9ce0-bd863618ee62"/>
    <ds:schemaRef ds:uri="http://schemas.microsoft.com/sharepoint/v4"/>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69FF0274-1C77-4C97-A861-50D8CC5887BC}"/>
</file>

<file path=customXml/itemProps5.xml><?xml version="1.0" encoding="utf-8"?>
<ds:datastoreItem xmlns:ds="http://schemas.openxmlformats.org/officeDocument/2006/customXml" ds:itemID="{8574C7E5-586D-4993-8F84-423063543F64}">
  <ds:schemaRefs>
    <ds:schemaRef ds:uri="http://schemas.microsoft.com/sharepoint/v3/contenttype/forms/url"/>
  </ds:schemaRefs>
</ds:datastoreItem>
</file>

<file path=customXml/itemProps6.xml><?xml version="1.0" encoding="utf-8"?>
<ds:datastoreItem xmlns:ds="http://schemas.openxmlformats.org/officeDocument/2006/customXml" ds:itemID="{7517578D-AEF2-4650-B107-041F86348B9B}"/>
</file>

<file path=docProps/app.xml><?xml version="1.0" encoding="utf-8"?>
<Properties xmlns="http://schemas.openxmlformats.org/officeDocument/2006/extended-properties" xmlns:vt="http://schemas.openxmlformats.org/officeDocument/2006/docPropsVTypes">
  <Template>Normal</Template>
  <TotalTime>9</TotalTime>
  <Pages>13</Pages>
  <Words>3138</Words>
  <Characters>17260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Observaciones Reforma SGV-A-158 Guía prospecto fondos-revisión externa emisiones verdes, sociales o sostenibles</dc:title>
  <dc:subject/>
  <dc:creator>JGS</dc:creator>
  <cp:keywords/>
  <dc:description/>
  <cp:lastModifiedBy>FERNANDEZ GARITA MARIA LUCIA</cp:lastModifiedBy>
  <cp:revision>3</cp:revision>
  <cp:lastPrinted>2021-11-08T18:21:00Z</cp:lastPrinted>
  <dcterms:created xsi:type="dcterms:W3CDTF">2021-12-22T02:34:00Z</dcterms:created>
  <dcterms:modified xsi:type="dcterms:W3CDTF">2021-12-22T15:53:00Z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_dlc_DocIdItemGuid">
    <vt:lpwstr>b249f259-7f60-4cdc-991e-f16f7961768a</vt:lpwstr>
  </property>
</Properties>
</file>