
<file path=[Content_Types].xml><?xml version="1.0" encoding="utf-8"?>
<Types xmlns="http://schemas.openxmlformats.org/package/2006/content-types">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523F" w:rsidRPr="00C47906" w:rsidRDefault="00AA523F" w:rsidP="00C54CD8">
      <w:pPr>
        <w:ind w:left="720" w:hanging="360"/>
      </w:pPr>
    </w:p>
    <w:p w:rsidR="00117787" w:rsidRPr="00C47906" w:rsidRDefault="00117787" w:rsidP="00AB57EE">
      <w:pPr>
        <w:jc w:val="center"/>
        <w:rPr>
          <w:rFonts w:ascii="Arial" w:eastAsia="Cambria" w:hAnsi="Arial" w:cs="Arial"/>
          <w:b/>
        </w:rPr>
      </w:pPr>
      <w:r w:rsidRPr="00C47906">
        <w:rPr>
          <w:rFonts w:ascii="Arial" w:hAnsi="Arial" w:cs="Arial"/>
          <w:b/>
          <w:sz w:val="24"/>
        </w:rPr>
        <w:t>S</w:t>
      </w:r>
      <w:r w:rsidRPr="00C47906">
        <w:rPr>
          <w:rFonts w:ascii="Arial" w:hAnsi="Arial" w:cs="Arial"/>
          <w:b/>
        </w:rPr>
        <w:t>GV-A-</w:t>
      </w:r>
      <w:proofErr w:type="spellStart"/>
      <w:r w:rsidRPr="00C47906">
        <w:rPr>
          <w:rFonts w:ascii="Arial" w:hAnsi="Arial" w:cs="Arial"/>
          <w:b/>
        </w:rPr>
        <w:t>xxx</w:t>
      </w:r>
      <w:proofErr w:type="spellEnd"/>
      <w:r w:rsidRPr="00C47906">
        <w:rPr>
          <w:rFonts w:ascii="Arial" w:hAnsi="Arial" w:cs="Arial"/>
          <w:b/>
        </w:rPr>
        <w:t>.  MODIFICACIÓN AL ACUERDO SGV-A-75 “SUMINISTRO DE INFORMACIÓN PERIÓDICA”</w:t>
      </w:r>
    </w:p>
    <w:p w:rsidR="00117787" w:rsidRPr="00C47906" w:rsidRDefault="00117787" w:rsidP="00117787">
      <w:pPr>
        <w:ind w:right="-193"/>
        <w:jc w:val="both"/>
        <w:rPr>
          <w:rFonts w:ascii="Arial" w:hAnsi="Arial" w:cs="Arial"/>
          <w:b/>
          <w:bCs/>
          <w:noProof/>
          <w:lang w:val="es-ES_tradnl"/>
        </w:rPr>
      </w:pPr>
    </w:p>
    <w:p w:rsidR="00117787" w:rsidRPr="00C47906" w:rsidRDefault="00117787" w:rsidP="00117787">
      <w:pPr>
        <w:spacing w:line="276" w:lineRule="auto"/>
        <w:ind w:right="-193"/>
        <w:jc w:val="both"/>
        <w:rPr>
          <w:rFonts w:ascii="Arial" w:hAnsi="Arial" w:cs="Arial"/>
          <w:b/>
          <w:bCs/>
        </w:rPr>
      </w:pPr>
      <w:r w:rsidRPr="00C47906">
        <w:rPr>
          <w:rFonts w:ascii="Arial" w:hAnsi="Arial" w:cs="Arial"/>
          <w:b/>
          <w:bCs/>
        </w:rPr>
        <w:t>Considerando que:</w:t>
      </w:r>
    </w:p>
    <w:p w:rsidR="00117787" w:rsidRPr="00C47906" w:rsidRDefault="00117787" w:rsidP="00117787">
      <w:pPr>
        <w:spacing w:line="276" w:lineRule="auto"/>
        <w:ind w:right="-193"/>
        <w:jc w:val="both"/>
        <w:rPr>
          <w:rFonts w:ascii="Arial" w:hAnsi="Arial" w:cs="Arial"/>
          <w:b/>
          <w:bCs/>
        </w:rPr>
      </w:pPr>
    </w:p>
    <w:p w:rsidR="00117787" w:rsidRPr="00C47906" w:rsidRDefault="00117787" w:rsidP="00117787">
      <w:pPr>
        <w:numPr>
          <w:ilvl w:val="0"/>
          <w:numId w:val="8"/>
        </w:numPr>
        <w:tabs>
          <w:tab w:val="left" w:pos="567"/>
        </w:tabs>
        <w:spacing w:after="0" w:line="240" w:lineRule="auto"/>
        <w:ind w:left="567" w:right="-193" w:hanging="567"/>
        <w:jc w:val="both"/>
        <w:rPr>
          <w:rFonts w:ascii="R" w:hAnsi="R" w:cs="Arial"/>
        </w:rPr>
      </w:pPr>
      <w:r w:rsidRPr="00C47906">
        <w:rPr>
          <w:rFonts w:ascii="R" w:hAnsi="R" w:cs="Arial"/>
        </w:rPr>
        <w:t>El Artículo 8 inciso l) de la Ley Reguladora del Mercado de Valores, Ley 7732, faculta al Superintendente a exigir, de los sujetos supervisados, toda la información razonablemente necesaria, en las condiciones y</w:t>
      </w:r>
      <w:r w:rsidR="00012341" w:rsidRPr="00C47906">
        <w:rPr>
          <w:rFonts w:ascii="R" w:hAnsi="R" w:cs="Arial"/>
        </w:rPr>
        <w:t xml:space="preserve"> con</w:t>
      </w:r>
      <w:r w:rsidRPr="00C47906">
        <w:rPr>
          <w:rFonts w:ascii="R" w:hAnsi="R" w:cs="Arial"/>
        </w:rPr>
        <w:t xml:space="preserve"> la periodicidad que la Superintendencia determine, para cumplir adecuadamente con sus funciones supervisoras del mercado de valores, según la legislación y la </w:t>
      </w:r>
      <w:r w:rsidR="001F1E29" w:rsidRPr="00C47906">
        <w:rPr>
          <w:rFonts w:ascii="R" w:hAnsi="R" w:cs="Arial"/>
        </w:rPr>
        <w:t>reglamentación</w:t>
      </w:r>
      <w:r w:rsidRPr="00C47906">
        <w:rPr>
          <w:rFonts w:ascii="R" w:hAnsi="R" w:cs="Arial"/>
        </w:rPr>
        <w:t xml:space="preserve"> vigentes.</w:t>
      </w:r>
    </w:p>
    <w:p w:rsidR="00117787" w:rsidRPr="00C47906" w:rsidRDefault="00117787" w:rsidP="00117787">
      <w:pPr>
        <w:tabs>
          <w:tab w:val="left" w:pos="567"/>
        </w:tabs>
        <w:ind w:left="567" w:right="-193"/>
        <w:jc w:val="both"/>
        <w:rPr>
          <w:rFonts w:ascii="R" w:hAnsi="R" w:cs="Arial"/>
        </w:rPr>
      </w:pPr>
    </w:p>
    <w:p w:rsidR="00117787" w:rsidRPr="00C47906" w:rsidRDefault="00117787" w:rsidP="00117787">
      <w:pPr>
        <w:numPr>
          <w:ilvl w:val="0"/>
          <w:numId w:val="8"/>
        </w:numPr>
        <w:tabs>
          <w:tab w:val="left" w:pos="567"/>
        </w:tabs>
        <w:spacing w:after="0" w:line="240" w:lineRule="auto"/>
        <w:ind w:left="567" w:right="-193" w:hanging="567"/>
        <w:jc w:val="both"/>
        <w:rPr>
          <w:rFonts w:ascii="R" w:hAnsi="R" w:cs="Arial"/>
        </w:rPr>
      </w:pPr>
      <w:r w:rsidRPr="00C47906">
        <w:rPr>
          <w:rFonts w:ascii="R" w:hAnsi="R" w:cs="Arial"/>
        </w:rPr>
        <w:t>Mediante el Artículo 13 del Acta de la Sesión 81-99, celebrada el 18 de marzo de 1999, el Consejo Nacional de Supervisión del Sistema Financiero (Conassif) aprobó el Reglamento sobre el suministro de informaci</w:t>
      </w:r>
      <w:r w:rsidRPr="00C47906">
        <w:rPr>
          <w:rFonts w:ascii="R" w:hAnsi="R" w:cs="Arial" w:hint="eastAsia"/>
        </w:rPr>
        <w:t>ó</w:t>
      </w:r>
      <w:r w:rsidRPr="00C47906">
        <w:rPr>
          <w:rFonts w:ascii="R" w:hAnsi="R" w:cs="Arial"/>
        </w:rPr>
        <w:t>n peri</w:t>
      </w:r>
      <w:r w:rsidRPr="00C47906">
        <w:rPr>
          <w:rFonts w:ascii="R" w:hAnsi="R" w:cs="Arial" w:hint="eastAsia"/>
        </w:rPr>
        <w:t>ó</w:t>
      </w:r>
      <w:r w:rsidRPr="00C47906">
        <w:rPr>
          <w:rFonts w:ascii="R" w:hAnsi="R" w:cs="Arial"/>
        </w:rPr>
        <w:t>dica, hechos relevantes y otras obligaciones de informaci</w:t>
      </w:r>
      <w:r w:rsidRPr="00C47906">
        <w:rPr>
          <w:rFonts w:ascii="R" w:hAnsi="R" w:cs="Arial" w:hint="eastAsia"/>
        </w:rPr>
        <w:t>ó</w:t>
      </w:r>
      <w:r w:rsidRPr="00C47906">
        <w:rPr>
          <w:rFonts w:ascii="R" w:hAnsi="R" w:cs="Arial"/>
        </w:rPr>
        <w:t>n, el cual establece los deberes que, sobre esta materia, tienen los</w:t>
      </w:r>
      <w:r w:rsidRPr="00C47906">
        <w:rPr>
          <w:rFonts w:ascii="R" w:hAnsi="R" w:cs="Arial"/>
          <w:sz w:val="24"/>
        </w:rPr>
        <w:t xml:space="preserve"> emisores de valores objeto de oferta pública y los sujetos fiscalizados por la Superintendencia General de Valores (Sugeval)</w:t>
      </w:r>
      <w:r w:rsidRPr="00C47906">
        <w:rPr>
          <w:rFonts w:ascii="R" w:hAnsi="R" w:cs="Arial"/>
        </w:rPr>
        <w:t>. Este Reglamento confiere, al Superintendente, la potestad para definir el contenido, la periodicidad y los medios que deben emplearse para el suministro de información periódica a la Sugeval.</w:t>
      </w:r>
    </w:p>
    <w:p w:rsidR="00117787" w:rsidRPr="00C47906" w:rsidRDefault="00117787" w:rsidP="00117787">
      <w:pPr>
        <w:tabs>
          <w:tab w:val="left" w:pos="567"/>
        </w:tabs>
        <w:ind w:right="-193"/>
        <w:jc w:val="both"/>
        <w:rPr>
          <w:rFonts w:ascii="R" w:hAnsi="R" w:cs="Arial"/>
        </w:rPr>
      </w:pPr>
    </w:p>
    <w:p w:rsidR="00117787" w:rsidRPr="00C47906" w:rsidRDefault="00117787" w:rsidP="00117787">
      <w:pPr>
        <w:numPr>
          <w:ilvl w:val="0"/>
          <w:numId w:val="8"/>
        </w:numPr>
        <w:tabs>
          <w:tab w:val="left" w:pos="567"/>
        </w:tabs>
        <w:spacing w:after="0" w:line="240" w:lineRule="auto"/>
        <w:ind w:left="567" w:right="-193" w:hanging="567"/>
        <w:jc w:val="both"/>
        <w:rPr>
          <w:rFonts w:ascii="R" w:hAnsi="R" w:cs="Arial"/>
        </w:rPr>
      </w:pPr>
      <w:r w:rsidRPr="00C47906">
        <w:rPr>
          <w:rFonts w:ascii="R" w:hAnsi="R" w:cs="Arial"/>
        </w:rPr>
        <w:t>En virtud de la potestad señalada en el considerando anterior, el Superintendente General de Valores emitió el Acuerdo SGV-A-75,</w:t>
      </w:r>
      <w:r w:rsidR="00C47906" w:rsidRPr="00C47906">
        <w:rPr>
          <w:rFonts w:ascii="R" w:hAnsi="R" w:cs="Arial"/>
        </w:rPr>
        <w:t xml:space="preserve"> -A</w:t>
      </w:r>
      <w:r w:rsidRPr="00C47906">
        <w:rPr>
          <w:rFonts w:ascii="R" w:hAnsi="R" w:cs="Arial"/>
        </w:rPr>
        <w:t>cuerdo sobre el Suministro de Información Periódica</w:t>
      </w:r>
      <w:r w:rsidR="00C47906" w:rsidRPr="00C47906">
        <w:rPr>
          <w:rFonts w:ascii="R" w:hAnsi="R" w:cs="Arial"/>
        </w:rPr>
        <w:t>-</w:t>
      </w:r>
      <w:r w:rsidRPr="00C47906">
        <w:rPr>
          <w:rFonts w:ascii="R" w:hAnsi="R" w:cs="Arial"/>
        </w:rPr>
        <w:t xml:space="preserve"> del 24 de abril del 2003, el cual ha sido modificado a lo largo del tiempo según los cambios aprobados en el marco regulatorio y las necesidades de información de la Sugeval y del mercado de valores.</w:t>
      </w:r>
    </w:p>
    <w:p w:rsidR="000A39B8" w:rsidRPr="00C47906" w:rsidRDefault="000A39B8" w:rsidP="000A39B8">
      <w:pPr>
        <w:pStyle w:val="Prrafodelista"/>
        <w:rPr>
          <w:rFonts w:ascii="R" w:hAnsi="R" w:cs="Arial"/>
        </w:rPr>
      </w:pPr>
    </w:p>
    <w:p w:rsidR="00C65C84" w:rsidRPr="00C47906" w:rsidRDefault="00611A95" w:rsidP="00117787">
      <w:pPr>
        <w:numPr>
          <w:ilvl w:val="0"/>
          <w:numId w:val="8"/>
        </w:numPr>
        <w:tabs>
          <w:tab w:val="left" w:pos="567"/>
        </w:tabs>
        <w:spacing w:after="0" w:line="240" w:lineRule="auto"/>
        <w:ind w:left="567" w:right="-193" w:hanging="567"/>
        <w:jc w:val="both"/>
        <w:rPr>
          <w:rFonts w:ascii="R" w:hAnsi="R" w:cs="Arial"/>
        </w:rPr>
      </w:pPr>
      <w:r w:rsidRPr="00C47906">
        <w:rPr>
          <w:rFonts w:ascii="R" w:hAnsi="R" w:cs="Arial"/>
        </w:rPr>
        <w:t>Como parte de lo</w:t>
      </w:r>
      <w:r w:rsidR="00773B55" w:rsidRPr="00C47906">
        <w:rPr>
          <w:rFonts w:ascii="R" w:hAnsi="R" w:cs="Arial"/>
        </w:rPr>
        <w:t>s</w:t>
      </w:r>
      <w:r w:rsidRPr="00C47906">
        <w:rPr>
          <w:rFonts w:ascii="R" w:hAnsi="R" w:cs="Arial"/>
        </w:rPr>
        <w:t xml:space="preserve"> esfuerzos que realiza la superintendencia por mantener </w:t>
      </w:r>
      <w:r w:rsidR="00DE66F4" w:rsidRPr="00C47906">
        <w:rPr>
          <w:rFonts w:ascii="R" w:hAnsi="R" w:cs="Arial"/>
        </w:rPr>
        <w:t xml:space="preserve">un marco regulatorio </w:t>
      </w:r>
      <w:r w:rsidR="00AD015F" w:rsidRPr="00C47906">
        <w:rPr>
          <w:rFonts w:ascii="R" w:hAnsi="R" w:cs="Arial"/>
        </w:rPr>
        <w:t>actualizado y útil a los efectos</w:t>
      </w:r>
      <w:r w:rsidR="007E449D" w:rsidRPr="00C47906">
        <w:rPr>
          <w:rFonts w:ascii="R" w:hAnsi="R" w:cs="Arial"/>
        </w:rPr>
        <w:t xml:space="preserve"> de supervisión</w:t>
      </w:r>
      <w:r w:rsidR="00773B55" w:rsidRPr="00C47906">
        <w:rPr>
          <w:rFonts w:ascii="R" w:hAnsi="R" w:cs="Arial"/>
        </w:rPr>
        <w:t>,</w:t>
      </w:r>
      <w:r w:rsidR="00D423D2" w:rsidRPr="00C47906">
        <w:rPr>
          <w:rFonts w:ascii="R" w:hAnsi="R" w:cs="Arial"/>
        </w:rPr>
        <w:t xml:space="preserve"> Sugeval evalúa, de manera permanente</w:t>
      </w:r>
      <w:r w:rsidR="00D26ACC" w:rsidRPr="00C47906">
        <w:rPr>
          <w:rFonts w:ascii="R" w:hAnsi="R" w:cs="Arial"/>
        </w:rPr>
        <w:t>,</w:t>
      </w:r>
      <w:r w:rsidR="00D423D2" w:rsidRPr="00C47906">
        <w:rPr>
          <w:rFonts w:ascii="R" w:hAnsi="R" w:cs="Arial"/>
        </w:rPr>
        <w:t xml:space="preserve"> los contenidos, formatos</w:t>
      </w:r>
      <w:r w:rsidR="004422B9" w:rsidRPr="00C47906">
        <w:rPr>
          <w:rFonts w:ascii="R" w:hAnsi="R" w:cs="Arial"/>
        </w:rPr>
        <w:t>, medios y plazos para el suministro de</w:t>
      </w:r>
      <w:r w:rsidR="00D26ACC" w:rsidRPr="00C47906">
        <w:rPr>
          <w:rFonts w:ascii="R" w:hAnsi="R" w:cs="Arial"/>
        </w:rPr>
        <w:t xml:space="preserve"> la</w:t>
      </w:r>
      <w:r w:rsidR="004422B9" w:rsidRPr="00C47906">
        <w:rPr>
          <w:rFonts w:ascii="R" w:hAnsi="R" w:cs="Arial"/>
        </w:rPr>
        <w:t xml:space="preserve"> información</w:t>
      </w:r>
      <w:r w:rsidR="000912F8" w:rsidRPr="00C47906">
        <w:rPr>
          <w:rFonts w:ascii="R" w:hAnsi="R" w:cs="Arial"/>
        </w:rPr>
        <w:t xml:space="preserve"> </w:t>
      </w:r>
      <w:r w:rsidR="002B1767" w:rsidRPr="00C47906">
        <w:rPr>
          <w:rFonts w:ascii="R" w:hAnsi="R" w:cs="Arial"/>
        </w:rPr>
        <w:t>a que</w:t>
      </w:r>
      <w:r w:rsidR="007E464C" w:rsidRPr="00C47906">
        <w:rPr>
          <w:rFonts w:ascii="R" w:hAnsi="R" w:cs="Arial"/>
        </w:rPr>
        <w:t xml:space="preserve"> </w:t>
      </w:r>
      <w:r w:rsidR="000912F8" w:rsidRPr="00C47906">
        <w:rPr>
          <w:rFonts w:ascii="R" w:hAnsi="R" w:cs="Arial"/>
        </w:rPr>
        <w:t xml:space="preserve">se encuentran </w:t>
      </w:r>
      <w:r w:rsidR="002063B1" w:rsidRPr="00C47906">
        <w:rPr>
          <w:rFonts w:ascii="R" w:hAnsi="R" w:cs="Arial"/>
        </w:rPr>
        <w:t>obligados los sujetos supervisados</w:t>
      </w:r>
      <w:r w:rsidR="007E464C" w:rsidRPr="00C47906">
        <w:rPr>
          <w:rFonts w:ascii="R" w:hAnsi="R" w:cs="Arial"/>
        </w:rPr>
        <w:t xml:space="preserve">. De este proceso </w:t>
      </w:r>
      <w:r w:rsidR="002B1767" w:rsidRPr="00C47906">
        <w:rPr>
          <w:rFonts w:ascii="R" w:hAnsi="R" w:cs="Arial"/>
        </w:rPr>
        <w:t>resultan nuevas</w:t>
      </w:r>
      <w:r w:rsidR="00F43C6A" w:rsidRPr="00C47906">
        <w:rPr>
          <w:rFonts w:ascii="R" w:hAnsi="R" w:cs="Arial"/>
        </w:rPr>
        <w:t xml:space="preserve"> solicitudes de información o </w:t>
      </w:r>
      <w:r w:rsidR="00260FCE" w:rsidRPr="00C47906">
        <w:rPr>
          <w:rFonts w:ascii="R" w:hAnsi="R" w:cs="Arial"/>
        </w:rPr>
        <w:t xml:space="preserve">ajustes en los requerimientos </w:t>
      </w:r>
      <w:r w:rsidR="002B1767" w:rsidRPr="00C47906">
        <w:rPr>
          <w:rFonts w:ascii="R" w:hAnsi="R" w:cs="Arial"/>
        </w:rPr>
        <w:t>actuales, que</w:t>
      </w:r>
      <w:r w:rsidR="007E464C" w:rsidRPr="00C47906">
        <w:rPr>
          <w:rFonts w:ascii="R" w:hAnsi="R" w:cs="Arial"/>
        </w:rPr>
        <w:t xml:space="preserve"> procuran</w:t>
      </w:r>
      <w:r w:rsidR="004D7900" w:rsidRPr="00C47906">
        <w:rPr>
          <w:rFonts w:ascii="R" w:hAnsi="R" w:cs="Arial"/>
        </w:rPr>
        <w:t xml:space="preserve"> </w:t>
      </w:r>
      <w:r w:rsidR="00EF638D" w:rsidRPr="00C47906">
        <w:rPr>
          <w:rFonts w:ascii="R" w:hAnsi="R" w:cs="Arial"/>
        </w:rPr>
        <w:t>alimentar</w:t>
      </w:r>
      <w:r w:rsidR="00DF6618" w:rsidRPr="00C47906">
        <w:rPr>
          <w:rFonts w:ascii="R" w:hAnsi="R" w:cs="Arial"/>
        </w:rPr>
        <w:t xml:space="preserve">, de manera eficiente, </w:t>
      </w:r>
      <w:r w:rsidR="00EF638D" w:rsidRPr="00C47906">
        <w:rPr>
          <w:rFonts w:ascii="R" w:hAnsi="R" w:cs="Arial"/>
        </w:rPr>
        <w:t>el proceso de supervisión y el suministro de información al público</w:t>
      </w:r>
      <w:r w:rsidR="00C65C84" w:rsidRPr="00C47906">
        <w:rPr>
          <w:rFonts w:ascii="R" w:hAnsi="R" w:cs="Arial"/>
        </w:rPr>
        <w:t>.</w:t>
      </w:r>
    </w:p>
    <w:p w:rsidR="00BF0212" w:rsidRPr="00C47906" w:rsidRDefault="00BF0212" w:rsidP="00BF0212">
      <w:pPr>
        <w:tabs>
          <w:tab w:val="left" w:pos="567"/>
        </w:tabs>
        <w:spacing w:after="0" w:line="240" w:lineRule="auto"/>
        <w:ind w:right="-193"/>
        <w:jc w:val="both"/>
        <w:rPr>
          <w:rFonts w:ascii="R" w:hAnsi="R" w:cs="Arial"/>
        </w:rPr>
      </w:pPr>
    </w:p>
    <w:p w:rsidR="000A39B8" w:rsidRPr="00C47906" w:rsidRDefault="00C65C84" w:rsidP="00DE085E">
      <w:pPr>
        <w:pStyle w:val="Numeracin"/>
        <w:numPr>
          <w:ilvl w:val="0"/>
          <w:numId w:val="8"/>
        </w:numPr>
        <w:tabs>
          <w:tab w:val="left" w:pos="567"/>
        </w:tabs>
        <w:ind w:left="567" w:right="-193" w:hanging="567"/>
        <w:rPr>
          <w:rFonts w:ascii="R" w:eastAsiaTheme="minorHAnsi" w:hAnsi="R" w:cs="Arial"/>
          <w:kern w:val="2"/>
          <w:szCs w:val="22"/>
          <w:lang w:val="es-CR" w:eastAsia="en-US"/>
          <w14:ligatures w14:val="standardContextual"/>
        </w:rPr>
      </w:pPr>
      <w:r w:rsidRPr="00C47906">
        <w:rPr>
          <w:rFonts w:ascii="R" w:hAnsi="R" w:cs="Arial"/>
        </w:rPr>
        <w:t xml:space="preserve">En los últimos </w:t>
      </w:r>
      <w:r w:rsidR="00602AF4" w:rsidRPr="00C47906">
        <w:rPr>
          <w:rFonts w:ascii="R" w:hAnsi="R" w:cs="Arial"/>
        </w:rPr>
        <w:t>meses</w:t>
      </w:r>
      <w:r w:rsidRPr="00C47906">
        <w:rPr>
          <w:rFonts w:ascii="R" w:hAnsi="R" w:cs="Arial"/>
        </w:rPr>
        <w:t xml:space="preserve"> se han presentado cambios e</w:t>
      </w:r>
      <w:r w:rsidR="007414B7" w:rsidRPr="00C47906">
        <w:rPr>
          <w:rFonts w:ascii="R" w:hAnsi="R" w:cs="Arial"/>
        </w:rPr>
        <w:t>n el Registro de Calificadora</w:t>
      </w:r>
      <w:r w:rsidR="00BF0212" w:rsidRPr="00C47906">
        <w:rPr>
          <w:rFonts w:ascii="R" w:hAnsi="R" w:cs="Arial"/>
        </w:rPr>
        <w:t>s</w:t>
      </w:r>
      <w:r w:rsidR="007414B7" w:rsidRPr="00C47906">
        <w:rPr>
          <w:rFonts w:ascii="R" w:hAnsi="R" w:cs="Arial"/>
        </w:rPr>
        <w:t xml:space="preserve"> de riesgo, derivado</w:t>
      </w:r>
      <w:r w:rsidR="00BF0212" w:rsidRPr="00C47906">
        <w:rPr>
          <w:rFonts w:ascii="R" w:hAnsi="R" w:cs="Arial"/>
        </w:rPr>
        <w:t>s</w:t>
      </w:r>
      <w:r w:rsidR="007414B7" w:rsidRPr="00C47906">
        <w:rPr>
          <w:rFonts w:ascii="R" w:hAnsi="R" w:cs="Arial"/>
        </w:rPr>
        <w:t xml:space="preserve"> de</w:t>
      </w:r>
      <w:r w:rsidR="00BF0212" w:rsidRPr="00C47906">
        <w:rPr>
          <w:rFonts w:ascii="R" w:hAnsi="R" w:cs="Arial"/>
        </w:rPr>
        <w:t xml:space="preserve"> la modificación de </w:t>
      </w:r>
      <w:r w:rsidR="007414B7" w:rsidRPr="00C47906">
        <w:rPr>
          <w:rFonts w:ascii="R" w:hAnsi="R" w:cs="Arial"/>
        </w:rPr>
        <w:t xml:space="preserve">la denominación social de uno de los supervisados y </w:t>
      </w:r>
      <w:r w:rsidR="00F43BB8" w:rsidRPr="00C47906">
        <w:rPr>
          <w:rFonts w:ascii="R" w:hAnsi="R" w:cs="Arial"/>
        </w:rPr>
        <w:t>de</w:t>
      </w:r>
      <w:r w:rsidR="007414B7" w:rsidRPr="00C47906">
        <w:rPr>
          <w:rFonts w:ascii="R" w:hAnsi="R" w:cs="Arial"/>
        </w:rPr>
        <w:t xml:space="preserve"> la autorización de </w:t>
      </w:r>
      <w:r w:rsidR="00187055" w:rsidRPr="00C47906">
        <w:rPr>
          <w:rFonts w:ascii="R" w:hAnsi="R" w:cs="Arial"/>
        </w:rPr>
        <w:t xml:space="preserve">un nuevo participante con el nombre Feller </w:t>
      </w:r>
      <w:proofErr w:type="spellStart"/>
      <w:r w:rsidR="00187055" w:rsidRPr="00C47906">
        <w:rPr>
          <w:rFonts w:ascii="R" w:hAnsi="R" w:cs="Arial"/>
        </w:rPr>
        <w:t>Rate</w:t>
      </w:r>
      <w:proofErr w:type="spellEnd"/>
      <w:r w:rsidR="00187055" w:rsidRPr="00C47906">
        <w:rPr>
          <w:rFonts w:ascii="R" w:hAnsi="R" w:cs="Arial"/>
        </w:rPr>
        <w:t xml:space="preserve"> Costa Rica Calificadora de Riesgo, S.A.</w:t>
      </w:r>
      <w:r w:rsidR="00EF638D" w:rsidRPr="00C47906">
        <w:rPr>
          <w:rFonts w:ascii="R" w:hAnsi="R" w:cs="Arial"/>
        </w:rPr>
        <w:t xml:space="preserve"> </w:t>
      </w:r>
      <w:r w:rsidR="009926B5" w:rsidRPr="00C47906">
        <w:rPr>
          <w:rFonts w:ascii="R" w:hAnsi="R" w:cs="Arial"/>
        </w:rPr>
        <w:t xml:space="preserve"> lo que hace necesario </w:t>
      </w:r>
      <w:r w:rsidR="00DE085E" w:rsidRPr="00C47906">
        <w:rPr>
          <w:rFonts w:ascii="R" w:hAnsi="R" w:cs="Arial"/>
        </w:rPr>
        <w:t xml:space="preserve">actualizar la Tabla 5 -Sociedades Clasificadoras- </w:t>
      </w:r>
      <w:r w:rsidR="009926B5" w:rsidRPr="00C47906">
        <w:rPr>
          <w:rFonts w:ascii="R" w:hAnsi="R" w:cs="Arial"/>
        </w:rPr>
        <w:t>de</w:t>
      </w:r>
      <w:r w:rsidR="003225EC" w:rsidRPr="00C47906">
        <w:rPr>
          <w:rFonts w:ascii="R" w:hAnsi="R" w:cs="Arial"/>
        </w:rPr>
        <w:t xml:space="preserve">l </w:t>
      </w:r>
      <w:r w:rsidR="003225EC" w:rsidRPr="00C47906">
        <w:rPr>
          <w:rFonts w:ascii="R" w:eastAsiaTheme="minorHAnsi" w:hAnsi="R" w:cs="Arial"/>
          <w:kern w:val="2"/>
          <w:szCs w:val="22"/>
          <w:lang w:val="es-CR" w:eastAsia="en-US"/>
          <w14:ligatures w14:val="standardContextual"/>
        </w:rPr>
        <w:t>Anexo # 10</w:t>
      </w:r>
      <w:r w:rsidR="00DE085E" w:rsidRPr="00C47906">
        <w:rPr>
          <w:rFonts w:ascii="R" w:eastAsiaTheme="minorHAnsi" w:hAnsi="R" w:cs="Arial"/>
          <w:kern w:val="2"/>
          <w:szCs w:val="22"/>
          <w:lang w:val="es-CR" w:eastAsia="en-US"/>
          <w14:ligatures w14:val="standardContextual"/>
        </w:rPr>
        <w:t xml:space="preserve"> </w:t>
      </w:r>
      <w:r w:rsidR="00BF0212" w:rsidRPr="00C47906">
        <w:rPr>
          <w:rFonts w:ascii="R" w:eastAsiaTheme="minorHAnsi" w:hAnsi="R" w:cs="Arial"/>
          <w:kern w:val="2"/>
          <w:szCs w:val="22"/>
          <w:lang w:val="es-CR" w:eastAsia="en-US"/>
          <w14:ligatures w14:val="standardContextual"/>
        </w:rPr>
        <w:t>-</w:t>
      </w:r>
      <w:r w:rsidR="003225EC" w:rsidRPr="00C47906">
        <w:rPr>
          <w:rFonts w:ascii="R" w:eastAsiaTheme="minorHAnsi" w:hAnsi="R" w:cs="Arial"/>
          <w:kern w:val="2"/>
          <w:szCs w:val="22"/>
          <w:lang w:val="es-CR" w:eastAsia="en-US"/>
          <w14:ligatures w14:val="standardContextual"/>
        </w:rPr>
        <w:t>Manual descriptivo para “Reporte de inversiones propias</w:t>
      </w:r>
      <w:r w:rsidR="00BF0212" w:rsidRPr="00C47906">
        <w:rPr>
          <w:rFonts w:ascii="R" w:eastAsiaTheme="minorHAnsi" w:hAnsi="R" w:cs="Arial"/>
          <w:kern w:val="2"/>
          <w:szCs w:val="22"/>
          <w:lang w:val="es-CR" w:eastAsia="en-US"/>
          <w14:ligatures w14:val="standardContextual"/>
        </w:rPr>
        <w:t>-</w:t>
      </w:r>
      <w:r w:rsidR="00DE085E" w:rsidRPr="00C47906">
        <w:rPr>
          <w:rFonts w:ascii="R" w:eastAsiaTheme="minorHAnsi" w:hAnsi="R" w:cs="Arial"/>
          <w:kern w:val="2"/>
          <w:szCs w:val="22"/>
          <w:lang w:val="es-CR" w:eastAsia="en-US"/>
          <w14:ligatures w14:val="standardContextual"/>
        </w:rPr>
        <w:t xml:space="preserve"> </w:t>
      </w:r>
      <w:r w:rsidR="003D5CED" w:rsidRPr="00C47906">
        <w:rPr>
          <w:rFonts w:ascii="R" w:eastAsiaTheme="minorHAnsi" w:hAnsi="R" w:cs="Arial"/>
          <w:kern w:val="2"/>
          <w:szCs w:val="22"/>
          <w:lang w:val="es-CR" w:eastAsia="en-US"/>
          <w14:ligatures w14:val="standardContextual"/>
        </w:rPr>
        <w:t xml:space="preserve">  y del Ane</w:t>
      </w:r>
      <w:r w:rsidR="00175041" w:rsidRPr="00C47906">
        <w:rPr>
          <w:rFonts w:ascii="R" w:eastAsiaTheme="minorHAnsi" w:hAnsi="R" w:cs="Arial"/>
          <w:kern w:val="2"/>
          <w:szCs w:val="22"/>
          <w:lang w:val="es-CR" w:eastAsia="en-US"/>
          <w14:ligatures w14:val="standardContextual"/>
        </w:rPr>
        <w:t xml:space="preserve">xo 18 </w:t>
      </w:r>
      <w:r w:rsidR="00DE085E" w:rsidRPr="00C47906">
        <w:rPr>
          <w:rFonts w:ascii="R" w:eastAsiaTheme="minorHAnsi" w:hAnsi="R" w:cs="Arial"/>
          <w:kern w:val="2"/>
          <w:szCs w:val="22"/>
          <w:lang w:val="es-CR" w:eastAsia="en-US"/>
          <w14:ligatures w14:val="standardContextual"/>
        </w:rPr>
        <w:t xml:space="preserve">del Acuerdo </w:t>
      </w:r>
      <w:r w:rsidR="00DE085E" w:rsidRPr="00C47906">
        <w:rPr>
          <w:rFonts w:ascii="R" w:hAnsi="R" w:cs="Arial"/>
        </w:rPr>
        <w:t>SGV-A-75</w:t>
      </w:r>
      <w:r w:rsidR="00541C36" w:rsidRPr="00C47906">
        <w:rPr>
          <w:rFonts w:ascii="R" w:hAnsi="R" w:cs="Arial"/>
        </w:rPr>
        <w:t xml:space="preserve">. Adicionalmente, </w:t>
      </w:r>
      <w:r w:rsidR="00FF58B2" w:rsidRPr="00C47906">
        <w:rPr>
          <w:rFonts w:ascii="R" w:hAnsi="R" w:cs="Arial"/>
        </w:rPr>
        <w:t xml:space="preserve">en estos </w:t>
      </w:r>
      <w:r w:rsidR="002B1767" w:rsidRPr="00C47906">
        <w:rPr>
          <w:rFonts w:ascii="R" w:hAnsi="R" w:cs="Arial"/>
        </w:rPr>
        <w:t>anexos, se</w:t>
      </w:r>
      <w:r w:rsidR="00D130C1" w:rsidRPr="00C47906">
        <w:rPr>
          <w:rFonts w:ascii="R" w:hAnsi="R" w:cs="Arial"/>
        </w:rPr>
        <w:t xml:space="preserve"> han adicionado </w:t>
      </w:r>
      <w:r w:rsidR="00A650DC" w:rsidRPr="00C47906">
        <w:rPr>
          <w:rFonts w:ascii="R" w:hAnsi="R" w:cs="Arial"/>
        </w:rPr>
        <w:t>los campos necesarios para la identificación de inversiones</w:t>
      </w:r>
      <w:r w:rsidR="00B63034" w:rsidRPr="00C47906">
        <w:rPr>
          <w:rFonts w:ascii="R" w:hAnsi="R" w:cs="Arial"/>
        </w:rPr>
        <w:t xml:space="preserve"> </w:t>
      </w:r>
      <w:r w:rsidR="005B6FA9" w:rsidRPr="00C47906">
        <w:rPr>
          <w:rFonts w:ascii="R" w:hAnsi="R" w:cs="Arial"/>
        </w:rPr>
        <w:t xml:space="preserve">y </w:t>
      </w:r>
      <w:r w:rsidR="005B6FA9" w:rsidRPr="00C47906">
        <w:rPr>
          <w:rFonts w:ascii="R" w:hAnsi="R" w:cs="Arial"/>
          <w:lang w:val="es-CR"/>
        </w:rPr>
        <w:t>facilitar la conciliación entre cuentas de estados financieros y auxiliares contable</w:t>
      </w:r>
      <w:r w:rsidR="00FF58B2" w:rsidRPr="00C47906">
        <w:rPr>
          <w:rFonts w:ascii="R" w:hAnsi="R" w:cs="Arial"/>
          <w:lang w:val="es-CR"/>
        </w:rPr>
        <w:t>s.</w:t>
      </w:r>
    </w:p>
    <w:p w:rsidR="009B31A1" w:rsidRPr="00C47906" w:rsidRDefault="005E5021" w:rsidP="00C36A72">
      <w:pPr>
        <w:pStyle w:val="Numeracin"/>
        <w:numPr>
          <w:ilvl w:val="0"/>
          <w:numId w:val="8"/>
        </w:numPr>
        <w:tabs>
          <w:tab w:val="left" w:pos="567"/>
        </w:tabs>
        <w:ind w:left="567" w:right="-193" w:hanging="567"/>
        <w:rPr>
          <w:rFonts w:ascii="R" w:eastAsiaTheme="minorHAnsi" w:hAnsi="R" w:cs="Arial"/>
          <w:kern w:val="2"/>
          <w:szCs w:val="22"/>
          <w:lang w:val="es-CR" w:eastAsia="en-US"/>
          <w14:ligatures w14:val="standardContextual"/>
        </w:rPr>
      </w:pPr>
      <w:r w:rsidRPr="00C47906">
        <w:rPr>
          <w:rFonts w:ascii="R" w:eastAsiaTheme="minorHAnsi" w:hAnsi="R" w:cs="Arial"/>
          <w:kern w:val="2"/>
          <w:szCs w:val="22"/>
          <w:lang w:val="es-CR" w:eastAsia="en-US"/>
          <w14:ligatures w14:val="standardContextual"/>
        </w:rPr>
        <w:t>En el contexto de grupos financiero</w:t>
      </w:r>
      <w:r w:rsidR="006E0C6B" w:rsidRPr="00C47906">
        <w:rPr>
          <w:rFonts w:ascii="R" w:eastAsiaTheme="minorHAnsi" w:hAnsi="R" w:cs="Arial"/>
          <w:kern w:val="2"/>
          <w:szCs w:val="22"/>
          <w:lang w:val="es-CR" w:eastAsia="en-US"/>
          <w14:ligatures w14:val="standardContextual"/>
        </w:rPr>
        <w:t>s</w:t>
      </w:r>
      <w:r w:rsidR="00191DA0" w:rsidRPr="00C47906">
        <w:rPr>
          <w:rFonts w:ascii="R" w:eastAsiaTheme="minorHAnsi" w:hAnsi="R" w:cs="Arial"/>
          <w:kern w:val="2"/>
          <w:szCs w:val="22"/>
          <w:lang w:val="es-CR" w:eastAsia="en-US"/>
          <w14:ligatures w14:val="standardContextual"/>
        </w:rPr>
        <w:t xml:space="preserve">, </w:t>
      </w:r>
      <w:r w:rsidR="00B42CFC" w:rsidRPr="00C47906">
        <w:rPr>
          <w:rFonts w:ascii="R" w:eastAsiaTheme="minorHAnsi" w:hAnsi="R" w:cs="Arial"/>
          <w:kern w:val="2"/>
          <w:szCs w:val="22"/>
          <w:lang w:val="es-CR" w:eastAsia="en-US"/>
          <w14:ligatures w14:val="standardContextual"/>
        </w:rPr>
        <w:t xml:space="preserve">el ejercicio de la supervisión requiere </w:t>
      </w:r>
      <w:r w:rsidR="00EE5F84" w:rsidRPr="00C47906">
        <w:rPr>
          <w:rFonts w:ascii="R" w:eastAsiaTheme="minorHAnsi" w:hAnsi="R" w:cs="Arial"/>
          <w:kern w:val="2"/>
          <w:szCs w:val="22"/>
          <w:lang w:val="es-CR" w:eastAsia="en-US"/>
          <w14:ligatures w14:val="standardContextual"/>
        </w:rPr>
        <w:t>datos</w:t>
      </w:r>
      <w:r w:rsidR="001B48F4" w:rsidRPr="00C47906">
        <w:rPr>
          <w:rFonts w:ascii="R" w:eastAsiaTheme="minorHAnsi" w:hAnsi="R" w:cs="Arial"/>
          <w:kern w:val="2"/>
          <w:szCs w:val="22"/>
          <w:lang w:val="es-CR" w:eastAsia="en-US"/>
          <w14:ligatures w14:val="standardContextual"/>
        </w:rPr>
        <w:t xml:space="preserve"> de</w:t>
      </w:r>
      <w:r w:rsidR="005C5B11" w:rsidRPr="00C47906">
        <w:rPr>
          <w:rFonts w:ascii="R" w:eastAsiaTheme="minorHAnsi" w:hAnsi="R" w:cs="Arial"/>
          <w:kern w:val="2"/>
          <w:szCs w:val="22"/>
          <w:lang w:val="es-CR" w:eastAsia="en-US"/>
          <w14:ligatures w14:val="standardContextual"/>
        </w:rPr>
        <w:t xml:space="preserve"> las entidades</w:t>
      </w:r>
      <w:r w:rsidR="001B48F4" w:rsidRPr="00C47906">
        <w:rPr>
          <w:rFonts w:ascii="R" w:eastAsiaTheme="minorHAnsi" w:hAnsi="R" w:cs="Arial"/>
          <w:kern w:val="2"/>
          <w:szCs w:val="22"/>
          <w:lang w:val="es-CR" w:eastAsia="en-US"/>
          <w14:ligatures w14:val="standardContextual"/>
        </w:rPr>
        <w:t xml:space="preserve"> y de</w:t>
      </w:r>
      <w:r w:rsidR="005C5B11" w:rsidRPr="00C47906">
        <w:rPr>
          <w:rFonts w:ascii="R" w:eastAsiaTheme="minorHAnsi" w:hAnsi="R" w:cs="Arial"/>
          <w:kern w:val="2"/>
          <w:szCs w:val="22"/>
          <w:lang w:val="es-CR" w:eastAsia="en-US"/>
          <w14:ligatures w14:val="standardContextual"/>
        </w:rPr>
        <w:t xml:space="preserve"> las empresas que los constituyen.</w:t>
      </w:r>
      <w:r w:rsidR="00B42CFC" w:rsidRPr="00C47906">
        <w:rPr>
          <w:rFonts w:ascii="R" w:eastAsiaTheme="minorHAnsi" w:hAnsi="R" w:cs="Arial"/>
          <w:kern w:val="2"/>
          <w:szCs w:val="22"/>
          <w:lang w:val="es-CR" w:eastAsia="en-US"/>
          <w14:ligatures w14:val="standardContextual"/>
        </w:rPr>
        <w:t xml:space="preserve"> </w:t>
      </w:r>
      <w:r w:rsidR="000E223A" w:rsidRPr="00C47906">
        <w:rPr>
          <w:rFonts w:ascii="R" w:eastAsiaTheme="minorHAnsi" w:hAnsi="R" w:cs="Arial"/>
          <w:kern w:val="2"/>
          <w:szCs w:val="22"/>
          <w:lang w:val="es-CR" w:eastAsia="en-US"/>
          <w14:ligatures w14:val="standardContextual"/>
        </w:rPr>
        <w:t>Si bien la superintendencia recibe información periódica de la</w:t>
      </w:r>
      <w:r w:rsidR="003344A1" w:rsidRPr="00C47906">
        <w:rPr>
          <w:rFonts w:ascii="R" w:eastAsiaTheme="minorHAnsi" w:hAnsi="R" w:cs="Arial"/>
          <w:kern w:val="2"/>
          <w:szCs w:val="22"/>
          <w:lang w:val="es-CR" w:eastAsia="en-US"/>
          <w14:ligatures w14:val="standardContextual"/>
        </w:rPr>
        <w:t>s</w:t>
      </w:r>
      <w:r w:rsidR="000E223A" w:rsidRPr="00C47906">
        <w:rPr>
          <w:rFonts w:ascii="R" w:eastAsiaTheme="minorHAnsi" w:hAnsi="R" w:cs="Arial"/>
          <w:kern w:val="2"/>
          <w:szCs w:val="22"/>
          <w:lang w:val="es-CR" w:eastAsia="en-US"/>
          <w14:ligatures w14:val="standardContextual"/>
        </w:rPr>
        <w:t xml:space="preserve"> entidades, se hace neces</w:t>
      </w:r>
      <w:r w:rsidR="006F4631" w:rsidRPr="00C47906">
        <w:rPr>
          <w:rFonts w:ascii="R" w:eastAsiaTheme="minorHAnsi" w:hAnsi="R" w:cs="Arial"/>
          <w:kern w:val="2"/>
          <w:szCs w:val="22"/>
          <w:lang w:val="es-CR" w:eastAsia="en-US"/>
          <w14:ligatures w14:val="standardContextual"/>
        </w:rPr>
        <w:t>ario recabar i</w:t>
      </w:r>
      <w:r w:rsidR="00503679" w:rsidRPr="00C47906">
        <w:rPr>
          <w:rFonts w:ascii="R" w:eastAsiaTheme="minorHAnsi" w:hAnsi="R" w:cs="Arial"/>
          <w:kern w:val="2"/>
          <w:szCs w:val="22"/>
          <w:lang w:val="es-CR" w:eastAsia="en-US"/>
          <w14:ligatures w14:val="standardContextual"/>
        </w:rPr>
        <w:t xml:space="preserve">nformación </w:t>
      </w:r>
      <w:r w:rsidR="006F4631" w:rsidRPr="00C47906">
        <w:rPr>
          <w:rFonts w:ascii="R" w:eastAsiaTheme="minorHAnsi" w:hAnsi="R" w:cs="Arial"/>
          <w:kern w:val="2"/>
          <w:szCs w:val="22"/>
          <w:lang w:val="es-CR" w:eastAsia="en-US"/>
          <w14:ligatures w14:val="standardContextual"/>
        </w:rPr>
        <w:t>de las empresa</w:t>
      </w:r>
      <w:r w:rsidR="00506B09" w:rsidRPr="00C47906">
        <w:rPr>
          <w:rFonts w:ascii="R" w:eastAsiaTheme="minorHAnsi" w:hAnsi="R" w:cs="Arial"/>
          <w:kern w:val="2"/>
          <w:szCs w:val="22"/>
          <w:lang w:val="es-CR" w:eastAsia="en-US"/>
          <w14:ligatures w14:val="standardContextual"/>
        </w:rPr>
        <w:t xml:space="preserve">s </w:t>
      </w:r>
      <w:r w:rsidR="004868C4" w:rsidRPr="00C47906">
        <w:rPr>
          <w:rFonts w:ascii="R" w:eastAsiaTheme="minorHAnsi" w:hAnsi="R" w:cs="Arial"/>
          <w:kern w:val="2"/>
          <w:szCs w:val="22"/>
          <w:lang w:val="es-CR" w:eastAsia="en-US"/>
          <w14:ligatures w14:val="standardContextual"/>
        </w:rPr>
        <w:t>para</w:t>
      </w:r>
      <w:r w:rsidR="00506B09" w:rsidRPr="00C47906">
        <w:rPr>
          <w:rFonts w:ascii="R" w:eastAsiaTheme="minorHAnsi" w:hAnsi="R" w:cs="Arial"/>
          <w:kern w:val="2"/>
          <w:szCs w:val="22"/>
          <w:lang w:val="es-CR" w:eastAsia="en-US"/>
          <w14:ligatures w14:val="standardContextual"/>
        </w:rPr>
        <w:t xml:space="preserve"> </w:t>
      </w:r>
      <w:r w:rsidR="00E831DE" w:rsidRPr="00C47906">
        <w:rPr>
          <w:rFonts w:ascii="R" w:eastAsiaTheme="minorHAnsi" w:hAnsi="R" w:cs="Arial"/>
          <w:kern w:val="2"/>
          <w:szCs w:val="22"/>
          <w:lang w:val="es-CR" w:eastAsia="en-US"/>
          <w14:ligatures w14:val="standardContextual"/>
        </w:rPr>
        <w:t xml:space="preserve">la identificación y valoración de los riesgos </w:t>
      </w:r>
      <w:r w:rsidR="007F32DD" w:rsidRPr="00C47906">
        <w:rPr>
          <w:rFonts w:ascii="R" w:eastAsiaTheme="minorHAnsi" w:hAnsi="R" w:cs="Arial"/>
          <w:kern w:val="2"/>
          <w:szCs w:val="22"/>
          <w:lang w:val="es-CR" w:eastAsia="en-US"/>
          <w14:ligatures w14:val="standardContextual"/>
        </w:rPr>
        <w:t>y</w:t>
      </w:r>
      <w:r w:rsidR="004868C4" w:rsidRPr="00C47906">
        <w:rPr>
          <w:rFonts w:ascii="R" w:eastAsiaTheme="minorHAnsi" w:hAnsi="R" w:cs="Arial"/>
          <w:kern w:val="2"/>
          <w:szCs w:val="22"/>
          <w:lang w:val="es-CR" w:eastAsia="en-US"/>
          <w14:ligatures w14:val="standardContextual"/>
        </w:rPr>
        <w:t xml:space="preserve"> para </w:t>
      </w:r>
      <w:r w:rsidR="007F32DD" w:rsidRPr="00C47906">
        <w:rPr>
          <w:rFonts w:ascii="R" w:eastAsiaTheme="minorHAnsi" w:hAnsi="R" w:cs="Arial"/>
          <w:kern w:val="2"/>
          <w:szCs w:val="22"/>
          <w:lang w:val="es-CR" w:eastAsia="en-US"/>
          <w14:ligatures w14:val="standardContextual"/>
        </w:rPr>
        <w:t xml:space="preserve">la </w:t>
      </w:r>
      <w:r w:rsidR="005A7D8B" w:rsidRPr="00C47906">
        <w:rPr>
          <w:rFonts w:ascii="R" w:eastAsiaTheme="minorHAnsi" w:hAnsi="R" w:cs="Arial"/>
          <w:kern w:val="2"/>
          <w:szCs w:val="22"/>
          <w:lang w:val="es-CR" w:eastAsia="en-US"/>
          <w14:ligatures w14:val="standardContextual"/>
        </w:rPr>
        <w:t xml:space="preserve">verificación </w:t>
      </w:r>
      <w:r w:rsidR="001F522F" w:rsidRPr="00C47906">
        <w:rPr>
          <w:rFonts w:ascii="R" w:eastAsiaTheme="minorHAnsi" w:hAnsi="R" w:cs="Arial"/>
          <w:kern w:val="2"/>
          <w:szCs w:val="22"/>
          <w:lang w:val="es-CR" w:eastAsia="en-US"/>
          <w14:ligatures w14:val="standardContextual"/>
        </w:rPr>
        <w:t xml:space="preserve">de cumplimiento </w:t>
      </w:r>
      <w:r w:rsidR="00521E73" w:rsidRPr="00C47906">
        <w:rPr>
          <w:rFonts w:ascii="R" w:eastAsiaTheme="minorHAnsi" w:hAnsi="R" w:cs="Arial"/>
          <w:kern w:val="2"/>
          <w:szCs w:val="22"/>
          <w:lang w:val="es-CR" w:eastAsia="en-US"/>
          <w14:ligatures w14:val="standardContextual"/>
        </w:rPr>
        <w:t xml:space="preserve">de las </w:t>
      </w:r>
      <w:r w:rsidR="002F4A8D" w:rsidRPr="00C47906">
        <w:rPr>
          <w:rFonts w:ascii="R" w:eastAsiaTheme="minorHAnsi" w:hAnsi="R" w:cs="Arial"/>
          <w:kern w:val="2"/>
          <w:szCs w:val="22"/>
          <w:lang w:val="es-CR" w:eastAsia="en-US"/>
          <w14:ligatures w14:val="standardContextual"/>
        </w:rPr>
        <w:t>exposiciones</w:t>
      </w:r>
      <w:r w:rsidR="00503679" w:rsidRPr="00C47906">
        <w:rPr>
          <w:rFonts w:ascii="R" w:eastAsiaTheme="minorHAnsi" w:hAnsi="R" w:cs="Arial"/>
          <w:kern w:val="2"/>
          <w:szCs w:val="22"/>
          <w:lang w:val="es-CR" w:eastAsia="en-US"/>
          <w14:ligatures w14:val="standardContextual"/>
        </w:rPr>
        <w:t xml:space="preserve"> </w:t>
      </w:r>
      <w:r w:rsidR="005435CB" w:rsidRPr="00C47906">
        <w:rPr>
          <w:rFonts w:ascii="R" w:eastAsiaTheme="minorHAnsi" w:hAnsi="R" w:cs="Arial"/>
          <w:kern w:val="2"/>
          <w:szCs w:val="22"/>
          <w:lang w:val="es-CR" w:eastAsia="en-US"/>
          <w14:ligatures w14:val="standardContextual"/>
        </w:rPr>
        <w:t xml:space="preserve">por </w:t>
      </w:r>
      <w:r w:rsidR="00503679" w:rsidRPr="00C47906">
        <w:rPr>
          <w:rFonts w:ascii="R" w:eastAsiaTheme="minorHAnsi" w:hAnsi="R" w:cs="Arial"/>
          <w:kern w:val="2"/>
          <w:szCs w:val="22"/>
          <w:lang w:val="es-CR" w:eastAsia="en-US"/>
          <w14:ligatures w14:val="standardContextual"/>
        </w:rPr>
        <w:t>operaciones activas</w:t>
      </w:r>
      <w:r w:rsidR="005435CB" w:rsidRPr="00C47906">
        <w:rPr>
          <w:rFonts w:ascii="R" w:eastAsiaTheme="minorHAnsi" w:hAnsi="R" w:cs="Arial"/>
          <w:kern w:val="2"/>
          <w:szCs w:val="22"/>
          <w:lang w:val="es-CR" w:eastAsia="en-US"/>
          <w14:ligatures w14:val="standardContextual"/>
        </w:rPr>
        <w:t>,</w:t>
      </w:r>
      <w:r w:rsidR="00503679" w:rsidRPr="00C47906">
        <w:rPr>
          <w:rFonts w:ascii="R" w:eastAsiaTheme="minorHAnsi" w:hAnsi="R" w:cs="Arial"/>
          <w:kern w:val="2"/>
          <w:szCs w:val="22"/>
          <w:lang w:val="es-CR" w:eastAsia="en-US"/>
          <w14:ligatures w14:val="standardContextual"/>
        </w:rPr>
        <w:t xml:space="preserve"> dire</w:t>
      </w:r>
      <w:r w:rsidR="005435CB" w:rsidRPr="00C47906">
        <w:rPr>
          <w:rFonts w:ascii="R" w:eastAsiaTheme="minorHAnsi" w:hAnsi="R" w:cs="Arial"/>
          <w:kern w:val="2"/>
          <w:szCs w:val="22"/>
          <w:lang w:val="es-CR" w:eastAsia="en-US"/>
          <w14:ligatures w14:val="standardContextual"/>
        </w:rPr>
        <w:t>c</w:t>
      </w:r>
      <w:r w:rsidR="00503679" w:rsidRPr="00C47906">
        <w:rPr>
          <w:rFonts w:ascii="R" w:eastAsiaTheme="minorHAnsi" w:hAnsi="R" w:cs="Arial"/>
          <w:kern w:val="2"/>
          <w:szCs w:val="22"/>
          <w:lang w:val="es-CR" w:eastAsia="en-US"/>
          <w14:ligatures w14:val="standardContextual"/>
        </w:rPr>
        <w:t>tas e indirectas</w:t>
      </w:r>
      <w:r w:rsidR="005435CB" w:rsidRPr="00C47906">
        <w:rPr>
          <w:rFonts w:ascii="R" w:eastAsiaTheme="minorHAnsi" w:hAnsi="R" w:cs="Arial"/>
          <w:kern w:val="2"/>
          <w:szCs w:val="22"/>
          <w:lang w:val="es-CR" w:eastAsia="en-US"/>
          <w14:ligatures w14:val="standardContextual"/>
        </w:rPr>
        <w:t xml:space="preserve">, </w:t>
      </w:r>
      <w:r w:rsidR="002B1767" w:rsidRPr="00C47906">
        <w:rPr>
          <w:rFonts w:ascii="R" w:eastAsiaTheme="minorHAnsi" w:hAnsi="R" w:cs="Arial"/>
          <w:kern w:val="2"/>
          <w:szCs w:val="22"/>
          <w:lang w:val="es-CR" w:eastAsia="en-US"/>
          <w14:ligatures w14:val="standardContextual"/>
        </w:rPr>
        <w:t>con grupos</w:t>
      </w:r>
      <w:r w:rsidR="00503679" w:rsidRPr="00C47906">
        <w:rPr>
          <w:rFonts w:ascii="R" w:eastAsiaTheme="minorHAnsi" w:hAnsi="R" w:cs="Arial"/>
          <w:kern w:val="2"/>
          <w:szCs w:val="22"/>
          <w:lang w:val="es-CR" w:eastAsia="en-US"/>
          <w14:ligatures w14:val="standardContextual"/>
        </w:rPr>
        <w:t xml:space="preserve"> vinculados y grupos</w:t>
      </w:r>
      <w:r w:rsidR="002977F2" w:rsidRPr="00C47906">
        <w:rPr>
          <w:rFonts w:ascii="R" w:eastAsiaTheme="minorHAnsi" w:hAnsi="R" w:cs="Arial"/>
          <w:kern w:val="2"/>
          <w:szCs w:val="22"/>
          <w:lang w:val="es-CR" w:eastAsia="en-US"/>
          <w14:ligatures w14:val="standardContextual"/>
        </w:rPr>
        <w:t xml:space="preserve"> de</w:t>
      </w:r>
      <w:r w:rsidR="00503679" w:rsidRPr="00C47906">
        <w:rPr>
          <w:rFonts w:ascii="R" w:eastAsiaTheme="minorHAnsi" w:hAnsi="R" w:cs="Arial"/>
          <w:kern w:val="2"/>
          <w:szCs w:val="22"/>
          <w:lang w:val="es-CR" w:eastAsia="en-US"/>
          <w14:ligatures w14:val="standardContextual"/>
        </w:rPr>
        <w:t xml:space="preserve"> </w:t>
      </w:r>
      <w:r w:rsidR="005435CB" w:rsidRPr="00C47906">
        <w:rPr>
          <w:rFonts w:ascii="R" w:eastAsiaTheme="minorHAnsi" w:hAnsi="R" w:cs="Arial"/>
          <w:kern w:val="2"/>
          <w:szCs w:val="22"/>
          <w:lang w:val="es-CR" w:eastAsia="en-US"/>
          <w14:ligatures w14:val="standardContextual"/>
        </w:rPr>
        <w:t>interés</w:t>
      </w:r>
      <w:r w:rsidR="00503679" w:rsidRPr="00C47906">
        <w:rPr>
          <w:rFonts w:ascii="R" w:eastAsiaTheme="minorHAnsi" w:hAnsi="R" w:cs="Arial"/>
          <w:kern w:val="2"/>
          <w:szCs w:val="22"/>
          <w:lang w:val="es-CR" w:eastAsia="en-US"/>
          <w14:ligatures w14:val="standardContextual"/>
        </w:rPr>
        <w:t xml:space="preserve"> econ</w:t>
      </w:r>
      <w:r w:rsidR="004868C4" w:rsidRPr="00C47906">
        <w:rPr>
          <w:rFonts w:ascii="R" w:eastAsiaTheme="minorHAnsi" w:hAnsi="R" w:cs="Arial"/>
          <w:kern w:val="2"/>
          <w:szCs w:val="22"/>
          <w:lang w:val="es-CR" w:eastAsia="en-US"/>
          <w14:ligatures w14:val="standardContextual"/>
        </w:rPr>
        <w:t>ó</w:t>
      </w:r>
      <w:r w:rsidR="00503679" w:rsidRPr="00C47906">
        <w:rPr>
          <w:rFonts w:ascii="R" w:eastAsiaTheme="minorHAnsi" w:hAnsi="R" w:cs="Arial"/>
          <w:kern w:val="2"/>
          <w:szCs w:val="22"/>
          <w:lang w:val="es-CR" w:eastAsia="en-US"/>
          <w14:ligatures w14:val="standardContextual"/>
        </w:rPr>
        <w:t>mico</w:t>
      </w:r>
      <w:r w:rsidR="004868C4" w:rsidRPr="00C47906">
        <w:rPr>
          <w:rFonts w:ascii="R" w:eastAsiaTheme="minorHAnsi" w:hAnsi="R" w:cs="Arial"/>
          <w:kern w:val="2"/>
          <w:szCs w:val="22"/>
          <w:lang w:val="es-CR" w:eastAsia="en-US"/>
          <w14:ligatures w14:val="standardContextual"/>
        </w:rPr>
        <w:t>, s</w:t>
      </w:r>
      <w:r w:rsidR="005435CB" w:rsidRPr="00C47906">
        <w:rPr>
          <w:rFonts w:ascii="R" w:eastAsiaTheme="minorHAnsi" w:hAnsi="R" w:cs="Arial"/>
          <w:kern w:val="2"/>
          <w:szCs w:val="22"/>
          <w:lang w:val="es-CR" w:eastAsia="en-US"/>
          <w14:ligatures w14:val="standardContextual"/>
        </w:rPr>
        <w:t xml:space="preserve">egún </w:t>
      </w:r>
      <w:r w:rsidR="004868C4" w:rsidRPr="00C47906">
        <w:rPr>
          <w:rFonts w:ascii="R" w:eastAsiaTheme="minorHAnsi" w:hAnsi="R" w:cs="Arial"/>
          <w:kern w:val="2"/>
          <w:szCs w:val="22"/>
          <w:lang w:val="es-CR" w:eastAsia="en-US"/>
          <w14:ligatures w14:val="standardContextual"/>
        </w:rPr>
        <w:t xml:space="preserve">lo dispuesto en </w:t>
      </w:r>
      <w:r w:rsidR="00597A4B" w:rsidRPr="00C47906">
        <w:rPr>
          <w:rFonts w:ascii="R" w:eastAsiaTheme="minorHAnsi" w:hAnsi="R" w:cs="Arial"/>
          <w:kern w:val="2"/>
          <w:szCs w:val="22"/>
          <w:lang w:val="es-CR" w:eastAsia="en-US"/>
          <w14:ligatures w14:val="standardContextual"/>
        </w:rPr>
        <w:t xml:space="preserve">los </w:t>
      </w:r>
      <w:r w:rsidR="002977F2" w:rsidRPr="00C47906">
        <w:rPr>
          <w:rFonts w:ascii="R" w:eastAsiaTheme="minorHAnsi" w:hAnsi="R" w:cs="Arial"/>
          <w:kern w:val="2"/>
          <w:szCs w:val="22"/>
          <w:lang w:val="es-CR" w:eastAsia="en-US"/>
          <w14:ligatures w14:val="standardContextual"/>
        </w:rPr>
        <w:t>c</w:t>
      </w:r>
      <w:r w:rsidR="00503679" w:rsidRPr="00C47906">
        <w:rPr>
          <w:rFonts w:ascii="R" w:eastAsiaTheme="minorHAnsi" w:hAnsi="R" w:cs="Arial"/>
          <w:kern w:val="2"/>
          <w:szCs w:val="22"/>
          <w:lang w:val="es-CR" w:eastAsia="en-US"/>
          <w14:ligatures w14:val="standardContextual"/>
        </w:rPr>
        <w:t>apítulo</w:t>
      </w:r>
      <w:r w:rsidR="002977F2" w:rsidRPr="00C47906">
        <w:rPr>
          <w:rFonts w:ascii="R" w:eastAsiaTheme="minorHAnsi" w:hAnsi="R" w:cs="Arial"/>
          <w:kern w:val="2"/>
          <w:szCs w:val="22"/>
          <w:lang w:val="es-CR" w:eastAsia="en-US"/>
          <w14:ligatures w14:val="standardContextual"/>
        </w:rPr>
        <w:t>s</w:t>
      </w:r>
      <w:r w:rsidR="00503679" w:rsidRPr="00C47906">
        <w:rPr>
          <w:rFonts w:ascii="R" w:eastAsiaTheme="minorHAnsi" w:hAnsi="R" w:cs="Arial"/>
          <w:kern w:val="2"/>
          <w:szCs w:val="22"/>
          <w:lang w:val="es-CR" w:eastAsia="en-US"/>
          <w14:ligatures w14:val="standardContextual"/>
        </w:rPr>
        <w:t xml:space="preserve"> IV, V y VI del Título III </w:t>
      </w:r>
      <w:r w:rsidR="002977F2" w:rsidRPr="00C47906">
        <w:rPr>
          <w:rFonts w:ascii="R" w:eastAsiaTheme="minorHAnsi" w:hAnsi="R" w:cs="Arial"/>
          <w:kern w:val="2"/>
          <w:szCs w:val="22"/>
          <w:lang w:val="es-CR" w:eastAsia="en-US"/>
          <w14:ligatures w14:val="standardContextual"/>
        </w:rPr>
        <w:t>-</w:t>
      </w:r>
      <w:r w:rsidR="00503679" w:rsidRPr="00C47906">
        <w:rPr>
          <w:rFonts w:ascii="R" w:eastAsiaTheme="minorHAnsi" w:hAnsi="R" w:cs="Arial"/>
          <w:kern w:val="2"/>
          <w:szCs w:val="22"/>
          <w:lang w:val="es-CR" w:eastAsia="en-US"/>
          <w14:ligatures w14:val="standardContextual"/>
        </w:rPr>
        <w:t>Supervisión, Organización y Funcionamiento</w:t>
      </w:r>
      <w:r w:rsidR="002977F2" w:rsidRPr="00C47906">
        <w:rPr>
          <w:rFonts w:ascii="R" w:eastAsiaTheme="minorHAnsi" w:hAnsi="R" w:cs="Arial"/>
          <w:kern w:val="2"/>
          <w:szCs w:val="22"/>
          <w:lang w:val="es-CR" w:eastAsia="en-US"/>
          <w14:ligatures w14:val="standardContextual"/>
        </w:rPr>
        <w:t>- del Reglamento de Supervisión Consolidada</w:t>
      </w:r>
      <w:r w:rsidR="00C47906" w:rsidRPr="00C47906">
        <w:rPr>
          <w:rFonts w:ascii="R" w:eastAsiaTheme="minorHAnsi" w:hAnsi="R" w:cs="Arial"/>
          <w:kern w:val="2"/>
          <w:szCs w:val="22"/>
          <w:lang w:val="es-CR" w:eastAsia="en-US"/>
          <w14:ligatures w14:val="standardContextual"/>
        </w:rPr>
        <w:t>-</w:t>
      </w:r>
      <w:r w:rsidR="002977F2" w:rsidRPr="00C47906">
        <w:rPr>
          <w:rFonts w:ascii="R" w:eastAsiaTheme="minorHAnsi" w:hAnsi="R" w:cs="Arial"/>
          <w:kern w:val="2"/>
          <w:szCs w:val="22"/>
          <w:lang w:val="es-CR" w:eastAsia="en-US"/>
          <w14:ligatures w14:val="standardContextual"/>
        </w:rPr>
        <w:t>.</w:t>
      </w:r>
    </w:p>
    <w:p w:rsidR="00316456" w:rsidRPr="00C47906" w:rsidRDefault="00316456" w:rsidP="00E95328">
      <w:pPr>
        <w:pStyle w:val="Numeracin"/>
        <w:numPr>
          <w:ilvl w:val="0"/>
          <w:numId w:val="8"/>
        </w:numPr>
        <w:ind w:left="567" w:hanging="567"/>
      </w:pPr>
      <w:r w:rsidRPr="00C47906">
        <w:rPr>
          <w:rFonts w:ascii="R" w:eastAsiaTheme="minorHAnsi" w:hAnsi="R" w:cs="Arial"/>
          <w:kern w:val="2"/>
          <w:szCs w:val="22"/>
          <w:lang w:val="es-CR" w:eastAsia="en-US"/>
          <w14:ligatures w14:val="standardContextual"/>
        </w:rPr>
        <w:t xml:space="preserve">Con el objetivo de optimizar el proceso de captura de información y reducir el riesgo operativo asociado al procesamiento manual de datos, se ha dispuesto la automatización del envío y recepción de la información correspondiente al Anexo 42 —Traspasos No Onerosos— del Acuerdo SGV A-75. En adelante, dicha información deberá ser remitida a través del Sistema </w:t>
      </w:r>
      <w:proofErr w:type="spellStart"/>
      <w:r w:rsidRPr="00C47906">
        <w:rPr>
          <w:rFonts w:ascii="R" w:eastAsiaTheme="minorHAnsi" w:hAnsi="R" w:cs="Arial"/>
          <w:kern w:val="2"/>
          <w:szCs w:val="22"/>
          <w:lang w:val="es-CR" w:eastAsia="en-US"/>
          <w14:ligatures w14:val="standardContextual"/>
        </w:rPr>
        <w:t>Ingresador</w:t>
      </w:r>
      <w:proofErr w:type="spellEnd"/>
      <w:r w:rsidRPr="00C47906">
        <w:rPr>
          <w:rFonts w:ascii="R" w:eastAsiaTheme="minorHAnsi" w:hAnsi="R" w:cs="Arial"/>
          <w:kern w:val="2"/>
          <w:szCs w:val="22"/>
          <w:lang w:val="es-CR" w:eastAsia="en-US"/>
          <w14:ligatures w14:val="standardContextual"/>
        </w:rPr>
        <w:t xml:space="preserve"> de Información Periódica de la SUGEVAL.</w:t>
      </w:r>
    </w:p>
    <w:p w:rsidR="00E42FD7" w:rsidRPr="00C47906" w:rsidRDefault="00E42FD7" w:rsidP="00D22AA4">
      <w:pPr>
        <w:pStyle w:val="Numeracin"/>
        <w:ind w:left="567" w:hanging="567"/>
        <w:rPr>
          <w:rFonts w:ascii="R" w:hAnsi="R" w:cs="Arial"/>
        </w:rPr>
      </w:pPr>
      <w:r w:rsidRPr="00C47906">
        <w:rPr>
          <w:rFonts w:ascii="R" w:hAnsi="R" w:cs="Arial"/>
        </w:rPr>
        <w:t xml:space="preserve">Para una valoración integral de los riesgos en el mercado de valores, es fundamental contar con información estandarizada proveniente tanto de las entidades de infraestructura del mercado como de los puestos de bolsa. Con el objetivo de reducir las asimetrías de información entre estos participantes, se ha </w:t>
      </w:r>
      <w:r w:rsidR="001E2596" w:rsidRPr="00C47906">
        <w:rPr>
          <w:rFonts w:ascii="R" w:hAnsi="R" w:cs="Arial"/>
        </w:rPr>
        <w:t>dispuesto</w:t>
      </w:r>
      <w:r w:rsidRPr="00C47906">
        <w:rPr>
          <w:rFonts w:ascii="R" w:hAnsi="R" w:cs="Arial"/>
        </w:rPr>
        <w:t xml:space="preserve"> la modificación del contenido del Anexo 10 del Acuerdo SGV A-75, </w:t>
      </w:r>
      <w:r w:rsidR="00DA3754" w:rsidRPr="00C47906">
        <w:rPr>
          <w:rFonts w:ascii="R" w:hAnsi="R" w:cs="Arial"/>
        </w:rPr>
        <w:t>para</w:t>
      </w:r>
      <w:r w:rsidRPr="00C47906">
        <w:rPr>
          <w:rFonts w:ascii="R" w:hAnsi="R" w:cs="Arial"/>
        </w:rPr>
        <w:t xml:space="preserve"> su uso </w:t>
      </w:r>
      <w:r w:rsidR="00D16979" w:rsidRPr="00C47906">
        <w:rPr>
          <w:rFonts w:ascii="R" w:hAnsi="R" w:cs="Arial"/>
        </w:rPr>
        <w:t>en el</w:t>
      </w:r>
      <w:r w:rsidRPr="00C47906">
        <w:rPr>
          <w:rFonts w:ascii="R" w:hAnsi="R" w:cs="Arial"/>
        </w:rPr>
        <w:t xml:space="preserve"> reporte de las inversiones propias de las bolsas de valores.</w:t>
      </w:r>
    </w:p>
    <w:p w:rsidR="00E42FD7" w:rsidRPr="00C47906" w:rsidRDefault="00E42FD7" w:rsidP="0016342E">
      <w:pPr>
        <w:pStyle w:val="Numeracin"/>
        <w:numPr>
          <w:ilvl w:val="0"/>
          <w:numId w:val="0"/>
        </w:numPr>
        <w:ind w:left="567"/>
        <w:rPr>
          <w:rFonts w:ascii="R" w:hAnsi="R" w:cs="Arial"/>
        </w:rPr>
      </w:pPr>
      <w:r w:rsidRPr="00C47906">
        <w:rPr>
          <w:rFonts w:ascii="R" w:hAnsi="R" w:cs="Arial"/>
        </w:rPr>
        <w:t xml:space="preserve">Asimismo, con el propósito de mitigar los riesgos operativos asociados al procesamiento de datos transmitidos mediante correo electrónico, se ha dispuesto la utilización del Sistema </w:t>
      </w:r>
      <w:proofErr w:type="spellStart"/>
      <w:r w:rsidRPr="00C47906">
        <w:rPr>
          <w:rFonts w:ascii="R" w:hAnsi="R" w:cs="Arial"/>
        </w:rPr>
        <w:t>Ingresador</w:t>
      </w:r>
      <w:proofErr w:type="spellEnd"/>
      <w:r w:rsidR="00D16979" w:rsidRPr="00C47906">
        <w:rPr>
          <w:rFonts w:ascii="R" w:hAnsi="R" w:cs="Arial"/>
        </w:rPr>
        <w:t xml:space="preserve"> </w:t>
      </w:r>
      <w:r w:rsidR="00D16979" w:rsidRPr="00C47906">
        <w:rPr>
          <w:rFonts w:ascii="R" w:eastAsiaTheme="minorHAnsi" w:hAnsi="R" w:cs="Arial"/>
          <w:kern w:val="2"/>
          <w:szCs w:val="22"/>
          <w:lang w:val="es-CR" w:eastAsia="en-US"/>
          <w14:ligatures w14:val="standardContextual"/>
        </w:rPr>
        <w:t>de Información Periódica de la SUGEVAL</w:t>
      </w:r>
      <w:r w:rsidRPr="00C47906">
        <w:rPr>
          <w:rFonts w:ascii="R" w:hAnsi="R" w:cs="Arial"/>
        </w:rPr>
        <w:t xml:space="preserve"> para el envío de los reportes de carteras propias de las bolsas de valores.</w:t>
      </w:r>
    </w:p>
    <w:p w:rsidR="00EE6520" w:rsidRPr="00C47906" w:rsidRDefault="00EE6520" w:rsidP="00FC5F26">
      <w:pPr>
        <w:pStyle w:val="Numeracin"/>
        <w:numPr>
          <w:ilvl w:val="0"/>
          <w:numId w:val="8"/>
        </w:numPr>
        <w:ind w:left="567" w:hanging="567"/>
      </w:pPr>
      <w:r w:rsidRPr="00C47906">
        <w:rPr>
          <w:lang w:val="es-CR"/>
        </w:rPr>
        <w:t xml:space="preserve">La madurez tecnológica de las entidades supervisadas por Sugeval ha optimizado los procesos de captura, registro y reporte de la información financiero-contable. Estos avances representan una oportunidad para agilizar el flujo de información entre las entidades, la Superintendencia y los inversionistas, lo </w:t>
      </w:r>
      <w:r w:rsidR="00683244" w:rsidRPr="00C47906">
        <w:rPr>
          <w:lang w:val="es-CR"/>
        </w:rPr>
        <w:t xml:space="preserve">que permite </w:t>
      </w:r>
      <w:r w:rsidRPr="00C47906">
        <w:rPr>
          <w:lang w:val="es-CR"/>
        </w:rPr>
        <w:t>reducir los plazos de envío en algunos reportes requeridos en el Acuerdo SGV A-75.</w:t>
      </w:r>
    </w:p>
    <w:p w:rsidR="00D16979" w:rsidRPr="00C47906" w:rsidRDefault="00984478" w:rsidP="00736E05">
      <w:pPr>
        <w:pStyle w:val="Numeracin"/>
        <w:numPr>
          <w:ilvl w:val="0"/>
          <w:numId w:val="8"/>
        </w:numPr>
        <w:ind w:left="567" w:hanging="567"/>
      </w:pPr>
      <w:r w:rsidRPr="00C47906">
        <w:t xml:space="preserve">Los Acuerdos </w:t>
      </w:r>
      <w:r w:rsidR="005E4B0D" w:rsidRPr="00C47906">
        <w:t xml:space="preserve"> Sugeval 7-06 Reglamento sobre oferta pública de valores</w:t>
      </w:r>
      <w:r w:rsidR="00D71D27" w:rsidRPr="00C47906">
        <w:t>,</w:t>
      </w:r>
      <w:r w:rsidR="005E4B0D" w:rsidRPr="00C47906">
        <w:t xml:space="preserve"> Sugeval 15-14 Reglamento sobre procesos de titularización, Sugeval 14-14 Reglamento sobre financiamiento de proyectos de infraestructura, Sugeval 8-09 Reglamento sobre sociedades administradoras y fondos de inversión y Sugeval 19-20 Reglamento sobre fondos de inversión de capital de riesgo establecen </w:t>
      </w:r>
      <w:r w:rsidRPr="00C47906">
        <w:t>,</w:t>
      </w:r>
      <w:r w:rsidR="005E4B0D" w:rsidRPr="00C47906">
        <w:t>como requisito de inscripción de los diferentes productos temáticos</w:t>
      </w:r>
      <w:r w:rsidRPr="00C47906">
        <w:t>,</w:t>
      </w:r>
      <w:r w:rsidR="005E4B0D" w:rsidRPr="00C47906">
        <w:t xml:space="preserve"> la presentación de una verificación externa realizada por un tercero experto e independiente del emisor, que acredite el cumplimiento de los principios y estándares internacionales o nacionales reconocidos por el CONASSIF en materia ambiental, social y sostenible. </w:t>
      </w:r>
    </w:p>
    <w:p w:rsidR="005E4B0D" w:rsidRPr="00C47906" w:rsidRDefault="005E4B0D" w:rsidP="00D16979">
      <w:pPr>
        <w:pStyle w:val="Numeracin"/>
        <w:numPr>
          <w:ilvl w:val="0"/>
          <w:numId w:val="0"/>
        </w:numPr>
        <w:ind w:left="567"/>
      </w:pPr>
      <w:r w:rsidRPr="00C47906">
        <w:t xml:space="preserve">Adicionalmente, el artículo 6 del Acuerdo SGV-A- 252 Lineamientos para la autorización y registro de emisiones verdes, sociales y </w:t>
      </w:r>
      <w:r w:rsidR="003D53E9" w:rsidRPr="00C47906">
        <w:t>sustentables de oferta pública</w:t>
      </w:r>
      <w:r w:rsidR="009B19D2" w:rsidRPr="00C47906">
        <w:t>,</w:t>
      </w:r>
      <w:r w:rsidRPr="00C47906">
        <w:t xml:space="preserve"> dispone que la verificación externa debe actualizarse anualmente. Por otra parte, el artículo 9 del Acuerdo SGV-A-252 en referencia señala que debe presentarse un informe sobre la utilización de los recursos captados mediante emisiones, programas o fondos de inversión temáticos de manera anual a partir del año siguiente de la fecha de la primera </w:t>
      </w:r>
      <w:r w:rsidR="0095537E" w:rsidRPr="00C47906">
        <w:t>verificación</w:t>
      </w:r>
      <w:r w:rsidRPr="00C47906">
        <w:t xml:space="preserve"> externa y hasta por el plazo de la emisión. Con el fin de brindar seguridad jurídica a las entidades, es necesario aclarar el plazo máximo para la remisión de la verificación externa y del informe de uso de fondos, el cual se define en 3 días hábiles</w:t>
      </w:r>
      <w:r w:rsidR="00206726" w:rsidRPr="00C47906">
        <w:t xml:space="preserve"> contados a partir de la fecha de cada aniversario de la primera </w:t>
      </w:r>
      <w:r w:rsidR="00330E8A" w:rsidRPr="00C47906">
        <w:t>verificación</w:t>
      </w:r>
      <w:r w:rsidR="00206726" w:rsidRPr="00C47906">
        <w:t xml:space="preserve"> externa.</w:t>
      </w:r>
    </w:p>
    <w:p w:rsidR="00D16979" w:rsidRPr="00C47906" w:rsidRDefault="00D16979" w:rsidP="00D16979">
      <w:pPr>
        <w:pStyle w:val="Numeracin"/>
        <w:numPr>
          <w:ilvl w:val="0"/>
          <w:numId w:val="8"/>
        </w:numPr>
        <w:ind w:left="567" w:hanging="567"/>
      </w:pPr>
      <w:r w:rsidRPr="00C47906">
        <w:t>Los cambios propuestos pueden requerir un plazo para que las entidades se ajusten a l</w:t>
      </w:r>
      <w:r w:rsidR="00AB34C8" w:rsidRPr="00C47906">
        <w:t>as</w:t>
      </w:r>
      <w:r w:rsidRPr="00C47906">
        <w:t xml:space="preserve"> nuev</w:t>
      </w:r>
      <w:r w:rsidR="00AB34C8" w:rsidRPr="00C47906">
        <w:t>a</w:t>
      </w:r>
      <w:r w:rsidRPr="00C47906">
        <w:t xml:space="preserve">s </w:t>
      </w:r>
      <w:r w:rsidR="00B55958" w:rsidRPr="00C47906">
        <w:t>exigencias, p</w:t>
      </w:r>
      <w:r w:rsidRPr="00C47906">
        <w:t>or ello, se ha establecido una implementación gradual de las modificaciones, lo que les permite disponer del tiempo suficiente para una transición ordenada y minimizar posibles impactos operativos.</w:t>
      </w:r>
    </w:p>
    <w:p w:rsidR="00B535D1" w:rsidRPr="00C47906" w:rsidRDefault="00B535D1" w:rsidP="001619E5">
      <w:pPr>
        <w:pStyle w:val="Numeracin"/>
        <w:numPr>
          <w:ilvl w:val="0"/>
          <w:numId w:val="0"/>
        </w:numPr>
      </w:pPr>
    </w:p>
    <w:p w:rsidR="001619E5" w:rsidRPr="00C47906" w:rsidRDefault="001619E5" w:rsidP="001619E5">
      <w:pPr>
        <w:pStyle w:val="Numeracin"/>
        <w:numPr>
          <w:ilvl w:val="0"/>
          <w:numId w:val="0"/>
        </w:numPr>
        <w:rPr>
          <w:b/>
          <w:bCs/>
        </w:rPr>
      </w:pPr>
      <w:r w:rsidRPr="00C47906">
        <w:rPr>
          <w:b/>
          <w:bCs/>
        </w:rPr>
        <w:t>Dispone:</w:t>
      </w:r>
    </w:p>
    <w:p w:rsidR="001619E5" w:rsidRPr="00C47906" w:rsidRDefault="001619E5" w:rsidP="001619E5">
      <w:pPr>
        <w:pStyle w:val="Numeracin"/>
        <w:numPr>
          <w:ilvl w:val="0"/>
          <w:numId w:val="0"/>
        </w:numPr>
      </w:pPr>
    </w:p>
    <w:p w:rsidR="00B535D1" w:rsidRPr="00C47906" w:rsidRDefault="00F15664" w:rsidP="00F15664">
      <w:pPr>
        <w:pStyle w:val="Numeracin"/>
        <w:numPr>
          <w:ilvl w:val="0"/>
          <w:numId w:val="0"/>
        </w:numPr>
        <w:rPr>
          <w:b/>
          <w:bCs/>
        </w:rPr>
      </w:pPr>
      <w:r w:rsidRPr="00C47906">
        <w:rPr>
          <w:b/>
          <w:bCs/>
        </w:rPr>
        <w:t>Modificar el Acuerdo SGV-A-75</w:t>
      </w:r>
      <w:r w:rsidR="008558D8" w:rsidRPr="00C47906">
        <w:rPr>
          <w:b/>
          <w:bCs/>
        </w:rPr>
        <w:t xml:space="preserve"> -</w:t>
      </w:r>
      <w:r w:rsidRPr="00C47906">
        <w:rPr>
          <w:b/>
          <w:bCs/>
        </w:rPr>
        <w:t xml:space="preserve"> </w:t>
      </w:r>
      <w:r w:rsidR="00902A38" w:rsidRPr="00C47906">
        <w:rPr>
          <w:b/>
          <w:bCs/>
        </w:rPr>
        <w:t>S</w:t>
      </w:r>
      <w:r w:rsidRPr="00C47906">
        <w:rPr>
          <w:b/>
          <w:bCs/>
        </w:rPr>
        <w:t>uministro de información periódica</w:t>
      </w:r>
      <w:r w:rsidR="00EB25C5" w:rsidRPr="00C47906">
        <w:rPr>
          <w:b/>
          <w:bCs/>
        </w:rPr>
        <w:t>-</w:t>
      </w:r>
      <w:r w:rsidRPr="00C47906">
        <w:rPr>
          <w:b/>
          <w:bCs/>
        </w:rPr>
        <w:t xml:space="preserve"> en los términos que se detallan a continuación</w:t>
      </w:r>
      <w:r w:rsidR="00EB25C5" w:rsidRPr="00C47906">
        <w:rPr>
          <w:b/>
          <w:bCs/>
        </w:rPr>
        <w:t>:</w:t>
      </w:r>
    </w:p>
    <w:p w:rsidR="00AA523F" w:rsidRPr="00C47906" w:rsidRDefault="00AA523F" w:rsidP="00EE485A">
      <w:pPr>
        <w:rPr>
          <w:b/>
          <w:bCs/>
          <w:lang w:val="es-ES"/>
        </w:rPr>
      </w:pPr>
    </w:p>
    <w:p w:rsidR="00866ACC" w:rsidRPr="00C47906" w:rsidRDefault="00866ACC" w:rsidP="004E271F">
      <w:pPr>
        <w:numPr>
          <w:ilvl w:val="0"/>
          <w:numId w:val="1"/>
        </w:numPr>
        <w:ind w:left="426" w:hanging="426"/>
        <w:jc w:val="both"/>
        <w:rPr>
          <w:b/>
          <w:bCs/>
          <w:lang w:val="es-ES"/>
        </w:rPr>
      </w:pPr>
      <w:r w:rsidRPr="00C47906">
        <w:rPr>
          <w:b/>
          <w:bCs/>
          <w:lang w:val="es-ES"/>
        </w:rPr>
        <w:t>Se modifica el anexo</w:t>
      </w:r>
      <w:r w:rsidR="00B365B2" w:rsidRPr="00C47906">
        <w:rPr>
          <w:b/>
          <w:bCs/>
          <w:lang w:val="es-ES"/>
        </w:rPr>
        <w:t xml:space="preserve"> </w:t>
      </w:r>
      <w:r w:rsidR="00F9463D" w:rsidRPr="00C47906">
        <w:rPr>
          <w:b/>
          <w:bCs/>
          <w:lang w:val="es-ES"/>
        </w:rPr>
        <w:t xml:space="preserve">10 </w:t>
      </w:r>
      <w:r w:rsidR="003522CD" w:rsidRPr="00C47906">
        <w:rPr>
          <w:b/>
          <w:bCs/>
          <w:lang w:val="es-ES"/>
        </w:rPr>
        <w:t>-</w:t>
      </w:r>
      <w:r w:rsidR="00BF4252" w:rsidRPr="00C47906">
        <w:rPr>
          <w:b/>
          <w:bCs/>
          <w:lang w:val="es-ES"/>
        </w:rPr>
        <w:t xml:space="preserve">Reporte de inversiones propias- </w:t>
      </w:r>
      <w:r w:rsidR="00B365B2" w:rsidRPr="00C47906">
        <w:rPr>
          <w:b/>
          <w:bCs/>
          <w:lang w:val="es-ES"/>
        </w:rPr>
        <w:t xml:space="preserve">y </w:t>
      </w:r>
      <w:r w:rsidR="002B1767" w:rsidRPr="00C47906">
        <w:rPr>
          <w:b/>
          <w:bCs/>
          <w:lang w:val="es-ES"/>
        </w:rPr>
        <w:t>el plazo</w:t>
      </w:r>
      <w:r w:rsidRPr="00C47906">
        <w:rPr>
          <w:b/>
          <w:bCs/>
          <w:lang w:val="es-ES"/>
        </w:rPr>
        <w:t xml:space="preserve"> </w:t>
      </w:r>
      <w:r w:rsidR="0004068B" w:rsidRPr="00C47906">
        <w:rPr>
          <w:b/>
          <w:bCs/>
          <w:lang w:val="es-ES"/>
        </w:rPr>
        <w:t xml:space="preserve">para la </w:t>
      </w:r>
      <w:r w:rsidRPr="00C47906">
        <w:rPr>
          <w:b/>
          <w:bCs/>
          <w:lang w:val="es-ES"/>
        </w:rPr>
        <w:t xml:space="preserve">entrega </w:t>
      </w:r>
      <w:r w:rsidR="00907AC4" w:rsidRPr="00C47906">
        <w:rPr>
          <w:b/>
          <w:bCs/>
          <w:lang w:val="es-ES"/>
        </w:rPr>
        <w:t>del -</w:t>
      </w:r>
      <w:r w:rsidR="00171A03" w:rsidRPr="00C47906">
        <w:rPr>
          <w:b/>
          <w:bCs/>
          <w:lang w:val="es-ES"/>
        </w:rPr>
        <w:t>Reporte cartera de inversiones propias Puestos de Bol</w:t>
      </w:r>
      <w:r w:rsidR="00A16202" w:rsidRPr="00C47906">
        <w:rPr>
          <w:b/>
          <w:bCs/>
          <w:lang w:val="es-ES"/>
        </w:rPr>
        <w:t>s</w:t>
      </w:r>
      <w:r w:rsidR="00171A03" w:rsidRPr="00C47906">
        <w:rPr>
          <w:b/>
          <w:bCs/>
          <w:lang w:val="es-ES"/>
        </w:rPr>
        <w:t>a</w:t>
      </w:r>
      <w:r w:rsidR="00907AC4" w:rsidRPr="00C47906">
        <w:rPr>
          <w:b/>
          <w:bCs/>
          <w:lang w:val="es-ES"/>
        </w:rPr>
        <w:t>-</w:t>
      </w:r>
      <w:r w:rsidR="00D40736" w:rsidRPr="00C47906">
        <w:rPr>
          <w:b/>
          <w:bCs/>
        </w:rPr>
        <w:t xml:space="preserve"> </w:t>
      </w:r>
      <w:r w:rsidR="00876E54" w:rsidRPr="00C47906">
        <w:rPr>
          <w:b/>
          <w:bCs/>
        </w:rPr>
        <w:t xml:space="preserve">señalado en el Cuadro de información periódica del Artículo </w:t>
      </w:r>
      <w:proofErr w:type="gramStart"/>
      <w:r w:rsidR="00876E54" w:rsidRPr="00C47906">
        <w:rPr>
          <w:b/>
          <w:bCs/>
        </w:rPr>
        <w:t>2  del</w:t>
      </w:r>
      <w:proofErr w:type="gramEnd"/>
      <w:r w:rsidR="00876E54" w:rsidRPr="00C47906">
        <w:rPr>
          <w:b/>
          <w:bCs/>
        </w:rPr>
        <w:t xml:space="preserve"> Acuerdo, </w:t>
      </w:r>
      <w:r w:rsidR="00D40736" w:rsidRPr="00C47906">
        <w:rPr>
          <w:b/>
          <w:bCs/>
        </w:rPr>
        <w:t>según se indica a continuación</w:t>
      </w:r>
      <w:r w:rsidR="009530DA" w:rsidRPr="00C47906">
        <w:rPr>
          <w:b/>
          <w:bCs/>
          <w:lang w:val="es-ES"/>
        </w:rPr>
        <w:t>:</w:t>
      </w:r>
    </w:p>
    <w:tbl>
      <w:tblPr>
        <w:tblW w:w="8926" w:type="dxa"/>
        <w:tblCellMar>
          <w:left w:w="70" w:type="dxa"/>
          <w:right w:w="70" w:type="dxa"/>
        </w:tblCellMar>
        <w:tblLook w:val="04A0" w:firstRow="1" w:lastRow="0" w:firstColumn="1" w:lastColumn="0" w:noHBand="0" w:noVBand="1"/>
      </w:tblPr>
      <w:tblGrid>
        <w:gridCol w:w="279"/>
        <w:gridCol w:w="2661"/>
        <w:gridCol w:w="1341"/>
        <w:gridCol w:w="1670"/>
        <w:gridCol w:w="1557"/>
        <w:gridCol w:w="1418"/>
      </w:tblGrid>
      <w:tr w:rsidR="004B3259" w:rsidRPr="00C47906" w:rsidTr="004B3259">
        <w:trPr>
          <w:trHeight w:val="510"/>
        </w:trPr>
        <w:tc>
          <w:tcPr>
            <w:tcW w:w="294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INFORME O REPORTE</w:t>
            </w:r>
          </w:p>
        </w:tc>
        <w:tc>
          <w:tcPr>
            <w:tcW w:w="13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Periodicidad</w:t>
            </w:r>
          </w:p>
        </w:tc>
        <w:tc>
          <w:tcPr>
            <w:tcW w:w="16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Plazo máximo de entrega</w:t>
            </w:r>
          </w:p>
        </w:tc>
        <w:tc>
          <w:tcPr>
            <w:tcW w:w="15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Formato o normas sobre el Contenido</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Medio de envío</w:t>
            </w:r>
          </w:p>
        </w:tc>
      </w:tr>
      <w:tr w:rsidR="004B3259" w:rsidRPr="00C47906" w:rsidTr="004C00BC">
        <w:trPr>
          <w:trHeight w:val="510"/>
        </w:trPr>
        <w:tc>
          <w:tcPr>
            <w:tcW w:w="8926" w:type="dxa"/>
            <w:gridSpan w:val="6"/>
            <w:tcBorders>
              <w:top w:val="nil"/>
              <w:left w:val="single" w:sz="4" w:space="0" w:color="auto"/>
              <w:bottom w:val="single" w:sz="4" w:space="0" w:color="auto"/>
              <w:right w:val="single" w:sz="4" w:space="0" w:color="auto"/>
            </w:tcBorders>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eastAsia="Times New Roman" w:hAnsi="Arial" w:cs="Arial"/>
                <w:kern w:val="0"/>
                <w:sz w:val="20"/>
                <w:szCs w:val="20"/>
                <w:lang w:eastAsia="es-CR"/>
                <w14:ligatures w14:val="none"/>
              </w:rPr>
              <w:t>PUESTOS DE BOLSA</w:t>
            </w:r>
          </w:p>
        </w:tc>
      </w:tr>
      <w:tr w:rsidR="00866ACC" w:rsidRPr="00C47906" w:rsidTr="004C00BC">
        <w:trPr>
          <w:trHeight w:val="510"/>
        </w:trPr>
        <w:tc>
          <w:tcPr>
            <w:tcW w:w="279" w:type="dxa"/>
            <w:tcBorders>
              <w:top w:val="nil"/>
              <w:left w:val="single" w:sz="4" w:space="0" w:color="auto"/>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eastAsia="Times New Roman" w:hAnsi="Arial" w:cs="Arial"/>
                <w:kern w:val="0"/>
                <w:sz w:val="20"/>
                <w:szCs w:val="20"/>
                <w:lang w:eastAsia="es-CR"/>
                <w14:ligatures w14:val="none"/>
              </w:rPr>
              <w:t>6</w:t>
            </w:r>
          </w:p>
        </w:tc>
        <w:tc>
          <w:tcPr>
            <w:tcW w:w="2661"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rPr>
                <w:rFonts w:ascii="Arial" w:eastAsia="Times New Roman" w:hAnsi="Arial" w:cs="Arial"/>
                <w:kern w:val="0"/>
                <w:sz w:val="20"/>
                <w:szCs w:val="20"/>
                <w:lang w:eastAsia="es-CR"/>
                <w14:ligatures w14:val="none"/>
              </w:rPr>
            </w:pPr>
            <w:r w:rsidRPr="00C47906">
              <w:rPr>
                <w:rFonts w:ascii="Arial" w:eastAsia="Times New Roman" w:hAnsi="Arial" w:cs="Arial"/>
                <w:kern w:val="0"/>
                <w:sz w:val="20"/>
                <w:szCs w:val="20"/>
                <w:lang w:eastAsia="es-CR"/>
                <w14:ligatures w14:val="none"/>
              </w:rPr>
              <w:t xml:space="preserve"> Reporte cartera de inversiones propias Puestos de Bolsa </w:t>
            </w:r>
          </w:p>
        </w:tc>
        <w:tc>
          <w:tcPr>
            <w:tcW w:w="1341"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eastAsia="Times New Roman" w:hAnsi="Arial" w:cs="Arial"/>
                <w:kern w:val="0"/>
                <w:sz w:val="20"/>
                <w:szCs w:val="20"/>
                <w:lang w:eastAsia="es-CR"/>
                <w14:ligatures w14:val="none"/>
              </w:rPr>
              <w:t>Mensual</w:t>
            </w:r>
          </w:p>
        </w:tc>
        <w:tc>
          <w:tcPr>
            <w:tcW w:w="1670"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eastAsia="Times New Roman" w:hAnsi="Arial" w:cs="Arial"/>
                <w:kern w:val="0"/>
                <w:sz w:val="20"/>
                <w:szCs w:val="20"/>
                <w:lang w:eastAsia="es-CR"/>
                <w14:ligatures w14:val="none"/>
              </w:rPr>
              <w:t>3 días hábiles después del cierre mensual</w:t>
            </w:r>
          </w:p>
        </w:tc>
        <w:tc>
          <w:tcPr>
            <w:tcW w:w="1557"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eastAsia="Times New Roman" w:hAnsi="Arial" w:cs="Arial"/>
                <w:kern w:val="0"/>
                <w:sz w:val="20"/>
                <w:szCs w:val="20"/>
                <w:lang w:eastAsia="es-CR"/>
                <w14:ligatures w14:val="none"/>
              </w:rPr>
              <w:t>Anexo 10</w:t>
            </w:r>
          </w:p>
        </w:tc>
        <w:tc>
          <w:tcPr>
            <w:tcW w:w="1418"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eastAsia="Times New Roman" w:hAnsi="Arial" w:cs="Arial"/>
                <w:kern w:val="0"/>
                <w:sz w:val="20"/>
                <w:szCs w:val="20"/>
                <w:lang w:eastAsia="es-CR"/>
                <w14:ligatures w14:val="none"/>
              </w:rPr>
              <w:t xml:space="preserve">Sistema </w:t>
            </w:r>
            <w:proofErr w:type="spellStart"/>
            <w:r w:rsidRPr="00C47906">
              <w:rPr>
                <w:rFonts w:ascii="Arial" w:eastAsia="Times New Roman" w:hAnsi="Arial" w:cs="Arial"/>
                <w:kern w:val="0"/>
                <w:sz w:val="20"/>
                <w:szCs w:val="20"/>
                <w:lang w:eastAsia="es-CR"/>
                <w14:ligatures w14:val="none"/>
              </w:rPr>
              <w:t>Ingresador</w:t>
            </w:r>
            <w:proofErr w:type="spellEnd"/>
          </w:p>
        </w:tc>
      </w:tr>
    </w:tbl>
    <w:p w:rsidR="00866ACC" w:rsidRPr="00C47906" w:rsidRDefault="00866ACC" w:rsidP="00866ACC">
      <w:pPr>
        <w:rPr>
          <w:lang w:val="es-ES"/>
        </w:rPr>
      </w:pPr>
    </w:p>
    <w:p w:rsidR="00866ACC" w:rsidRPr="00C47906" w:rsidRDefault="00866ACC" w:rsidP="00866ACC">
      <w:pPr>
        <w:rPr>
          <w:lang w:val="es-ES"/>
        </w:rPr>
      </w:pPr>
      <w:r w:rsidRPr="00C47906">
        <w:rPr>
          <w:lang w:val="es-ES"/>
        </w:rPr>
        <w:t xml:space="preserve"> Anexo 10.</w:t>
      </w:r>
    </w:p>
    <w:bookmarkStart w:id="0" w:name="_MON_1808651435"/>
    <w:bookmarkEnd w:id="0"/>
    <w:p w:rsidR="00866ACC" w:rsidRPr="00C47906" w:rsidRDefault="00D938EA" w:rsidP="00866ACC">
      <w:pPr>
        <w:rPr>
          <w:lang w:val="es-ES"/>
        </w:rPr>
      </w:pPr>
      <w:r w:rsidRPr="00C47906">
        <w:rPr>
          <w:lang w:val="es-ES"/>
        </w:rPr>
        <w:object w:dxaOrig="1376" w:dyaOrig="893" w14:anchorId="6D95B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pt;height:44.65pt" o:ole="">
            <v:imagedata r:id="rId7" o:title=""/>
          </v:shape>
          <o:OLEObject Type="Embed" ProgID="Word.Document.12" ShapeID="_x0000_i1025" DrawAspect="Icon" ObjectID="_1811077871" r:id="rId8">
            <o:FieldCodes>\s</o:FieldCodes>
          </o:OLEObject>
        </w:object>
      </w:r>
    </w:p>
    <w:p w:rsidR="00876E54" w:rsidRPr="00C47906" w:rsidRDefault="00866ACC" w:rsidP="004E271F">
      <w:pPr>
        <w:numPr>
          <w:ilvl w:val="0"/>
          <w:numId w:val="1"/>
        </w:numPr>
        <w:ind w:left="426" w:hanging="426"/>
        <w:jc w:val="both"/>
        <w:rPr>
          <w:b/>
          <w:bCs/>
          <w:lang w:val="es-ES"/>
        </w:rPr>
      </w:pPr>
      <w:r w:rsidRPr="00C47906">
        <w:rPr>
          <w:b/>
          <w:bCs/>
          <w:lang w:val="es-ES"/>
        </w:rPr>
        <w:t>Se modifica el anexo</w:t>
      </w:r>
      <w:r w:rsidR="009530DA" w:rsidRPr="00C47906">
        <w:rPr>
          <w:b/>
          <w:bCs/>
          <w:lang w:val="es-ES"/>
        </w:rPr>
        <w:t xml:space="preserve"> </w:t>
      </w:r>
      <w:r w:rsidR="002B1767" w:rsidRPr="00C47906">
        <w:rPr>
          <w:b/>
          <w:bCs/>
          <w:lang w:val="es-ES"/>
        </w:rPr>
        <w:t>18 -</w:t>
      </w:r>
      <w:r w:rsidR="00B77303" w:rsidRPr="00C47906">
        <w:rPr>
          <w:b/>
          <w:bCs/>
          <w:lang w:val="es-ES"/>
        </w:rPr>
        <w:t xml:space="preserve">Reporte de inversiones propias- </w:t>
      </w:r>
      <w:r w:rsidRPr="00C47906">
        <w:rPr>
          <w:b/>
          <w:bCs/>
          <w:lang w:val="es-ES"/>
        </w:rPr>
        <w:t>y</w:t>
      </w:r>
      <w:r w:rsidR="009530DA" w:rsidRPr="00C47906">
        <w:rPr>
          <w:b/>
          <w:bCs/>
          <w:lang w:val="es-ES"/>
        </w:rPr>
        <w:t xml:space="preserve"> el </w:t>
      </w:r>
      <w:r w:rsidRPr="00C47906">
        <w:rPr>
          <w:b/>
          <w:bCs/>
          <w:lang w:val="es-ES"/>
        </w:rPr>
        <w:t>plazo de entrega de</w:t>
      </w:r>
      <w:r w:rsidR="008C5080" w:rsidRPr="00C47906">
        <w:rPr>
          <w:b/>
          <w:bCs/>
          <w:lang w:val="es-ES"/>
        </w:rPr>
        <w:t>l</w:t>
      </w:r>
      <w:r w:rsidRPr="00C47906">
        <w:rPr>
          <w:b/>
          <w:bCs/>
          <w:lang w:val="es-ES"/>
        </w:rPr>
        <w:t xml:space="preserve"> </w:t>
      </w:r>
      <w:r w:rsidR="008C5080" w:rsidRPr="00C47906">
        <w:rPr>
          <w:rFonts w:cs="Arial"/>
          <w:b/>
          <w:bCs/>
        </w:rPr>
        <w:t>Reporte de inversiones propias de la SFI</w:t>
      </w:r>
      <w:r w:rsidR="00876E54" w:rsidRPr="00C47906">
        <w:rPr>
          <w:b/>
          <w:bCs/>
          <w:lang w:val="es-ES"/>
        </w:rPr>
        <w:t>-</w:t>
      </w:r>
      <w:r w:rsidR="00876E54" w:rsidRPr="00C47906">
        <w:rPr>
          <w:b/>
          <w:bCs/>
        </w:rPr>
        <w:t xml:space="preserve"> señalado en el Cuadro de información periódica del Artículo </w:t>
      </w:r>
      <w:proofErr w:type="gramStart"/>
      <w:r w:rsidR="00876E54" w:rsidRPr="00C47906">
        <w:rPr>
          <w:b/>
          <w:bCs/>
        </w:rPr>
        <w:t>2  del</w:t>
      </w:r>
      <w:proofErr w:type="gramEnd"/>
      <w:r w:rsidR="00876E54" w:rsidRPr="00C47906">
        <w:rPr>
          <w:b/>
          <w:bCs/>
        </w:rPr>
        <w:t xml:space="preserve"> Acuerdo, según se indica a continuación</w:t>
      </w:r>
      <w:r w:rsidR="00876E54" w:rsidRPr="00C47906">
        <w:rPr>
          <w:b/>
          <w:bCs/>
          <w:lang w:val="es-ES"/>
        </w:rPr>
        <w:t>:</w:t>
      </w:r>
    </w:p>
    <w:tbl>
      <w:tblPr>
        <w:tblW w:w="8926" w:type="dxa"/>
        <w:tblCellMar>
          <w:left w:w="70" w:type="dxa"/>
          <w:right w:w="70" w:type="dxa"/>
        </w:tblCellMar>
        <w:tblLook w:val="04A0" w:firstRow="1" w:lastRow="0" w:firstColumn="1" w:lastColumn="0" w:noHBand="0" w:noVBand="1"/>
      </w:tblPr>
      <w:tblGrid>
        <w:gridCol w:w="279"/>
        <w:gridCol w:w="2661"/>
        <w:gridCol w:w="1341"/>
        <w:gridCol w:w="1670"/>
        <w:gridCol w:w="1557"/>
        <w:gridCol w:w="1418"/>
      </w:tblGrid>
      <w:tr w:rsidR="004B3259" w:rsidRPr="00C47906" w:rsidTr="004B3259">
        <w:trPr>
          <w:trHeight w:val="510"/>
        </w:trPr>
        <w:tc>
          <w:tcPr>
            <w:tcW w:w="294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INFORME O REPORTE</w:t>
            </w:r>
          </w:p>
        </w:tc>
        <w:tc>
          <w:tcPr>
            <w:tcW w:w="13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Periodicidad</w:t>
            </w:r>
          </w:p>
        </w:tc>
        <w:tc>
          <w:tcPr>
            <w:tcW w:w="16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Plazo máximo de entrega</w:t>
            </w:r>
          </w:p>
        </w:tc>
        <w:tc>
          <w:tcPr>
            <w:tcW w:w="15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Formato o normas sobre el Contenido</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Medio de envío</w:t>
            </w:r>
          </w:p>
        </w:tc>
      </w:tr>
      <w:tr w:rsidR="004B3259" w:rsidRPr="00C47906" w:rsidTr="004C00BC">
        <w:trPr>
          <w:trHeight w:val="510"/>
        </w:trPr>
        <w:tc>
          <w:tcPr>
            <w:tcW w:w="8926" w:type="dxa"/>
            <w:gridSpan w:val="6"/>
            <w:tcBorders>
              <w:top w:val="nil"/>
              <w:left w:val="single" w:sz="4" w:space="0" w:color="auto"/>
              <w:bottom w:val="single" w:sz="4" w:space="0" w:color="auto"/>
              <w:right w:val="single" w:sz="4" w:space="0" w:color="auto"/>
            </w:tcBorders>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SOCIEDADES ADMINISTRADORAS DE FONDOS DE INVERSIÓN</w:t>
            </w:r>
          </w:p>
        </w:tc>
      </w:tr>
      <w:tr w:rsidR="00866ACC" w:rsidRPr="00C47906" w:rsidTr="004C00BC">
        <w:trPr>
          <w:trHeight w:val="510"/>
        </w:trPr>
        <w:tc>
          <w:tcPr>
            <w:tcW w:w="279" w:type="dxa"/>
            <w:tcBorders>
              <w:top w:val="nil"/>
              <w:left w:val="single" w:sz="4" w:space="0" w:color="auto"/>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6</w:t>
            </w:r>
          </w:p>
        </w:tc>
        <w:tc>
          <w:tcPr>
            <w:tcW w:w="2661"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rPr>
                <w:rFonts w:ascii="Arial" w:eastAsia="Times New Roman" w:hAnsi="Arial" w:cs="Arial"/>
                <w:kern w:val="0"/>
                <w:sz w:val="20"/>
                <w:szCs w:val="20"/>
                <w:lang w:eastAsia="es-CR"/>
                <w14:ligatures w14:val="none"/>
              </w:rPr>
            </w:pPr>
            <w:r w:rsidRPr="00C47906">
              <w:rPr>
                <w:rFonts w:ascii="Arial" w:hAnsi="Arial" w:cs="Arial"/>
                <w:sz w:val="20"/>
                <w:szCs w:val="20"/>
              </w:rPr>
              <w:t xml:space="preserve"> Reporte de inversiones propias de la SFI  </w:t>
            </w:r>
          </w:p>
        </w:tc>
        <w:tc>
          <w:tcPr>
            <w:tcW w:w="1341"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Mensual</w:t>
            </w:r>
          </w:p>
        </w:tc>
        <w:tc>
          <w:tcPr>
            <w:tcW w:w="1670"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3 días hábiles después del cierre mensual</w:t>
            </w:r>
          </w:p>
        </w:tc>
        <w:tc>
          <w:tcPr>
            <w:tcW w:w="1557"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Anexo 18</w:t>
            </w:r>
          </w:p>
        </w:tc>
        <w:tc>
          <w:tcPr>
            <w:tcW w:w="1418"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bl>
    <w:p w:rsidR="00866ACC" w:rsidRPr="00C47906" w:rsidRDefault="00866ACC" w:rsidP="00866ACC">
      <w:pPr>
        <w:rPr>
          <w:lang w:val="es-ES"/>
        </w:rPr>
      </w:pPr>
    </w:p>
    <w:p w:rsidR="00866ACC" w:rsidRPr="00C47906" w:rsidRDefault="00866ACC" w:rsidP="00866ACC">
      <w:pPr>
        <w:rPr>
          <w:lang w:val="es-ES"/>
        </w:rPr>
      </w:pPr>
      <w:r w:rsidRPr="00C47906">
        <w:rPr>
          <w:lang w:val="es-ES"/>
        </w:rPr>
        <w:t>Anexo 18.</w:t>
      </w:r>
    </w:p>
    <w:bookmarkStart w:id="1" w:name="_MON_1808651487"/>
    <w:bookmarkEnd w:id="1"/>
    <w:p w:rsidR="00866ACC" w:rsidRPr="00C47906" w:rsidRDefault="00866ACC" w:rsidP="00866ACC">
      <w:pPr>
        <w:rPr>
          <w:lang w:val="es-ES"/>
        </w:rPr>
      </w:pPr>
      <w:r w:rsidRPr="00C47906">
        <w:rPr>
          <w:lang w:val="es-ES"/>
        </w:rPr>
        <w:object w:dxaOrig="1508" w:dyaOrig="983" w14:anchorId="23555F10">
          <v:shape id="_x0000_i1026" type="#_x0000_t75" style="width:75.4pt;height:49.15pt" o:ole="">
            <v:imagedata r:id="rId9" o:title=""/>
          </v:shape>
          <o:OLEObject Type="Embed" ProgID="Word.Document.12" ShapeID="_x0000_i1026" DrawAspect="Icon" ObjectID="_1811077872" r:id="rId10">
            <o:FieldCodes>\s</o:FieldCodes>
          </o:OLEObject>
        </w:object>
      </w:r>
    </w:p>
    <w:p w:rsidR="00866ACC" w:rsidRPr="00C47906" w:rsidRDefault="00866ACC" w:rsidP="00866ACC">
      <w:pPr>
        <w:rPr>
          <w:lang w:val="es-ES"/>
        </w:rPr>
      </w:pPr>
    </w:p>
    <w:p w:rsidR="00866ACC" w:rsidRPr="00C47906" w:rsidRDefault="00C9363F" w:rsidP="00732559">
      <w:pPr>
        <w:numPr>
          <w:ilvl w:val="0"/>
          <w:numId w:val="1"/>
        </w:numPr>
        <w:ind w:left="426" w:hanging="426"/>
        <w:jc w:val="both"/>
        <w:rPr>
          <w:b/>
          <w:bCs/>
          <w:lang w:val="es-ES"/>
        </w:rPr>
      </w:pPr>
      <w:r w:rsidRPr="00C47906">
        <w:rPr>
          <w:b/>
          <w:bCs/>
        </w:rPr>
        <w:t xml:space="preserve">Se adiciona el Anexo 65, </w:t>
      </w:r>
      <w:r w:rsidR="002E41D8" w:rsidRPr="00C47906">
        <w:rPr>
          <w:b/>
          <w:bCs/>
        </w:rPr>
        <w:t xml:space="preserve">el cual </w:t>
      </w:r>
      <w:r w:rsidRPr="00C47906">
        <w:rPr>
          <w:b/>
          <w:bCs/>
        </w:rPr>
        <w:t xml:space="preserve">detalla el contenido de la información </w:t>
      </w:r>
      <w:r w:rsidR="00492963" w:rsidRPr="00C47906">
        <w:rPr>
          <w:b/>
          <w:bCs/>
        </w:rPr>
        <w:t xml:space="preserve">sobre inversiones propias de las empresas que </w:t>
      </w:r>
      <w:r w:rsidR="00EB2218" w:rsidRPr="00C47906">
        <w:rPr>
          <w:b/>
          <w:bCs/>
        </w:rPr>
        <w:t>conforman</w:t>
      </w:r>
      <w:r w:rsidR="00492963" w:rsidRPr="00C47906">
        <w:rPr>
          <w:b/>
          <w:bCs/>
        </w:rPr>
        <w:t xml:space="preserve"> los grupos</w:t>
      </w:r>
      <w:r w:rsidR="00091F58" w:rsidRPr="00C47906">
        <w:rPr>
          <w:b/>
          <w:bCs/>
        </w:rPr>
        <w:t xml:space="preserve"> financieros</w:t>
      </w:r>
      <w:r w:rsidRPr="00C47906">
        <w:rPr>
          <w:b/>
          <w:bCs/>
        </w:rPr>
        <w:t xml:space="preserve">. Asimismo, se </w:t>
      </w:r>
      <w:r w:rsidR="00732559" w:rsidRPr="00C47906">
        <w:rPr>
          <w:b/>
          <w:bCs/>
        </w:rPr>
        <w:t>adici</w:t>
      </w:r>
      <w:r w:rsidR="00DA7562" w:rsidRPr="00C47906">
        <w:rPr>
          <w:b/>
          <w:bCs/>
        </w:rPr>
        <w:t>ona</w:t>
      </w:r>
      <w:r w:rsidR="00732559" w:rsidRPr="00C47906">
        <w:rPr>
          <w:b/>
          <w:bCs/>
        </w:rPr>
        <w:t>, en el Cuadro de información periódica del Artículo 2 del Acuerdo, el medi</w:t>
      </w:r>
      <w:r w:rsidR="00C47906">
        <w:rPr>
          <w:b/>
          <w:bCs/>
        </w:rPr>
        <w:t>o</w:t>
      </w:r>
      <w:r w:rsidR="00732559" w:rsidRPr="00C47906">
        <w:rPr>
          <w:b/>
          <w:bCs/>
        </w:rPr>
        <w:t xml:space="preserve"> y la periodicidad con la que dicha información debe presentarse a Sugeval, según se indica a continuación</w:t>
      </w:r>
      <w:r w:rsidR="00732559" w:rsidRPr="00C47906">
        <w:rPr>
          <w:b/>
          <w:bCs/>
          <w:lang w:val="es-ES"/>
        </w:rPr>
        <w:t>:</w:t>
      </w:r>
    </w:p>
    <w:tbl>
      <w:tblPr>
        <w:tblW w:w="8926" w:type="dxa"/>
        <w:tblCellMar>
          <w:left w:w="70" w:type="dxa"/>
          <w:right w:w="70" w:type="dxa"/>
        </w:tblCellMar>
        <w:tblLook w:val="04A0" w:firstRow="1" w:lastRow="0" w:firstColumn="1" w:lastColumn="0" w:noHBand="0" w:noVBand="1"/>
      </w:tblPr>
      <w:tblGrid>
        <w:gridCol w:w="279"/>
        <w:gridCol w:w="2661"/>
        <w:gridCol w:w="1341"/>
        <w:gridCol w:w="1670"/>
        <w:gridCol w:w="1557"/>
        <w:gridCol w:w="1418"/>
      </w:tblGrid>
      <w:tr w:rsidR="004B3259" w:rsidRPr="00C47906" w:rsidTr="004B3259">
        <w:trPr>
          <w:trHeight w:val="510"/>
        </w:trPr>
        <w:tc>
          <w:tcPr>
            <w:tcW w:w="294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INFORME O REPORTE</w:t>
            </w:r>
          </w:p>
        </w:tc>
        <w:tc>
          <w:tcPr>
            <w:tcW w:w="13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Periodicidad</w:t>
            </w:r>
          </w:p>
        </w:tc>
        <w:tc>
          <w:tcPr>
            <w:tcW w:w="16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Plazo máximo de entrega</w:t>
            </w:r>
          </w:p>
        </w:tc>
        <w:tc>
          <w:tcPr>
            <w:tcW w:w="15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Formato o normas sobre el Contenido</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Medio de envío</w:t>
            </w:r>
          </w:p>
        </w:tc>
      </w:tr>
      <w:tr w:rsidR="004B3259" w:rsidRPr="00C47906" w:rsidTr="004C00BC">
        <w:trPr>
          <w:trHeight w:val="510"/>
        </w:trPr>
        <w:tc>
          <w:tcPr>
            <w:tcW w:w="8926" w:type="dxa"/>
            <w:gridSpan w:val="6"/>
            <w:tcBorders>
              <w:top w:val="nil"/>
              <w:left w:val="single" w:sz="4" w:space="0" w:color="auto"/>
              <w:bottom w:val="single" w:sz="4" w:space="0" w:color="auto"/>
              <w:right w:val="single" w:sz="4" w:space="0" w:color="auto"/>
            </w:tcBorders>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GRUPOS FINANCIEROS</w:t>
            </w:r>
          </w:p>
        </w:tc>
      </w:tr>
      <w:tr w:rsidR="00866ACC" w:rsidRPr="00C47906" w:rsidTr="004C00BC">
        <w:trPr>
          <w:trHeight w:val="510"/>
        </w:trPr>
        <w:tc>
          <w:tcPr>
            <w:tcW w:w="279" w:type="dxa"/>
            <w:tcBorders>
              <w:top w:val="nil"/>
              <w:left w:val="single" w:sz="4" w:space="0" w:color="auto"/>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6</w:t>
            </w:r>
          </w:p>
        </w:tc>
        <w:tc>
          <w:tcPr>
            <w:tcW w:w="2661"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rPr>
                <w:rFonts w:ascii="Arial" w:eastAsia="Times New Roman" w:hAnsi="Arial" w:cs="Arial"/>
                <w:kern w:val="0"/>
                <w:sz w:val="20"/>
                <w:szCs w:val="20"/>
                <w:lang w:eastAsia="es-CR"/>
                <w14:ligatures w14:val="none"/>
              </w:rPr>
            </w:pPr>
            <w:r w:rsidRPr="00C47906">
              <w:rPr>
                <w:rFonts w:ascii="Arial" w:hAnsi="Arial" w:cs="Arial"/>
                <w:sz w:val="20"/>
                <w:szCs w:val="20"/>
              </w:rPr>
              <w:t xml:space="preserve"> Reporte de inversiones propias de empresas integrantes de grupos financieros  </w:t>
            </w:r>
          </w:p>
        </w:tc>
        <w:tc>
          <w:tcPr>
            <w:tcW w:w="1341"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trimestral</w:t>
            </w:r>
          </w:p>
        </w:tc>
        <w:tc>
          <w:tcPr>
            <w:tcW w:w="1670"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Un mes después del cierre trimestral</w:t>
            </w:r>
          </w:p>
        </w:tc>
        <w:tc>
          <w:tcPr>
            <w:tcW w:w="1557"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Anexo 65</w:t>
            </w:r>
          </w:p>
        </w:tc>
        <w:tc>
          <w:tcPr>
            <w:tcW w:w="1418" w:type="dxa"/>
            <w:tcBorders>
              <w:top w:val="nil"/>
              <w:left w:val="nil"/>
              <w:bottom w:val="single" w:sz="4" w:space="0" w:color="auto"/>
              <w:right w:val="single" w:sz="4" w:space="0" w:color="auto"/>
            </w:tcBorders>
            <w:shd w:val="clear" w:color="auto" w:fill="auto"/>
            <w:vAlign w:val="center"/>
            <w:hideMark/>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bl>
    <w:p w:rsidR="00866ACC" w:rsidRPr="00C47906" w:rsidRDefault="00866ACC" w:rsidP="00866ACC">
      <w:pPr>
        <w:rPr>
          <w:lang w:val="es-ES"/>
        </w:rPr>
      </w:pPr>
    </w:p>
    <w:p w:rsidR="00866ACC" w:rsidRPr="00C47906" w:rsidRDefault="00866ACC" w:rsidP="00866ACC">
      <w:pPr>
        <w:rPr>
          <w:lang w:val="es-ES"/>
        </w:rPr>
      </w:pPr>
      <w:r w:rsidRPr="00C47906">
        <w:rPr>
          <w:lang w:val="es-ES"/>
        </w:rPr>
        <w:t>Anexo 65.</w:t>
      </w:r>
    </w:p>
    <w:bookmarkStart w:id="2" w:name="_MON_1808651532"/>
    <w:bookmarkEnd w:id="2"/>
    <w:p w:rsidR="00866ACC" w:rsidRPr="00C47906" w:rsidRDefault="00916782" w:rsidP="00866ACC">
      <w:pPr>
        <w:rPr>
          <w:lang w:val="es-ES"/>
        </w:rPr>
      </w:pPr>
      <w:r w:rsidRPr="00C47906">
        <w:rPr>
          <w:lang w:val="es-ES"/>
        </w:rPr>
        <w:object w:dxaOrig="1376" w:dyaOrig="893" w14:anchorId="1D2CB445">
          <v:shape id="_x0000_i1027" type="#_x0000_t75" style="width:68.8pt;height:44.65pt" o:ole="">
            <v:imagedata r:id="rId11" o:title=""/>
          </v:shape>
          <o:OLEObject Type="Embed" ProgID="Word.Document.12" ShapeID="_x0000_i1027" DrawAspect="Icon" ObjectID="_1811077873" r:id="rId12">
            <o:FieldCodes>\s</o:FieldCodes>
          </o:OLEObject>
        </w:object>
      </w:r>
    </w:p>
    <w:p w:rsidR="00866ACC" w:rsidRPr="00C47906" w:rsidRDefault="00866ACC" w:rsidP="00866ACC"/>
    <w:p w:rsidR="00732559" w:rsidRPr="00C47906" w:rsidRDefault="00866ACC" w:rsidP="004E271F">
      <w:pPr>
        <w:numPr>
          <w:ilvl w:val="0"/>
          <w:numId w:val="1"/>
        </w:numPr>
        <w:ind w:left="426" w:hanging="426"/>
        <w:jc w:val="both"/>
        <w:rPr>
          <w:b/>
          <w:bCs/>
          <w:lang w:val="es-ES"/>
        </w:rPr>
      </w:pPr>
      <w:r w:rsidRPr="00C47906">
        <w:rPr>
          <w:b/>
          <w:bCs/>
          <w:lang w:val="es-ES"/>
        </w:rPr>
        <w:t>Se modifica el anexo</w:t>
      </w:r>
      <w:r w:rsidR="00527219" w:rsidRPr="00C47906">
        <w:rPr>
          <w:b/>
          <w:bCs/>
          <w:lang w:val="es-ES"/>
        </w:rPr>
        <w:t xml:space="preserve"> </w:t>
      </w:r>
      <w:r w:rsidR="00152E91" w:rsidRPr="00C47906">
        <w:rPr>
          <w:b/>
          <w:bCs/>
          <w:lang w:val="es-ES"/>
        </w:rPr>
        <w:t>4</w:t>
      </w:r>
      <w:r w:rsidR="00527219" w:rsidRPr="00C47906">
        <w:rPr>
          <w:b/>
          <w:bCs/>
          <w:lang w:val="es-ES"/>
        </w:rPr>
        <w:t>2</w:t>
      </w:r>
      <w:r w:rsidR="00FC172A" w:rsidRPr="00C47906">
        <w:rPr>
          <w:b/>
          <w:bCs/>
          <w:lang w:val="es-ES"/>
        </w:rPr>
        <w:t xml:space="preserve">, así como el plazo para la remisión y </w:t>
      </w:r>
      <w:r w:rsidR="002B1767" w:rsidRPr="00C47906">
        <w:rPr>
          <w:b/>
          <w:bCs/>
          <w:lang w:val="es-ES"/>
        </w:rPr>
        <w:t xml:space="preserve">el </w:t>
      </w:r>
      <w:proofErr w:type="gramStart"/>
      <w:r w:rsidR="002B1767" w:rsidRPr="00C47906">
        <w:rPr>
          <w:b/>
          <w:bCs/>
          <w:lang w:val="es-ES"/>
        </w:rPr>
        <w:t>medio</w:t>
      </w:r>
      <w:r w:rsidR="00527219" w:rsidRPr="00C47906">
        <w:rPr>
          <w:b/>
          <w:bCs/>
          <w:lang w:val="es-ES"/>
        </w:rPr>
        <w:t xml:space="preserve"> </w:t>
      </w:r>
      <w:r w:rsidR="00C47906">
        <w:rPr>
          <w:b/>
          <w:bCs/>
          <w:lang w:val="es-ES"/>
        </w:rPr>
        <w:t xml:space="preserve"> para</w:t>
      </w:r>
      <w:proofErr w:type="gramEnd"/>
      <w:r w:rsidR="00C47906">
        <w:rPr>
          <w:b/>
          <w:bCs/>
          <w:lang w:val="es-ES"/>
        </w:rPr>
        <w:t xml:space="preserve"> el </w:t>
      </w:r>
      <w:r w:rsidR="00527219" w:rsidRPr="00C47906">
        <w:rPr>
          <w:b/>
          <w:bCs/>
          <w:lang w:val="es-ES"/>
        </w:rPr>
        <w:t xml:space="preserve">envío </w:t>
      </w:r>
      <w:r w:rsidR="00152E91" w:rsidRPr="00C47906">
        <w:rPr>
          <w:b/>
          <w:bCs/>
          <w:lang w:val="es-ES"/>
        </w:rPr>
        <w:t>a la Sugeva</w:t>
      </w:r>
      <w:r w:rsidR="009325CF" w:rsidRPr="00C47906">
        <w:rPr>
          <w:b/>
          <w:bCs/>
          <w:lang w:val="es-ES"/>
        </w:rPr>
        <w:t>l</w:t>
      </w:r>
      <w:r w:rsidR="00C47906">
        <w:rPr>
          <w:b/>
          <w:bCs/>
          <w:lang w:val="es-ES"/>
        </w:rPr>
        <w:t>,</w:t>
      </w:r>
      <w:r w:rsidR="00DE642D" w:rsidRPr="00C47906">
        <w:rPr>
          <w:b/>
          <w:bCs/>
          <w:lang w:val="es-ES"/>
        </w:rPr>
        <w:t xml:space="preserve"> </w:t>
      </w:r>
      <w:r w:rsidR="009325CF" w:rsidRPr="00C47906">
        <w:rPr>
          <w:b/>
          <w:bCs/>
          <w:lang w:val="es-ES"/>
        </w:rPr>
        <w:t>del reporte de Traspasos de valores</w:t>
      </w:r>
      <w:r w:rsidR="00FC172A" w:rsidRPr="00C47906">
        <w:rPr>
          <w:b/>
          <w:bCs/>
          <w:lang w:val="es-ES"/>
        </w:rPr>
        <w:t>,</w:t>
      </w:r>
      <w:r w:rsidR="00732559" w:rsidRPr="00C47906">
        <w:rPr>
          <w:b/>
          <w:bCs/>
        </w:rPr>
        <w:t xml:space="preserve"> señalado en el Cuadro de información periódica del Artículo </w:t>
      </w:r>
      <w:proofErr w:type="gramStart"/>
      <w:r w:rsidR="00732559" w:rsidRPr="00C47906">
        <w:rPr>
          <w:b/>
          <w:bCs/>
        </w:rPr>
        <w:t>2  del</w:t>
      </w:r>
      <w:proofErr w:type="gramEnd"/>
      <w:r w:rsidR="00732559" w:rsidRPr="00C47906">
        <w:rPr>
          <w:b/>
          <w:bCs/>
        </w:rPr>
        <w:t xml:space="preserve"> Acuerdo, según se indica a continuación</w:t>
      </w:r>
      <w:r w:rsidR="00732559" w:rsidRPr="00C47906">
        <w:rPr>
          <w:b/>
          <w:bCs/>
          <w:lang w:val="es-ES"/>
        </w:rPr>
        <w:t>:</w:t>
      </w:r>
    </w:p>
    <w:p w:rsidR="00866ACC" w:rsidRPr="00C47906" w:rsidRDefault="00866ACC" w:rsidP="00866ACC"/>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2551"/>
        <w:gridCol w:w="1418"/>
        <w:gridCol w:w="1559"/>
        <w:gridCol w:w="1417"/>
        <w:gridCol w:w="1560"/>
      </w:tblGrid>
      <w:tr w:rsidR="004B3259" w:rsidRPr="00C47906" w:rsidTr="004B3259">
        <w:trPr>
          <w:trHeight w:val="510"/>
        </w:trPr>
        <w:tc>
          <w:tcPr>
            <w:tcW w:w="2972" w:type="dxa"/>
            <w:gridSpan w:val="2"/>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INFORME O REPORTE</w:t>
            </w:r>
          </w:p>
        </w:tc>
        <w:tc>
          <w:tcPr>
            <w:tcW w:w="1418" w:type="dxa"/>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Periodicidad</w:t>
            </w:r>
          </w:p>
        </w:tc>
        <w:tc>
          <w:tcPr>
            <w:tcW w:w="1559" w:type="dxa"/>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Plazo máximo de entrega</w:t>
            </w:r>
          </w:p>
        </w:tc>
        <w:tc>
          <w:tcPr>
            <w:tcW w:w="1417" w:type="dxa"/>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Formato o normas sobre el Contenido</w:t>
            </w:r>
          </w:p>
        </w:tc>
        <w:tc>
          <w:tcPr>
            <w:tcW w:w="1560" w:type="dxa"/>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Medio de envío</w:t>
            </w:r>
          </w:p>
        </w:tc>
      </w:tr>
      <w:tr w:rsidR="004B3259" w:rsidRPr="00C47906" w:rsidTr="004C00BC">
        <w:trPr>
          <w:trHeight w:val="799"/>
        </w:trPr>
        <w:tc>
          <w:tcPr>
            <w:tcW w:w="8926" w:type="dxa"/>
            <w:gridSpan w:val="6"/>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eastAsia="Times New Roman" w:hAnsi="Arial" w:cs="Arial"/>
                <w:kern w:val="0"/>
                <w:sz w:val="20"/>
                <w:szCs w:val="20"/>
                <w:lang w:eastAsia="es-CR"/>
                <w14:ligatures w14:val="none"/>
              </w:rPr>
              <w:t>PUESTOS DE BOLSA / CUSTODIOS / CENTRAL DE VALORES</w:t>
            </w:r>
          </w:p>
        </w:tc>
      </w:tr>
      <w:tr w:rsidR="004B3259" w:rsidRPr="00C47906" w:rsidTr="00844894">
        <w:trPr>
          <w:trHeight w:val="799"/>
        </w:trPr>
        <w:tc>
          <w:tcPr>
            <w:tcW w:w="421" w:type="dxa"/>
            <w:shd w:val="clear" w:color="auto" w:fill="auto"/>
            <w:vAlign w:val="center"/>
          </w:tcPr>
          <w:p w:rsidR="00866ACC" w:rsidRPr="00C47906" w:rsidRDefault="00F00C5A"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eastAsia="Times New Roman" w:hAnsi="Arial" w:cs="Arial"/>
                <w:kern w:val="0"/>
                <w:sz w:val="20"/>
                <w:szCs w:val="20"/>
                <w:lang w:eastAsia="es-CR"/>
                <w14:ligatures w14:val="none"/>
              </w:rPr>
              <w:t>7</w:t>
            </w:r>
          </w:p>
        </w:tc>
        <w:tc>
          <w:tcPr>
            <w:tcW w:w="2551" w:type="dxa"/>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 xml:space="preserve"> Traspasos de valores </w:t>
            </w:r>
          </w:p>
        </w:tc>
        <w:tc>
          <w:tcPr>
            <w:tcW w:w="1418" w:type="dxa"/>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Mensual</w:t>
            </w:r>
          </w:p>
        </w:tc>
        <w:tc>
          <w:tcPr>
            <w:tcW w:w="1559" w:type="dxa"/>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5 días hábiles después del cierre mensual</w:t>
            </w:r>
          </w:p>
        </w:tc>
        <w:tc>
          <w:tcPr>
            <w:tcW w:w="1417" w:type="dxa"/>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Anexo 42</w:t>
            </w:r>
          </w:p>
        </w:tc>
        <w:tc>
          <w:tcPr>
            <w:tcW w:w="1560" w:type="dxa"/>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eastAsia="Times New Roman" w:hAnsi="Arial" w:cs="Arial"/>
                <w:kern w:val="0"/>
                <w:sz w:val="20"/>
                <w:szCs w:val="20"/>
                <w:lang w:eastAsia="es-CR"/>
                <w14:ligatures w14:val="none"/>
              </w:rPr>
              <w:t xml:space="preserve">Sistema </w:t>
            </w:r>
            <w:proofErr w:type="spellStart"/>
            <w:r w:rsidRPr="00C47906">
              <w:rPr>
                <w:rFonts w:ascii="Arial" w:eastAsia="Times New Roman" w:hAnsi="Arial" w:cs="Arial"/>
                <w:kern w:val="0"/>
                <w:sz w:val="20"/>
                <w:szCs w:val="20"/>
                <w:lang w:eastAsia="es-CR"/>
                <w14:ligatures w14:val="none"/>
              </w:rPr>
              <w:t>Ingresador</w:t>
            </w:r>
            <w:proofErr w:type="spellEnd"/>
          </w:p>
        </w:tc>
      </w:tr>
    </w:tbl>
    <w:p w:rsidR="00866ACC" w:rsidRPr="00C47906" w:rsidRDefault="00866ACC" w:rsidP="00866ACC"/>
    <w:bookmarkStart w:id="3" w:name="_MON_1799832258"/>
    <w:bookmarkEnd w:id="3"/>
    <w:p w:rsidR="00866ACC" w:rsidRPr="00C47906" w:rsidRDefault="00866ACC" w:rsidP="00866ACC">
      <w:r w:rsidRPr="00C47906">
        <w:object w:dxaOrig="1532" w:dyaOrig="991" w14:anchorId="570C6B2B">
          <v:shape id="_x0000_i1028" type="#_x0000_t75" style="width:76.6pt;height:49.55pt" o:ole="">
            <v:imagedata r:id="rId13" o:title=""/>
          </v:shape>
          <o:OLEObject Type="Embed" ProgID="Word.Document.12" ShapeID="_x0000_i1028" DrawAspect="Icon" ObjectID="_1811077874" r:id="rId14">
            <o:FieldCodes>\s</o:FieldCodes>
          </o:OLEObject>
        </w:object>
      </w:r>
    </w:p>
    <w:p w:rsidR="00866ACC" w:rsidRPr="00C47906" w:rsidRDefault="00866ACC" w:rsidP="00866ACC"/>
    <w:p w:rsidR="00732559" w:rsidRPr="00C47906" w:rsidRDefault="007A3DA7" w:rsidP="00B53876">
      <w:pPr>
        <w:numPr>
          <w:ilvl w:val="0"/>
          <w:numId w:val="1"/>
        </w:numPr>
        <w:ind w:left="426" w:hanging="426"/>
        <w:jc w:val="both"/>
        <w:rPr>
          <w:b/>
          <w:bCs/>
          <w:lang w:val="es-ES"/>
        </w:rPr>
      </w:pPr>
      <w:r w:rsidRPr="00C47906">
        <w:rPr>
          <w:b/>
          <w:bCs/>
          <w:lang w:val="es-ES"/>
        </w:rPr>
        <w:t>Se modifica</w:t>
      </w:r>
      <w:r w:rsidR="00732559" w:rsidRPr="00C47906">
        <w:rPr>
          <w:b/>
          <w:bCs/>
          <w:lang w:val="es-ES"/>
        </w:rPr>
        <w:t xml:space="preserve"> </w:t>
      </w:r>
      <w:r w:rsidR="00DC2297" w:rsidRPr="00C47906">
        <w:rPr>
          <w:b/>
          <w:bCs/>
          <w:lang w:val="es-ES"/>
        </w:rPr>
        <w:t xml:space="preserve">la referencia al número de anexo, </w:t>
      </w:r>
      <w:r w:rsidR="00732559" w:rsidRPr="00C47906">
        <w:rPr>
          <w:b/>
          <w:bCs/>
          <w:lang w:val="es-ES"/>
        </w:rPr>
        <w:t>el medio de envío a la Sugeval y</w:t>
      </w:r>
      <w:r w:rsidR="00DC2297" w:rsidRPr="00C47906">
        <w:rPr>
          <w:b/>
          <w:bCs/>
          <w:lang w:val="es-ES"/>
        </w:rPr>
        <w:t xml:space="preserve"> el </w:t>
      </w:r>
      <w:r w:rsidR="00732559" w:rsidRPr="00C47906">
        <w:rPr>
          <w:b/>
          <w:bCs/>
          <w:lang w:val="es-ES"/>
        </w:rPr>
        <w:t>plazo máximo de entrega</w:t>
      </w:r>
      <w:r w:rsidR="003B4F21" w:rsidRPr="00C47906">
        <w:rPr>
          <w:b/>
          <w:bCs/>
          <w:lang w:val="es-ES"/>
        </w:rPr>
        <w:t xml:space="preserve"> del reporte de inversiones propias de </w:t>
      </w:r>
      <w:r w:rsidR="003B63CB" w:rsidRPr="00C47906">
        <w:rPr>
          <w:b/>
          <w:bCs/>
          <w:lang w:val="es-ES"/>
        </w:rPr>
        <w:t xml:space="preserve">Bolsas de Valores, </w:t>
      </w:r>
      <w:r w:rsidR="003B63CB" w:rsidRPr="00C47906">
        <w:rPr>
          <w:b/>
          <w:bCs/>
        </w:rPr>
        <w:t>señalado en el</w:t>
      </w:r>
      <w:r w:rsidR="00732559" w:rsidRPr="00C47906">
        <w:rPr>
          <w:b/>
          <w:bCs/>
          <w:lang w:val="es-ES"/>
        </w:rPr>
        <w:t xml:space="preserve"> </w:t>
      </w:r>
      <w:r w:rsidR="00732559" w:rsidRPr="00C47906">
        <w:rPr>
          <w:b/>
          <w:bCs/>
        </w:rPr>
        <w:t xml:space="preserve">Cuadro de información periódica del Artículo </w:t>
      </w:r>
      <w:proofErr w:type="gramStart"/>
      <w:r w:rsidR="00732559" w:rsidRPr="00C47906">
        <w:rPr>
          <w:b/>
          <w:bCs/>
        </w:rPr>
        <w:t>2  del</w:t>
      </w:r>
      <w:proofErr w:type="gramEnd"/>
      <w:r w:rsidR="00732559" w:rsidRPr="00C47906">
        <w:rPr>
          <w:b/>
          <w:bCs/>
        </w:rPr>
        <w:t xml:space="preserve"> Acuerdo, según se indica a continuación</w:t>
      </w:r>
      <w:r w:rsidR="00732559" w:rsidRPr="00C47906">
        <w:rPr>
          <w:b/>
          <w:bCs/>
          <w:lang w:val="es-ES"/>
        </w:rPr>
        <w:t>:</w:t>
      </w:r>
    </w:p>
    <w:p w:rsidR="00140133" w:rsidRPr="00C47906" w:rsidRDefault="00140133" w:rsidP="00866ACC">
      <w:pPr>
        <w:rPr>
          <w:lang w:val="es-E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2551"/>
        <w:gridCol w:w="1418"/>
        <w:gridCol w:w="1559"/>
        <w:gridCol w:w="1417"/>
        <w:gridCol w:w="1560"/>
      </w:tblGrid>
      <w:tr w:rsidR="004B3259" w:rsidRPr="00C47906" w:rsidTr="004B3259">
        <w:trPr>
          <w:trHeight w:val="510"/>
        </w:trPr>
        <w:tc>
          <w:tcPr>
            <w:tcW w:w="2972" w:type="dxa"/>
            <w:gridSpan w:val="2"/>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INFORME O REPORTE</w:t>
            </w:r>
          </w:p>
        </w:tc>
        <w:tc>
          <w:tcPr>
            <w:tcW w:w="1418" w:type="dxa"/>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Periodicidad</w:t>
            </w:r>
          </w:p>
        </w:tc>
        <w:tc>
          <w:tcPr>
            <w:tcW w:w="1559" w:type="dxa"/>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Plazo máximo de entrega</w:t>
            </w:r>
          </w:p>
        </w:tc>
        <w:tc>
          <w:tcPr>
            <w:tcW w:w="1417" w:type="dxa"/>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Formato o normas sobre el Contenido</w:t>
            </w:r>
          </w:p>
        </w:tc>
        <w:tc>
          <w:tcPr>
            <w:tcW w:w="1560" w:type="dxa"/>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Medio de envío</w:t>
            </w:r>
          </w:p>
        </w:tc>
      </w:tr>
      <w:tr w:rsidR="004B3259" w:rsidRPr="00C47906" w:rsidTr="004C00BC">
        <w:trPr>
          <w:trHeight w:val="799"/>
        </w:trPr>
        <w:tc>
          <w:tcPr>
            <w:tcW w:w="8926" w:type="dxa"/>
            <w:gridSpan w:val="6"/>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eastAsia="Times New Roman" w:hAnsi="Arial" w:cs="Arial"/>
                <w:kern w:val="0"/>
                <w:sz w:val="20"/>
                <w:szCs w:val="20"/>
                <w:lang w:eastAsia="es-CR"/>
                <w14:ligatures w14:val="none"/>
              </w:rPr>
              <w:t xml:space="preserve">BOLSAS DE VALORES Y CENTRALES DE VALORES </w:t>
            </w:r>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5</w:t>
            </w:r>
          </w:p>
        </w:tc>
        <w:tc>
          <w:tcPr>
            <w:tcW w:w="2551" w:type="dxa"/>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 xml:space="preserve"> Reporte de inversiones propias de bolsas de valores </w:t>
            </w:r>
          </w:p>
        </w:tc>
        <w:tc>
          <w:tcPr>
            <w:tcW w:w="1418" w:type="dxa"/>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Mensual</w:t>
            </w:r>
          </w:p>
        </w:tc>
        <w:tc>
          <w:tcPr>
            <w:tcW w:w="1559" w:type="dxa"/>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3 días hábiles después del cierre mensual</w:t>
            </w:r>
          </w:p>
        </w:tc>
        <w:tc>
          <w:tcPr>
            <w:tcW w:w="1417" w:type="dxa"/>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Anexo 10</w:t>
            </w:r>
          </w:p>
        </w:tc>
        <w:tc>
          <w:tcPr>
            <w:tcW w:w="1560" w:type="dxa"/>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eastAsia="Times New Roman" w:hAnsi="Arial" w:cs="Arial"/>
                <w:kern w:val="0"/>
                <w:sz w:val="20"/>
                <w:szCs w:val="20"/>
                <w:lang w:eastAsia="es-CR"/>
                <w14:ligatures w14:val="none"/>
              </w:rPr>
              <w:t xml:space="preserve">Sistema </w:t>
            </w:r>
            <w:proofErr w:type="spellStart"/>
            <w:r w:rsidRPr="00C47906">
              <w:rPr>
                <w:rFonts w:ascii="Arial" w:eastAsia="Times New Roman" w:hAnsi="Arial" w:cs="Arial"/>
                <w:kern w:val="0"/>
                <w:sz w:val="20"/>
                <w:szCs w:val="20"/>
                <w:lang w:eastAsia="es-CR"/>
                <w14:ligatures w14:val="none"/>
              </w:rPr>
              <w:t>Ingresador</w:t>
            </w:r>
            <w:proofErr w:type="spellEnd"/>
          </w:p>
        </w:tc>
      </w:tr>
    </w:tbl>
    <w:p w:rsidR="00866ACC" w:rsidRPr="00C47906" w:rsidRDefault="00866ACC" w:rsidP="00866ACC"/>
    <w:p w:rsidR="00AA748B" w:rsidRPr="00C47906" w:rsidRDefault="000B5614" w:rsidP="00FE2247">
      <w:pPr>
        <w:pStyle w:val="Prrafodelista"/>
        <w:numPr>
          <w:ilvl w:val="0"/>
          <w:numId w:val="1"/>
        </w:numPr>
        <w:ind w:left="426" w:hanging="426"/>
        <w:rPr>
          <w:lang w:val="es-ES"/>
        </w:rPr>
      </w:pPr>
      <w:r w:rsidRPr="00C47906">
        <w:rPr>
          <w:b/>
          <w:bCs/>
          <w:lang w:val="es-ES"/>
        </w:rPr>
        <w:t>Se d</w:t>
      </w:r>
      <w:r w:rsidR="00BE4DF8" w:rsidRPr="00C47906">
        <w:rPr>
          <w:b/>
          <w:bCs/>
          <w:lang w:val="es-ES"/>
        </w:rPr>
        <w:t>er</w:t>
      </w:r>
      <w:r w:rsidRPr="00C47906">
        <w:rPr>
          <w:b/>
          <w:bCs/>
          <w:lang w:val="es-ES"/>
        </w:rPr>
        <w:t>o</w:t>
      </w:r>
      <w:r w:rsidR="00BE4DF8" w:rsidRPr="00C47906">
        <w:rPr>
          <w:b/>
          <w:bCs/>
          <w:lang w:val="es-ES"/>
        </w:rPr>
        <w:t>g</w:t>
      </w:r>
      <w:r w:rsidR="0098080D" w:rsidRPr="00C47906">
        <w:rPr>
          <w:b/>
          <w:bCs/>
          <w:lang w:val="es-ES"/>
        </w:rPr>
        <w:t xml:space="preserve">a el </w:t>
      </w:r>
      <w:r w:rsidRPr="00C47906">
        <w:rPr>
          <w:b/>
          <w:bCs/>
          <w:lang w:val="es-ES"/>
        </w:rPr>
        <w:t xml:space="preserve">Anexo </w:t>
      </w:r>
      <w:r w:rsidR="0098080D" w:rsidRPr="00C47906">
        <w:rPr>
          <w:b/>
          <w:bCs/>
          <w:lang w:val="es-ES"/>
        </w:rPr>
        <w:t xml:space="preserve">41 </w:t>
      </w:r>
      <w:r w:rsidR="00177EF6" w:rsidRPr="00C47906">
        <w:rPr>
          <w:b/>
          <w:bCs/>
          <w:lang w:val="es-ES"/>
        </w:rPr>
        <w:t>-</w:t>
      </w:r>
      <w:r w:rsidR="006436E9" w:rsidRPr="00C47906">
        <w:rPr>
          <w:b/>
          <w:bCs/>
          <w:lang w:val="es-ES"/>
        </w:rPr>
        <w:t>Reporte de inversiones propias de bolsas de valores</w:t>
      </w:r>
      <w:r w:rsidR="002B1767" w:rsidRPr="00C47906">
        <w:rPr>
          <w:b/>
          <w:bCs/>
          <w:lang w:val="es-ES"/>
        </w:rPr>
        <w:t>-</w:t>
      </w:r>
      <w:r w:rsidR="00FE2247" w:rsidRPr="00C47906">
        <w:rPr>
          <w:b/>
          <w:bCs/>
          <w:lang w:val="es-ES"/>
        </w:rPr>
        <w:t>.</w:t>
      </w:r>
      <w:r w:rsidR="002B1767" w:rsidRPr="00C47906">
        <w:rPr>
          <w:b/>
          <w:bCs/>
          <w:lang w:val="es-ES"/>
        </w:rPr>
        <w:t xml:space="preserve"> </w:t>
      </w:r>
    </w:p>
    <w:p w:rsidR="00866ACC" w:rsidRPr="00C47906" w:rsidRDefault="00866ACC" w:rsidP="003B63CB">
      <w:pPr>
        <w:numPr>
          <w:ilvl w:val="0"/>
          <w:numId w:val="1"/>
        </w:numPr>
        <w:ind w:left="426" w:hanging="426"/>
        <w:jc w:val="both"/>
      </w:pPr>
      <w:r w:rsidRPr="00C47906">
        <w:rPr>
          <w:b/>
          <w:bCs/>
          <w:lang w:val="es-ES"/>
        </w:rPr>
        <w:t>Se modifica</w:t>
      </w:r>
      <w:r w:rsidR="00CE3FF1" w:rsidRPr="00C47906">
        <w:rPr>
          <w:b/>
          <w:bCs/>
          <w:lang w:val="es-ES"/>
        </w:rPr>
        <w:t>n</w:t>
      </w:r>
      <w:r w:rsidRPr="00C47906">
        <w:rPr>
          <w:b/>
          <w:bCs/>
          <w:lang w:val="es-ES"/>
        </w:rPr>
        <w:t xml:space="preserve"> </w:t>
      </w:r>
      <w:r w:rsidR="00CE3FF1" w:rsidRPr="00C47906">
        <w:rPr>
          <w:b/>
          <w:bCs/>
          <w:lang w:val="es-ES"/>
        </w:rPr>
        <w:t>los</w:t>
      </w:r>
      <w:r w:rsidRPr="00C47906">
        <w:rPr>
          <w:b/>
          <w:bCs/>
          <w:lang w:val="es-ES"/>
        </w:rPr>
        <w:t xml:space="preserve"> plazo</w:t>
      </w:r>
      <w:r w:rsidR="00CE3FF1" w:rsidRPr="00C47906">
        <w:rPr>
          <w:b/>
          <w:bCs/>
          <w:lang w:val="es-ES"/>
        </w:rPr>
        <w:t>s</w:t>
      </w:r>
      <w:r w:rsidRPr="00C47906">
        <w:rPr>
          <w:b/>
          <w:bCs/>
          <w:lang w:val="es-ES"/>
        </w:rPr>
        <w:t xml:space="preserve"> máximo</w:t>
      </w:r>
      <w:r w:rsidR="00CE3FF1" w:rsidRPr="00C47906">
        <w:rPr>
          <w:b/>
          <w:bCs/>
          <w:lang w:val="es-ES"/>
        </w:rPr>
        <w:t xml:space="preserve">s de entrega de los informes y reportes que se señalan a continuación, </w:t>
      </w:r>
      <w:r w:rsidR="00FE2247" w:rsidRPr="00C47906">
        <w:rPr>
          <w:b/>
          <w:bCs/>
          <w:lang w:val="es-ES"/>
        </w:rPr>
        <w:t>en el</w:t>
      </w:r>
      <w:r w:rsidR="00CE3FF1" w:rsidRPr="00C47906">
        <w:rPr>
          <w:b/>
          <w:bCs/>
          <w:lang w:val="es-ES"/>
        </w:rPr>
        <w:t xml:space="preserve"> </w:t>
      </w:r>
      <w:r w:rsidR="00CE3FF1" w:rsidRPr="00C47906">
        <w:rPr>
          <w:b/>
          <w:bCs/>
        </w:rPr>
        <w:t>Cuadro de información periódica del Artículo 2 del Acuerdo.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2537"/>
        <w:gridCol w:w="1417"/>
        <w:gridCol w:w="1551"/>
        <w:gridCol w:w="1445"/>
        <w:gridCol w:w="1555"/>
      </w:tblGrid>
      <w:tr w:rsidR="004B3259" w:rsidRPr="00C47906" w:rsidTr="004B3259">
        <w:trPr>
          <w:trHeight w:val="510"/>
        </w:trPr>
        <w:tc>
          <w:tcPr>
            <w:tcW w:w="2958" w:type="dxa"/>
            <w:gridSpan w:val="2"/>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INFORME O REPORTE</w:t>
            </w:r>
          </w:p>
        </w:tc>
        <w:tc>
          <w:tcPr>
            <w:tcW w:w="1417" w:type="dxa"/>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Periodicidad</w:t>
            </w:r>
          </w:p>
        </w:tc>
        <w:tc>
          <w:tcPr>
            <w:tcW w:w="1551" w:type="dxa"/>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Plazo máximo de entrega</w:t>
            </w:r>
          </w:p>
        </w:tc>
        <w:tc>
          <w:tcPr>
            <w:tcW w:w="1445" w:type="dxa"/>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Formato o normas sobre el Contenido</w:t>
            </w:r>
          </w:p>
        </w:tc>
        <w:tc>
          <w:tcPr>
            <w:tcW w:w="1555" w:type="dxa"/>
            <w:shd w:val="clear" w:color="auto" w:fill="D9D9D9" w:themeFill="background1" w:themeFillShade="D9"/>
            <w:vAlign w:val="center"/>
            <w:hideMark/>
          </w:tcPr>
          <w:p w:rsidR="00866ACC" w:rsidRPr="00C47906" w:rsidRDefault="00866ACC" w:rsidP="004C00BC">
            <w:pPr>
              <w:spacing w:after="0" w:line="240" w:lineRule="auto"/>
              <w:jc w:val="center"/>
              <w:rPr>
                <w:rFonts w:ascii="Arial" w:eastAsia="Times New Roman" w:hAnsi="Arial" w:cs="Arial"/>
                <w:b/>
                <w:bCs/>
                <w:kern w:val="0"/>
                <w:sz w:val="20"/>
                <w:szCs w:val="20"/>
                <w:lang w:eastAsia="es-CR"/>
                <w14:ligatures w14:val="none"/>
              </w:rPr>
            </w:pPr>
            <w:r w:rsidRPr="00C47906">
              <w:rPr>
                <w:rFonts w:ascii="Arial" w:eastAsia="Times New Roman" w:hAnsi="Arial" w:cs="Arial"/>
                <w:b/>
                <w:bCs/>
                <w:kern w:val="0"/>
                <w:sz w:val="20"/>
                <w:szCs w:val="20"/>
                <w:lang w:eastAsia="es-CR"/>
                <w14:ligatures w14:val="none"/>
              </w:rPr>
              <w:t>Medio de envío</w:t>
            </w:r>
          </w:p>
        </w:tc>
      </w:tr>
      <w:tr w:rsidR="004B3259" w:rsidRPr="00C47906" w:rsidTr="004C00BC">
        <w:trPr>
          <w:trHeight w:val="799"/>
        </w:trPr>
        <w:tc>
          <w:tcPr>
            <w:tcW w:w="8926" w:type="dxa"/>
            <w:gridSpan w:val="6"/>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PUESTOS DE BOLSA</w:t>
            </w:r>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8</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 Estados financieros no auditados mensuales </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Mensual</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3 días hábiles después del cierre mensual</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Anexo 14</w:t>
            </w:r>
          </w:p>
        </w:tc>
        <w:tc>
          <w:tcPr>
            <w:tcW w:w="1555" w:type="dxa"/>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11</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Reporte de Superávit o déficit patrimonial /3</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Mensual</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después del cierre mensual  </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Anexo 31</w:t>
            </w:r>
          </w:p>
        </w:tc>
        <w:tc>
          <w:tcPr>
            <w:tcW w:w="1555" w:type="dxa"/>
            <w:shd w:val="clear" w:color="auto" w:fill="auto"/>
            <w:vAlign w:val="center"/>
          </w:tcPr>
          <w:p w:rsidR="00866ACC" w:rsidRPr="00C47906" w:rsidRDefault="00866ACC" w:rsidP="004C00BC">
            <w:pPr>
              <w:spacing w:after="0" w:line="240" w:lineRule="auto"/>
              <w:jc w:val="center"/>
              <w:rPr>
                <w:rFonts w:ascii="Arial" w:eastAsia="Times New Roman" w:hAnsi="Arial" w:cs="Arial"/>
                <w:kern w:val="0"/>
                <w:sz w:val="20"/>
                <w:szCs w:val="20"/>
                <w:lang w:eastAsia="es-CR"/>
                <w14:ligatures w14:val="none"/>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C00BC">
        <w:trPr>
          <w:trHeight w:val="799"/>
        </w:trPr>
        <w:tc>
          <w:tcPr>
            <w:tcW w:w="8926" w:type="dxa"/>
            <w:gridSpan w:val="6"/>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eastAsia="Times New Roman" w:hAnsi="Arial" w:cs="Arial"/>
                <w:b/>
                <w:bCs/>
                <w:kern w:val="0"/>
                <w:sz w:val="20"/>
                <w:szCs w:val="20"/>
                <w:lang w:eastAsia="es-CR"/>
                <w14:ligatures w14:val="none"/>
              </w:rPr>
              <w:t>BOLSAS DE VALORES Y CENTRALES DE VALORES</w:t>
            </w:r>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4</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  Estados financieros no auditados /2 </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 Mensual </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después del cierre mensual   </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Anexos 50, 51 y 60</w:t>
            </w:r>
          </w:p>
        </w:tc>
        <w:tc>
          <w:tcPr>
            <w:tcW w:w="155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10</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Reporte de Superávit o déficit patrimonial /1</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Mensual</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después del cierre mensual  </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Anexo 31</w:t>
            </w:r>
          </w:p>
        </w:tc>
        <w:tc>
          <w:tcPr>
            <w:tcW w:w="155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2F187C">
        <w:trPr>
          <w:trHeight w:val="799"/>
        </w:trPr>
        <w:tc>
          <w:tcPr>
            <w:tcW w:w="8926" w:type="dxa"/>
            <w:gridSpan w:val="6"/>
            <w:shd w:val="clear" w:color="auto" w:fill="auto"/>
            <w:vAlign w:val="center"/>
          </w:tcPr>
          <w:p w:rsidR="00AC7ACA" w:rsidRPr="00C47906" w:rsidRDefault="00BC63D0" w:rsidP="004C00BC">
            <w:pPr>
              <w:spacing w:after="0" w:line="240" w:lineRule="auto"/>
              <w:jc w:val="center"/>
              <w:rPr>
                <w:rFonts w:ascii="Arial" w:hAnsi="Arial" w:cs="Arial"/>
                <w:sz w:val="20"/>
                <w:szCs w:val="20"/>
              </w:rPr>
            </w:pPr>
            <w:r w:rsidRPr="00C47906">
              <w:rPr>
                <w:rFonts w:ascii="Arial" w:hAnsi="Arial" w:cs="Arial"/>
                <w:b/>
                <w:bCs/>
                <w:sz w:val="20"/>
                <w:szCs w:val="20"/>
              </w:rPr>
              <w:t>EMISIONES QUE CALIFIQUEN COMO VERDES SOCIALES O SOSTENIBLES</w:t>
            </w:r>
            <w:r w:rsidRPr="00C47906">
              <w:rPr>
                <w:rFonts w:ascii="Arial" w:hAnsi="Arial" w:cs="Arial"/>
                <w:sz w:val="20"/>
                <w:szCs w:val="20"/>
              </w:rPr>
              <w:t xml:space="preserve"> 1/</w:t>
            </w:r>
          </w:p>
        </w:tc>
      </w:tr>
      <w:tr w:rsidR="004B3259" w:rsidRPr="00C47906" w:rsidTr="00270AAC">
        <w:trPr>
          <w:trHeight w:val="799"/>
        </w:trPr>
        <w:tc>
          <w:tcPr>
            <w:tcW w:w="421" w:type="dxa"/>
            <w:shd w:val="clear" w:color="auto" w:fill="auto"/>
            <w:vAlign w:val="center"/>
          </w:tcPr>
          <w:p w:rsidR="00BC63D0" w:rsidRPr="00C47906" w:rsidRDefault="00BC63D0" w:rsidP="00BC63D0">
            <w:pPr>
              <w:spacing w:after="0" w:line="240" w:lineRule="auto"/>
              <w:jc w:val="center"/>
              <w:rPr>
                <w:rFonts w:ascii="Arial" w:hAnsi="Arial" w:cs="Arial"/>
                <w:sz w:val="20"/>
                <w:szCs w:val="20"/>
              </w:rPr>
            </w:pPr>
            <w:r w:rsidRPr="00C47906">
              <w:rPr>
                <w:rFonts w:ascii="Arial" w:hAnsi="Arial" w:cs="Arial"/>
                <w:sz w:val="20"/>
                <w:szCs w:val="20"/>
              </w:rPr>
              <w:t>15</w:t>
            </w:r>
          </w:p>
        </w:tc>
        <w:tc>
          <w:tcPr>
            <w:tcW w:w="2537" w:type="dxa"/>
            <w:shd w:val="clear" w:color="auto" w:fill="auto"/>
          </w:tcPr>
          <w:p w:rsidR="00BC63D0" w:rsidRPr="00C47906" w:rsidRDefault="00BC63D0" w:rsidP="00BC63D0">
            <w:pPr>
              <w:spacing w:after="0" w:line="240" w:lineRule="auto"/>
              <w:jc w:val="center"/>
              <w:rPr>
                <w:rFonts w:ascii="Arial" w:hAnsi="Arial" w:cs="Arial"/>
                <w:sz w:val="20"/>
                <w:szCs w:val="20"/>
              </w:rPr>
            </w:pPr>
            <w:r w:rsidRPr="00C47906">
              <w:t>Opinión de</w:t>
            </w:r>
            <w:r w:rsidR="00330E8A" w:rsidRPr="00C47906">
              <w:t>l</w:t>
            </w:r>
            <w:r w:rsidRPr="00C47906">
              <w:t xml:space="preserve"> </w:t>
            </w:r>
            <w:r w:rsidR="00330E8A" w:rsidRPr="00C47906">
              <w:t>verificador</w:t>
            </w:r>
            <w:r w:rsidRPr="00C47906">
              <w:t xml:space="preserve"> externo sobre el cumplimiento de estándares nacionales o internacionales para fondos de inversión que califiquen como verdes, sociales o sostenibles</w:t>
            </w:r>
          </w:p>
        </w:tc>
        <w:tc>
          <w:tcPr>
            <w:tcW w:w="1417" w:type="dxa"/>
            <w:shd w:val="clear" w:color="auto" w:fill="auto"/>
            <w:vAlign w:val="center"/>
          </w:tcPr>
          <w:p w:rsidR="00BC63D0" w:rsidRPr="00C47906" w:rsidRDefault="00BC63D0" w:rsidP="00BC63D0">
            <w:pPr>
              <w:spacing w:after="0" w:line="240" w:lineRule="auto"/>
              <w:jc w:val="center"/>
              <w:rPr>
                <w:rFonts w:ascii="Arial" w:hAnsi="Arial" w:cs="Arial"/>
                <w:sz w:val="20"/>
                <w:szCs w:val="20"/>
              </w:rPr>
            </w:pPr>
            <w:r w:rsidRPr="00C47906">
              <w:rPr>
                <w:rFonts w:ascii="Arial" w:hAnsi="Arial" w:cs="Arial"/>
                <w:sz w:val="20"/>
                <w:szCs w:val="20"/>
              </w:rPr>
              <w:t>Anual</w:t>
            </w:r>
          </w:p>
        </w:tc>
        <w:tc>
          <w:tcPr>
            <w:tcW w:w="1551" w:type="dxa"/>
            <w:shd w:val="clear" w:color="auto" w:fill="auto"/>
            <w:vAlign w:val="center"/>
          </w:tcPr>
          <w:p w:rsidR="00BC63D0" w:rsidRPr="00C47906" w:rsidRDefault="00BC63D0" w:rsidP="00BC63D0">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contados a partir de la fecha de cada aniversario de la primera </w:t>
            </w:r>
            <w:r w:rsidR="00330E8A" w:rsidRPr="00C47906">
              <w:rPr>
                <w:rFonts w:ascii="Arial" w:hAnsi="Arial" w:cs="Arial"/>
                <w:b/>
                <w:bCs/>
                <w:sz w:val="20"/>
                <w:szCs w:val="20"/>
              </w:rPr>
              <w:t>verificación</w:t>
            </w:r>
            <w:r w:rsidRPr="00C47906">
              <w:rPr>
                <w:rFonts w:ascii="Arial" w:hAnsi="Arial" w:cs="Arial"/>
                <w:b/>
                <w:bCs/>
                <w:sz w:val="20"/>
                <w:szCs w:val="20"/>
              </w:rPr>
              <w:t xml:space="preserve"> externa.</w:t>
            </w:r>
          </w:p>
        </w:tc>
        <w:tc>
          <w:tcPr>
            <w:tcW w:w="1445" w:type="dxa"/>
            <w:shd w:val="clear" w:color="auto" w:fill="auto"/>
            <w:vAlign w:val="center"/>
          </w:tcPr>
          <w:p w:rsidR="00BC63D0" w:rsidRPr="00C47906" w:rsidRDefault="00BC63D0" w:rsidP="00BC63D0">
            <w:pPr>
              <w:spacing w:after="0" w:line="240" w:lineRule="auto"/>
              <w:jc w:val="center"/>
              <w:rPr>
                <w:rFonts w:ascii="Arial" w:hAnsi="Arial" w:cs="Arial"/>
                <w:sz w:val="20"/>
                <w:szCs w:val="20"/>
              </w:rPr>
            </w:pPr>
            <w:r w:rsidRPr="00C47906">
              <w:rPr>
                <w:rFonts w:ascii="Arial" w:hAnsi="Arial" w:cs="Arial"/>
                <w:sz w:val="20"/>
                <w:szCs w:val="20"/>
              </w:rPr>
              <w:t>SGV-A-252 Lineamientos para emisiones verdes, sociales y sostenibles de oferta pública</w:t>
            </w:r>
            <w:r w:rsidR="00D56E99" w:rsidRPr="00C47906">
              <w:rPr>
                <w:rFonts w:ascii="Arial" w:hAnsi="Arial" w:cs="Arial"/>
                <w:sz w:val="20"/>
                <w:szCs w:val="20"/>
              </w:rPr>
              <w:t>.</w:t>
            </w:r>
          </w:p>
        </w:tc>
        <w:tc>
          <w:tcPr>
            <w:tcW w:w="1555" w:type="dxa"/>
            <w:shd w:val="clear" w:color="auto" w:fill="auto"/>
            <w:vAlign w:val="center"/>
          </w:tcPr>
          <w:p w:rsidR="00BC63D0" w:rsidRPr="00C47906" w:rsidRDefault="00BC63D0" w:rsidP="00BC63D0">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270AAC">
        <w:trPr>
          <w:trHeight w:val="799"/>
        </w:trPr>
        <w:tc>
          <w:tcPr>
            <w:tcW w:w="421" w:type="dxa"/>
            <w:shd w:val="clear" w:color="auto" w:fill="auto"/>
            <w:vAlign w:val="center"/>
          </w:tcPr>
          <w:p w:rsidR="00BC63D0" w:rsidRPr="00C47906" w:rsidRDefault="00BC63D0" w:rsidP="00BC63D0">
            <w:pPr>
              <w:spacing w:after="0" w:line="240" w:lineRule="auto"/>
              <w:jc w:val="center"/>
              <w:rPr>
                <w:rFonts w:ascii="Arial" w:hAnsi="Arial" w:cs="Arial"/>
                <w:sz w:val="20"/>
                <w:szCs w:val="20"/>
              </w:rPr>
            </w:pPr>
            <w:r w:rsidRPr="00C47906">
              <w:rPr>
                <w:rFonts w:ascii="Arial" w:hAnsi="Arial" w:cs="Arial"/>
                <w:sz w:val="20"/>
                <w:szCs w:val="20"/>
              </w:rPr>
              <w:t>16</w:t>
            </w:r>
          </w:p>
        </w:tc>
        <w:tc>
          <w:tcPr>
            <w:tcW w:w="2537" w:type="dxa"/>
            <w:shd w:val="clear" w:color="auto" w:fill="auto"/>
          </w:tcPr>
          <w:p w:rsidR="00BC63D0" w:rsidRPr="00C47906" w:rsidRDefault="00BC63D0" w:rsidP="00BC63D0">
            <w:pPr>
              <w:spacing w:after="0" w:line="240" w:lineRule="auto"/>
              <w:jc w:val="center"/>
              <w:rPr>
                <w:rFonts w:ascii="Arial" w:hAnsi="Arial" w:cs="Arial"/>
                <w:sz w:val="20"/>
                <w:szCs w:val="20"/>
              </w:rPr>
            </w:pPr>
            <w:r w:rsidRPr="00C47906">
              <w:t>"Informes del uso de los fondos para fondos de inversión que califiquen como verdes, sociales y sostenibles</w:t>
            </w:r>
          </w:p>
        </w:tc>
        <w:tc>
          <w:tcPr>
            <w:tcW w:w="1417" w:type="dxa"/>
            <w:shd w:val="clear" w:color="auto" w:fill="auto"/>
            <w:vAlign w:val="center"/>
          </w:tcPr>
          <w:p w:rsidR="00BC63D0" w:rsidRPr="00C47906" w:rsidRDefault="00BC63D0" w:rsidP="00BC63D0">
            <w:pPr>
              <w:spacing w:after="0" w:line="240" w:lineRule="auto"/>
              <w:jc w:val="center"/>
              <w:rPr>
                <w:rFonts w:ascii="Arial" w:hAnsi="Arial" w:cs="Arial"/>
                <w:sz w:val="20"/>
                <w:szCs w:val="20"/>
              </w:rPr>
            </w:pPr>
            <w:r w:rsidRPr="00C47906">
              <w:rPr>
                <w:rFonts w:ascii="Arial" w:hAnsi="Arial" w:cs="Arial"/>
                <w:sz w:val="20"/>
                <w:szCs w:val="20"/>
              </w:rPr>
              <w:t>Anual</w:t>
            </w:r>
          </w:p>
        </w:tc>
        <w:tc>
          <w:tcPr>
            <w:tcW w:w="1551" w:type="dxa"/>
            <w:shd w:val="clear" w:color="auto" w:fill="auto"/>
            <w:vAlign w:val="center"/>
          </w:tcPr>
          <w:p w:rsidR="00BC63D0" w:rsidRPr="00C47906" w:rsidRDefault="00BC63D0" w:rsidP="00BC63D0">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contados a partir de la fecha de cada aniversario de la primera </w:t>
            </w:r>
            <w:r w:rsidR="00330E8A" w:rsidRPr="00C47906">
              <w:rPr>
                <w:rFonts w:ascii="Arial" w:hAnsi="Arial" w:cs="Arial"/>
                <w:b/>
                <w:bCs/>
                <w:sz w:val="20"/>
                <w:szCs w:val="20"/>
              </w:rPr>
              <w:t>verificación</w:t>
            </w:r>
            <w:r w:rsidRPr="00C47906">
              <w:rPr>
                <w:rFonts w:ascii="Arial" w:hAnsi="Arial" w:cs="Arial"/>
                <w:b/>
                <w:bCs/>
                <w:sz w:val="20"/>
                <w:szCs w:val="20"/>
              </w:rPr>
              <w:t xml:space="preserve"> externa. Si la </w:t>
            </w:r>
            <w:r w:rsidR="00330E8A" w:rsidRPr="00C47906">
              <w:rPr>
                <w:rFonts w:ascii="Arial" w:hAnsi="Arial" w:cs="Arial"/>
                <w:b/>
                <w:bCs/>
                <w:sz w:val="20"/>
                <w:szCs w:val="20"/>
              </w:rPr>
              <w:t>verificación</w:t>
            </w:r>
            <w:r w:rsidRPr="00C47906">
              <w:rPr>
                <w:rFonts w:ascii="Arial" w:hAnsi="Arial" w:cs="Arial"/>
                <w:b/>
                <w:bCs/>
                <w:sz w:val="20"/>
                <w:szCs w:val="20"/>
              </w:rPr>
              <w:t xml:space="preserve"> externa cumple con el contenido mínimo solicitado en el Anexo 3 de los Lineamientos para la autorización y registro de emisiones verdes sociales y sostenibles de oferta pública, se podrá presentar únicamente la </w:t>
            </w:r>
            <w:r w:rsidR="0095537E" w:rsidRPr="00C47906">
              <w:rPr>
                <w:rFonts w:ascii="Arial" w:hAnsi="Arial" w:cs="Arial"/>
                <w:b/>
                <w:bCs/>
                <w:sz w:val="20"/>
                <w:szCs w:val="20"/>
              </w:rPr>
              <w:t>verificación</w:t>
            </w:r>
            <w:r w:rsidRPr="00C47906">
              <w:rPr>
                <w:rFonts w:ascii="Arial" w:hAnsi="Arial" w:cs="Arial"/>
                <w:b/>
                <w:bCs/>
                <w:sz w:val="20"/>
                <w:szCs w:val="20"/>
              </w:rPr>
              <w:t xml:space="preserve"> externa en sustitución del informe del uso de fondos.</w:t>
            </w:r>
          </w:p>
        </w:tc>
        <w:tc>
          <w:tcPr>
            <w:tcW w:w="1445" w:type="dxa"/>
            <w:shd w:val="clear" w:color="auto" w:fill="auto"/>
            <w:vAlign w:val="center"/>
          </w:tcPr>
          <w:p w:rsidR="00BC63D0" w:rsidRPr="00C47906" w:rsidRDefault="00D56E99" w:rsidP="00BC63D0">
            <w:pPr>
              <w:spacing w:after="0" w:line="240" w:lineRule="auto"/>
              <w:jc w:val="center"/>
              <w:rPr>
                <w:rFonts w:ascii="Arial" w:hAnsi="Arial" w:cs="Arial"/>
                <w:sz w:val="20"/>
                <w:szCs w:val="20"/>
              </w:rPr>
            </w:pPr>
            <w:r w:rsidRPr="00C47906">
              <w:rPr>
                <w:rFonts w:ascii="Arial" w:hAnsi="Arial" w:cs="Arial"/>
                <w:sz w:val="20"/>
                <w:szCs w:val="20"/>
              </w:rPr>
              <w:t>SGV-A-252 Lineamientos para emisiones verdes, sociales y sostenibles de oferta pública</w:t>
            </w:r>
          </w:p>
        </w:tc>
        <w:tc>
          <w:tcPr>
            <w:tcW w:w="1555" w:type="dxa"/>
            <w:shd w:val="clear" w:color="auto" w:fill="auto"/>
            <w:vAlign w:val="center"/>
          </w:tcPr>
          <w:p w:rsidR="00BC63D0" w:rsidRPr="00C47906" w:rsidRDefault="00BC63D0" w:rsidP="00BC63D0">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C00BC">
        <w:trPr>
          <w:trHeight w:val="799"/>
        </w:trPr>
        <w:tc>
          <w:tcPr>
            <w:tcW w:w="8926" w:type="dxa"/>
            <w:gridSpan w:val="6"/>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SOCIEDADES ADMINISTRADORAS DE FONDOS DE INVERSIÓN</w:t>
            </w:r>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5</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  Estados financieros no auditados mensuales de la SFI  </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Mensual</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después del cierre mensual  </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Anexo 14</w:t>
            </w:r>
          </w:p>
        </w:tc>
        <w:tc>
          <w:tcPr>
            <w:tcW w:w="155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8</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Reporte de Superávit o déficit patrimonial /2</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Mensual</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después del cierre mensual  </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Anexo 31</w:t>
            </w:r>
          </w:p>
        </w:tc>
        <w:tc>
          <w:tcPr>
            <w:tcW w:w="155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C00BC">
        <w:trPr>
          <w:trHeight w:val="799"/>
        </w:trPr>
        <w:tc>
          <w:tcPr>
            <w:tcW w:w="8926" w:type="dxa"/>
            <w:gridSpan w:val="6"/>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FONDOS DE INVERSIÓN</w:t>
            </w:r>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13</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 Estados financieros no auditados mensuales </w:t>
            </w:r>
            <w:r w:rsidRPr="00C47906">
              <w:rPr>
                <w:rFonts w:ascii="Arial" w:hAnsi="Arial" w:cs="Arial"/>
                <w:sz w:val="20"/>
                <w:szCs w:val="20"/>
              </w:rPr>
              <w:br/>
              <w:t xml:space="preserve"> </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Mensual</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 xml:space="preserve">1 día hábil después del cierre mensual   </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Anexo 15</w:t>
            </w:r>
          </w:p>
        </w:tc>
        <w:tc>
          <w:tcPr>
            <w:tcW w:w="155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14</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 Reporte mensual de composición de las carteras de los fondos inmobiliarios </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Mensual</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1 día hábil después del cierre mensual</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Anexo 22</w:t>
            </w:r>
          </w:p>
        </w:tc>
        <w:tc>
          <w:tcPr>
            <w:tcW w:w="155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15</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 </w:t>
            </w:r>
            <w:proofErr w:type="gramStart"/>
            <w:r w:rsidRPr="00C47906">
              <w:rPr>
                <w:rFonts w:ascii="Arial" w:hAnsi="Arial" w:cs="Arial"/>
                <w:sz w:val="20"/>
                <w:szCs w:val="20"/>
              </w:rPr>
              <w:t>Reporte  de</w:t>
            </w:r>
            <w:proofErr w:type="gramEnd"/>
            <w:r w:rsidRPr="00C47906">
              <w:rPr>
                <w:rFonts w:ascii="Arial" w:hAnsi="Arial" w:cs="Arial"/>
                <w:sz w:val="20"/>
                <w:szCs w:val="20"/>
              </w:rPr>
              <w:t xml:space="preserve"> composición de cartera de inversionistas </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Quincenal</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 xml:space="preserve">1 día hábil después del cierre </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Anexo 17 </w:t>
            </w:r>
          </w:p>
        </w:tc>
        <w:tc>
          <w:tcPr>
            <w:tcW w:w="155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37277">
        <w:trPr>
          <w:trHeight w:val="799"/>
        </w:trPr>
        <w:tc>
          <w:tcPr>
            <w:tcW w:w="8926" w:type="dxa"/>
            <w:gridSpan w:val="6"/>
            <w:shd w:val="clear" w:color="auto" w:fill="auto"/>
            <w:vAlign w:val="center"/>
          </w:tcPr>
          <w:p w:rsidR="008F5911" w:rsidRPr="00C47906" w:rsidRDefault="00E1552F" w:rsidP="004C00BC">
            <w:pPr>
              <w:spacing w:after="0" w:line="240" w:lineRule="auto"/>
              <w:jc w:val="center"/>
              <w:rPr>
                <w:rFonts w:ascii="Arial" w:hAnsi="Arial" w:cs="Arial"/>
                <w:sz w:val="20"/>
                <w:szCs w:val="20"/>
              </w:rPr>
            </w:pPr>
            <w:r w:rsidRPr="00C47906">
              <w:rPr>
                <w:rFonts w:ascii="Arial" w:hAnsi="Arial" w:cs="Arial"/>
                <w:b/>
                <w:bCs/>
                <w:sz w:val="20"/>
                <w:szCs w:val="20"/>
              </w:rPr>
              <w:t>FONDOS DE INVERSIÓN QUE CALIFIQUEN COMO VERDES, SOCIALES O SOSTENIBLES</w:t>
            </w:r>
            <w:r w:rsidRPr="00C47906">
              <w:rPr>
                <w:rFonts w:ascii="Arial" w:hAnsi="Arial" w:cs="Arial"/>
                <w:sz w:val="20"/>
                <w:szCs w:val="20"/>
              </w:rPr>
              <w:t xml:space="preserve"> 1/</w:t>
            </w:r>
          </w:p>
        </w:tc>
      </w:tr>
      <w:tr w:rsidR="004B3259" w:rsidRPr="00C47906" w:rsidTr="00270AAC">
        <w:trPr>
          <w:trHeight w:val="799"/>
        </w:trPr>
        <w:tc>
          <w:tcPr>
            <w:tcW w:w="421" w:type="dxa"/>
            <w:shd w:val="clear" w:color="auto" w:fill="auto"/>
            <w:vAlign w:val="center"/>
          </w:tcPr>
          <w:p w:rsidR="0074228E" w:rsidRPr="00C47906" w:rsidRDefault="0074228E" w:rsidP="0074228E">
            <w:pPr>
              <w:spacing w:after="0" w:line="240" w:lineRule="auto"/>
              <w:jc w:val="center"/>
              <w:rPr>
                <w:rFonts w:ascii="Arial" w:hAnsi="Arial" w:cs="Arial"/>
                <w:sz w:val="20"/>
                <w:szCs w:val="20"/>
              </w:rPr>
            </w:pPr>
            <w:r w:rsidRPr="00C47906">
              <w:rPr>
                <w:rFonts w:ascii="Arial" w:hAnsi="Arial" w:cs="Arial"/>
                <w:sz w:val="20"/>
                <w:szCs w:val="20"/>
              </w:rPr>
              <w:t>24</w:t>
            </w:r>
          </w:p>
        </w:tc>
        <w:tc>
          <w:tcPr>
            <w:tcW w:w="2537" w:type="dxa"/>
            <w:shd w:val="clear" w:color="auto" w:fill="auto"/>
          </w:tcPr>
          <w:p w:rsidR="0074228E" w:rsidRPr="00C47906" w:rsidRDefault="0074228E" w:rsidP="0074228E">
            <w:pPr>
              <w:spacing w:after="0" w:line="240" w:lineRule="auto"/>
              <w:jc w:val="center"/>
              <w:rPr>
                <w:rFonts w:ascii="Arial" w:hAnsi="Arial" w:cs="Arial"/>
                <w:sz w:val="20"/>
                <w:szCs w:val="20"/>
              </w:rPr>
            </w:pPr>
            <w:r w:rsidRPr="00C47906">
              <w:t>Opinión de</w:t>
            </w:r>
            <w:r w:rsidR="00330E8A" w:rsidRPr="00C47906">
              <w:t xml:space="preserve">l </w:t>
            </w:r>
            <w:proofErr w:type="gramStart"/>
            <w:r w:rsidR="00330E8A" w:rsidRPr="00C47906">
              <w:t>verificador</w:t>
            </w:r>
            <w:r w:rsidRPr="00C47906">
              <w:t xml:space="preserve">  externo</w:t>
            </w:r>
            <w:proofErr w:type="gramEnd"/>
            <w:r w:rsidRPr="00C47906">
              <w:t xml:space="preserve"> sobre el cumplimiento de estándares nacionales o internacionales para fondos de inversión que califiquen como verdes, sociales o sostenibles</w:t>
            </w:r>
            <w:r w:rsidR="004672D1" w:rsidRPr="00C47906">
              <w:t>.</w:t>
            </w:r>
          </w:p>
        </w:tc>
        <w:tc>
          <w:tcPr>
            <w:tcW w:w="1417" w:type="dxa"/>
            <w:shd w:val="clear" w:color="auto" w:fill="auto"/>
            <w:vAlign w:val="center"/>
          </w:tcPr>
          <w:p w:rsidR="0074228E" w:rsidRPr="00C47906" w:rsidRDefault="0074228E" w:rsidP="0074228E">
            <w:pPr>
              <w:spacing w:after="0" w:line="240" w:lineRule="auto"/>
              <w:jc w:val="center"/>
              <w:rPr>
                <w:rFonts w:ascii="Arial" w:hAnsi="Arial" w:cs="Arial"/>
                <w:sz w:val="20"/>
                <w:szCs w:val="20"/>
              </w:rPr>
            </w:pPr>
            <w:r w:rsidRPr="00C47906">
              <w:rPr>
                <w:rFonts w:ascii="Arial" w:hAnsi="Arial" w:cs="Arial"/>
                <w:sz w:val="20"/>
                <w:szCs w:val="20"/>
              </w:rPr>
              <w:t>Anual</w:t>
            </w:r>
          </w:p>
        </w:tc>
        <w:tc>
          <w:tcPr>
            <w:tcW w:w="1551" w:type="dxa"/>
            <w:shd w:val="clear" w:color="auto" w:fill="auto"/>
            <w:vAlign w:val="center"/>
          </w:tcPr>
          <w:p w:rsidR="0074228E" w:rsidRPr="00C47906" w:rsidRDefault="000C6C61" w:rsidP="0074228E">
            <w:pPr>
              <w:spacing w:after="0" w:line="240" w:lineRule="auto"/>
              <w:jc w:val="center"/>
              <w:rPr>
                <w:rFonts w:ascii="Arial" w:hAnsi="Arial" w:cs="Arial"/>
                <w:b/>
                <w:bCs/>
                <w:sz w:val="20"/>
                <w:szCs w:val="20"/>
              </w:rPr>
            </w:pPr>
            <w:r w:rsidRPr="00C47906">
              <w:rPr>
                <w:rFonts w:ascii="Arial" w:hAnsi="Arial" w:cs="Arial"/>
                <w:b/>
                <w:bCs/>
                <w:sz w:val="20"/>
                <w:szCs w:val="20"/>
              </w:rPr>
              <w:t>3</w:t>
            </w:r>
            <w:r w:rsidR="002A238C" w:rsidRPr="00C47906">
              <w:rPr>
                <w:rFonts w:ascii="Arial" w:hAnsi="Arial" w:cs="Arial"/>
                <w:b/>
                <w:bCs/>
                <w:sz w:val="20"/>
                <w:szCs w:val="20"/>
              </w:rPr>
              <w:t xml:space="preserve"> días hábiles contados a partir de la fecha de cada aniversario de la primera </w:t>
            </w:r>
            <w:r w:rsidR="00330E8A" w:rsidRPr="00C47906">
              <w:rPr>
                <w:rFonts w:ascii="Arial" w:hAnsi="Arial" w:cs="Arial"/>
                <w:b/>
                <w:bCs/>
                <w:sz w:val="20"/>
                <w:szCs w:val="20"/>
              </w:rPr>
              <w:t>verificación</w:t>
            </w:r>
            <w:r w:rsidR="002A238C" w:rsidRPr="00C47906">
              <w:rPr>
                <w:rFonts w:ascii="Arial" w:hAnsi="Arial" w:cs="Arial"/>
                <w:b/>
                <w:bCs/>
                <w:sz w:val="20"/>
                <w:szCs w:val="20"/>
              </w:rPr>
              <w:t xml:space="preserve"> externa.</w:t>
            </w:r>
          </w:p>
        </w:tc>
        <w:tc>
          <w:tcPr>
            <w:tcW w:w="1445" w:type="dxa"/>
            <w:shd w:val="clear" w:color="auto" w:fill="auto"/>
            <w:vAlign w:val="center"/>
          </w:tcPr>
          <w:p w:rsidR="0074228E" w:rsidRPr="00C47906" w:rsidRDefault="00CA09D6" w:rsidP="0074228E">
            <w:pPr>
              <w:spacing w:after="0" w:line="240" w:lineRule="auto"/>
              <w:jc w:val="center"/>
              <w:rPr>
                <w:rFonts w:ascii="Arial" w:hAnsi="Arial" w:cs="Arial"/>
                <w:sz w:val="20"/>
                <w:szCs w:val="20"/>
              </w:rPr>
            </w:pPr>
            <w:r w:rsidRPr="00C47906">
              <w:rPr>
                <w:rFonts w:ascii="Arial" w:hAnsi="Arial" w:cs="Arial"/>
                <w:sz w:val="20"/>
                <w:szCs w:val="20"/>
              </w:rPr>
              <w:t>SGV-A-252 Lineamientos para emisiones verdes, sociales y sostenibles de oferta pública</w:t>
            </w:r>
            <w:r w:rsidR="004672D1" w:rsidRPr="00C47906">
              <w:rPr>
                <w:rFonts w:ascii="Arial" w:hAnsi="Arial" w:cs="Arial"/>
                <w:sz w:val="20"/>
                <w:szCs w:val="20"/>
              </w:rPr>
              <w:t>.</w:t>
            </w:r>
          </w:p>
        </w:tc>
        <w:tc>
          <w:tcPr>
            <w:tcW w:w="1555" w:type="dxa"/>
            <w:shd w:val="clear" w:color="auto" w:fill="auto"/>
            <w:vAlign w:val="center"/>
          </w:tcPr>
          <w:p w:rsidR="0074228E" w:rsidRPr="00C47906" w:rsidRDefault="00D158BA" w:rsidP="0074228E">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270AAC">
        <w:trPr>
          <w:trHeight w:val="799"/>
        </w:trPr>
        <w:tc>
          <w:tcPr>
            <w:tcW w:w="421" w:type="dxa"/>
            <w:shd w:val="clear" w:color="auto" w:fill="auto"/>
            <w:vAlign w:val="center"/>
          </w:tcPr>
          <w:p w:rsidR="0074228E" w:rsidRPr="00C47906" w:rsidRDefault="0074228E" w:rsidP="0074228E">
            <w:pPr>
              <w:spacing w:after="0" w:line="240" w:lineRule="auto"/>
              <w:jc w:val="center"/>
              <w:rPr>
                <w:rFonts w:ascii="Arial" w:hAnsi="Arial" w:cs="Arial"/>
                <w:sz w:val="20"/>
                <w:szCs w:val="20"/>
              </w:rPr>
            </w:pPr>
            <w:r w:rsidRPr="00C47906">
              <w:rPr>
                <w:rFonts w:ascii="Arial" w:hAnsi="Arial" w:cs="Arial"/>
                <w:sz w:val="20"/>
                <w:szCs w:val="20"/>
              </w:rPr>
              <w:t>25</w:t>
            </w:r>
          </w:p>
        </w:tc>
        <w:tc>
          <w:tcPr>
            <w:tcW w:w="2537" w:type="dxa"/>
            <w:shd w:val="clear" w:color="auto" w:fill="auto"/>
          </w:tcPr>
          <w:p w:rsidR="0074228E" w:rsidRPr="00C47906" w:rsidRDefault="0074228E" w:rsidP="0074228E">
            <w:pPr>
              <w:spacing w:after="0" w:line="240" w:lineRule="auto"/>
              <w:jc w:val="center"/>
              <w:rPr>
                <w:rFonts w:ascii="Arial" w:hAnsi="Arial" w:cs="Arial"/>
                <w:sz w:val="20"/>
                <w:szCs w:val="20"/>
              </w:rPr>
            </w:pPr>
            <w:r w:rsidRPr="00C47906">
              <w:t>"Informes del uso de los fondos para fondos de inversión que califiquen como verdes, sociales y sostenibles</w:t>
            </w:r>
            <w:r w:rsidR="004672D1" w:rsidRPr="00C47906">
              <w:t>.</w:t>
            </w:r>
          </w:p>
        </w:tc>
        <w:tc>
          <w:tcPr>
            <w:tcW w:w="1417" w:type="dxa"/>
            <w:shd w:val="clear" w:color="auto" w:fill="auto"/>
            <w:vAlign w:val="center"/>
          </w:tcPr>
          <w:p w:rsidR="0074228E" w:rsidRPr="00C47906" w:rsidRDefault="0074228E" w:rsidP="0074228E">
            <w:pPr>
              <w:spacing w:after="0" w:line="240" w:lineRule="auto"/>
              <w:jc w:val="center"/>
              <w:rPr>
                <w:rFonts w:ascii="Arial" w:hAnsi="Arial" w:cs="Arial"/>
                <w:sz w:val="20"/>
                <w:szCs w:val="20"/>
              </w:rPr>
            </w:pPr>
            <w:r w:rsidRPr="00C47906">
              <w:rPr>
                <w:rFonts w:ascii="Arial" w:hAnsi="Arial" w:cs="Arial"/>
                <w:sz w:val="20"/>
                <w:szCs w:val="20"/>
              </w:rPr>
              <w:t>Anual</w:t>
            </w:r>
          </w:p>
        </w:tc>
        <w:tc>
          <w:tcPr>
            <w:tcW w:w="1551" w:type="dxa"/>
            <w:shd w:val="clear" w:color="auto" w:fill="auto"/>
            <w:vAlign w:val="center"/>
          </w:tcPr>
          <w:p w:rsidR="0074228E" w:rsidRPr="00C47906" w:rsidRDefault="000C6C61" w:rsidP="0074228E">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contados a partir de la fecha de cada aniversario de la primera </w:t>
            </w:r>
            <w:r w:rsidR="00330E8A" w:rsidRPr="00C47906">
              <w:rPr>
                <w:rFonts w:ascii="Arial" w:hAnsi="Arial" w:cs="Arial"/>
                <w:b/>
                <w:bCs/>
                <w:sz w:val="20"/>
                <w:szCs w:val="20"/>
              </w:rPr>
              <w:t>verificación</w:t>
            </w:r>
            <w:r w:rsidRPr="00C47906">
              <w:rPr>
                <w:rFonts w:ascii="Arial" w:hAnsi="Arial" w:cs="Arial"/>
                <w:b/>
                <w:bCs/>
                <w:sz w:val="20"/>
                <w:szCs w:val="20"/>
              </w:rPr>
              <w:t xml:space="preserve"> externa.</w:t>
            </w:r>
            <w:r w:rsidR="00FB6937" w:rsidRPr="00C47906">
              <w:rPr>
                <w:rFonts w:ascii="Arial" w:hAnsi="Arial" w:cs="Arial"/>
                <w:b/>
                <w:bCs/>
                <w:sz w:val="20"/>
                <w:szCs w:val="20"/>
              </w:rPr>
              <w:t xml:space="preserve"> Si la </w:t>
            </w:r>
            <w:r w:rsidR="00330E8A" w:rsidRPr="00C47906">
              <w:rPr>
                <w:rFonts w:ascii="Arial" w:hAnsi="Arial" w:cs="Arial"/>
                <w:b/>
                <w:bCs/>
                <w:sz w:val="20"/>
                <w:szCs w:val="20"/>
              </w:rPr>
              <w:t>verificación</w:t>
            </w:r>
            <w:r w:rsidR="00FB6937" w:rsidRPr="00C47906">
              <w:rPr>
                <w:rFonts w:ascii="Arial" w:hAnsi="Arial" w:cs="Arial"/>
                <w:b/>
                <w:bCs/>
                <w:sz w:val="20"/>
                <w:szCs w:val="20"/>
              </w:rPr>
              <w:t xml:space="preserve"> externa cumple con el contenido mínimo solicitado en el Anexo 3 de los Lineamientos para la autorización y registro de emisiones verdes sociales y sostenibles de oferta pública, se podrá presentar únicamente la </w:t>
            </w:r>
            <w:r w:rsidR="0095537E" w:rsidRPr="00C47906">
              <w:rPr>
                <w:rFonts w:ascii="Arial" w:hAnsi="Arial" w:cs="Arial"/>
                <w:b/>
                <w:bCs/>
                <w:sz w:val="20"/>
                <w:szCs w:val="20"/>
              </w:rPr>
              <w:t>verificación</w:t>
            </w:r>
            <w:r w:rsidR="00FB6937" w:rsidRPr="00C47906">
              <w:rPr>
                <w:rFonts w:ascii="Arial" w:hAnsi="Arial" w:cs="Arial"/>
                <w:b/>
                <w:bCs/>
                <w:sz w:val="20"/>
                <w:szCs w:val="20"/>
              </w:rPr>
              <w:t xml:space="preserve"> externa en sustitución del informe del uso de fondos.</w:t>
            </w:r>
          </w:p>
        </w:tc>
        <w:tc>
          <w:tcPr>
            <w:tcW w:w="1445" w:type="dxa"/>
            <w:shd w:val="clear" w:color="auto" w:fill="auto"/>
            <w:vAlign w:val="center"/>
          </w:tcPr>
          <w:p w:rsidR="0074228E" w:rsidRPr="00C47906" w:rsidRDefault="00D56E99" w:rsidP="0074228E">
            <w:pPr>
              <w:spacing w:after="0" w:line="240" w:lineRule="auto"/>
              <w:jc w:val="center"/>
              <w:rPr>
                <w:rFonts w:ascii="Arial" w:hAnsi="Arial" w:cs="Arial"/>
                <w:sz w:val="20"/>
                <w:szCs w:val="20"/>
              </w:rPr>
            </w:pPr>
            <w:r w:rsidRPr="00C47906">
              <w:rPr>
                <w:rFonts w:ascii="Arial" w:hAnsi="Arial" w:cs="Arial"/>
                <w:sz w:val="20"/>
                <w:szCs w:val="20"/>
              </w:rPr>
              <w:t>SGV-A-252 Lineamientos para emisiones verdes, sociales y sostenibles de oferta pública</w:t>
            </w:r>
            <w:r w:rsidR="004672D1" w:rsidRPr="00C47906">
              <w:rPr>
                <w:rFonts w:ascii="Arial" w:hAnsi="Arial" w:cs="Arial"/>
                <w:sz w:val="20"/>
                <w:szCs w:val="20"/>
              </w:rPr>
              <w:t>.</w:t>
            </w:r>
          </w:p>
        </w:tc>
        <w:tc>
          <w:tcPr>
            <w:tcW w:w="1555" w:type="dxa"/>
            <w:shd w:val="clear" w:color="auto" w:fill="auto"/>
            <w:vAlign w:val="center"/>
          </w:tcPr>
          <w:p w:rsidR="0074228E" w:rsidRPr="00C47906" w:rsidRDefault="00D158BA" w:rsidP="0074228E">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C00BC">
        <w:trPr>
          <w:trHeight w:val="799"/>
        </w:trPr>
        <w:tc>
          <w:tcPr>
            <w:tcW w:w="8926" w:type="dxa"/>
            <w:gridSpan w:val="6"/>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SOCIEDADES TITULARIZADORAS Y FIDUCIARIAS</w:t>
            </w:r>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5</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 Estados financieros no auditados mensuales  </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Mensual</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después del cierre mensual   </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Anexo 52 </w:t>
            </w:r>
            <w:proofErr w:type="spellStart"/>
            <w:r w:rsidRPr="00C47906">
              <w:rPr>
                <w:rFonts w:ascii="Arial" w:hAnsi="Arial" w:cs="Arial"/>
                <w:sz w:val="20"/>
                <w:szCs w:val="20"/>
              </w:rPr>
              <w:t>Titularizadoras</w:t>
            </w:r>
            <w:proofErr w:type="spellEnd"/>
            <w:r w:rsidRPr="00C47906">
              <w:rPr>
                <w:rFonts w:ascii="Arial" w:hAnsi="Arial" w:cs="Arial"/>
                <w:sz w:val="20"/>
                <w:szCs w:val="20"/>
              </w:rPr>
              <w:t xml:space="preserve"> Y 53 Fiduciarias</w:t>
            </w:r>
          </w:p>
        </w:tc>
        <w:tc>
          <w:tcPr>
            <w:tcW w:w="155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6</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 Reporte de inversiones propias  </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Mensual</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después del cierre mensual   </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Anexo 18</w:t>
            </w:r>
          </w:p>
        </w:tc>
        <w:tc>
          <w:tcPr>
            <w:tcW w:w="155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7</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Reporte de Superávit o déficit patrimonial /2</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Mensual</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después del cierre mensual   </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Anexo 31</w:t>
            </w:r>
          </w:p>
        </w:tc>
        <w:tc>
          <w:tcPr>
            <w:tcW w:w="155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270AAC">
        <w:trPr>
          <w:trHeight w:val="799"/>
        </w:trPr>
        <w:tc>
          <w:tcPr>
            <w:tcW w:w="8926" w:type="dxa"/>
            <w:gridSpan w:val="6"/>
            <w:shd w:val="clear" w:color="auto" w:fill="auto"/>
            <w:vAlign w:val="center"/>
          </w:tcPr>
          <w:p w:rsidR="00FF68D7" w:rsidRPr="00C47906" w:rsidRDefault="00BC0FBE" w:rsidP="00C7221E">
            <w:pPr>
              <w:spacing w:after="0" w:line="240" w:lineRule="auto"/>
              <w:jc w:val="center"/>
              <w:rPr>
                <w:rFonts w:ascii="Arial" w:hAnsi="Arial" w:cs="Arial"/>
                <w:sz w:val="20"/>
                <w:szCs w:val="20"/>
              </w:rPr>
            </w:pPr>
            <w:r w:rsidRPr="00C47906">
              <w:rPr>
                <w:rFonts w:ascii="Arial" w:hAnsi="Arial" w:cs="Arial"/>
                <w:b/>
                <w:bCs/>
                <w:sz w:val="20"/>
                <w:szCs w:val="20"/>
              </w:rPr>
              <w:t>UNIVERSALIDADES QUE CALIFIQUEN COMO VERDES, SOCIALES O SOSTENIBLES</w:t>
            </w:r>
            <w:r w:rsidRPr="00C47906">
              <w:rPr>
                <w:rFonts w:ascii="Arial" w:hAnsi="Arial" w:cs="Arial"/>
                <w:sz w:val="20"/>
                <w:szCs w:val="20"/>
              </w:rPr>
              <w:t xml:space="preserve"> 1/</w:t>
            </w:r>
          </w:p>
        </w:tc>
      </w:tr>
      <w:tr w:rsidR="004B3259" w:rsidRPr="00C47906" w:rsidTr="00270AAC">
        <w:trPr>
          <w:trHeight w:val="799"/>
        </w:trPr>
        <w:tc>
          <w:tcPr>
            <w:tcW w:w="421" w:type="dxa"/>
            <w:shd w:val="clear" w:color="auto" w:fill="auto"/>
            <w:vAlign w:val="center"/>
          </w:tcPr>
          <w:p w:rsidR="00BC0FBE" w:rsidRPr="00C47906" w:rsidRDefault="00BC0FBE" w:rsidP="008F26C6">
            <w:pPr>
              <w:spacing w:after="0" w:line="240" w:lineRule="auto"/>
              <w:jc w:val="center"/>
              <w:rPr>
                <w:rFonts w:ascii="Arial" w:hAnsi="Arial" w:cs="Arial"/>
                <w:sz w:val="20"/>
                <w:szCs w:val="20"/>
              </w:rPr>
            </w:pPr>
            <w:r w:rsidRPr="00C47906">
              <w:rPr>
                <w:rFonts w:ascii="Arial" w:hAnsi="Arial" w:cs="Arial"/>
                <w:sz w:val="20"/>
                <w:szCs w:val="20"/>
              </w:rPr>
              <w:t>15</w:t>
            </w:r>
          </w:p>
        </w:tc>
        <w:tc>
          <w:tcPr>
            <w:tcW w:w="2537" w:type="dxa"/>
            <w:shd w:val="clear" w:color="auto" w:fill="auto"/>
          </w:tcPr>
          <w:p w:rsidR="00BC0FBE" w:rsidRPr="00C47906" w:rsidRDefault="00BC0FBE" w:rsidP="008F26C6">
            <w:pPr>
              <w:spacing w:after="0" w:line="240" w:lineRule="auto"/>
              <w:jc w:val="center"/>
              <w:rPr>
                <w:rFonts w:ascii="Arial" w:hAnsi="Arial" w:cs="Arial"/>
                <w:sz w:val="20"/>
                <w:szCs w:val="20"/>
              </w:rPr>
            </w:pPr>
            <w:r w:rsidRPr="00C47906">
              <w:t>Opinión de</w:t>
            </w:r>
            <w:r w:rsidR="00330E8A" w:rsidRPr="00C47906">
              <w:t>l</w:t>
            </w:r>
            <w:r w:rsidRPr="00C47906">
              <w:t xml:space="preserve"> </w:t>
            </w:r>
            <w:r w:rsidR="00330E8A" w:rsidRPr="00C47906">
              <w:t>verificador</w:t>
            </w:r>
            <w:r w:rsidRPr="00C47906">
              <w:t xml:space="preserve"> externo sobre el cumplimiento de estándares nacionales o internacionales para fondos de inversión que califiquen como verdes, sociales o sostenibles</w:t>
            </w:r>
          </w:p>
        </w:tc>
        <w:tc>
          <w:tcPr>
            <w:tcW w:w="1417" w:type="dxa"/>
            <w:shd w:val="clear" w:color="auto" w:fill="auto"/>
            <w:vAlign w:val="center"/>
          </w:tcPr>
          <w:p w:rsidR="00BC0FBE" w:rsidRPr="00C47906" w:rsidRDefault="00BC0FBE" w:rsidP="008F26C6">
            <w:pPr>
              <w:spacing w:after="0" w:line="240" w:lineRule="auto"/>
              <w:jc w:val="center"/>
              <w:rPr>
                <w:rFonts w:ascii="Arial" w:hAnsi="Arial" w:cs="Arial"/>
                <w:sz w:val="20"/>
                <w:szCs w:val="20"/>
              </w:rPr>
            </w:pPr>
            <w:r w:rsidRPr="00C47906">
              <w:rPr>
                <w:rFonts w:ascii="Arial" w:hAnsi="Arial" w:cs="Arial"/>
                <w:sz w:val="20"/>
                <w:szCs w:val="20"/>
              </w:rPr>
              <w:t>Anual</w:t>
            </w:r>
          </w:p>
        </w:tc>
        <w:tc>
          <w:tcPr>
            <w:tcW w:w="1551" w:type="dxa"/>
            <w:shd w:val="clear" w:color="auto" w:fill="auto"/>
            <w:vAlign w:val="center"/>
          </w:tcPr>
          <w:p w:rsidR="00BC0FBE" w:rsidRPr="00C47906" w:rsidRDefault="00BC0FBE" w:rsidP="008F26C6">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contados a partir de la fecha de cada aniversario de la primera </w:t>
            </w:r>
            <w:r w:rsidR="00330E8A" w:rsidRPr="00C47906">
              <w:rPr>
                <w:rFonts w:ascii="Arial" w:hAnsi="Arial" w:cs="Arial"/>
                <w:b/>
                <w:bCs/>
                <w:sz w:val="20"/>
                <w:szCs w:val="20"/>
              </w:rPr>
              <w:t>verificación</w:t>
            </w:r>
            <w:r w:rsidRPr="00C47906">
              <w:rPr>
                <w:rFonts w:ascii="Arial" w:hAnsi="Arial" w:cs="Arial"/>
                <w:b/>
                <w:bCs/>
                <w:sz w:val="20"/>
                <w:szCs w:val="20"/>
              </w:rPr>
              <w:t xml:space="preserve"> externa.</w:t>
            </w:r>
          </w:p>
        </w:tc>
        <w:tc>
          <w:tcPr>
            <w:tcW w:w="1445" w:type="dxa"/>
            <w:shd w:val="clear" w:color="auto" w:fill="auto"/>
            <w:vAlign w:val="center"/>
          </w:tcPr>
          <w:p w:rsidR="00BC0FBE" w:rsidRPr="00C47906" w:rsidRDefault="00BC0FBE" w:rsidP="008F26C6">
            <w:pPr>
              <w:spacing w:after="0" w:line="240" w:lineRule="auto"/>
              <w:jc w:val="center"/>
              <w:rPr>
                <w:rFonts w:ascii="Arial" w:hAnsi="Arial" w:cs="Arial"/>
                <w:sz w:val="20"/>
                <w:szCs w:val="20"/>
              </w:rPr>
            </w:pPr>
            <w:r w:rsidRPr="00C47906">
              <w:rPr>
                <w:rFonts w:ascii="Arial" w:hAnsi="Arial" w:cs="Arial"/>
                <w:sz w:val="20"/>
                <w:szCs w:val="20"/>
              </w:rPr>
              <w:t>SGV-A-252 Lineamientos para emisiones verdes, sociales y sostenibles de oferta pública</w:t>
            </w:r>
            <w:r w:rsidR="00D77739" w:rsidRPr="00C47906">
              <w:rPr>
                <w:rFonts w:ascii="Arial" w:hAnsi="Arial" w:cs="Arial"/>
                <w:sz w:val="20"/>
                <w:szCs w:val="20"/>
              </w:rPr>
              <w:t>.</w:t>
            </w:r>
          </w:p>
        </w:tc>
        <w:tc>
          <w:tcPr>
            <w:tcW w:w="1555" w:type="dxa"/>
            <w:shd w:val="clear" w:color="auto" w:fill="auto"/>
            <w:vAlign w:val="center"/>
          </w:tcPr>
          <w:p w:rsidR="00BC0FBE" w:rsidRPr="00C47906" w:rsidRDefault="00BC0FBE" w:rsidP="008F26C6">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270AAC">
        <w:trPr>
          <w:trHeight w:val="799"/>
        </w:trPr>
        <w:tc>
          <w:tcPr>
            <w:tcW w:w="421" w:type="dxa"/>
            <w:shd w:val="clear" w:color="auto" w:fill="auto"/>
            <w:vAlign w:val="center"/>
          </w:tcPr>
          <w:p w:rsidR="00BC0FBE" w:rsidRPr="00C47906" w:rsidRDefault="00BC0FBE" w:rsidP="008F26C6">
            <w:pPr>
              <w:spacing w:after="0" w:line="240" w:lineRule="auto"/>
              <w:jc w:val="center"/>
              <w:rPr>
                <w:rFonts w:ascii="Arial" w:hAnsi="Arial" w:cs="Arial"/>
                <w:sz w:val="20"/>
                <w:szCs w:val="20"/>
              </w:rPr>
            </w:pPr>
            <w:r w:rsidRPr="00C47906">
              <w:rPr>
                <w:rFonts w:ascii="Arial" w:hAnsi="Arial" w:cs="Arial"/>
                <w:sz w:val="20"/>
                <w:szCs w:val="20"/>
              </w:rPr>
              <w:t>16</w:t>
            </w:r>
          </w:p>
        </w:tc>
        <w:tc>
          <w:tcPr>
            <w:tcW w:w="2537" w:type="dxa"/>
            <w:shd w:val="clear" w:color="auto" w:fill="auto"/>
          </w:tcPr>
          <w:p w:rsidR="00BC0FBE" w:rsidRPr="00C47906" w:rsidRDefault="00BC0FBE" w:rsidP="008F26C6">
            <w:pPr>
              <w:spacing w:after="0" w:line="240" w:lineRule="auto"/>
              <w:jc w:val="center"/>
              <w:rPr>
                <w:rFonts w:ascii="Arial" w:hAnsi="Arial" w:cs="Arial"/>
                <w:sz w:val="20"/>
                <w:szCs w:val="20"/>
              </w:rPr>
            </w:pPr>
            <w:r w:rsidRPr="00C47906">
              <w:t>"Informes del uso de los fondos para fondos de inversión que califiquen como verdes, sociales y sostenibles</w:t>
            </w:r>
          </w:p>
        </w:tc>
        <w:tc>
          <w:tcPr>
            <w:tcW w:w="1417" w:type="dxa"/>
            <w:shd w:val="clear" w:color="auto" w:fill="auto"/>
            <w:vAlign w:val="center"/>
          </w:tcPr>
          <w:p w:rsidR="00BC0FBE" w:rsidRPr="00C47906" w:rsidRDefault="00BC0FBE" w:rsidP="008F26C6">
            <w:pPr>
              <w:spacing w:after="0" w:line="240" w:lineRule="auto"/>
              <w:jc w:val="center"/>
              <w:rPr>
                <w:rFonts w:ascii="Arial" w:hAnsi="Arial" w:cs="Arial"/>
                <w:sz w:val="20"/>
                <w:szCs w:val="20"/>
              </w:rPr>
            </w:pPr>
            <w:r w:rsidRPr="00C47906">
              <w:rPr>
                <w:rFonts w:ascii="Arial" w:hAnsi="Arial" w:cs="Arial"/>
                <w:sz w:val="20"/>
                <w:szCs w:val="20"/>
              </w:rPr>
              <w:t>Anual</w:t>
            </w:r>
          </w:p>
        </w:tc>
        <w:tc>
          <w:tcPr>
            <w:tcW w:w="1551" w:type="dxa"/>
            <w:shd w:val="clear" w:color="auto" w:fill="auto"/>
            <w:vAlign w:val="center"/>
          </w:tcPr>
          <w:p w:rsidR="00BC0FBE" w:rsidRPr="00C47906" w:rsidRDefault="00BC0FBE" w:rsidP="008F26C6">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contados a partir de la fecha de cada aniversario de la primera </w:t>
            </w:r>
            <w:r w:rsidR="00330E8A" w:rsidRPr="00C47906">
              <w:rPr>
                <w:rFonts w:ascii="Arial" w:hAnsi="Arial" w:cs="Arial"/>
                <w:b/>
                <w:bCs/>
                <w:sz w:val="20"/>
                <w:szCs w:val="20"/>
              </w:rPr>
              <w:t>verificación</w:t>
            </w:r>
            <w:r w:rsidRPr="00C47906">
              <w:rPr>
                <w:rFonts w:ascii="Arial" w:hAnsi="Arial" w:cs="Arial"/>
                <w:b/>
                <w:bCs/>
                <w:sz w:val="20"/>
                <w:szCs w:val="20"/>
              </w:rPr>
              <w:t xml:space="preserve"> externa. Si la </w:t>
            </w:r>
            <w:r w:rsidR="00330E8A" w:rsidRPr="00C47906">
              <w:rPr>
                <w:rFonts w:ascii="Arial" w:hAnsi="Arial" w:cs="Arial"/>
                <w:b/>
                <w:bCs/>
                <w:sz w:val="20"/>
                <w:szCs w:val="20"/>
              </w:rPr>
              <w:t>verificación</w:t>
            </w:r>
            <w:r w:rsidRPr="00C47906">
              <w:rPr>
                <w:rFonts w:ascii="Arial" w:hAnsi="Arial" w:cs="Arial"/>
                <w:b/>
                <w:bCs/>
                <w:sz w:val="20"/>
                <w:szCs w:val="20"/>
              </w:rPr>
              <w:t xml:space="preserve"> externa cumple con el contenido mínimo solicitado en el Anexo 3 de los Lineamientos para la autorización y registro de emisiones verdes sociales y sostenibles de oferta pública, se podrá presentar únicamente la </w:t>
            </w:r>
            <w:r w:rsidR="0095537E" w:rsidRPr="00C47906">
              <w:rPr>
                <w:rFonts w:ascii="Arial" w:hAnsi="Arial" w:cs="Arial"/>
                <w:b/>
                <w:bCs/>
                <w:sz w:val="20"/>
                <w:szCs w:val="20"/>
              </w:rPr>
              <w:t>verificación</w:t>
            </w:r>
            <w:r w:rsidRPr="00C47906">
              <w:rPr>
                <w:rFonts w:ascii="Arial" w:hAnsi="Arial" w:cs="Arial"/>
                <w:b/>
                <w:bCs/>
                <w:sz w:val="20"/>
                <w:szCs w:val="20"/>
              </w:rPr>
              <w:t xml:space="preserve"> externa en sustitución del informe del uso de fondos.</w:t>
            </w:r>
          </w:p>
        </w:tc>
        <w:tc>
          <w:tcPr>
            <w:tcW w:w="1445" w:type="dxa"/>
            <w:shd w:val="clear" w:color="auto" w:fill="auto"/>
            <w:vAlign w:val="center"/>
          </w:tcPr>
          <w:p w:rsidR="00BC0FBE" w:rsidRPr="00C47906" w:rsidRDefault="00D77739" w:rsidP="008F26C6">
            <w:pPr>
              <w:spacing w:after="0" w:line="240" w:lineRule="auto"/>
              <w:jc w:val="center"/>
              <w:rPr>
                <w:rFonts w:ascii="Arial" w:hAnsi="Arial" w:cs="Arial"/>
                <w:sz w:val="20"/>
                <w:szCs w:val="20"/>
              </w:rPr>
            </w:pPr>
            <w:r w:rsidRPr="00C47906">
              <w:rPr>
                <w:rFonts w:ascii="Arial" w:hAnsi="Arial" w:cs="Arial"/>
                <w:sz w:val="20"/>
                <w:szCs w:val="20"/>
              </w:rPr>
              <w:t>SGV-A-252 Lineamientos para emisiones verdes, sociales y sostenibles de oferta pública.</w:t>
            </w:r>
          </w:p>
        </w:tc>
        <w:tc>
          <w:tcPr>
            <w:tcW w:w="1555" w:type="dxa"/>
            <w:shd w:val="clear" w:color="auto" w:fill="auto"/>
            <w:vAlign w:val="center"/>
          </w:tcPr>
          <w:p w:rsidR="00BC0FBE" w:rsidRPr="00C47906" w:rsidRDefault="00BC0FBE" w:rsidP="008F26C6">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C00BC">
        <w:trPr>
          <w:trHeight w:val="799"/>
        </w:trPr>
        <w:tc>
          <w:tcPr>
            <w:tcW w:w="8926" w:type="dxa"/>
            <w:gridSpan w:val="6"/>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ENTIDADES DE REGISTRO CENTRALIZADO</w:t>
            </w:r>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4</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  Estados financieros no auditados </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 Mensual </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después del cierre mensual   </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Anexos 63</w:t>
            </w:r>
          </w:p>
        </w:tc>
        <w:tc>
          <w:tcPr>
            <w:tcW w:w="155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r w:rsidR="004B3259" w:rsidRPr="00C47906" w:rsidTr="004C00BC">
        <w:trPr>
          <w:trHeight w:val="799"/>
        </w:trPr>
        <w:tc>
          <w:tcPr>
            <w:tcW w:w="421"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5</w:t>
            </w:r>
          </w:p>
        </w:tc>
        <w:tc>
          <w:tcPr>
            <w:tcW w:w="253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Reporte de Superávit o déficit patrimonial /2</w:t>
            </w:r>
          </w:p>
        </w:tc>
        <w:tc>
          <w:tcPr>
            <w:tcW w:w="1417"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Mensual</w:t>
            </w:r>
          </w:p>
        </w:tc>
        <w:tc>
          <w:tcPr>
            <w:tcW w:w="1551" w:type="dxa"/>
            <w:shd w:val="clear" w:color="auto" w:fill="auto"/>
            <w:vAlign w:val="center"/>
          </w:tcPr>
          <w:p w:rsidR="00866ACC" w:rsidRPr="00C47906" w:rsidRDefault="00866ACC" w:rsidP="004C00BC">
            <w:pPr>
              <w:spacing w:after="0" w:line="240" w:lineRule="auto"/>
              <w:jc w:val="center"/>
              <w:rPr>
                <w:rFonts w:ascii="Arial" w:hAnsi="Arial" w:cs="Arial"/>
                <w:b/>
                <w:bCs/>
                <w:sz w:val="20"/>
                <w:szCs w:val="20"/>
              </w:rPr>
            </w:pPr>
            <w:r w:rsidRPr="00C47906">
              <w:rPr>
                <w:rFonts w:ascii="Arial" w:hAnsi="Arial" w:cs="Arial"/>
                <w:b/>
                <w:bCs/>
                <w:sz w:val="20"/>
                <w:szCs w:val="20"/>
              </w:rPr>
              <w:t xml:space="preserve">3 días hábiles después del cierre mensual  </w:t>
            </w:r>
          </w:p>
        </w:tc>
        <w:tc>
          <w:tcPr>
            <w:tcW w:w="144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Anexo 31</w:t>
            </w:r>
          </w:p>
        </w:tc>
        <w:tc>
          <w:tcPr>
            <w:tcW w:w="1555" w:type="dxa"/>
            <w:shd w:val="clear" w:color="auto" w:fill="auto"/>
            <w:vAlign w:val="center"/>
          </w:tcPr>
          <w:p w:rsidR="00866ACC" w:rsidRPr="00C47906" w:rsidRDefault="00866ACC" w:rsidP="004C00BC">
            <w:pPr>
              <w:spacing w:after="0" w:line="240" w:lineRule="auto"/>
              <w:jc w:val="center"/>
              <w:rPr>
                <w:rFonts w:ascii="Arial" w:hAnsi="Arial" w:cs="Arial"/>
                <w:sz w:val="20"/>
                <w:szCs w:val="20"/>
              </w:rPr>
            </w:pPr>
            <w:r w:rsidRPr="00C47906">
              <w:rPr>
                <w:rFonts w:ascii="Arial" w:hAnsi="Arial" w:cs="Arial"/>
                <w:sz w:val="20"/>
                <w:szCs w:val="20"/>
              </w:rPr>
              <w:t xml:space="preserve">Sistema </w:t>
            </w:r>
            <w:proofErr w:type="spellStart"/>
            <w:r w:rsidRPr="00C47906">
              <w:rPr>
                <w:rFonts w:ascii="Arial" w:hAnsi="Arial" w:cs="Arial"/>
                <w:sz w:val="20"/>
                <w:szCs w:val="20"/>
              </w:rPr>
              <w:t>Ingresador</w:t>
            </w:r>
            <w:proofErr w:type="spellEnd"/>
          </w:p>
        </w:tc>
      </w:tr>
    </w:tbl>
    <w:p w:rsidR="00A67915" w:rsidRPr="00C47906" w:rsidRDefault="00A67915" w:rsidP="00866ACC"/>
    <w:p w:rsidR="00A577E3" w:rsidRPr="00C47906" w:rsidRDefault="004B6247" w:rsidP="00866ACC">
      <w:pPr>
        <w:rPr>
          <w:b/>
          <w:bCs/>
          <w:lang w:val="es-ES"/>
        </w:rPr>
      </w:pPr>
      <w:r w:rsidRPr="00C47906">
        <w:rPr>
          <w:b/>
          <w:bCs/>
          <w:lang w:val="es-ES"/>
        </w:rPr>
        <w:t>H</w:t>
      </w:r>
      <w:r w:rsidR="0001429A" w:rsidRPr="00C47906">
        <w:rPr>
          <w:b/>
          <w:bCs/>
          <w:lang w:val="es-ES"/>
        </w:rPr>
        <w:t xml:space="preserve">.- </w:t>
      </w:r>
      <w:r w:rsidR="002B1767" w:rsidRPr="00C47906">
        <w:rPr>
          <w:b/>
          <w:bCs/>
          <w:lang w:val="es-ES"/>
        </w:rPr>
        <w:t>Se e</w:t>
      </w:r>
      <w:r w:rsidR="0001429A" w:rsidRPr="00C47906">
        <w:rPr>
          <w:b/>
          <w:bCs/>
          <w:lang w:val="es-ES"/>
        </w:rPr>
        <w:t>stablece la aplicación gradual de estas reformas según</w:t>
      </w:r>
      <w:r w:rsidR="002B1767" w:rsidRPr="00C47906">
        <w:rPr>
          <w:b/>
          <w:bCs/>
          <w:lang w:val="es-ES"/>
        </w:rPr>
        <w:t xml:space="preserve"> se</w:t>
      </w:r>
      <w:r w:rsidR="0001429A" w:rsidRPr="00C47906">
        <w:rPr>
          <w:b/>
          <w:bCs/>
          <w:lang w:val="es-ES"/>
        </w:rPr>
        <w:t xml:space="preserve"> </w:t>
      </w:r>
      <w:r w:rsidR="00E34A2C" w:rsidRPr="00C47906">
        <w:rPr>
          <w:b/>
          <w:bCs/>
          <w:lang w:val="es-ES"/>
        </w:rPr>
        <w:t>indica a continuación.</w:t>
      </w:r>
    </w:p>
    <w:p w:rsidR="00866ACC" w:rsidRPr="00C47906" w:rsidRDefault="00866ACC" w:rsidP="004A4FCF">
      <w:pPr>
        <w:pStyle w:val="Prrafodelista"/>
        <w:numPr>
          <w:ilvl w:val="0"/>
          <w:numId w:val="14"/>
        </w:numPr>
      </w:pPr>
      <w:r w:rsidRPr="00C47906">
        <w:t>A, B y G</w:t>
      </w:r>
      <w:r w:rsidR="00AD6A78" w:rsidRPr="00C47906">
        <w:t xml:space="preserve"> </w:t>
      </w:r>
      <w:r w:rsidR="00576389" w:rsidRPr="00C47906">
        <w:t>-</w:t>
      </w:r>
      <w:r w:rsidR="00AD6A78" w:rsidRPr="00C47906">
        <w:t>excepto</w:t>
      </w:r>
      <w:r w:rsidR="00A55D0A" w:rsidRPr="00C47906">
        <w:t xml:space="preserve"> los </w:t>
      </w:r>
      <w:r w:rsidR="00AA748B" w:rsidRPr="00C47906">
        <w:t>plazos para la</w:t>
      </w:r>
      <w:r w:rsidR="00A55D0A" w:rsidRPr="00C47906">
        <w:t xml:space="preserve"> remisión de la</w:t>
      </w:r>
      <w:r w:rsidR="00AA748B" w:rsidRPr="00C47906">
        <w:t>s</w:t>
      </w:r>
      <w:r w:rsidR="00A55D0A" w:rsidRPr="00C47906">
        <w:t xml:space="preserve"> opini</w:t>
      </w:r>
      <w:r w:rsidR="00AA748B" w:rsidRPr="00C47906">
        <w:t>ones</w:t>
      </w:r>
      <w:r w:rsidR="00A55D0A" w:rsidRPr="00C47906">
        <w:t xml:space="preserve"> de verificadores externos y de los informes del uso de los fondos</w:t>
      </w:r>
      <w:r w:rsidR="00372FAE" w:rsidRPr="00C47906">
        <w:t>,</w:t>
      </w:r>
      <w:r w:rsidR="00A55D0A" w:rsidRPr="00C47906">
        <w:t xml:space="preserve"> para</w:t>
      </w:r>
      <w:r w:rsidR="00372FAE" w:rsidRPr="00C47906">
        <w:t xml:space="preserve"> emisiones,</w:t>
      </w:r>
      <w:r w:rsidR="00A55D0A" w:rsidRPr="00C47906">
        <w:t xml:space="preserve"> fondos de inversión </w:t>
      </w:r>
      <w:r w:rsidR="002A3D0A" w:rsidRPr="00C47906">
        <w:t xml:space="preserve">y universidades, </w:t>
      </w:r>
      <w:r w:rsidR="00A55D0A" w:rsidRPr="00C47906">
        <w:t xml:space="preserve">que califiquen como </w:t>
      </w:r>
      <w:proofErr w:type="gramStart"/>
      <w:r w:rsidR="00A55D0A" w:rsidRPr="00C47906">
        <w:t>verdes</w:t>
      </w:r>
      <w:r w:rsidR="00F63F8A" w:rsidRPr="00C47906">
        <w:t xml:space="preserve">, </w:t>
      </w:r>
      <w:r w:rsidR="00A55D0A" w:rsidRPr="00C47906">
        <w:t xml:space="preserve"> sociales</w:t>
      </w:r>
      <w:proofErr w:type="gramEnd"/>
      <w:r w:rsidR="00A55D0A" w:rsidRPr="00C47906">
        <w:t xml:space="preserve"> y sostenibles</w:t>
      </w:r>
      <w:r w:rsidRPr="00C47906">
        <w:t xml:space="preserve">: </w:t>
      </w:r>
      <w:r w:rsidR="00AA748B" w:rsidRPr="00C47906">
        <w:t xml:space="preserve"> </w:t>
      </w:r>
      <w:r w:rsidRPr="00C47906">
        <w:rPr>
          <w:b/>
          <w:bCs/>
        </w:rPr>
        <w:t>rige a partir de la información con corte al 31</w:t>
      </w:r>
      <w:r w:rsidR="00A55D0A" w:rsidRPr="00C47906">
        <w:rPr>
          <w:b/>
          <w:bCs/>
        </w:rPr>
        <w:t xml:space="preserve"> de </w:t>
      </w:r>
      <w:r w:rsidRPr="00C47906">
        <w:rPr>
          <w:b/>
          <w:bCs/>
        </w:rPr>
        <w:t>enero</w:t>
      </w:r>
      <w:r w:rsidR="00AA748B" w:rsidRPr="00C47906">
        <w:rPr>
          <w:b/>
          <w:bCs/>
        </w:rPr>
        <w:t xml:space="preserve"> de </w:t>
      </w:r>
      <w:r w:rsidRPr="00C47906">
        <w:rPr>
          <w:b/>
          <w:bCs/>
        </w:rPr>
        <w:t>2026</w:t>
      </w:r>
    </w:p>
    <w:p w:rsidR="00866ACC" w:rsidRPr="00C47906" w:rsidRDefault="00866ACC" w:rsidP="004A4FCF">
      <w:pPr>
        <w:pStyle w:val="Prrafodelista"/>
        <w:numPr>
          <w:ilvl w:val="0"/>
          <w:numId w:val="14"/>
        </w:numPr>
      </w:pPr>
      <w:r w:rsidRPr="00C47906">
        <w:t xml:space="preserve">C: </w:t>
      </w:r>
      <w:r w:rsidRPr="00C47906">
        <w:rPr>
          <w:b/>
          <w:bCs/>
        </w:rPr>
        <w:t>rige a partir de la información con corte al 31</w:t>
      </w:r>
      <w:r w:rsidR="00AA748B" w:rsidRPr="00C47906">
        <w:rPr>
          <w:b/>
          <w:bCs/>
        </w:rPr>
        <w:t xml:space="preserve"> de marzo </w:t>
      </w:r>
      <w:r w:rsidRPr="00C47906">
        <w:rPr>
          <w:b/>
          <w:bCs/>
        </w:rPr>
        <w:t>2026</w:t>
      </w:r>
    </w:p>
    <w:p w:rsidR="00866ACC" w:rsidRPr="00C47906" w:rsidRDefault="00866ACC" w:rsidP="004A4FCF">
      <w:pPr>
        <w:pStyle w:val="Prrafodelista"/>
        <w:numPr>
          <w:ilvl w:val="0"/>
          <w:numId w:val="14"/>
        </w:numPr>
        <w:rPr>
          <w:b/>
          <w:bCs/>
        </w:rPr>
      </w:pPr>
      <w:r w:rsidRPr="00C47906">
        <w:t xml:space="preserve">D, E y F: </w:t>
      </w:r>
      <w:r w:rsidRPr="00C47906">
        <w:rPr>
          <w:b/>
          <w:bCs/>
        </w:rPr>
        <w:t>rige a partir de la información con corte al 30</w:t>
      </w:r>
      <w:r w:rsidR="00AA748B" w:rsidRPr="00C47906">
        <w:rPr>
          <w:b/>
          <w:bCs/>
        </w:rPr>
        <w:t xml:space="preserve"> de </w:t>
      </w:r>
      <w:r w:rsidRPr="00C47906">
        <w:rPr>
          <w:b/>
          <w:bCs/>
        </w:rPr>
        <w:t>junio</w:t>
      </w:r>
      <w:r w:rsidR="00AA748B" w:rsidRPr="00C47906">
        <w:rPr>
          <w:b/>
          <w:bCs/>
        </w:rPr>
        <w:t xml:space="preserve"> de</w:t>
      </w:r>
      <w:r w:rsidRPr="00C47906">
        <w:rPr>
          <w:b/>
          <w:bCs/>
        </w:rPr>
        <w:t>2026</w:t>
      </w:r>
    </w:p>
    <w:p w:rsidR="00AD6A78" w:rsidRPr="00C47906" w:rsidRDefault="00576389" w:rsidP="004E271F">
      <w:pPr>
        <w:pStyle w:val="Prrafodelista"/>
        <w:numPr>
          <w:ilvl w:val="0"/>
          <w:numId w:val="14"/>
        </w:numPr>
        <w:jc w:val="both"/>
      </w:pPr>
      <w:r w:rsidRPr="00C47906">
        <w:t xml:space="preserve">Los plazos para la remisión de las opiniones de verificadores externos </w:t>
      </w:r>
      <w:r w:rsidR="002A3D0A" w:rsidRPr="00C47906">
        <w:t>y de los informes del uso de los fondos, para emisiones, fondos de inversión y universidades, que califiquen como verdes</w:t>
      </w:r>
      <w:r w:rsidR="00F63F8A" w:rsidRPr="00C47906">
        <w:t xml:space="preserve">, </w:t>
      </w:r>
      <w:r w:rsidR="002A3D0A" w:rsidRPr="00C47906">
        <w:t>sociales y sostenibles</w:t>
      </w:r>
      <w:r w:rsidR="00AD6A78" w:rsidRPr="00C47906">
        <w:t xml:space="preserve">: </w:t>
      </w:r>
      <w:r w:rsidR="00AD6A78" w:rsidRPr="00C47906">
        <w:rPr>
          <w:b/>
          <w:bCs/>
        </w:rPr>
        <w:t xml:space="preserve">rige a partir de </w:t>
      </w:r>
      <w:r w:rsidR="00C47906">
        <w:rPr>
          <w:b/>
          <w:bCs/>
        </w:rPr>
        <w:t>la</w:t>
      </w:r>
      <w:r w:rsidR="00AD6A78" w:rsidRPr="00C47906">
        <w:rPr>
          <w:b/>
          <w:bCs/>
        </w:rPr>
        <w:t xml:space="preserve"> publicación en el diario Oficial La Gaceta.</w:t>
      </w:r>
    </w:p>
    <w:p w:rsidR="00BA3BC7" w:rsidRPr="00C47906" w:rsidRDefault="00BA3BC7" w:rsidP="00866ACC">
      <w:pPr>
        <w:rPr>
          <w:b/>
          <w:bCs/>
        </w:rPr>
      </w:pPr>
    </w:p>
    <w:p w:rsidR="00BA3BC7" w:rsidRPr="00C47906" w:rsidRDefault="00BA3BC7" w:rsidP="00866ACC">
      <w:pPr>
        <w:rPr>
          <w:b/>
          <w:bCs/>
        </w:rPr>
      </w:pPr>
      <w:r w:rsidRPr="00C47906">
        <w:rPr>
          <w:b/>
          <w:bCs/>
        </w:rPr>
        <w:t>Rige a partir de su</w:t>
      </w:r>
      <w:r w:rsidR="002B1767" w:rsidRPr="00C47906">
        <w:rPr>
          <w:b/>
          <w:bCs/>
        </w:rPr>
        <w:t xml:space="preserve"> publicación en el diario Oficial La Gaceta.</w:t>
      </w:r>
    </w:p>
    <w:p w:rsidR="00C54CD8" w:rsidRPr="00C47906" w:rsidRDefault="00C54CD8">
      <w:pPr>
        <w:rPr>
          <w:lang w:val="es-ES"/>
        </w:rPr>
      </w:pPr>
    </w:p>
    <w:p w:rsidR="00C54CD8" w:rsidRPr="00C47906" w:rsidRDefault="00C54CD8">
      <w:pPr>
        <w:rPr>
          <w:lang w:val="es-ES"/>
        </w:rPr>
      </w:pPr>
    </w:p>
    <w:sectPr w:rsidR="00C54CD8" w:rsidRPr="00C47906">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6469" w:rsidRDefault="00B26469" w:rsidP="00BE40DC">
      <w:pPr>
        <w:spacing w:after="0" w:line="240" w:lineRule="auto"/>
      </w:pPr>
      <w:r>
        <w:separator/>
      </w:r>
    </w:p>
  </w:endnote>
  <w:endnote w:type="continuationSeparator" w:id="0">
    <w:p w:rsidR="00B26469" w:rsidRDefault="00B26469" w:rsidP="00BE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40DC" w:rsidRDefault="00BE40DC">
    <w:pPr>
      <w:pStyle w:val="Piedepgina"/>
    </w:pPr>
    <w:r>
      <w:rPr>
        <w:noProof/>
      </w:rPr>
      <mc:AlternateContent>
        <mc:Choice Requires="wps">
          <w:drawing>
            <wp:anchor distT="0" distB="0" distL="0" distR="0" simplePos="0" relativeHeight="251657216" behindDoc="0" locked="0" layoutInCell="1" allowOverlap="1" wp14:anchorId="68ADF4DA" wp14:editId="0EE80EDA">
              <wp:simplePos x="635" y="635"/>
              <wp:positionH relativeFrom="page">
                <wp:align>center</wp:align>
              </wp:positionH>
              <wp:positionV relativeFrom="page">
                <wp:align>bottom</wp:align>
              </wp:positionV>
              <wp:extent cx="607060" cy="357505"/>
              <wp:effectExtent l="0" t="0" r="2540" b="0"/>
              <wp:wrapNone/>
              <wp:docPr id="906869035"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7060" cy="357505"/>
                      </a:xfrm>
                      <a:prstGeom prst="rect">
                        <a:avLst/>
                      </a:prstGeom>
                      <a:noFill/>
                      <a:ln>
                        <a:noFill/>
                      </a:ln>
                    </wps:spPr>
                    <wps:txbx>
                      <w:txbxContent>
                        <w:p w:rsidR="00BE40DC" w:rsidRPr="00BE40DC" w:rsidRDefault="00BE40DC" w:rsidP="00BE40DC">
                          <w:pPr>
                            <w:spacing w:after="0"/>
                            <w:rPr>
                              <w:rFonts w:ascii="Calibri" w:eastAsia="Calibri" w:hAnsi="Calibri" w:cs="Calibri"/>
                              <w:noProof/>
                              <w:color w:val="000000"/>
                              <w:sz w:val="20"/>
                              <w:szCs w:val="20"/>
                            </w:rPr>
                          </w:pPr>
                          <w:r w:rsidRPr="00BE40D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ADF4DA" id="_x0000_t202" coordsize="21600,21600" o:spt="202" path="m,l,21600r21600,l21600,xe">
              <v:stroke joinstyle="miter"/>
              <v:path gradientshapeok="t" o:connecttype="rect"/>
            </v:shapetype>
            <v:shape id="Cuadro de texto 2" o:spid="_x0000_s1026" type="#_x0000_t202" alt="Uso Interno" style="position:absolute;margin-left:0;margin-top:0;width:47.8pt;height:28.1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" filled="f" stroked="f">
              <v:textbox style="mso-fit-shape-to-text:t" inset="0,0,0,15pt">
                <w:txbxContent>
                  <w:p w:rsidR="00BE40DC" w:rsidRPr="00BE40DC" w:rsidRDefault="00BE40DC" w:rsidP="00BE40DC">
                    <w:pPr>
                      <w:spacing w:after="0"/>
                      <w:rPr>
                        <w:rFonts w:ascii="Calibri" w:eastAsia="Calibri" w:hAnsi="Calibri" w:cs="Calibri"/>
                        <w:noProof/>
                        <w:color w:val="000000"/>
                        <w:sz w:val="20"/>
                        <w:szCs w:val="20"/>
                      </w:rPr>
                    </w:pPr>
                    <w:r w:rsidRPr="00BE40DC">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40DC" w:rsidRDefault="00BE40DC">
    <w:pPr>
      <w:pStyle w:val="Piedepgina"/>
    </w:pPr>
    <w:r>
      <w:rPr>
        <w:noProof/>
      </w:rPr>
      <mc:AlternateContent>
        <mc:Choice Requires="wps">
          <w:drawing>
            <wp:anchor distT="0" distB="0" distL="0" distR="0" simplePos="0" relativeHeight="251658240" behindDoc="0" locked="0" layoutInCell="1" allowOverlap="1" wp14:anchorId="6E21DCF4" wp14:editId="3429464D">
              <wp:simplePos x="1082650" y="9436608"/>
              <wp:positionH relativeFrom="page">
                <wp:align>center</wp:align>
              </wp:positionH>
              <wp:positionV relativeFrom="page">
                <wp:align>bottom</wp:align>
              </wp:positionV>
              <wp:extent cx="607060" cy="357505"/>
              <wp:effectExtent l="0" t="0" r="2540" b="0"/>
              <wp:wrapNone/>
              <wp:docPr id="1012574163"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7060" cy="357505"/>
                      </a:xfrm>
                      <a:prstGeom prst="rect">
                        <a:avLst/>
                      </a:prstGeom>
                      <a:noFill/>
                      <a:ln>
                        <a:noFill/>
                      </a:ln>
                    </wps:spPr>
                    <wps:txbx>
                      <w:txbxContent>
                        <w:p w:rsidR="00BE40DC" w:rsidRPr="00BE40DC" w:rsidRDefault="00BE40DC" w:rsidP="00BE40DC">
                          <w:pPr>
                            <w:spacing w:after="0"/>
                            <w:rPr>
                              <w:rFonts w:ascii="Calibri" w:eastAsia="Calibri" w:hAnsi="Calibri" w:cs="Calibri"/>
                              <w:noProof/>
                              <w:color w:val="000000"/>
                              <w:sz w:val="20"/>
                              <w:szCs w:val="20"/>
                            </w:rPr>
                          </w:pPr>
                          <w:r w:rsidRPr="00BE40D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21DCF4" id="_x0000_t202" coordsize="21600,21600" o:spt="202" path="m,l,21600r21600,l21600,xe">
              <v:stroke joinstyle="miter"/>
              <v:path gradientshapeok="t" o:connecttype="rect"/>
            </v:shapetype>
            <v:shape id="Cuadro de texto 3" o:spid="_x0000_s1027" type="#_x0000_t202" alt="Uso Interno" style="position:absolute;margin-left:0;margin-top:0;width:47.8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" filled="f" stroked="f">
              <v:textbox style="mso-fit-shape-to-text:t" inset="0,0,0,15pt">
                <w:txbxContent>
                  <w:p w:rsidR="00BE40DC" w:rsidRPr="00BE40DC" w:rsidRDefault="00BE40DC" w:rsidP="00BE40DC">
                    <w:pPr>
                      <w:spacing w:after="0"/>
                      <w:rPr>
                        <w:rFonts w:ascii="Calibri" w:eastAsia="Calibri" w:hAnsi="Calibri" w:cs="Calibri"/>
                        <w:noProof/>
                        <w:color w:val="000000"/>
                        <w:sz w:val="20"/>
                        <w:szCs w:val="20"/>
                      </w:rPr>
                    </w:pPr>
                    <w:r w:rsidRPr="00BE40DC">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40DC" w:rsidRDefault="00BE40DC">
    <w:pPr>
      <w:pStyle w:val="Piedepgina"/>
    </w:pPr>
    <w:r>
      <w:rPr>
        <w:noProof/>
      </w:rPr>
      <mc:AlternateContent>
        <mc:Choice Requires="wps">
          <w:drawing>
            <wp:anchor distT="0" distB="0" distL="0" distR="0" simplePos="0" relativeHeight="251656192" behindDoc="0" locked="0" layoutInCell="1" allowOverlap="1" wp14:anchorId="3420B238" wp14:editId="3BCF976B">
              <wp:simplePos x="635" y="635"/>
              <wp:positionH relativeFrom="page">
                <wp:align>center</wp:align>
              </wp:positionH>
              <wp:positionV relativeFrom="page">
                <wp:align>bottom</wp:align>
              </wp:positionV>
              <wp:extent cx="607060" cy="357505"/>
              <wp:effectExtent l="0" t="0" r="2540" b="0"/>
              <wp:wrapNone/>
              <wp:docPr id="1057290811"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7060" cy="357505"/>
                      </a:xfrm>
                      <a:prstGeom prst="rect">
                        <a:avLst/>
                      </a:prstGeom>
                      <a:noFill/>
                      <a:ln>
                        <a:noFill/>
                      </a:ln>
                    </wps:spPr>
                    <wps:txbx>
                      <w:txbxContent>
                        <w:p w:rsidR="00BE40DC" w:rsidRPr="00BE40DC" w:rsidRDefault="00BE40DC" w:rsidP="00BE40DC">
                          <w:pPr>
                            <w:spacing w:after="0"/>
                            <w:rPr>
                              <w:rFonts w:ascii="Calibri" w:eastAsia="Calibri" w:hAnsi="Calibri" w:cs="Calibri"/>
                              <w:noProof/>
                              <w:color w:val="000000"/>
                              <w:sz w:val="20"/>
                              <w:szCs w:val="20"/>
                            </w:rPr>
                          </w:pPr>
                          <w:r w:rsidRPr="00BE40D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20B238" id="_x0000_t202" coordsize="21600,21600" o:spt="202" path="m,l,21600r21600,l21600,xe">
              <v:stroke joinstyle="miter"/>
              <v:path gradientshapeok="t" o:connecttype="rect"/>
            </v:shapetype>
            <v:shape id="Cuadro de texto 1" o:spid="_x0000_s1028" type="#_x0000_t202" alt="Uso Interno" style="position:absolute;margin-left:0;margin-top:0;width:47.8pt;height:28.1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" filled="f" stroked="f">
              <v:textbox style="mso-fit-shape-to-text:t" inset="0,0,0,15pt">
                <w:txbxContent>
                  <w:p w:rsidR="00BE40DC" w:rsidRPr="00BE40DC" w:rsidRDefault="00BE40DC" w:rsidP="00BE40DC">
                    <w:pPr>
                      <w:spacing w:after="0"/>
                      <w:rPr>
                        <w:rFonts w:ascii="Calibri" w:eastAsia="Calibri" w:hAnsi="Calibri" w:cs="Calibri"/>
                        <w:noProof/>
                        <w:color w:val="000000"/>
                        <w:sz w:val="20"/>
                        <w:szCs w:val="20"/>
                      </w:rPr>
                    </w:pPr>
                    <w:r w:rsidRPr="00BE40DC">
                      <w:rPr>
                        <w:rFonts w:ascii="Calibri" w:eastAsia="Calibri" w:hAnsi="Calibri" w:cs="Calibri"/>
                        <w:noProof/>
                        <w:color w:val="000000"/>
                        <w:sz w:val="20"/>
                        <w:szCs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6469" w:rsidRDefault="00B26469" w:rsidP="00BE40DC">
      <w:pPr>
        <w:spacing w:after="0" w:line="240" w:lineRule="auto"/>
      </w:pPr>
      <w:r>
        <w:separator/>
      </w:r>
    </w:p>
  </w:footnote>
  <w:footnote w:type="continuationSeparator" w:id="0">
    <w:p w:rsidR="00B26469" w:rsidRDefault="00B26469" w:rsidP="00BE4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70C2" w:rsidRDefault="00D170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085191"/>
      <w:docPartObj>
        <w:docPartGallery w:val="Watermarks"/>
        <w:docPartUnique/>
      </w:docPartObj>
    </w:sdtPr>
    <w:sdtContent>
      <w:p w:rsidR="00D170C2" w:rsidRDefault="00000000">
        <w:pPr>
          <w:pStyle w:val="Encabezado"/>
        </w:pPr>
        <w:r>
          <w:pict w14:anchorId="08DA6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70C2" w:rsidRDefault="00D170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1ADE7654"/>
    <w:multiLevelType w:val="hybridMultilevel"/>
    <w:tmpl w:val="F8E610CC"/>
    <w:lvl w:ilvl="0" w:tplc="FFFFFFFF">
      <w:start w:val="1"/>
      <w:numFmt w:val="upp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F0D3E41"/>
    <w:multiLevelType w:val="hybridMultilevel"/>
    <w:tmpl w:val="1E784508"/>
    <w:lvl w:ilvl="0" w:tplc="140A001B">
      <w:start w:val="1"/>
      <w:numFmt w:val="lowerRoman"/>
      <w:lvlText w:val="%1."/>
      <w:lvlJc w:val="righ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30E200F3"/>
    <w:multiLevelType w:val="hybridMultilevel"/>
    <w:tmpl w:val="F78A1E7E"/>
    <w:lvl w:ilvl="0" w:tplc="FFFFFFFF">
      <w:start w:val="1"/>
      <w:numFmt w:val="upp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9FF1A7D"/>
    <w:multiLevelType w:val="hybridMultilevel"/>
    <w:tmpl w:val="E352562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B065B34"/>
    <w:multiLevelType w:val="hybridMultilevel"/>
    <w:tmpl w:val="F78A1E7E"/>
    <w:lvl w:ilvl="0" w:tplc="FFFFFFFF">
      <w:start w:val="1"/>
      <w:numFmt w:val="upperLetter"/>
      <w:lvlText w:val="%1."/>
      <w:lvlJc w:val="left"/>
      <w:pPr>
        <w:ind w:left="644" w:hanging="360"/>
      </w:pPr>
      <w:rPr>
        <w:b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 w15:restartNumberingAfterBreak="0">
    <w:nsid w:val="552357EA"/>
    <w:multiLevelType w:val="hybridMultilevel"/>
    <w:tmpl w:val="F78A1E7E"/>
    <w:lvl w:ilvl="0" w:tplc="FFFFFFFF">
      <w:start w:val="1"/>
      <w:numFmt w:val="upp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2BF7740"/>
    <w:multiLevelType w:val="hybridMultilevel"/>
    <w:tmpl w:val="9BDCD346"/>
    <w:lvl w:ilvl="0" w:tplc="D0B079C6">
      <w:start w:val="1"/>
      <w:numFmt w:val="upperLetter"/>
      <w:lvlText w:val="%1."/>
      <w:lvlJc w:val="left"/>
      <w:pPr>
        <w:ind w:left="720" w:hanging="360"/>
      </w:pPr>
      <w:rPr>
        <w:b/>
        <w:bCs w:val="0"/>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784B2A2D"/>
    <w:multiLevelType w:val="hybridMultilevel"/>
    <w:tmpl w:val="F78A1E7E"/>
    <w:lvl w:ilvl="0" w:tplc="FFFFFFFF">
      <w:start w:val="1"/>
      <w:numFmt w:val="upp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88727829">
    <w:abstractNumId w:val="7"/>
  </w:num>
  <w:num w:numId="2" w16cid:durableId="875852406">
    <w:abstractNumId w:val="1"/>
  </w:num>
  <w:num w:numId="3" w16cid:durableId="965696774">
    <w:abstractNumId w:val="8"/>
  </w:num>
  <w:num w:numId="4" w16cid:durableId="1997220390">
    <w:abstractNumId w:val="6"/>
  </w:num>
  <w:num w:numId="5" w16cid:durableId="218446426">
    <w:abstractNumId w:val="3"/>
  </w:num>
  <w:num w:numId="6" w16cid:durableId="161045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3607547">
    <w:abstractNumId w:val="0"/>
  </w:num>
  <w:num w:numId="8" w16cid:durableId="891580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4788533">
    <w:abstractNumId w:val="0"/>
  </w:num>
  <w:num w:numId="10" w16cid:durableId="719866829">
    <w:abstractNumId w:val="0"/>
  </w:num>
  <w:num w:numId="11" w16cid:durableId="809177757">
    <w:abstractNumId w:val="2"/>
  </w:num>
  <w:num w:numId="12" w16cid:durableId="662009972">
    <w:abstractNumId w:val="5"/>
  </w:num>
  <w:num w:numId="13" w16cid:durableId="1230193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3489260">
    <w:abstractNumId w:val="4"/>
  </w:num>
  <w:num w:numId="15" w16cid:durableId="63860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D8"/>
    <w:rsid w:val="00011DDB"/>
    <w:rsid w:val="00012341"/>
    <w:rsid w:val="0001429A"/>
    <w:rsid w:val="00017692"/>
    <w:rsid w:val="000201E7"/>
    <w:rsid w:val="00031412"/>
    <w:rsid w:val="0003357D"/>
    <w:rsid w:val="000346F5"/>
    <w:rsid w:val="0004068B"/>
    <w:rsid w:val="00042133"/>
    <w:rsid w:val="000442FA"/>
    <w:rsid w:val="0007132B"/>
    <w:rsid w:val="000912F8"/>
    <w:rsid w:val="000916AA"/>
    <w:rsid w:val="00091F58"/>
    <w:rsid w:val="00096AF5"/>
    <w:rsid w:val="000A2A65"/>
    <w:rsid w:val="000A39B8"/>
    <w:rsid w:val="000A72A4"/>
    <w:rsid w:val="000B5614"/>
    <w:rsid w:val="000B7EA9"/>
    <w:rsid w:val="000C47CE"/>
    <w:rsid w:val="000C4D2E"/>
    <w:rsid w:val="000C6C61"/>
    <w:rsid w:val="000C7FC9"/>
    <w:rsid w:val="000E00F9"/>
    <w:rsid w:val="000E1FFB"/>
    <w:rsid w:val="000E223A"/>
    <w:rsid w:val="00101001"/>
    <w:rsid w:val="001105E0"/>
    <w:rsid w:val="00117787"/>
    <w:rsid w:val="00125D65"/>
    <w:rsid w:val="00135B25"/>
    <w:rsid w:val="00136555"/>
    <w:rsid w:val="00140133"/>
    <w:rsid w:val="0014026D"/>
    <w:rsid w:val="00151D8D"/>
    <w:rsid w:val="00152E91"/>
    <w:rsid w:val="00156B4B"/>
    <w:rsid w:val="001619E5"/>
    <w:rsid w:val="0016342E"/>
    <w:rsid w:val="00171A03"/>
    <w:rsid w:val="00173AAC"/>
    <w:rsid w:val="00175041"/>
    <w:rsid w:val="00177E00"/>
    <w:rsid w:val="00177EF6"/>
    <w:rsid w:val="00187055"/>
    <w:rsid w:val="00191DA0"/>
    <w:rsid w:val="001B1A7E"/>
    <w:rsid w:val="001B48F4"/>
    <w:rsid w:val="001C7AB5"/>
    <w:rsid w:val="001E2596"/>
    <w:rsid w:val="001F1E29"/>
    <w:rsid w:val="001F522F"/>
    <w:rsid w:val="001F740F"/>
    <w:rsid w:val="002063B1"/>
    <w:rsid w:val="00206726"/>
    <w:rsid w:val="002267BE"/>
    <w:rsid w:val="00256DFE"/>
    <w:rsid w:val="00260FCE"/>
    <w:rsid w:val="00264145"/>
    <w:rsid w:val="00264ACD"/>
    <w:rsid w:val="00270AAC"/>
    <w:rsid w:val="0027141C"/>
    <w:rsid w:val="00286A89"/>
    <w:rsid w:val="0029410C"/>
    <w:rsid w:val="002977F2"/>
    <w:rsid w:val="002A238C"/>
    <w:rsid w:val="002A3D0A"/>
    <w:rsid w:val="002B10D3"/>
    <w:rsid w:val="002B1767"/>
    <w:rsid w:val="002C3703"/>
    <w:rsid w:val="002C3984"/>
    <w:rsid w:val="002C6031"/>
    <w:rsid w:val="002D5F4C"/>
    <w:rsid w:val="002E41D8"/>
    <w:rsid w:val="002F4A8D"/>
    <w:rsid w:val="0030126B"/>
    <w:rsid w:val="00316456"/>
    <w:rsid w:val="003225EC"/>
    <w:rsid w:val="00322811"/>
    <w:rsid w:val="00323DEC"/>
    <w:rsid w:val="003255A2"/>
    <w:rsid w:val="00330E8A"/>
    <w:rsid w:val="00332FDB"/>
    <w:rsid w:val="003344A1"/>
    <w:rsid w:val="003522CD"/>
    <w:rsid w:val="003570A0"/>
    <w:rsid w:val="00372FAE"/>
    <w:rsid w:val="00384864"/>
    <w:rsid w:val="00395F68"/>
    <w:rsid w:val="003B4F21"/>
    <w:rsid w:val="003B5E95"/>
    <w:rsid w:val="003B63CB"/>
    <w:rsid w:val="003C2065"/>
    <w:rsid w:val="003D253C"/>
    <w:rsid w:val="003D53E9"/>
    <w:rsid w:val="003D5CED"/>
    <w:rsid w:val="003E0C06"/>
    <w:rsid w:val="003E542E"/>
    <w:rsid w:val="003E64F1"/>
    <w:rsid w:val="00406515"/>
    <w:rsid w:val="00417A4E"/>
    <w:rsid w:val="00417EA7"/>
    <w:rsid w:val="00426A52"/>
    <w:rsid w:val="0043785B"/>
    <w:rsid w:val="004422B9"/>
    <w:rsid w:val="0044724D"/>
    <w:rsid w:val="00454D91"/>
    <w:rsid w:val="00460172"/>
    <w:rsid w:val="0046058C"/>
    <w:rsid w:val="00463919"/>
    <w:rsid w:val="004672D1"/>
    <w:rsid w:val="0047348D"/>
    <w:rsid w:val="004830A2"/>
    <w:rsid w:val="00483CC8"/>
    <w:rsid w:val="004868C4"/>
    <w:rsid w:val="004919DA"/>
    <w:rsid w:val="00492949"/>
    <w:rsid w:val="00492963"/>
    <w:rsid w:val="004A2366"/>
    <w:rsid w:val="004A4FCF"/>
    <w:rsid w:val="004B3259"/>
    <w:rsid w:val="004B36C5"/>
    <w:rsid w:val="004B5138"/>
    <w:rsid w:val="004B6247"/>
    <w:rsid w:val="004C0D06"/>
    <w:rsid w:val="004C1A60"/>
    <w:rsid w:val="004D482B"/>
    <w:rsid w:val="004D7900"/>
    <w:rsid w:val="004E11D0"/>
    <w:rsid w:val="004E271F"/>
    <w:rsid w:val="004E3B30"/>
    <w:rsid w:val="004E57EE"/>
    <w:rsid w:val="004F0C03"/>
    <w:rsid w:val="004F2782"/>
    <w:rsid w:val="004F5FB3"/>
    <w:rsid w:val="005029B9"/>
    <w:rsid w:val="00503679"/>
    <w:rsid w:val="005036C5"/>
    <w:rsid w:val="00506B09"/>
    <w:rsid w:val="00517635"/>
    <w:rsid w:val="005178D6"/>
    <w:rsid w:val="00521E73"/>
    <w:rsid w:val="005269CD"/>
    <w:rsid w:val="00527219"/>
    <w:rsid w:val="0053344A"/>
    <w:rsid w:val="005348AE"/>
    <w:rsid w:val="00541C36"/>
    <w:rsid w:val="005435CB"/>
    <w:rsid w:val="0056659D"/>
    <w:rsid w:val="00571308"/>
    <w:rsid w:val="00575D67"/>
    <w:rsid w:val="00576389"/>
    <w:rsid w:val="00580B5C"/>
    <w:rsid w:val="0058120F"/>
    <w:rsid w:val="005812B6"/>
    <w:rsid w:val="005826F2"/>
    <w:rsid w:val="00590AD3"/>
    <w:rsid w:val="00596AA0"/>
    <w:rsid w:val="00597A4B"/>
    <w:rsid w:val="005A14B2"/>
    <w:rsid w:val="005A632B"/>
    <w:rsid w:val="005A7D8B"/>
    <w:rsid w:val="005B6FA9"/>
    <w:rsid w:val="005C0107"/>
    <w:rsid w:val="005C5B11"/>
    <w:rsid w:val="005C5F8F"/>
    <w:rsid w:val="005D353A"/>
    <w:rsid w:val="005D3AD4"/>
    <w:rsid w:val="005D3F81"/>
    <w:rsid w:val="005E4B0D"/>
    <w:rsid w:val="005E5021"/>
    <w:rsid w:val="005E6C5A"/>
    <w:rsid w:val="00602AF4"/>
    <w:rsid w:val="00603F86"/>
    <w:rsid w:val="00607220"/>
    <w:rsid w:val="00610F13"/>
    <w:rsid w:val="00611A95"/>
    <w:rsid w:val="00617EF1"/>
    <w:rsid w:val="006427FC"/>
    <w:rsid w:val="006436E9"/>
    <w:rsid w:val="00651927"/>
    <w:rsid w:val="00652C84"/>
    <w:rsid w:val="00653D2B"/>
    <w:rsid w:val="00655131"/>
    <w:rsid w:val="006659FB"/>
    <w:rsid w:val="006700FB"/>
    <w:rsid w:val="00676209"/>
    <w:rsid w:val="00683244"/>
    <w:rsid w:val="006C763A"/>
    <w:rsid w:val="006E0C6B"/>
    <w:rsid w:val="006E3248"/>
    <w:rsid w:val="006E73D1"/>
    <w:rsid w:val="006F4631"/>
    <w:rsid w:val="007014C5"/>
    <w:rsid w:val="00710EDC"/>
    <w:rsid w:val="007224FE"/>
    <w:rsid w:val="00724123"/>
    <w:rsid w:val="007256AA"/>
    <w:rsid w:val="00727371"/>
    <w:rsid w:val="00732559"/>
    <w:rsid w:val="0073427D"/>
    <w:rsid w:val="007354E1"/>
    <w:rsid w:val="00736E05"/>
    <w:rsid w:val="007414B7"/>
    <w:rsid w:val="0074228E"/>
    <w:rsid w:val="00754697"/>
    <w:rsid w:val="00763792"/>
    <w:rsid w:val="00773B55"/>
    <w:rsid w:val="007A0848"/>
    <w:rsid w:val="007A3DA7"/>
    <w:rsid w:val="007B4CD2"/>
    <w:rsid w:val="007E4253"/>
    <w:rsid w:val="007E449D"/>
    <w:rsid w:val="007E464C"/>
    <w:rsid w:val="007F1D5C"/>
    <w:rsid w:val="007F32DD"/>
    <w:rsid w:val="007F5C8E"/>
    <w:rsid w:val="00842B3D"/>
    <w:rsid w:val="00844894"/>
    <w:rsid w:val="00854EDD"/>
    <w:rsid w:val="008558D8"/>
    <w:rsid w:val="00866ACC"/>
    <w:rsid w:val="00876E54"/>
    <w:rsid w:val="00887435"/>
    <w:rsid w:val="00894B7F"/>
    <w:rsid w:val="008B1016"/>
    <w:rsid w:val="008B794F"/>
    <w:rsid w:val="008C37F6"/>
    <w:rsid w:val="008C5080"/>
    <w:rsid w:val="008D3D28"/>
    <w:rsid w:val="008F5911"/>
    <w:rsid w:val="00902A38"/>
    <w:rsid w:val="00907AC4"/>
    <w:rsid w:val="009136E4"/>
    <w:rsid w:val="009148C1"/>
    <w:rsid w:val="00916590"/>
    <w:rsid w:val="00916782"/>
    <w:rsid w:val="00917B4B"/>
    <w:rsid w:val="0092299E"/>
    <w:rsid w:val="009325CF"/>
    <w:rsid w:val="00943275"/>
    <w:rsid w:val="009477E9"/>
    <w:rsid w:val="00951B50"/>
    <w:rsid w:val="009530DA"/>
    <w:rsid w:val="009542BA"/>
    <w:rsid w:val="0095537E"/>
    <w:rsid w:val="009805F1"/>
    <w:rsid w:val="0098080D"/>
    <w:rsid w:val="009842AE"/>
    <w:rsid w:val="00984478"/>
    <w:rsid w:val="00990E48"/>
    <w:rsid w:val="009926B5"/>
    <w:rsid w:val="009A38E8"/>
    <w:rsid w:val="009B19D2"/>
    <w:rsid w:val="009B31A1"/>
    <w:rsid w:val="009C070D"/>
    <w:rsid w:val="009C77C9"/>
    <w:rsid w:val="009D46BD"/>
    <w:rsid w:val="009E4A3A"/>
    <w:rsid w:val="009F640B"/>
    <w:rsid w:val="00A118B5"/>
    <w:rsid w:val="00A1546A"/>
    <w:rsid w:val="00A16202"/>
    <w:rsid w:val="00A21160"/>
    <w:rsid w:val="00A221EA"/>
    <w:rsid w:val="00A24800"/>
    <w:rsid w:val="00A25B63"/>
    <w:rsid w:val="00A34BEF"/>
    <w:rsid w:val="00A42E24"/>
    <w:rsid w:val="00A445E5"/>
    <w:rsid w:val="00A52A80"/>
    <w:rsid w:val="00A55D0A"/>
    <w:rsid w:val="00A577E3"/>
    <w:rsid w:val="00A61F9D"/>
    <w:rsid w:val="00A62656"/>
    <w:rsid w:val="00A650DC"/>
    <w:rsid w:val="00A651B6"/>
    <w:rsid w:val="00A67915"/>
    <w:rsid w:val="00A73086"/>
    <w:rsid w:val="00A74CA3"/>
    <w:rsid w:val="00AA523F"/>
    <w:rsid w:val="00AA748B"/>
    <w:rsid w:val="00AA76C2"/>
    <w:rsid w:val="00AB0A8E"/>
    <w:rsid w:val="00AB34C8"/>
    <w:rsid w:val="00AB3EE8"/>
    <w:rsid w:val="00AB4F7C"/>
    <w:rsid w:val="00AB57EE"/>
    <w:rsid w:val="00AC7ACA"/>
    <w:rsid w:val="00AD015F"/>
    <w:rsid w:val="00AD222B"/>
    <w:rsid w:val="00AD6A78"/>
    <w:rsid w:val="00AE1DC0"/>
    <w:rsid w:val="00AE65A6"/>
    <w:rsid w:val="00AF025A"/>
    <w:rsid w:val="00B02949"/>
    <w:rsid w:val="00B22E64"/>
    <w:rsid w:val="00B26469"/>
    <w:rsid w:val="00B365B2"/>
    <w:rsid w:val="00B42CFC"/>
    <w:rsid w:val="00B535D1"/>
    <w:rsid w:val="00B53876"/>
    <w:rsid w:val="00B54830"/>
    <w:rsid w:val="00B55958"/>
    <w:rsid w:val="00B6255F"/>
    <w:rsid w:val="00B63034"/>
    <w:rsid w:val="00B650A5"/>
    <w:rsid w:val="00B77303"/>
    <w:rsid w:val="00B87994"/>
    <w:rsid w:val="00B96085"/>
    <w:rsid w:val="00BA3BC7"/>
    <w:rsid w:val="00BA5BF1"/>
    <w:rsid w:val="00BB2ADA"/>
    <w:rsid w:val="00BC0FBE"/>
    <w:rsid w:val="00BC1341"/>
    <w:rsid w:val="00BC63D0"/>
    <w:rsid w:val="00BD0E30"/>
    <w:rsid w:val="00BD4061"/>
    <w:rsid w:val="00BD4991"/>
    <w:rsid w:val="00BE3010"/>
    <w:rsid w:val="00BE40DC"/>
    <w:rsid w:val="00BE4A34"/>
    <w:rsid w:val="00BE4DF8"/>
    <w:rsid w:val="00BF0212"/>
    <w:rsid w:val="00BF4252"/>
    <w:rsid w:val="00C2022C"/>
    <w:rsid w:val="00C21587"/>
    <w:rsid w:val="00C26675"/>
    <w:rsid w:val="00C3487D"/>
    <w:rsid w:val="00C36A72"/>
    <w:rsid w:val="00C47906"/>
    <w:rsid w:val="00C507E3"/>
    <w:rsid w:val="00C54CD8"/>
    <w:rsid w:val="00C6076E"/>
    <w:rsid w:val="00C65C84"/>
    <w:rsid w:val="00C7221E"/>
    <w:rsid w:val="00C82041"/>
    <w:rsid w:val="00C860F6"/>
    <w:rsid w:val="00C9363F"/>
    <w:rsid w:val="00CA09D6"/>
    <w:rsid w:val="00CA4A34"/>
    <w:rsid w:val="00CC7138"/>
    <w:rsid w:val="00CE3FF1"/>
    <w:rsid w:val="00D05754"/>
    <w:rsid w:val="00D130C1"/>
    <w:rsid w:val="00D158BA"/>
    <w:rsid w:val="00D16427"/>
    <w:rsid w:val="00D16979"/>
    <w:rsid w:val="00D170C2"/>
    <w:rsid w:val="00D22AA4"/>
    <w:rsid w:val="00D23728"/>
    <w:rsid w:val="00D26ACC"/>
    <w:rsid w:val="00D40736"/>
    <w:rsid w:val="00D423D2"/>
    <w:rsid w:val="00D46208"/>
    <w:rsid w:val="00D56E99"/>
    <w:rsid w:val="00D71D27"/>
    <w:rsid w:val="00D77739"/>
    <w:rsid w:val="00D85FA3"/>
    <w:rsid w:val="00D91769"/>
    <w:rsid w:val="00D938EA"/>
    <w:rsid w:val="00DA3754"/>
    <w:rsid w:val="00DA7168"/>
    <w:rsid w:val="00DA7562"/>
    <w:rsid w:val="00DB42E3"/>
    <w:rsid w:val="00DB51CD"/>
    <w:rsid w:val="00DC09D6"/>
    <w:rsid w:val="00DC2297"/>
    <w:rsid w:val="00DC5D67"/>
    <w:rsid w:val="00DD4347"/>
    <w:rsid w:val="00DE085E"/>
    <w:rsid w:val="00DE642D"/>
    <w:rsid w:val="00DE66F4"/>
    <w:rsid w:val="00DF6618"/>
    <w:rsid w:val="00E02410"/>
    <w:rsid w:val="00E074F4"/>
    <w:rsid w:val="00E1552F"/>
    <w:rsid w:val="00E21682"/>
    <w:rsid w:val="00E31461"/>
    <w:rsid w:val="00E34A2C"/>
    <w:rsid w:val="00E35C34"/>
    <w:rsid w:val="00E4153A"/>
    <w:rsid w:val="00E42FD7"/>
    <w:rsid w:val="00E475DD"/>
    <w:rsid w:val="00E62F44"/>
    <w:rsid w:val="00E73161"/>
    <w:rsid w:val="00E739F5"/>
    <w:rsid w:val="00E831DE"/>
    <w:rsid w:val="00E95328"/>
    <w:rsid w:val="00EA53F8"/>
    <w:rsid w:val="00EA6B77"/>
    <w:rsid w:val="00EB2218"/>
    <w:rsid w:val="00EB25C5"/>
    <w:rsid w:val="00EE485A"/>
    <w:rsid w:val="00EE505F"/>
    <w:rsid w:val="00EE5F84"/>
    <w:rsid w:val="00EE6520"/>
    <w:rsid w:val="00EF3979"/>
    <w:rsid w:val="00EF638D"/>
    <w:rsid w:val="00F00C5A"/>
    <w:rsid w:val="00F11521"/>
    <w:rsid w:val="00F15664"/>
    <w:rsid w:val="00F27AD7"/>
    <w:rsid w:val="00F415C6"/>
    <w:rsid w:val="00F43BB8"/>
    <w:rsid w:val="00F43C6A"/>
    <w:rsid w:val="00F46967"/>
    <w:rsid w:val="00F513B8"/>
    <w:rsid w:val="00F62911"/>
    <w:rsid w:val="00F63F8A"/>
    <w:rsid w:val="00F64C99"/>
    <w:rsid w:val="00F66EA0"/>
    <w:rsid w:val="00F7431D"/>
    <w:rsid w:val="00F749E2"/>
    <w:rsid w:val="00F9463D"/>
    <w:rsid w:val="00FA0B29"/>
    <w:rsid w:val="00FA7289"/>
    <w:rsid w:val="00FB6937"/>
    <w:rsid w:val="00FC172A"/>
    <w:rsid w:val="00FC5F26"/>
    <w:rsid w:val="00FE2247"/>
    <w:rsid w:val="00FF58B2"/>
    <w:rsid w:val="00FF5986"/>
    <w:rsid w:val="00FF68D7"/>
    <w:rsid w:val="00FF6ED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AADC4"/>
  <w15:chartTrackingRefBased/>
  <w15:docId w15:val="{BCD70050-D6FD-4180-9C7C-95F36D6A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F1"/>
    <w:pPr>
      <w:spacing w:line="259" w:lineRule="auto"/>
    </w:pPr>
    <w:rPr>
      <w:sz w:val="22"/>
      <w:szCs w:val="22"/>
    </w:rPr>
  </w:style>
  <w:style w:type="paragraph" w:styleId="Ttulo1">
    <w:name w:val="heading 1"/>
    <w:basedOn w:val="Normal"/>
    <w:next w:val="Normal"/>
    <w:link w:val="Ttulo1Car"/>
    <w:uiPriority w:val="9"/>
    <w:qFormat/>
    <w:rsid w:val="00C54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54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54C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54C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54C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54C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54C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54C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54C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4C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54C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54C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54C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54C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54C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54C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54C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54CD8"/>
    <w:rPr>
      <w:rFonts w:eastAsiaTheme="majorEastAsia" w:cstheme="majorBidi"/>
      <w:color w:val="272727" w:themeColor="text1" w:themeTint="D8"/>
    </w:rPr>
  </w:style>
  <w:style w:type="paragraph" w:styleId="Ttulo">
    <w:name w:val="Title"/>
    <w:basedOn w:val="Normal"/>
    <w:next w:val="Normal"/>
    <w:link w:val="TtuloCar"/>
    <w:uiPriority w:val="10"/>
    <w:qFormat/>
    <w:rsid w:val="00C54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4C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54C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54C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54CD8"/>
    <w:pPr>
      <w:spacing w:before="160"/>
      <w:jc w:val="center"/>
    </w:pPr>
    <w:rPr>
      <w:i/>
      <w:iCs/>
      <w:color w:val="404040" w:themeColor="text1" w:themeTint="BF"/>
    </w:rPr>
  </w:style>
  <w:style w:type="character" w:customStyle="1" w:styleId="CitaCar">
    <w:name w:val="Cita Car"/>
    <w:basedOn w:val="Fuentedeprrafopredeter"/>
    <w:link w:val="Cita"/>
    <w:uiPriority w:val="29"/>
    <w:rsid w:val="00C54CD8"/>
    <w:rPr>
      <w:i/>
      <w:iCs/>
      <w:color w:val="404040" w:themeColor="text1" w:themeTint="BF"/>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C54CD8"/>
    <w:pPr>
      <w:ind w:left="720"/>
      <w:contextualSpacing/>
    </w:pPr>
  </w:style>
  <w:style w:type="character" w:styleId="nfasisintenso">
    <w:name w:val="Intense Emphasis"/>
    <w:basedOn w:val="Fuentedeprrafopredeter"/>
    <w:uiPriority w:val="21"/>
    <w:qFormat/>
    <w:rsid w:val="00C54CD8"/>
    <w:rPr>
      <w:i/>
      <w:iCs/>
      <w:color w:val="0F4761" w:themeColor="accent1" w:themeShade="BF"/>
    </w:rPr>
  </w:style>
  <w:style w:type="paragraph" w:styleId="Citadestacada">
    <w:name w:val="Intense Quote"/>
    <w:basedOn w:val="Normal"/>
    <w:next w:val="Normal"/>
    <w:link w:val="CitadestacadaCar"/>
    <w:uiPriority w:val="30"/>
    <w:qFormat/>
    <w:rsid w:val="00C54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54CD8"/>
    <w:rPr>
      <w:i/>
      <w:iCs/>
      <w:color w:val="0F4761" w:themeColor="accent1" w:themeShade="BF"/>
    </w:rPr>
  </w:style>
  <w:style w:type="character" w:styleId="Referenciaintensa">
    <w:name w:val="Intense Reference"/>
    <w:basedOn w:val="Fuentedeprrafopredeter"/>
    <w:uiPriority w:val="32"/>
    <w:qFormat/>
    <w:rsid w:val="00C54CD8"/>
    <w:rPr>
      <w:b/>
      <w:bCs/>
      <w:smallCaps/>
      <w:color w:val="0F4761" w:themeColor="accent1" w:themeShade="BF"/>
      <w:spacing w:val="5"/>
    </w:rPr>
  </w:style>
  <w:style w:type="paragraph" w:styleId="Piedepgina">
    <w:name w:val="footer"/>
    <w:basedOn w:val="Normal"/>
    <w:link w:val="PiedepginaCar"/>
    <w:uiPriority w:val="99"/>
    <w:unhideWhenUsed/>
    <w:rsid w:val="00BE40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0DC"/>
    <w:rPr>
      <w:sz w:val="22"/>
      <w:szCs w:val="22"/>
    </w:rPr>
  </w:style>
  <w:style w:type="character" w:styleId="Refdecomentario">
    <w:name w:val="annotation reference"/>
    <w:basedOn w:val="Fuentedeprrafopredeter"/>
    <w:uiPriority w:val="99"/>
    <w:semiHidden/>
    <w:unhideWhenUsed/>
    <w:rsid w:val="00DB42E3"/>
    <w:rPr>
      <w:sz w:val="16"/>
      <w:szCs w:val="16"/>
    </w:rPr>
  </w:style>
  <w:style w:type="paragraph" w:styleId="Textocomentario">
    <w:name w:val="annotation text"/>
    <w:basedOn w:val="Normal"/>
    <w:link w:val="TextocomentarioCar"/>
    <w:uiPriority w:val="99"/>
    <w:unhideWhenUsed/>
    <w:rsid w:val="00DB42E3"/>
    <w:pPr>
      <w:spacing w:line="240" w:lineRule="auto"/>
    </w:pPr>
    <w:rPr>
      <w:sz w:val="20"/>
      <w:szCs w:val="20"/>
    </w:rPr>
  </w:style>
  <w:style w:type="character" w:customStyle="1" w:styleId="TextocomentarioCar">
    <w:name w:val="Texto comentario Car"/>
    <w:basedOn w:val="Fuentedeprrafopredeter"/>
    <w:link w:val="Textocomentario"/>
    <w:uiPriority w:val="99"/>
    <w:rsid w:val="00DB42E3"/>
    <w:rPr>
      <w:sz w:val="20"/>
      <w:szCs w:val="20"/>
    </w:rPr>
  </w:style>
  <w:style w:type="paragraph" w:styleId="Asuntodelcomentario">
    <w:name w:val="annotation subject"/>
    <w:basedOn w:val="Textocomentario"/>
    <w:next w:val="Textocomentario"/>
    <w:link w:val="AsuntodelcomentarioCar"/>
    <w:uiPriority w:val="99"/>
    <w:semiHidden/>
    <w:unhideWhenUsed/>
    <w:rsid w:val="00DB42E3"/>
    <w:rPr>
      <w:b/>
      <w:bCs/>
    </w:rPr>
  </w:style>
  <w:style w:type="character" w:customStyle="1" w:styleId="AsuntodelcomentarioCar">
    <w:name w:val="Asunto del comentario Car"/>
    <w:basedOn w:val="TextocomentarioCar"/>
    <w:link w:val="Asuntodelcomentario"/>
    <w:uiPriority w:val="99"/>
    <w:semiHidden/>
    <w:rsid w:val="00DB42E3"/>
    <w:rPr>
      <w:b/>
      <w:bCs/>
      <w:sz w:val="20"/>
      <w:szCs w:val="20"/>
    </w:rPr>
  </w:style>
  <w:style w:type="paragraph" w:customStyle="1" w:styleId="Numeracin">
    <w:name w:val="Numeración"/>
    <w:basedOn w:val="Normal"/>
    <w:qFormat/>
    <w:rsid w:val="00117787"/>
    <w:pPr>
      <w:numPr>
        <w:numId w:val="7"/>
      </w:numPr>
      <w:spacing w:before="120" w:after="0" w:line="240" w:lineRule="auto"/>
      <w:jc w:val="both"/>
    </w:pPr>
    <w:rPr>
      <w:rFonts w:ascii="Times New Roman" w:eastAsia="Times New Roman" w:hAnsi="Times New Roman" w:cs="Times New Roman"/>
      <w:kern w:val="0"/>
      <w:szCs w:val="24"/>
      <w:lang w:val="es-ES" w:eastAsia="es-ES"/>
      <w14:ligatures w14:val="none"/>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117787"/>
    <w:rPr>
      <w:sz w:val="22"/>
      <w:szCs w:val="22"/>
    </w:rPr>
  </w:style>
  <w:style w:type="paragraph" w:styleId="Encabezado">
    <w:name w:val="header"/>
    <w:basedOn w:val="Normal"/>
    <w:link w:val="EncabezadoCar"/>
    <w:uiPriority w:val="99"/>
    <w:unhideWhenUsed/>
    <w:rsid w:val="00D170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0C2"/>
    <w:rPr>
      <w:sz w:val="22"/>
      <w:szCs w:val="22"/>
    </w:rPr>
  </w:style>
  <w:style w:type="paragraph" w:styleId="Revisin">
    <w:name w:val="Revision"/>
    <w:hidden/>
    <w:uiPriority w:val="99"/>
    <w:semiHidden/>
    <w:rsid w:val="00330E8A"/>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7438">
      <w:bodyDiv w:val="1"/>
      <w:marLeft w:val="0"/>
      <w:marRight w:val="0"/>
      <w:marTop w:val="0"/>
      <w:marBottom w:val="0"/>
      <w:divBdr>
        <w:top w:val="none" w:sz="0" w:space="0" w:color="auto"/>
        <w:left w:val="none" w:sz="0" w:space="0" w:color="auto"/>
        <w:bottom w:val="none" w:sz="0" w:space="0" w:color="auto"/>
        <w:right w:val="none" w:sz="0" w:space="0" w:color="auto"/>
      </w:divBdr>
    </w:div>
    <w:div w:id="221714504">
      <w:bodyDiv w:val="1"/>
      <w:marLeft w:val="0"/>
      <w:marRight w:val="0"/>
      <w:marTop w:val="0"/>
      <w:marBottom w:val="0"/>
      <w:divBdr>
        <w:top w:val="none" w:sz="0" w:space="0" w:color="auto"/>
        <w:left w:val="none" w:sz="0" w:space="0" w:color="auto"/>
        <w:bottom w:val="none" w:sz="0" w:space="0" w:color="auto"/>
        <w:right w:val="none" w:sz="0" w:space="0" w:color="auto"/>
      </w:divBdr>
    </w:div>
    <w:div w:id="321007206">
      <w:bodyDiv w:val="1"/>
      <w:marLeft w:val="0"/>
      <w:marRight w:val="0"/>
      <w:marTop w:val="0"/>
      <w:marBottom w:val="0"/>
      <w:divBdr>
        <w:top w:val="none" w:sz="0" w:space="0" w:color="auto"/>
        <w:left w:val="none" w:sz="0" w:space="0" w:color="auto"/>
        <w:bottom w:val="none" w:sz="0" w:space="0" w:color="auto"/>
        <w:right w:val="none" w:sz="0" w:space="0" w:color="auto"/>
      </w:divBdr>
    </w:div>
    <w:div w:id="372467709">
      <w:bodyDiv w:val="1"/>
      <w:marLeft w:val="0"/>
      <w:marRight w:val="0"/>
      <w:marTop w:val="0"/>
      <w:marBottom w:val="0"/>
      <w:divBdr>
        <w:top w:val="none" w:sz="0" w:space="0" w:color="auto"/>
        <w:left w:val="none" w:sz="0" w:space="0" w:color="auto"/>
        <w:bottom w:val="none" w:sz="0" w:space="0" w:color="auto"/>
        <w:right w:val="none" w:sz="0" w:space="0" w:color="auto"/>
      </w:divBdr>
    </w:div>
    <w:div w:id="481964765">
      <w:bodyDiv w:val="1"/>
      <w:marLeft w:val="0"/>
      <w:marRight w:val="0"/>
      <w:marTop w:val="0"/>
      <w:marBottom w:val="0"/>
      <w:divBdr>
        <w:top w:val="none" w:sz="0" w:space="0" w:color="auto"/>
        <w:left w:val="none" w:sz="0" w:space="0" w:color="auto"/>
        <w:bottom w:val="none" w:sz="0" w:space="0" w:color="auto"/>
        <w:right w:val="none" w:sz="0" w:space="0" w:color="auto"/>
      </w:divBdr>
    </w:div>
    <w:div w:id="613826571">
      <w:bodyDiv w:val="1"/>
      <w:marLeft w:val="0"/>
      <w:marRight w:val="0"/>
      <w:marTop w:val="0"/>
      <w:marBottom w:val="0"/>
      <w:divBdr>
        <w:top w:val="none" w:sz="0" w:space="0" w:color="auto"/>
        <w:left w:val="none" w:sz="0" w:space="0" w:color="auto"/>
        <w:bottom w:val="none" w:sz="0" w:space="0" w:color="auto"/>
        <w:right w:val="none" w:sz="0" w:space="0" w:color="auto"/>
      </w:divBdr>
    </w:div>
    <w:div w:id="689986064">
      <w:bodyDiv w:val="1"/>
      <w:marLeft w:val="0"/>
      <w:marRight w:val="0"/>
      <w:marTop w:val="0"/>
      <w:marBottom w:val="0"/>
      <w:divBdr>
        <w:top w:val="none" w:sz="0" w:space="0" w:color="auto"/>
        <w:left w:val="none" w:sz="0" w:space="0" w:color="auto"/>
        <w:bottom w:val="none" w:sz="0" w:space="0" w:color="auto"/>
        <w:right w:val="none" w:sz="0" w:space="0" w:color="auto"/>
      </w:divBdr>
    </w:div>
    <w:div w:id="714934689">
      <w:bodyDiv w:val="1"/>
      <w:marLeft w:val="0"/>
      <w:marRight w:val="0"/>
      <w:marTop w:val="0"/>
      <w:marBottom w:val="0"/>
      <w:divBdr>
        <w:top w:val="none" w:sz="0" w:space="0" w:color="auto"/>
        <w:left w:val="none" w:sz="0" w:space="0" w:color="auto"/>
        <w:bottom w:val="none" w:sz="0" w:space="0" w:color="auto"/>
        <w:right w:val="none" w:sz="0" w:space="0" w:color="auto"/>
      </w:divBdr>
    </w:div>
    <w:div w:id="1247766269">
      <w:bodyDiv w:val="1"/>
      <w:marLeft w:val="0"/>
      <w:marRight w:val="0"/>
      <w:marTop w:val="0"/>
      <w:marBottom w:val="0"/>
      <w:divBdr>
        <w:top w:val="none" w:sz="0" w:space="0" w:color="auto"/>
        <w:left w:val="none" w:sz="0" w:space="0" w:color="auto"/>
        <w:bottom w:val="none" w:sz="0" w:space="0" w:color="auto"/>
        <w:right w:val="none" w:sz="0" w:space="0" w:color="auto"/>
      </w:divBdr>
    </w:div>
    <w:div w:id="1480227809">
      <w:bodyDiv w:val="1"/>
      <w:marLeft w:val="0"/>
      <w:marRight w:val="0"/>
      <w:marTop w:val="0"/>
      <w:marBottom w:val="0"/>
      <w:divBdr>
        <w:top w:val="none" w:sz="0" w:space="0" w:color="auto"/>
        <w:left w:val="none" w:sz="0" w:space="0" w:color="auto"/>
        <w:bottom w:val="none" w:sz="0" w:space="0" w:color="auto"/>
        <w:right w:val="none" w:sz="0" w:space="0" w:color="auto"/>
      </w:divBdr>
    </w:div>
    <w:div w:id="1745683419">
      <w:bodyDiv w:val="1"/>
      <w:marLeft w:val="0"/>
      <w:marRight w:val="0"/>
      <w:marTop w:val="0"/>
      <w:marBottom w:val="0"/>
      <w:divBdr>
        <w:top w:val="none" w:sz="0" w:space="0" w:color="auto"/>
        <w:left w:val="none" w:sz="0" w:space="0" w:color="auto"/>
        <w:bottom w:val="none" w:sz="0" w:space="0" w:color="auto"/>
        <w:right w:val="none" w:sz="0" w:space="0" w:color="auto"/>
      </w:divBdr>
    </w:div>
    <w:div w:id="1770084547">
      <w:bodyDiv w:val="1"/>
      <w:marLeft w:val="0"/>
      <w:marRight w:val="0"/>
      <w:marTop w:val="0"/>
      <w:marBottom w:val="0"/>
      <w:divBdr>
        <w:top w:val="none" w:sz="0" w:space="0" w:color="auto"/>
        <w:left w:val="none" w:sz="0" w:space="0" w:color="auto"/>
        <w:bottom w:val="none" w:sz="0" w:space="0" w:color="auto"/>
        <w:right w:val="none" w:sz="0" w:space="0" w:color="auto"/>
      </w:divBdr>
    </w:div>
    <w:div w:id="1945308004">
      <w:bodyDiv w:val="1"/>
      <w:marLeft w:val="0"/>
      <w:marRight w:val="0"/>
      <w:marTop w:val="0"/>
      <w:marBottom w:val="0"/>
      <w:divBdr>
        <w:top w:val="none" w:sz="0" w:space="0" w:color="auto"/>
        <w:left w:val="none" w:sz="0" w:space="0" w:color="auto"/>
        <w:bottom w:val="none" w:sz="0" w:space="0" w:color="auto"/>
        <w:right w:val="none" w:sz="0" w:space="0" w:color="auto"/>
      </w:divBdr>
      <w:divsChild>
        <w:div w:id="1520974458">
          <w:marLeft w:val="0"/>
          <w:marRight w:val="0"/>
          <w:marTop w:val="0"/>
          <w:marBottom w:val="0"/>
          <w:divBdr>
            <w:top w:val="none" w:sz="0" w:space="0" w:color="auto"/>
            <w:left w:val="none" w:sz="0" w:space="0" w:color="auto"/>
            <w:bottom w:val="none" w:sz="0" w:space="0" w:color="auto"/>
            <w:right w:val="none" w:sz="0" w:space="0" w:color="auto"/>
          </w:divBdr>
        </w:div>
      </w:divsChild>
    </w:div>
    <w:div w:id="20857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package" Target="embeddings/Microsoft_Word_Document2.docx"/><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package" Target="embeddings/Microsoft_Word_Document1.docx"/><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A2C34159-B7C3-4FF1-A874-9AA365CAEAF5}"/>
</file>

<file path=customXml/itemProps2.xml><?xml version="1.0" encoding="utf-8"?>
<ds:datastoreItem xmlns:ds="http://schemas.openxmlformats.org/officeDocument/2006/customXml" ds:itemID="{43A9183E-48C1-4682-82E9-A44F5332DC20}"/>
</file>

<file path=customXml/itemProps3.xml><?xml version="1.0" encoding="utf-8"?>
<ds:datastoreItem xmlns:ds="http://schemas.openxmlformats.org/officeDocument/2006/customXml" ds:itemID="{95B1665F-84E7-4918-ACF1-D6C6BA6E65A1}"/>
</file>

<file path=docProps/app.xml><?xml version="1.0" encoding="utf-8"?>
<Properties xmlns="http://schemas.openxmlformats.org/officeDocument/2006/extended-properties" xmlns:vt="http://schemas.openxmlformats.org/officeDocument/2006/docPropsVTypes">
  <Template>Normal</Template>
  <TotalTime>0</TotalTime>
  <Pages>1</Pages>
  <Words>2529</Words>
  <Characters>13915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Banco Central de Costa Rica</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CANO RODRIGO ANIBAL</dc:creator>
  <cp:keywords/>
  <dc:description/>
  <cp:lastModifiedBy>AVENDANO JIMENEZ JOANA DE LOS ANGELES</cp:lastModifiedBy>
  <cp:revision>1</cp:revision>
  <dcterms:created xsi:type="dcterms:W3CDTF">2025-06-10T22:25:00Z</dcterms:created>
  <dcterms:modified xsi:type="dcterms:W3CDTF">2025-06-10T22:25:00Z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3f04fa3b,360db92b,3c5aa7d3</vt:lpwstr>
  </property>
  <property fmtid="{D5CDD505-2E9C-101B-9397-08002B2CF9AE}" pid="3" name="ClassificationContentMarkingFooterFontProps">
    <vt:lpwstr>#000000,10,Calibri</vt:lpwstr>
  </property>
  <property fmtid="{D5CDD505-2E9C-101B-9397-08002B2CF9AE}" pid="4" name="ClassificationContentMarkingFooterText">
    <vt:lpwstr>Uso Interno</vt:lpwstr>
  </property>
  <property fmtid="{D5CDD505-2E9C-101B-9397-08002B2CF9AE}" pid="5" name="MSIP_Label_b8b4be34-365a-4a68-b9fb-75c1b6874315_Enabled">
    <vt:lpwstr>true</vt:lpwstr>
  </property>
  <property fmtid="{D5CDD505-2E9C-101B-9397-08002B2CF9AE}" pid="6" name="MSIP_Label_b8b4be34-365a-4a68-b9fb-75c1b6874315_SetDate">
    <vt:lpwstr>2025-05-13T16:13:01Z</vt:lpwstr>
  </property>
  <property fmtid="{D5CDD505-2E9C-101B-9397-08002B2CF9AE}" pid="7" name="MSIP_Label_b8b4be34-365a-4a68-b9fb-75c1b6874315_Method">
    <vt:lpwstr>Standard</vt:lpwstr>
  </property>
  <property fmtid="{D5CDD505-2E9C-101B-9397-08002B2CF9AE}" pid="8" name="MSIP_Label_b8b4be34-365a-4a68-b9fb-75c1b6874315_Name">
    <vt:lpwstr>b8b4be34-365a-4a68-b9fb-75c1b6874315</vt:lpwstr>
  </property>
  <property fmtid="{D5CDD505-2E9C-101B-9397-08002B2CF9AE}" pid="9" name="MSIP_Label_b8b4be34-365a-4a68-b9fb-75c1b6874315_SiteId">
    <vt:lpwstr>618d0a45-25a6-4618-9f80-8f70a435ee52</vt:lpwstr>
  </property>
  <property fmtid="{D5CDD505-2E9C-101B-9397-08002B2CF9AE}" pid="10" name="MSIP_Label_b8b4be34-365a-4a68-b9fb-75c1b6874315_ActionId">
    <vt:lpwstr>131af34d-26fd-4ffc-87bd-c10286bf1f4c</vt:lpwstr>
  </property>
  <property fmtid="{D5CDD505-2E9C-101B-9397-08002B2CF9AE}" pid="11" name="MSIP_Label_b8b4be34-365a-4a68-b9fb-75c1b6874315_ContentBits">
    <vt:lpwstr>2</vt:lpwstr>
  </property>
  <property fmtid="{D5CDD505-2E9C-101B-9397-08002B2CF9AE}" pid="12" name="MSIP_Label_b8b4be34-365a-4a68-b9fb-75c1b6874315_Tag">
    <vt:lpwstr>10, 3, 0, 1</vt:lpwstr>
  </property>
  <property fmtid="{D5CDD505-2E9C-101B-9397-08002B2CF9AE}" pid="13" name="ContentTypeId">
    <vt:lpwstr>0x010100C66477CF232ACD46B93353E93693837C</vt:lpwstr>
  </property>
</Properties>
</file>