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A9E25D" w14:textId="45449BF3" w:rsidR="004F2251" w:rsidRPr="00EA203B" w:rsidRDefault="00867AEA" w:rsidP="00EA203B">
      <w:pPr>
        <w:ind w:right="-193"/>
        <w:jc w:val="both"/>
        <w:rPr>
          <w:rFonts w:ascii="Arial" w:hAnsi="Arial" w:cs="Arial"/>
          <w:b/>
          <w:szCs w:val="24"/>
        </w:rPr>
      </w:pPr>
      <w:r w:rsidRPr="00EA203B">
        <w:rPr>
          <w:rFonts w:ascii="Arial" w:hAnsi="Arial" w:cs="Arial"/>
          <w:b/>
          <w:bCs/>
          <w:iCs/>
          <w:noProof/>
          <w:szCs w:val="24"/>
          <w:lang w:val="es-ES_tradnl"/>
        </w:rPr>
        <w:t>SGV-A-</w:t>
      </w:r>
      <w:r w:rsidR="00EA203B" w:rsidRPr="00EA203B">
        <w:rPr>
          <w:rFonts w:ascii="Arial" w:hAnsi="Arial" w:cs="Arial"/>
          <w:b/>
          <w:bCs/>
          <w:iCs/>
          <w:noProof/>
          <w:szCs w:val="24"/>
          <w:lang w:val="es-ES_tradnl"/>
        </w:rPr>
        <w:t>1</w:t>
      </w:r>
      <w:r w:rsidRPr="00EA203B">
        <w:rPr>
          <w:rFonts w:ascii="Arial" w:hAnsi="Arial" w:cs="Arial"/>
          <w:b/>
          <w:bCs/>
          <w:iCs/>
          <w:noProof/>
          <w:szCs w:val="24"/>
          <w:lang w:val="es-ES_tradnl"/>
        </w:rPr>
        <w:t xml:space="preserve">-2025 </w:t>
      </w:r>
      <w:r w:rsidR="00EA203B" w:rsidRPr="00EA203B">
        <w:rPr>
          <w:rFonts w:ascii="Arial" w:hAnsi="Arial" w:cs="Arial"/>
          <w:b/>
          <w:szCs w:val="24"/>
        </w:rPr>
        <w:t>MODIFICACIÓN DEL TRANSITORIO I DEL ACUERDO SGV-A-6-2024.  MODIFICACIÓN A LOS ACUERDOS SGV-A-188 “Directriz para la implementación del Sistema de Mensajería de Documentos (MENDOCEL)” y SGV-A-257 Información Básica de las Entidades Reguladas y Supervisadas por la Superintendencia General de Valores</w:t>
      </w:r>
      <w:r w:rsidRPr="00EA203B">
        <w:rPr>
          <w:rStyle w:val="Refdenotaalpie"/>
          <w:rFonts w:ascii="Arial" w:hAnsi="Arial" w:cs="Arial"/>
          <w:b/>
          <w:szCs w:val="24"/>
        </w:rPr>
        <w:footnoteReference w:id="1"/>
      </w:r>
    </w:p>
    <w:p w14:paraId="0A71C550" w14:textId="77777777" w:rsidR="00867AEA" w:rsidRPr="00EA203B" w:rsidRDefault="00867AEA" w:rsidP="00EA203B">
      <w:pPr>
        <w:ind w:right="-193"/>
        <w:jc w:val="both"/>
        <w:rPr>
          <w:rFonts w:ascii="Arial" w:hAnsi="Arial" w:cs="Arial"/>
          <w:b/>
          <w:bCs/>
          <w:iCs/>
          <w:noProof/>
          <w:szCs w:val="24"/>
          <w:lang w:val="es-ES_tradnl"/>
        </w:rPr>
      </w:pPr>
    </w:p>
    <w:p w14:paraId="06DC7468" w14:textId="77777777" w:rsidR="004F2251" w:rsidRPr="00EA203B" w:rsidRDefault="004F2251" w:rsidP="00EA203B">
      <w:pPr>
        <w:spacing w:line="276" w:lineRule="auto"/>
        <w:ind w:right="-193"/>
        <w:jc w:val="both"/>
        <w:rPr>
          <w:rFonts w:ascii="Arial" w:hAnsi="Arial" w:cs="Arial"/>
          <w:b/>
          <w:bCs/>
          <w:szCs w:val="24"/>
          <w:lang w:val="es-CR"/>
        </w:rPr>
      </w:pPr>
    </w:p>
    <w:p w14:paraId="4A730E64" w14:textId="77777777" w:rsidR="00EA203B" w:rsidRPr="00EA203B" w:rsidRDefault="00EA203B" w:rsidP="00EA203B">
      <w:pPr>
        <w:spacing w:line="276" w:lineRule="auto"/>
        <w:ind w:right="-193"/>
        <w:jc w:val="both"/>
        <w:divId w:val="346060709"/>
        <w:rPr>
          <w:rFonts w:ascii="Arial" w:hAnsi="Arial" w:cs="Arial"/>
          <w:b/>
          <w:bCs/>
          <w:szCs w:val="24"/>
          <w:lang w:val="es-CR"/>
        </w:rPr>
      </w:pPr>
      <w:r w:rsidRPr="00EA203B">
        <w:rPr>
          <w:rFonts w:ascii="Arial" w:hAnsi="Arial" w:cs="Arial"/>
          <w:b/>
          <w:bCs/>
          <w:szCs w:val="24"/>
          <w:lang w:val="es-CR"/>
        </w:rPr>
        <w:t>Considerando que:</w:t>
      </w:r>
    </w:p>
    <w:p w14:paraId="3AFBE26D" w14:textId="77777777" w:rsidR="00EA203B" w:rsidRPr="00EA203B" w:rsidRDefault="00EA203B" w:rsidP="00EA203B">
      <w:pPr>
        <w:spacing w:line="276" w:lineRule="auto"/>
        <w:ind w:right="-193"/>
        <w:jc w:val="both"/>
        <w:divId w:val="346060709"/>
        <w:rPr>
          <w:rFonts w:ascii="Arial" w:hAnsi="Arial" w:cs="Arial"/>
          <w:b/>
          <w:bCs/>
          <w:szCs w:val="24"/>
          <w:lang w:val="es-CR"/>
        </w:rPr>
      </w:pPr>
    </w:p>
    <w:p w14:paraId="6C2A501A" w14:textId="77777777" w:rsidR="00EA203B" w:rsidRPr="00EA203B" w:rsidRDefault="00EA203B" w:rsidP="00EA203B">
      <w:pPr>
        <w:pStyle w:val="Prrafodelista"/>
        <w:numPr>
          <w:ilvl w:val="0"/>
          <w:numId w:val="16"/>
        </w:numPr>
        <w:autoSpaceDE w:val="0"/>
        <w:autoSpaceDN w:val="0"/>
        <w:adjustRightInd w:val="0"/>
        <w:spacing w:after="0" w:line="240" w:lineRule="auto"/>
        <w:jc w:val="both"/>
        <w:divId w:val="346060709"/>
        <w:rPr>
          <w:rFonts w:ascii="Arial" w:hAnsi="Arial" w:cs="Arial"/>
          <w:color w:val="000000"/>
          <w:sz w:val="24"/>
          <w:szCs w:val="24"/>
          <w:lang w:val="es-CR"/>
        </w:rPr>
      </w:pPr>
      <w:r w:rsidRPr="00EA203B">
        <w:rPr>
          <w:rFonts w:ascii="Arial" w:hAnsi="Arial" w:cs="Arial"/>
          <w:color w:val="000000"/>
          <w:sz w:val="24"/>
          <w:szCs w:val="24"/>
          <w:lang w:val="es-CR"/>
        </w:rPr>
        <w:t>El artículo 8 inciso l) de la Ley Reguladora del Mercado de Valores (LRMV) faculta al Superintendente a exigir a los sujetos fiscalizados toda la información razonablemente necesaria, en las condiciones y periodicidad que la Superintendencia determine, para cumplir adecuadamente con sus funciones supervisoras del mercado de valores.</w:t>
      </w:r>
    </w:p>
    <w:p w14:paraId="2E4FF3DA" w14:textId="77777777" w:rsidR="00EA203B" w:rsidRPr="00EA203B" w:rsidRDefault="00EA203B" w:rsidP="00EA203B">
      <w:pPr>
        <w:autoSpaceDE w:val="0"/>
        <w:autoSpaceDN w:val="0"/>
        <w:adjustRightInd w:val="0"/>
        <w:jc w:val="both"/>
        <w:divId w:val="346060709"/>
        <w:rPr>
          <w:rFonts w:ascii="Arial" w:hAnsi="Arial" w:cs="Arial"/>
          <w:color w:val="000000"/>
          <w:szCs w:val="24"/>
        </w:rPr>
      </w:pPr>
    </w:p>
    <w:p w14:paraId="4C4AB628" w14:textId="77777777" w:rsidR="00EA203B" w:rsidRPr="00EA203B" w:rsidRDefault="00EA203B" w:rsidP="00EA203B">
      <w:pPr>
        <w:pStyle w:val="Prrafodelista"/>
        <w:numPr>
          <w:ilvl w:val="0"/>
          <w:numId w:val="16"/>
        </w:numPr>
        <w:autoSpaceDE w:val="0"/>
        <w:autoSpaceDN w:val="0"/>
        <w:adjustRightInd w:val="0"/>
        <w:spacing w:after="0" w:line="240" w:lineRule="auto"/>
        <w:jc w:val="both"/>
        <w:divId w:val="346060709"/>
        <w:rPr>
          <w:rFonts w:ascii="Arial" w:hAnsi="Arial" w:cs="Arial"/>
          <w:color w:val="000000"/>
          <w:sz w:val="24"/>
          <w:szCs w:val="24"/>
          <w:lang w:val="es-CR"/>
        </w:rPr>
      </w:pPr>
      <w:r w:rsidRPr="00EA203B">
        <w:rPr>
          <w:rFonts w:ascii="Arial" w:hAnsi="Arial" w:cs="Arial"/>
          <w:color w:val="000000"/>
          <w:sz w:val="24"/>
          <w:szCs w:val="24"/>
          <w:lang w:val="es-CR"/>
        </w:rPr>
        <w:t>El artículo 8 inciso j) de la Ley 7732, Ley Reguladora del Mercado de Valores, determina que corresponde al Superintendente General de Valores adoptar todas las acciones necesarias para el cumplimiento efectivo de las funciones de regulación que le competen a la Superintendencia según lo dispuesto en la ley.</w:t>
      </w:r>
    </w:p>
    <w:p w14:paraId="693AECB4" w14:textId="77777777" w:rsidR="00EA203B" w:rsidRPr="00EA203B" w:rsidRDefault="00EA203B" w:rsidP="00EA203B">
      <w:pPr>
        <w:autoSpaceDE w:val="0"/>
        <w:autoSpaceDN w:val="0"/>
        <w:adjustRightInd w:val="0"/>
        <w:jc w:val="both"/>
        <w:divId w:val="346060709"/>
        <w:rPr>
          <w:rFonts w:ascii="Arial" w:hAnsi="Arial" w:cs="Arial"/>
          <w:color w:val="000000"/>
          <w:szCs w:val="24"/>
        </w:rPr>
      </w:pPr>
    </w:p>
    <w:p w14:paraId="14979CDF" w14:textId="77777777" w:rsidR="00EA203B" w:rsidRPr="00EA203B" w:rsidRDefault="00EA203B" w:rsidP="00EA203B">
      <w:pPr>
        <w:pStyle w:val="Prrafodelista"/>
        <w:numPr>
          <w:ilvl w:val="0"/>
          <w:numId w:val="16"/>
        </w:numPr>
        <w:autoSpaceDE w:val="0"/>
        <w:autoSpaceDN w:val="0"/>
        <w:adjustRightInd w:val="0"/>
        <w:spacing w:after="0" w:line="240" w:lineRule="auto"/>
        <w:jc w:val="both"/>
        <w:divId w:val="346060709"/>
        <w:rPr>
          <w:rFonts w:ascii="Arial" w:hAnsi="Arial" w:cs="Arial"/>
          <w:color w:val="000000"/>
          <w:sz w:val="24"/>
          <w:szCs w:val="24"/>
          <w:lang w:val="es-CR"/>
        </w:rPr>
      </w:pPr>
      <w:r w:rsidRPr="00EA203B">
        <w:rPr>
          <w:rFonts w:ascii="Arial" w:hAnsi="Arial" w:cs="Arial"/>
          <w:color w:val="000000"/>
          <w:sz w:val="24"/>
          <w:szCs w:val="24"/>
          <w:lang w:val="es-CR"/>
        </w:rPr>
        <w:t>El artículo 105 de la Ley Reguladora del Mercado de Valores, indica que los emisores de valores deberán informar al público, en el menor plazo posible, de la existencia de factores, hechos o decisiones que puedan influir, de modo sensible, en el precio de sus valores.</w:t>
      </w:r>
    </w:p>
    <w:p w14:paraId="1769C492" w14:textId="77777777" w:rsidR="00EA203B" w:rsidRPr="00EA203B" w:rsidRDefault="00EA203B" w:rsidP="00EA203B">
      <w:pPr>
        <w:autoSpaceDE w:val="0"/>
        <w:autoSpaceDN w:val="0"/>
        <w:adjustRightInd w:val="0"/>
        <w:jc w:val="both"/>
        <w:divId w:val="346060709"/>
        <w:rPr>
          <w:rFonts w:ascii="Arial" w:hAnsi="Arial" w:cs="Arial"/>
          <w:color w:val="000000"/>
          <w:szCs w:val="24"/>
        </w:rPr>
      </w:pPr>
    </w:p>
    <w:p w14:paraId="4FA6D94C" w14:textId="77777777" w:rsidR="00EA203B" w:rsidRPr="00EA203B" w:rsidRDefault="00EA203B" w:rsidP="00EA203B">
      <w:pPr>
        <w:pStyle w:val="Prrafodelista"/>
        <w:numPr>
          <w:ilvl w:val="0"/>
          <w:numId w:val="16"/>
        </w:numPr>
        <w:autoSpaceDE w:val="0"/>
        <w:autoSpaceDN w:val="0"/>
        <w:adjustRightInd w:val="0"/>
        <w:spacing w:after="0" w:line="240" w:lineRule="auto"/>
        <w:jc w:val="both"/>
        <w:divId w:val="346060709"/>
        <w:rPr>
          <w:rFonts w:ascii="Arial" w:hAnsi="Arial" w:cs="Arial"/>
          <w:color w:val="000000"/>
          <w:sz w:val="24"/>
          <w:szCs w:val="24"/>
          <w:lang w:val="es-CR"/>
        </w:rPr>
      </w:pPr>
      <w:r w:rsidRPr="00EA203B">
        <w:rPr>
          <w:rFonts w:ascii="Arial" w:hAnsi="Arial" w:cs="Arial"/>
          <w:color w:val="000000"/>
          <w:sz w:val="24"/>
          <w:szCs w:val="24"/>
          <w:lang w:val="es-CR"/>
        </w:rPr>
        <w:t xml:space="preserve">Mediante el Artículo 13 del Acta de la Sesión 81-99, celebrada el 18 de marzo de 1999, el Consejo Nacional de Supervisión del Sistema Financiero aprobó el Reglamento sobre el Suministro de Información Periódica, Hechos Relevantes y otras Obligaciones de Información con lineamientos sobre los deberes de comunicación de los diferentes participantes en el mercado de valores. Posteriormente, mediante el Artículo 11 del Acta de la Sesión 1579-2020, celebrada el 1 de junio de 2020, se aprobó la adición de un artículo 7bis al Reglamento, que tiene por objetivo hacer más eficiente el proceso de captura de información sobre miembros de órgano dirección, alta gerencia y otros órganos de gobierno de las entidades supervisadas y fiscalizadas, mediante las herramientas informáticas de autogestión Sistema de Registro y Actualización de Roles y Administración </w:t>
      </w:r>
      <w:r w:rsidRPr="00EA203B">
        <w:rPr>
          <w:rFonts w:ascii="Arial" w:hAnsi="Arial" w:cs="Arial"/>
          <w:color w:val="000000"/>
          <w:sz w:val="24"/>
          <w:szCs w:val="24"/>
          <w:lang w:val="es-CR"/>
        </w:rPr>
        <w:lastRenderedPageBreak/>
        <w:t xml:space="preserve">de Esquemas de Seguridad (AES) que sea uniforme con las herramientas con que cuentan otras Superintendencias. </w:t>
      </w:r>
    </w:p>
    <w:p w14:paraId="4EEB24A8" w14:textId="77777777" w:rsidR="00EA203B" w:rsidRPr="00EA203B" w:rsidRDefault="00EA203B" w:rsidP="00EA203B">
      <w:pPr>
        <w:autoSpaceDE w:val="0"/>
        <w:autoSpaceDN w:val="0"/>
        <w:adjustRightInd w:val="0"/>
        <w:jc w:val="both"/>
        <w:divId w:val="346060709"/>
        <w:rPr>
          <w:rFonts w:ascii="Arial" w:hAnsi="Arial" w:cs="Arial"/>
          <w:color w:val="000000"/>
          <w:szCs w:val="24"/>
        </w:rPr>
      </w:pPr>
    </w:p>
    <w:p w14:paraId="2DEA1806" w14:textId="77777777" w:rsidR="00EA203B" w:rsidRPr="00EA203B" w:rsidRDefault="00EA203B" w:rsidP="00EA203B">
      <w:pPr>
        <w:pStyle w:val="Prrafodelista"/>
        <w:numPr>
          <w:ilvl w:val="0"/>
          <w:numId w:val="16"/>
        </w:numPr>
        <w:autoSpaceDE w:val="0"/>
        <w:autoSpaceDN w:val="0"/>
        <w:adjustRightInd w:val="0"/>
        <w:spacing w:after="0" w:line="240" w:lineRule="auto"/>
        <w:jc w:val="both"/>
        <w:divId w:val="346060709"/>
        <w:rPr>
          <w:rFonts w:ascii="Arial" w:hAnsi="Arial" w:cs="Arial"/>
          <w:color w:val="000000"/>
          <w:sz w:val="24"/>
          <w:szCs w:val="24"/>
          <w:lang w:val="es-CR"/>
        </w:rPr>
      </w:pPr>
      <w:r w:rsidRPr="00EA203B">
        <w:rPr>
          <w:rFonts w:ascii="Arial" w:hAnsi="Arial" w:cs="Arial"/>
          <w:color w:val="000000"/>
          <w:sz w:val="24"/>
          <w:szCs w:val="24"/>
          <w:lang w:val="es-CR"/>
        </w:rPr>
        <w:t>Mediante el acuerdo SGV-A-6-2024.  MODIFICACIÓN A LOS ACUERDOS SGV-A-188 “Directriz para la implementación del Sistema de Mensajería de Documentos (MENDOCEL)” y SGV-A-257 Información Básica de las Entidades Reguladas y Supervisadas por la Superintendencia General de Valores, se dispuso a modificar los artículos 5 y 6 del acuerdo SGV-A-257. Información Básica de las Entidades Reguladas y Supervisadas por la Superintendencia General de Valores, con el objetivo de implementar una mejora tecnológica para centralizar los puntos de contacto de las entidades supervisadas en el Sistema de Registro y Actualización de Roles.</w:t>
      </w:r>
    </w:p>
    <w:p w14:paraId="08A8739A" w14:textId="77777777" w:rsidR="00EA203B" w:rsidRPr="00EA203B" w:rsidRDefault="00EA203B" w:rsidP="00EA203B">
      <w:pPr>
        <w:autoSpaceDE w:val="0"/>
        <w:autoSpaceDN w:val="0"/>
        <w:adjustRightInd w:val="0"/>
        <w:jc w:val="both"/>
        <w:divId w:val="346060709"/>
        <w:rPr>
          <w:rFonts w:ascii="Arial" w:hAnsi="Arial" w:cs="Arial"/>
          <w:color w:val="000000"/>
          <w:szCs w:val="24"/>
        </w:rPr>
      </w:pPr>
    </w:p>
    <w:p w14:paraId="4167911E" w14:textId="77777777" w:rsidR="00EA203B" w:rsidRPr="00EA203B" w:rsidRDefault="00EA203B" w:rsidP="00EA203B">
      <w:pPr>
        <w:pStyle w:val="Prrafodelista"/>
        <w:numPr>
          <w:ilvl w:val="0"/>
          <w:numId w:val="16"/>
        </w:numPr>
        <w:autoSpaceDE w:val="0"/>
        <w:autoSpaceDN w:val="0"/>
        <w:adjustRightInd w:val="0"/>
        <w:spacing w:after="0" w:line="240" w:lineRule="auto"/>
        <w:jc w:val="both"/>
        <w:divId w:val="346060709"/>
        <w:rPr>
          <w:rFonts w:ascii="Arial" w:hAnsi="Arial" w:cs="Arial"/>
          <w:color w:val="000000"/>
          <w:sz w:val="24"/>
          <w:szCs w:val="24"/>
          <w:lang w:val="es-CR"/>
        </w:rPr>
      </w:pPr>
      <w:r w:rsidRPr="00EA203B">
        <w:rPr>
          <w:rFonts w:ascii="Arial" w:hAnsi="Arial" w:cs="Arial"/>
          <w:color w:val="000000"/>
          <w:sz w:val="24"/>
          <w:szCs w:val="24"/>
          <w:lang w:val="es-CR"/>
        </w:rPr>
        <w:t xml:space="preserve">El acuerdo SGV-A-6-2024 incluyó un Transitorio I. Sobre la carga inicial de información relacionada con los roles de gestión de la correspondencia e información periódica, se definieron dos ventanas de plazos: la primera carga de información entre el 1 al 30 de abril de 2025 y la segunda ventana entre el 1 al 30 de junio de 2025. No obstante, lo anterior, dada la complejidad operativa y tecnológica para ejecutar los nuevos requerimientos de información y verificación de los roles, la implementación tecnológica de este nuevo requerimiento se ha demorado. </w:t>
      </w:r>
      <w:proofErr w:type="gramStart"/>
      <w:r w:rsidRPr="00EA203B">
        <w:rPr>
          <w:rFonts w:ascii="Arial" w:hAnsi="Arial" w:cs="Arial"/>
          <w:color w:val="000000"/>
          <w:sz w:val="24"/>
          <w:szCs w:val="24"/>
          <w:lang w:val="es-CR"/>
        </w:rPr>
        <w:t>En razón de</w:t>
      </w:r>
      <w:proofErr w:type="gramEnd"/>
      <w:r w:rsidRPr="00EA203B">
        <w:rPr>
          <w:rFonts w:ascii="Arial" w:hAnsi="Arial" w:cs="Arial"/>
          <w:color w:val="000000"/>
          <w:sz w:val="24"/>
          <w:szCs w:val="24"/>
          <w:lang w:val="es-CR"/>
        </w:rPr>
        <w:t xml:space="preserve"> lo anterior, se considera pertinente extender la entrada en vigor del Transitorio I de manera escalonada de acuerdo con el detalle abajo indicado. </w:t>
      </w:r>
    </w:p>
    <w:p w14:paraId="3D371240" w14:textId="77777777" w:rsidR="00EA203B" w:rsidRPr="00EA203B" w:rsidRDefault="00EA203B" w:rsidP="00EA203B">
      <w:pPr>
        <w:pStyle w:val="Numeracin"/>
        <w:numPr>
          <w:ilvl w:val="0"/>
          <w:numId w:val="16"/>
        </w:numPr>
        <w:divId w:val="346060709"/>
        <w:rPr>
          <w:rFonts w:ascii="Arial" w:hAnsi="Arial" w:cs="Arial"/>
          <w:color w:val="000000"/>
          <w:sz w:val="24"/>
          <w:lang w:val="es-CR" w:eastAsia="es-CR"/>
        </w:rPr>
      </w:pPr>
      <w:r w:rsidRPr="00EA203B">
        <w:rPr>
          <w:rFonts w:ascii="Arial" w:hAnsi="Arial" w:cs="Arial"/>
          <w:color w:val="000000"/>
          <w:sz w:val="24"/>
          <w:lang w:eastAsia="es-CR"/>
        </w:rPr>
        <w:t>Se prescinde de la consulta externa establecida en el artículo 361 </w:t>
      </w:r>
      <w:r w:rsidRPr="00EA203B">
        <w:rPr>
          <w:rFonts w:ascii="Arial" w:hAnsi="Arial" w:cs="Arial"/>
          <w:i/>
          <w:iCs/>
          <w:color w:val="000000"/>
          <w:sz w:val="24"/>
          <w:lang w:eastAsia="es-CR"/>
        </w:rPr>
        <w:t>Ley General de la Administración Pública</w:t>
      </w:r>
      <w:r w:rsidRPr="00EA203B">
        <w:rPr>
          <w:rFonts w:ascii="Arial" w:hAnsi="Arial" w:cs="Arial"/>
          <w:color w:val="000000"/>
          <w:sz w:val="24"/>
          <w:lang w:eastAsia="es-CR"/>
        </w:rPr>
        <w:t xml:space="preserve">, por razones de urgencia, debido a que el nuevo requerimiento </w:t>
      </w:r>
      <w:proofErr w:type="gramStart"/>
      <w:r w:rsidRPr="00EA203B">
        <w:rPr>
          <w:rFonts w:ascii="Arial" w:hAnsi="Arial" w:cs="Arial"/>
          <w:color w:val="000000"/>
          <w:sz w:val="24"/>
          <w:lang w:eastAsia="es-CR"/>
        </w:rPr>
        <w:t>entrará en vigencia</w:t>
      </w:r>
      <w:proofErr w:type="gramEnd"/>
      <w:r w:rsidRPr="00EA203B">
        <w:rPr>
          <w:rFonts w:ascii="Arial" w:hAnsi="Arial" w:cs="Arial"/>
          <w:color w:val="000000"/>
          <w:sz w:val="24"/>
          <w:lang w:eastAsia="es-CR"/>
        </w:rPr>
        <w:t xml:space="preserve"> a partir del primero de abril de 2025 y existe imposibilidad práctica de la superintendencia de ejecutar a esa fecha los mecanismos de captura y verificación de la información. Lo anterior por encontrarse en diseño y desarrollo los mecanismos para implementar la referida disposición.</w:t>
      </w:r>
    </w:p>
    <w:p w14:paraId="04C3FFBD" w14:textId="77777777" w:rsidR="00EA203B" w:rsidRPr="00EA203B" w:rsidRDefault="00EA203B" w:rsidP="00EA203B">
      <w:pPr>
        <w:tabs>
          <w:tab w:val="left" w:pos="567"/>
        </w:tabs>
        <w:ind w:right="-193"/>
        <w:jc w:val="both"/>
        <w:divId w:val="346060709"/>
        <w:rPr>
          <w:rFonts w:ascii="Arial" w:hAnsi="Arial" w:cs="Arial"/>
          <w:szCs w:val="24"/>
        </w:rPr>
      </w:pPr>
    </w:p>
    <w:p w14:paraId="6E36AB02" w14:textId="77777777" w:rsidR="00EA203B" w:rsidRPr="00EA203B" w:rsidRDefault="00EA203B" w:rsidP="00EA203B">
      <w:pPr>
        <w:tabs>
          <w:tab w:val="left" w:pos="567"/>
        </w:tabs>
        <w:ind w:right="-193"/>
        <w:jc w:val="both"/>
        <w:divId w:val="346060709"/>
        <w:rPr>
          <w:rFonts w:ascii="Arial" w:eastAsia="Calibri" w:hAnsi="Arial" w:cs="Arial"/>
          <w:color w:val="000000"/>
          <w:szCs w:val="24"/>
          <w:lang w:eastAsia="es-CR"/>
        </w:rPr>
      </w:pPr>
    </w:p>
    <w:p w14:paraId="424B5227" w14:textId="77777777" w:rsidR="00EA203B" w:rsidRPr="00EA203B" w:rsidRDefault="00EA203B" w:rsidP="00EA203B">
      <w:pPr>
        <w:jc w:val="both"/>
        <w:divId w:val="346060709"/>
        <w:rPr>
          <w:rFonts w:ascii="Arial" w:eastAsia="Calibri" w:hAnsi="Arial" w:cs="Arial"/>
          <w:szCs w:val="24"/>
        </w:rPr>
      </w:pPr>
      <w:r w:rsidRPr="00EA203B">
        <w:rPr>
          <w:rFonts w:ascii="Arial" w:eastAsia="Calibri" w:hAnsi="Arial" w:cs="Arial"/>
          <w:szCs w:val="24"/>
        </w:rPr>
        <w:t>Por tanto, dispone el presente acuerdo:</w:t>
      </w:r>
    </w:p>
    <w:p w14:paraId="5D4B19D6" w14:textId="77777777" w:rsidR="00EA203B" w:rsidRPr="00EA203B" w:rsidRDefault="00EA203B" w:rsidP="00EA203B">
      <w:pPr>
        <w:jc w:val="both"/>
        <w:divId w:val="346060709"/>
        <w:rPr>
          <w:rFonts w:ascii="Arial" w:eastAsia="Calibri" w:hAnsi="Arial" w:cs="Arial"/>
          <w:szCs w:val="24"/>
        </w:rPr>
      </w:pPr>
    </w:p>
    <w:p w14:paraId="2A86B7C4" w14:textId="73F7C572" w:rsidR="00EA203B" w:rsidRPr="00EA203B" w:rsidRDefault="00EA203B" w:rsidP="00EA203B">
      <w:pPr>
        <w:jc w:val="center"/>
        <w:divId w:val="346060709"/>
        <w:rPr>
          <w:rFonts w:ascii="Arial" w:eastAsia="Calibri" w:hAnsi="Arial" w:cs="Arial"/>
          <w:b/>
          <w:bCs/>
          <w:szCs w:val="24"/>
        </w:rPr>
      </w:pPr>
      <w:r w:rsidRPr="00EA203B">
        <w:rPr>
          <w:rFonts w:ascii="Arial" w:eastAsia="Calibri" w:hAnsi="Arial" w:cs="Arial"/>
          <w:b/>
          <w:bCs/>
          <w:szCs w:val="24"/>
        </w:rPr>
        <w:t>SGV-A-1-2025</w:t>
      </w:r>
    </w:p>
    <w:p w14:paraId="5E9B87B2" w14:textId="77777777" w:rsidR="00EA203B" w:rsidRPr="00EA203B" w:rsidRDefault="00EA203B" w:rsidP="00EA203B">
      <w:pPr>
        <w:jc w:val="both"/>
        <w:divId w:val="346060709"/>
        <w:rPr>
          <w:rFonts w:ascii="Arial" w:eastAsia="Calibri" w:hAnsi="Arial" w:cs="Arial"/>
          <w:szCs w:val="24"/>
          <w:lang w:eastAsia="en-US"/>
        </w:rPr>
      </w:pPr>
    </w:p>
    <w:p w14:paraId="783F1745" w14:textId="77777777" w:rsidR="00EA203B" w:rsidRPr="00EA203B" w:rsidRDefault="00EA203B" w:rsidP="00EA203B">
      <w:pPr>
        <w:jc w:val="both"/>
        <w:divId w:val="346060709"/>
        <w:rPr>
          <w:rFonts w:ascii="Arial" w:hAnsi="Arial" w:cs="Arial"/>
          <w:b/>
          <w:szCs w:val="24"/>
        </w:rPr>
      </w:pPr>
      <w:r w:rsidRPr="00EA203B">
        <w:rPr>
          <w:rFonts w:ascii="Arial" w:hAnsi="Arial" w:cs="Arial"/>
          <w:b/>
          <w:szCs w:val="24"/>
        </w:rPr>
        <w:t>MODIFICACIÓN DEL TRANSITORIO I DEL ACUERDO SGV-A-6-2024.  MODIFICACIÓN A LOS ACUERDOS SGV-A-188 “Directriz para la implementación del Sistema de Mensajería de Documentos (MENDOCEL)” y SGV-A-257 Información Básica de las Entidades Reguladas y Supervisadas por la Superintendencia General de Valores</w:t>
      </w:r>
    </w:p>
    <w:p w14:paraId="276C97E5" w14:textId="77777777" w:rsidR="00EA203B" w:rsidRPr="00EA203B" w:rsidRDefault="00EA203B" w:rsidP="00EA203B">
      <w:pPr>
        <w:jc w:val="both"/>
        <w:divId w:val="346060709"/>
        <w:rPr>
          <w:rFonts w:ascii="Arial" w:hAnsi="Arial" w:cs="Arial"/>
          <w:b/>
          <w:szCs w:val="24"/>
        </w:rPr>
      </w:pPr>
      <w:r w:rsidRPr="00EA203B">
        <w:rPr>
          <w:rFonts w:ascii="Arial" w:hAnsi="Arial" w:cs="Arial"/>
          <w:b/>
          <w:szCs w:val="24"/>
        </w:rPr>
        <w:t xml:space="preserve">  </w:t>
      </w:r>
    </w:p>
    <w:p w14:paraId="0C0C0057" w14:textId="77777777" w:rsidR="00EA203B" w:rsidRPr="00EA203B" w:rsidRDefault="00EA203B" w:rsidP="00EA203B">
      <w:pPr>
        <w:autoSpaceDE w:val="0"/>
        <w:autoSpaceDN w:val="0"/>
        <w:adjustRightInd w:val="0"/>
        <w:jc w:val="both"/>
        <w:divId w:val="346060709"/>
        <w:rPr>
          <w:rFonts w:ascii="Arial" w:hAnsi="Arial" w:cs="Arial"/>
          <w:color w:val="000000"/>
          <w:szCs w:val="24"/>
        </w:rPr>
      </w:pPr>
      <w:r w:rsidRPr="00EA203B">
        <w:rPr>
          <w:rFonts w:ascii="Arial" w:eastAsia="Calibri" w:hAnsi="Arial" w:cs="Arial"/>
          <w:b/>
          <w:color w:val="000000"/>
          <w:szCs w:val="24"/>
          <w:lang w:eastAsia="es-CR"/>
        </w:rPr>
        <w:lastRenderedPageBreak/>
        <w:t xml:space="preserve">Artículo 1.- </w:t>
      </w:r>
      <w:r w:rsidRPr="00EA203B">
        <w:rPr>
          <w:rFonts w:ascii="Arial" w:hAnsi="Arial" w:cs="Arial"/>
          <w:color w:val="000000"/>
          <w:szCs w:val="24"/>
        </w:rPr>
        <w:t>Modificar el transitorio I del Acuerdo SGV-A-6-2024 MODIFICACIÓN A LOS ACUERDOS SGV-A-188 “Directriz para la implementación del Sistema de Mensajería de Documentos (MENDOCEL)” y SGV-A-257 Información Básica de las Entidades Reguladas y Supervisadas por la Superintendencia General de Valores, del 5 de noviembre del 2024, para que en adelante se lea así:</w:t>
      </w:r>
    </w:p>
    <w:p w14:paraId="4375BC68" w14:textId="77777777" w:rsidR="00EA203B" w:rsidRPr="00EA203B" w:rsidRDefault="00EA203B" w:rsidP="00EA203B">
      <w:pPr>
        <w:jc w:val="both"/>
        <w:divId w:val="346060709"/>
        <w:rPr>
          <w:rFonts w:ascii="Arial" w:hAnsi="Arial" w:cs="Arial"/>
          <w:szCs w:val="24"/>
        </w:rPr>
      </w:pPr>
    </w:p>
    <w:p w14:paraId="16C9C178" w14:textId="77777777" w:rsidR="00EA203B" w:rsidRPr="00EA203B" w:rsidRDefault="00EA203B" w:rsidP="00EA203B">
      <w:pPr>
        <w:jc w:val="both"/>
        <w:divId w:val="346060709"/>
        <w:rPr>
          <w:rFonts w:ascii="Arial" w:hAnsi="Arial" w:cs="Arial"/>
          <w:b/>
          <w:szCs w:val="24"/>
        </w:rPr>
      </w:pPr>
      <w:r w:rsidRPr="00EA203B">
        <w:rPr>
          <w:rFonts w:ascii="Arial" w:hAnsi="Arial" w:cs="Arial"/>
          <w:b/>
          <w:szCs w:val="24"/>
        </w:rPr>
        <w:t>“Transitorio I. Sobre la carga inicial de información relacionada con los roles de gestión de la correspondencia e información periódica.</w:t>
      </w:r>
    </w:p>
    <w:p w14:paraId="550FCA58" w14:textId="77777777" w:rsidR="00EA203B" w:rsidRPr="00EA203B" w:rsidRDefault="00EA203B" w:rsidP="00EA203B">
      <w:pPr>
        <w:jc w:val="both"/>
        <w:divId w:val="346060709"/>
        <w:rPr>
          <w:rFonts w:ascii="Arial" w:hAnsi="Arial" w:cs="Arial"/>
          <w:b/>
          <w:szCs w:val="24"/>
        </w:rPr>
      </w:pPr>
    </w:p>
    <w:p w14:paraId="59D2832F" w14:textId="77777777" w:rsidR="00EA203B" w:rsidRPr="00EA203B" w:rsidRDefault="00EA203B" w:rsidP="00EA203B">
      <w:pPr>
        <w:jc w:val="both"/>
        <w:divId w:val="346060709"/>
        <w:rPr>
          <w:rFonts w:ascii="Arial" w:hAnsi="Arial" w:cs="Arial"/>
          <w:bCs/>
          <w:szCs w:val="24"/>
        </w:rPr>
      </w:pPr>
      <w:r w:rsidRPr="00EA203B">
        <w:rPr>
          <w:rFonts w:ascii="Arial" w:hAnsi="Arial" w:cs="Arial"/>
          <w:bCs/>
          <w:szCs w:val="24"/>
        </w:rPr>
        <w:t>Las entidades reguladas o supervisadas tendrán las siguientes fechas límite para ingresar la información de los siguientes roles.</w:t>
      </w:r>
    </w:p>
    <w:p w14:paraId="7BFF8D85" w14:textId="77777777" w:rsidR="00EA203B" w:rsidRPr="00EA203B" w:rsidRDefault="00EA203B" w:rsidP="00EA203B">
      <w:pPr>
        <w:jc w:val="both"/>
        <w:divId w:val="346060709"/>
        <w:rPr>
          <w:rFonts w:ascii="Arial" w:hAnsi="Arial" w:cs="Arial"/>
          <w:bCs/>
          <w:szCs w:val="24"/>
        </w:rPr>
      </w:pPr>
    </w:p>
    <w:tbl>
      <w:tblPr>
        <w:tblStyle w:val="Tablaconcuadrcula1clara"/>
        <w:tblW w:w="0" w:type="auto"/>
        <w:tblInd w:w="0" w:type="dxa"/>
        <w:tblLook w:val="04A0" w:firstRow="1" w:lastRow="0" w:firstColumn="1" w:lastColumn="0" w:noHBand="0" w:noVBand="1"/>
      </w:tblPr>
      <w:tblGrid>
        <w:gridCol w:w="4326"/>
        <w:gridCol w:w="4312"/>
      </w:tblGrid>
      <w:tr w:rsidR="00EA203B" w:rsidRPr="00EA203B" w14:paraId="7BE7F6B0" w14:textId="77777777" w:rsidTr="00EA203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4" w:type="dxa"/>
            <w:tcBorders>
              <w:top w:val="single" w:sz="4" w:space="0" w:color="999999" w:themeColor="text1" w:themeTint="66"/>
              <w:left w:val="single" w:sz="4" w:space="0" w:color="999999" w:themeColor="text1" w:themeTint="66"/>
              <w:right w:val="single" w:sz="4" w:space="0" w:color="999999" w:themeColor="text1" w:themeTint="66"/>
            </w:tcBorders>
            <w:hideMark/>
          </w:tcPr>
          <w:p w14:paraId="15E5134A" w14:textId="77777777" w:rsidR="00EA203B" w:rsidRPr="00EA203B" w:rsidRDefault="00EA203B" w:rsidP="00EA203B">
            <w:pPr>
              <w:jc w:val="center"/>
              <w:rPr>
                <w:rFonts w:ascii="Arial" w:hAnsi="Arial" w:cs="Arial"/>
                <w:szCs w:val="24"/>
              </w:rPr>
            </w:pPr>
            <w:r w:rsidRPr="00EA203B">
              <w:rPr>
                <w:rFonts w:ascii="Arial" w:hAnsi="Arial" w:cs="Arial"/>
                <w:szCs w:val="24"/>
              </w:rPr>
              <w:t>Nombre del Rol</w:t>
            </w:r>
          </w:p>
        </w:tc>
        <w:tc>
          <w:tcPr>
            <w:tcW w:w="4414" w:type="dxa"/>
            <w:tcBorders>
              <w:top w:val="single" w:sz="4" w:space="0" w:color="999999" w:themeColor="text1" w:themeTint="66"/>
              <w:left w:val="single" w:sz="4" w:space="0" w:color="999999" w:themeColor="text1" w:themeTint="66"/>
              <w:right w:val="single" w:sz="4" w:space="0" w:color="999999" w:themeColor="text1" w:themeTint="66"/>
            </w:tcBorders>
            <w:hideMark/>
          </w:tcPr>
          <w:p w14:paraId="1021CDFC" w14:textId="77777777" w:rsidR="00EA203B" w:rsidRPr="00EA203B" w:rsidRDefault="00EA203B" w:rsidP="00EA203B">
            <w:pPr>
              <w:jc w:val="center"/>
              <w:cnfStyle w:val="100000000000" w:firstRow="1" w:lastRow="0" w:firstColumn="0" w:lastColumn="0" w:oddVBand="0" w:evenVBand="0" w:oddHBand="0" w:evenHBand="0" w:firstRowFirstColumn="0" w:firstRowLastColumn="0" w:lastRowFirstColumn="0" w:lastRowLastColumn="0"/>
              <w:rPr>
                <w:rFonts w:ascii="Arial" w:hAnsi="Arial" w:cs="Arial"/>
                <w:szCs w:val="24"/>
              </w:rPr>
            </w:pPr>
            <w:r w:rsidRPr="00EA203B">
              <w:rPr>
                <w:rFonts w:ascii="Arial" w:hAnsi="Arial" w:cs="Arial"/>
                <w:szCs w:val="24"/>
              </w:rPr>
              <w:t>Fecha límite de registro en el Sistema de Roles</w:t>
            </w:r>
          </w:p>
        </w:tc>
      </w:tr>
      <w:tr w:rsidR="00EA203B" w:rsidRPr="00EA203B" w14:paraId="37B65DA3" w14:textId="77777777" w:rsidTr="00EA203B">
        <w:tc>
          <w:tcPr>
            <w:cnfStyle w:val="001000000000" w:firstRow="0" w:lastRow="0" w:firstColumn="1" w:lastColumn="0" w:oddVBand="0" w:evenVBand="0" w:oddHBand="0" w:evenHBand="0" w:firstRowFirstColumn="0" w:firstRowLastColumn="0" w:lastRowFirstColumn="0" w:lastRowLastColumn="0"/>
            <w:tcW w:w="441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CEFBC58" w14:textId="77777777" w:rsidR="00EA203B" w:rsidRPr="00EA203B" w:rsidRDefault="00EA203B" w:rsidP="00EA203B">
            <w:pPr>
              <w:jc w:val="center"/>
              <w:rPr>
                <w:rFonts w:ascii="Arial" w:hAnsi="Arial" w:cs="Arial"/>
                <w:b w:val="0"/>
                <w:bCs w:val="0"/>
                <w:szCs w:val="24"/>
              </w:rPr>
            </w:pPr>
            <w:r w:rsidRPr="00EA203B">
              <w:rPr>
                <w:rFonts w:ascii="Arial" w:hAnsi="Arial" w:cs="Arial"/>
                <w:b w:val="0"/>
                <w:bCs w:val="0"/>
                <w:szCs w:val="24"/>
              </w:rPr>
              <w:t>Firmador de información periódica.</w:t>
            </w:r>
          </w:p>
        </w:tc>
        <w:tc>
          <w:tcPr>
            <w:tcW w:w="441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4193FED" w14:textId="77777777" w:rsidR="00EA203B" w:rsidRPr="00EA203B" w:rsidRDefault="00EA203B" w:rsidP="00EA203B">
            <w:pPr>
              <w:jc w:val="center"/>
              <w:cnfStyle w:val="000000000000" w:firstRow="0" w:lastRow="0" w:firstColumn="0" w:lastColumn="0" w:oddVBand="0" w:evenVBand="0" w:oddHBand="0" w:evenHBand="0" w:firstRowFirstColumn="0" w:firstRowLastColumn="0" w:lastRowFirstColumn="0" w:lastRowLastColumn="0"/>
              <w:rPr>
                <w:rFonts w:ascii="Arial" w:hAnsi="Arial" w:cs="Arial"/>
                <w:szCs w:val="24"/>
              </w:rPr>
            </w:pPr>
            <w:r w:rsidRPr="00EA203B">
              <w:rPr>
                <w:rFonts w:ascii="Arial" w:hAnsi="Arial" w:cs="Arial"/>
                <w:szCs w:val="24"/>
              </w:rPr>
              <w:t>31 de julio del 2025</w:t>
            </w:r>
          </w:p>
        </w:tc>
      </w:tr>
      <w:tr w:rsidR="00EA203B" w:rsidRPr="00EA203B" w14:paraId="0473FDF3" w14:textId="77777777" w:rsidTr="00EA203B">
        <w:tc>
          <w:tcPr>
            <w:cnfStyle w:val="001000000000" w:firstRow="0" w:lastRow="0" w:firstColumn="1" w:lastColumn="0" w:oddVBand="0" w:evenVBand="0" w:oddHBand="0" w:evenHBand="0" w:firstRowFirstColumn="0" w:firstRowLastColumn="0" w:lastRowFirstColumn="0" w:lastRowLastColumn="0"/>
            <w:tcW w:w="441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A32F753" w14:textId="77777777" w:rsidR="00EA203B" w:rsidRPr="00EA203B" w:rsidRDefault="00EA203B" w:rsidP="00EA203B">
            <w:pPr>
              <w:jc w:val="center"/>
              <w:rPr>
                <w:rFonts w:ascii="Arial" w:hAnsi="Arial" w:cs="Arial"/>
                <w:b w:val="0"/>
                <w:bCs w:val="0"/>
                <w:szCs w:val="24"/>
              </w:rPr>
            </w:pPr>
            <w:r w:rsidRPr="00EA203B">
              <w:rPr>
                <w:rFonts w:ascii="Arial" w:hAnsi="Arial" w:cs="Arial"/>
                <w:b w:val="0"/>
                <w:bCs w:val="0"/>
                <w:szCs w:val="24"/>
              </w:rPr>
              <w:t>Firmador de trámites.</w:t>
            </w:r>
          </w:p>
        </w:tc>
        <w:tc>
          <w:tcPr>
            <w:tcW w:w="441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0472570" w14:textId="77777777" w:rsidR="00EA203B" w:rsidRPr="00EA203B" w:rsidRDefault="00EA203B" w:rsidP="00EA203B">
            <w:pPr>
              <w:jc w:val="center"/>
              <w:cnfStyle w:val="000000000000" w:firstRow="0" w:lastRow="0" w:firstColumn="0" w:lastColumn="0" w:oddVBand="0" w:evenVBand="0" w:oddHBand="0" w:evenHBand="0" w:firstRowFirstColumn="0" w:firstRowLastColumn="0" w:lastRowFirstColumn="0" w:lastRowLastColumn="0"/>
              <w:rPr>
                <w:rFonts w:ascii="Arial" w:hAnsi="Arial" w:cs="Arial"/>
                <w:szCs w:val="24"/>
              </w:rPr>
            </w:pPr>
            <w:r w:rsidRPr="00EA203B">
              <w:rPr>
                <w:rFonts w:ascii="Arial" w:hAnsi="Arial" w:cs="Arial"/>
                <w:szCs w:val="24"/>
              </w:rPr>
              <w:t>31 de julio del 2025</w:t>
            </w:r>
          </w:p>
        </w:tc>
      </w:tr>
      <w:tr w:rsidR="00EA203B" w:rsidRPr="00EA203B" w14:paraId="521DDAEA" w14:textId="77777777" w:rsidTr="00EA203B">
        <w:tc>
          <w:tcPr>
            <w:cnfStyle w:val="001000000000" w:firstRow="0" w:lastRow="0" w:firstColumn="1" w:lastColumn="0" w:oddVBand="0" w:evenVBand="0" w:oddHBand="0" w:evenHBand="0" w:firstRowFirstColumn="0" w:firstRowLastColumn="0" w:lastRowFirstColumn="0" w:lastRowLastColumn="0"/>
            <w:tcW w:w="441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0E218F5" w14:textId="77777777" w:rsidR="00EA203B" w:rsidRPr="00EA203B" w:rsidRDefault="00EA203B" w:rsidP="00EA203B">
            <w:pPr>
              <w:jc w:val="center"/>
              <w:rPr>
                <w:rFonts w:ascii="Arial" w:hAnsi="Arial" w:cs="Arial"/>
                <w:b w:val="0"/>
                <w:bCs w:val="0"/>
                <w:szCs w:val="24"/>
              </w:rPr>
            </w:pPr>
            <w:r w:rsidRPr="00EA203B">
              <w:rPr>
                <w:rFonts w:ascii="Arial" w:hAnsi="Arial" w:cs="Arial"/>
                <w:b w:val="0"/>
                <w:bCs w:val="0"/>
                <w:szCs w:val="24"/>
              </w:rPr>
              <w:t>Firmador de mensajería de documentos.</w:t>
            </w:r>
          </w:p>
        </w:tc>
        <w:tc>
          <w:tcPr>
            <w:tcW w:w="441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CE46C5C" w14:textId="77777777" w:rsidR="00EA203B" w:rsidRPr="00EA203B" w:rsidRDefault="00EA203B" w:rsidP="00EA203B">
            <w:pPr>
              <w:jc w:val="center"/>
              <w:cnfStyle w:val="000000000000" w:firstRow="0" w:lastRow="0" w:firstColumn="0" w:lastColumn="0" w:oddVBand="0" w:evenVBand="0" w:oddHBand="0" w:evenHBand="0" w:firstRowFirstColumn="0" w:firstRowLastColumn="0" w:lastRowFirstColumn="0" w:lastRowLastColumn="0"/>
              <w:rPr>
                <w:rFonts w:ascii="Arial" w:hAnsi="Arial" w:cs="Arial"/>
                <w:szCs w:val="24"/>
                <w:highlight w:val="yellow"/>
              </w:rPr>
            </w:pPr>
            <w:r w:rsidRPr="00EA203B">
              <w:rPr>
                <w:rFonts w:ascii="Arial" w:hAnsi="Arial" w:cs="Arial"/>
                <w:szCs w:val="24"/>
              </w:rPr>
              <w:t>15 de octubre del 2025</w:t>
            </w:r>
          </w:p>
        </w:tc>
      </w:tr>
    </w:tbl>
    <w:p w14:paraId="5E642683" w14:textId="77777777" w:rsidR="00EA203B" w:rsidRPr="00EA203B" w:rsidRDefault="00EA203B" w:rsidP="00EA203B">
      <w:pPr>
        <w:jc w:val="both"/>
        <w:rPr>
          <w:rFonts w:ascii="Arial" w:hAnsi="Arial" w:cs="Arial"/>
          <w:bCs/>
          <w:szCs w:val="24"/>
        </w:rPr>
      </w:pPr>
    </w:p>
    <w:p w14:paraId="432651D2" w14:textId="77777777" w:rsidR="00EA203B" w:rsidRPr="00EA203B" w:rsidRDefault="00EA203B" w:rsidP="00EA203B">
      <w:pPr>
        <w:jc w:val="both"/>
        <w:rPr>
          <w:rFonts w:ascii="Arial" w:hAnsi="Arial" w:cs="Arial"/>
          <w:bCs/>
          <w:szCs w:val="24"/>
        </w:rPr>
      </w:pPr>
      <w:r w:rsidRPr="00EA203B">
        <w:rPr>
          <w:rFonts w:ascii="Arial" w:hAnsi="Arial" w:cs="Arial"/>
          <w:bCs/>
          <w:szCs w:val="24"/>
        </w:rPr>
        <w:t>Mientras no se haya implementado la integración de los sistemas de validación, deben mantenerse los registros de los firmantes tanto en el sistema MAPSI con en el sistema de Roles.”</w:t>
      </w:r>
    </w:p>
    <w:p w14:paraId="301DC426" w14:textId="77777777" w:rsidR="00EA203B" w:rsidRPr="00EA203B" w:rsidRDefault="00EA203B" w:rsidP="00EA203B">
      <w:pPr>
        <w:jc w:val="both"/>
        <w:rPr>
          <w:rFonts w:ascii="Arial" w:hAnsi="Arial" w:cs="Arial"/>
          <w:bCs/>
          <w:szCs w:val="24"/>
        </w:rPr>
      </w:pPr>
    </w:p>
    <w:p w14:paraId="00FABE00" w14:textId="77777777" w:rsidR="00EA203B" w:rsidRPr="00EA203B" w:rsidRDefault="00EA203B" w:rsidP="00EA203B">
      <w:pPr>
        <w:jc w:val="both"/>
        <w:rPr>
          <w:rFonts w:ascii="Arial" w:hAnsi="Arial" w:cs="Arial"/>
          <w:szCs w:val="24"/>
        </w:rPr>
      </w:pPr>
      <w:r w:rsidRPr="00EA203B">
        <w:rPr>
          <w:rFonts w:ascii="Arial" w:eastAsia="Calibri" w:hAnsi="Arial" w:cs="Arial"/>
          <w:b/>
          <w:color w:val="000000"/>
          <w:szCs w:val="24"/>
          <w:lang w:eastAsia="es-CR"/>
        </w:rPr>
        <w:t xml:space="preserve">Artículo 2.- </w:t>
      </w:r>
      <w:r w:rsidRPr="00EA203B">
        <w:rPr>
          <w:rFonts w:ascii="Arial" w:hAnsi="Arial" w:cs="Arial"/>
          <w:szCs w:val="24"/>
        </w:rPr>
        <w:t>Rige a partir de su comunicación.</w:t>
      </w:r>
    </w:p>
    <w:p w14:paraId="19DB2356" w14:textId="77777777" w:rsidR="00CE3F5C" w:rsidRPr="00EA203B" w:rsidRDefault="00CE3F5C" w:rsidP="00EA203B">
      <w:pPr>
        <w:jc w:val="both"/>
        <w:rPr>
          <w:rFonts w:ascii="Arial" w:hAnsi="Arial" w:cs="Arial"/>
          <w:szCs w:val="24"/>
        </w:rPr>
      </w:pPr>
    </w:p>
    <w:p w14:paraId="4345A034" w14:textId="133EBC77" w:rsidR="006453BA" w:rsidRPr="00EA203B" w:rsidRDefault="004F2251" w:rsidP="00EA203B">
      <w:pPr>
        <w:jc w:val="both"/>
        <w:rPr>
          <w:rFonts w:ascii="Arial" w:hAnsi="Arial" w:cs="Arial"/>
          <w:szCs w:val="24"/>
        </w:rPr>
      </w:pPr>
      <w:r w:rsidRPr="00EA203B">
        <w:rPr>
          <w:rFonts w:ascii="Arial" w:hAnsi="Arial" w:cs="Arial"/>
          <w:szCs w:val="24"/>
        </w:rPr>
        <w:tab/>
      </w:r>
    </w:p>
    <w:sectPr w:rsidR="006453BA" w:rsidRPr="00EA203B" w:rsidSect="00CB2DE9">
      <w:headerReference w:type="default" r:id="rId13"/>
      <w:footerReference w:type="default" r:id="rId14"/>
      <w:headerReference w:type="first" r:id="rId15"/>
      <w:footerReference w:type="first" r:id="rId16"/>
      <w:pgSz w:w="12242" w:h="15842" w:code="1"/>
      <w:pgMar w:top="2361" w:right="1797" w:bottom="1440" w:left="1797" w:header="709" w:footer="403"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57A171" w14:textId="77777777" w:rsidR="00793838" w:rsidRDefault="00793838">
      <w:r>
        <w:separator/>
      </w:r>
    </w:p>
  </w:endnote>
  <w:endnote w:type="continuationSeparator" w:id="0">
    <w:p w14:paraId="27868295" w14:textId="77777777" w:rsidR="00793838" w:rsidRDefault="007938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E47073" w14:textId="58DE69A6" w:rsidR="00C20EC5" w:rsidRDefault="00C20EC5" w:rsidP="00C20EC5">
    <w:pPr>
      <w:pStyle w:val="Piedepgina"/>
      <w:tabs>
        <w:tab w:val="right" w:pos="9498"/>
      </w:tabs>
      <w:ind w:left="-993" w:right="-999"/>
      <w:jc w:val="right"/>
      <w:rPr>
        <w:rFonts w:ascii="Arial" w:hAnsi="Arial" w:cs="Arial"/>
        <w:color w:val="204775"/>
        <w:sz w:val="20"/>
      </w:rPr>
    </w:pPr>
    <w:r>
      <w:rPr>
        <w:rFonts w:ascii="Arial" w:hAnsi="Arial" w:cs="Arial"/>
        <w:color w:val="204775"/>
        <w:sz w:val="20"/>
      </w:rPr>
      <w:t>_______________________________________________________________________________________________</w:t>
    </w:r>
  </w:p>
  <w:p w14:paraId="38BADA13" w14:textId="77777777" w:rsidR="00C20EC5" w:rsidRPr="00097CFB" w:rsidRDefault="00C20EC5" w:rsidP="00C20EC5">
    <w:pPr>
      <w:pStyle w:val="Piedepgina"/>
      <w:tabs>
        <w:tab w:val="right" w:pos="9498"/>
      </w:tabs>
      <w:ind w:left="-993" w:right="-999"/>
      <w:jc w:val="right"/>
      <w:rPr>
        <w:rFonts w:ascii="Arial" w:hAnsi="Arial" w:cs="Arial"/>
        <w:color w:val="204775"/>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AA67D4" w14:textId="1CD11FDF" w:rsidR="00CB2DE9" w:rsidRDefault="00DB65C8" w:rsidP="00CB2DE9">
    <w:pPr>
      <w:pStyle w:val="Piedepgina"/>
      <w:tabs>
        <w:tab w:val="right" w:pos="9498"/>
      </w:tabs>
      <w:ind w:left="-993" w:right="-999"/>
      <w:jc w:val="right"/>
      <w:rPr>
        <w:rFonts w:ascii="Arial" w:hAnsi="Arial" w:cs="Arial"/>
        <w:color w:val="204775"/>
        <w:sz w:val="20"/>
      </w:rPr>
    </w:pPr>
    <w:r>
      <w:rPr>
        <w:rFonts w:ascii="Arial" w:hAnsi="Arial" w:cs="Arial"/>
        <w:noProof/>
        <w:color w:val="204775"/>
        <w:sz w:val="20"/>
      </w:rPr>
      <mc:AlternateContent>
        <mc:Choice Requires="wps">
          <w:drawing>
            <wp:anchor distT="0" distB="0" distL="114300" distR="114300" simplePos="0" relativeHeight="251661312" behindDoc="0" locked="0" layoutInCell="0" allowOverlap="1" wp14:anchorId="1DC07951" wp14:editId="72BECE01">
              <wp:simplePos x="0" y="0"/>
              <wp:positionH relativeFrom="page">
                <wp:posOffset>0</wp:posOffset>
              </wp:positionH>
              <wp:positionV relativeFrom="page">
                <wp:posOffset>9596120</wp:posOffset>
              </wp:positionV>
              <wp:extent cx="7773670" cy="273050"/>
              <wp:effectExtent l="0" t="0" r="0" b="12700"/>
              <wp:wrapNone/>
              <wp:docPr id="2" name="MSIPCMe3524c19b5f0dca86639cb19" descr="{&quot;HashCode&quot;:1186230005,&quot;Height&quot;:792.0,&quot;Width&quot;:612.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367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5EB6B9A" w14:textId="21D6CFE9" w:rsidR="00DB65C8" w:rsidRPr="009D6A39" w:rsidRDefault="007E24B6" w:rsidP="009D6A39">
                          <w:pPr>
                            <w:jc w:val="center"/>
                            <w:rPr>
                              <w:rFonts w:ascii="Calibri" w:hAnsi="Calibri" w:cs="Calibri"/>
                              <w:color w:val="000000"/>
                              <w:sz w:val="20"/>
                            </w:rPr>
                          </w:pPr>
                          <w:r>
                            <w:rPr>
                              <w:rFonts w:ascii="Calibri" w:hAnsi="Calibri" w:cs="Calibri"/>
                              <w:color w:val="000000"/>
                              <w:sz w:val="20"/>
                            </w:rPr>
                            <w:t>Uso Interno</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DC07951" id="_x0000_t202" coordsize="21600,21600" o:spt="202" path="m,l,21600r21600,l21600,xe">
              <v:stroke joinstyle="miter"/>
              <v:path gradientshapeok="t" o:connecttype="rect"/>
            </v:shapetype>
            <v:shape id="MSIPCMe3524c19b5f0dca86639cb19" o:spid="_x0000_s1026" type="#_x0000_t202" alt="{&quot;HashCode&quot;:1186230005,&quot;Height&quot;:792.0,&quot;Width&quot;:612.0,&quot;Placement&quot;:&quot;Footer&quot;,&quot;Index&quot;:&quot;FirstPage&quot;,&quot;Section&quot;:1,&quot;Top&quot;:0.0,&quot;Left&quot;:0.0}" style="position:absolute;left:0;text-align:left;margin-left:0;margin-top:755.6pt;width:612.1pt;height:21.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" o:allowincell="f" filled="f" stroked="f" strokeweight=".5pt">
              <v:textbox inset=",0,,0">
                <w:txbxContent>
                  <w:p w14:paraId="05EB6B9A" w14:textId="21D6CFE9" w:rsidR="00DB65C8" w:rsidRPr="009D6A39" w:rsidRDefault="007E24B6" w:rsidP="009D6A39">
                    <w:pPr>
                      <w:jc w:val="center"/>
                      <w:rPr>
                        <w:rFonts w:ascii="Calibri" w:hAnsi="Calibri" w:cs="Calibri"/>
                        <w:color w:val="000000"/>
                        <w:sz w:val="20"/>
                      </w:rPr>
                    </w:pPr>
                    <w:r>
                      <w:rPr>
                        <w:rFonts w:ascii="Calibri" w:hAnsi="Calibri" w:cs="Calibri"/>
                        <w:color w:val="000000"/>
                        <w:sz w:val="20"/>
                      </w:rPr>
                      <w:t>Uso Interno</w:t>
                    </w:r>
                  </w:p>
                </w:txbxContent>
              </v:textbox>
              <w10:wrap anchorx="page" anchory="page"/>
            </v:shape>
          </w:pict>
        </mc:Fallback>
      </mc:AlternateContent>
    </w:r>
    <w:r w:rsidR="00CB2DE9">
      <w:rPr>
        <w:rFonts w:ascii="Arial" w:hAnsi="Arial" w:cs="Arial"/>
        <w:color w:val="204775"/>
        <w:sz w:val="20"/>
      </w:rPr>
      <w:t>_______________________________________________________________________________________________</w:t>
    </w:r>
  </w:p>
  <w:p w14:paraId="035E2E93" w14:textId="77777777" w:rsidR="00CB2DE9" w:rsidRPr="00097CFB" w:rsidRDefault="00CB2DE9" w:rsidP="00CB2DE9">
    <w:pPr>
      <w:pStyle w:val="Piedepgina"/>
      <w:tabs>
        <w:tab w:val="right" w:pos="9498"/>
      </w:tabs>
      <w:ind w:left="-993" w:right="-999"/>
      <w:jc w:val="right"/>
      <w:rPr>
        <w:rFonts w:ascii="Arial" w:hAnsi="Arial" w:cs="Arial"/>
        <w:color w:val="204775"/>
        <w:sz w:val="20"/>
      </w:rPr>
    </w:pPr>
  </w:p>
  <w:p w14:paraId="4F2D68EF" w14:textId="77777777" w:rsidR="00CB2DE9" w:rsidRPr="00142EDC" w:rsidRDefault="00CB2DE9" w:rsidP="00CB2DE9">
    <w:pPr>
      <w:pStyle w:val="Piedepgina"/>
      <w:tabs>
        <w:tab w:val="right" w:pos="9498"/>
      </w:tabs>
      <w:ind w:left="-993" w:right="-999"/>
      <w:jc w:val="right"/>
      <w:rPr>
        <w:rFonts w:ascii="Roboto" w:hAnsi="Roboto" w:cs="Arial"/>
        <w:sz w:val="20"/>
      </w:rPr>
    </w:pPr>
    <w:r w:rsidRPr="00142EDC">
      <w:rPr>
        <w:rFonts w:ascii="Roboto" w:hAnsi="Roboto" w:cs="Arial"/>
        <w:sz w:val="20"/>
      </w:rPr>
      <w:t>Teléfono (506) 2243-4600    Fax (506) 2243-4646</w:t>
    </w:r>
  </w:p>
  <w:p w14:paraId="1C1F871F" w14:textId="77777777" w:rsidR="00CB2DE9" w:rsidRPr="00142EDC" w:rsidRDefault="00CB2DE9" w:rsidP="00CB2DE9">
    <w:pPr>
      <w:pStyle w:val="Piedepgina"/>
      <w:tabs>
        <w:tab w:val="right" w:pos="9498"/>
      </w:tabs>
      <w:ind w:left="-993" w:right="-999"/>
      <w:jc w:val="right"/>
      <w:rPr>
        <w:rFonts w:ascii="Roboto" w:hAnsi="Roboto" w:cs="Arial"/>
        <w:sz w:val="20"/>
      </w:rPr>
    </w:pPr>
    <w:r w:rsidRPr="00142EDC">
      <w:rPr>
        <w:rFonts w:ascii="Roboto" w:hAnsi="Roboto" w:cs="Arial"/>
        <w:sz w:val="20"/>
      </w:rPr>
      <w:t>Dirección: Edificio ODM del BCCR, Barrio Tournón, Piso 6</w:t>
    </w:r>
  </w:p>
  <w:p w14:paraId="21EE40AD" w14:textId="008F7221" w:rsidR="00CB2DE9" w:rsidRPr="00A80359" w:rsidRDefault="00CB2DE9" w:rsidP="00CB2DE9">
    <w:pPr>
      <w:pStyle w:val="Piedepgina"/>
      <w:ind w:right="-991"/>
      <w:jc w:val="right"/>
      <w:rPr>
        <w:rFonts w:ascii="Roboto" w:hAnsi="Roboto"/>
        <w:sz w:val="22"/>
        <w:szCs w:val="22"/>
      </w:rPr>
    </w:pPr>
    <w:hyperlink r:id="rId1" w:history="1">
      <w:r w:rsidRPr="00142EDC">
        <w:rPr>
          <w:rStyle w:val="Hipervnculo"/>
          <w:rFonts w:ascii="Roboto" w:hAnsi="Roboto" w:cs="Arial"/>
          <w:sz w:val="20"/>
        </w:rPr>
        <w:t>correo@sugeval.fi.cr</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EC27EB" w14:textId="77777777" w:rsidR="00793838" w:rsidRDefault="00793838">
      <w:r>
        <w:separator/>
      </w:r>
    </w:p>
  </w:footnote>
  <w:footnote w:type="continuationSeparator" w:id="0">
    <w:p w14:paraId="3C87F8D7" w14:textId="77777777" w:rsidR="00793838" w:rsidRDefault="00793838">
      <w:r>
        <w:continuationSeparator/>
      </w:r>
    </w:p>
  </w:footnote>
  <w:footnote w:id="1">
    <w:p w14:paraId="2FB88D71" w14:textId="355AEF84" w:rsidR="00867AEA" w:rsidRPr="00867AEA" w:rsidRDefault="00867AEA" w:rsidP="00EA203B">
      <w:pPr>
        <w:pStyle w:val="Textonotapie"/>
        <w:jc w:val="both"/>
        <w:rPr>
          <w:lang w:val="es-CR"/>
        </w:rPr>
      </w:pPr>
      <w:r>
        <w:rPr>
          <w:rStyle w:val="Refdenotaalpie"/>
        </w:rPr>
        <w:footnoteRef/>
      </w:r>
      <w:r>
        <w:t xml:space="preserve"> </w:t>
      </w:r>
      <w:r w:rsidR="00EA203B">
        <w:rPr>
          <w:rFonts w:ascii="Roboto" w:hAnsi="Roboto" w:cs="Arial"/>
          <w:bCs/>
          <w:sz w:val="22"/>
          <w:szCs w:val="22"/>
        </w:rPr>
        <w:t>Superintendencia General de Valores. Despacho del Superintendente. A las catorce horas del diecisiete de marzo del dos mil veinticinco.  Rige a partir del 17 de marzo del 2025.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310CE0" w14:textId="1DCC4AA1" w:rsidR="00C20EC5" w:rsidRDefault="00AF2814" w:rsidP="00C20EC5">
    <w:pPr>
      <w:pStyle w:val="Encabezado"/>
      <w:jc w:val="center"/>
      <w:rPr>
        <w:rFonts w:ascii="Arial" w:hAnsi="Arial" w:cs="Arial"/>
        <w:i/>
        <w:sz w:val="22"/>
        <w:szCs w:val="22"/>
      </w:rPr>
    </w:pPr>
    <w:r>
      <w:rPr>
        <w:noProof/>
      </w:rPr>
      <w:drawing>
        <wp:anchor distT="0" distB="0" distL="114300" distR="114300" simplePos="0" relativeHeight="251667456" behindDoc="1" locked="0" layoutInCell="1" allowOverlap="1" wp14:anchorId="4157C759" wp14:editId="217DC0BF">
          <wp:simplePos x="0" y="0"/>
          <wp:positionH relativeFrom="column">
            <wp:posOffset>-1064279</wp:posOffset>
          </wp:positionH>
          <wp:positionV relativeFrom="paragraph">
            <wp:posOffset>-430126</wp:posOffset>
          </wp:positionV>
          <wp:extent cx="7703127" cy="708140"/>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1">
                    <a:extLst>
                      <a:ext uri="{28A0092B-C50C-407E-A947-70E740481C1C}">
                        <a14:useLocalDpi xmlns:a14="http://schemas.microsoft.com/office/drawing/2010/main" val="0"/>
                      </a:ext>
                    </a:extLst>
                  </a:blip>
                  <a:stretch>
                    <a:fillRect/>
                  </a:stretch>
                </pic:blipFill>
                <pic:spPr>
                  <a:xfrm>
                    <a:off x="0" y="0"/>
                    <a:ext cx="7703127" cy="708140"/>
                  </a:xfrm>
                  <a:prstGeom prst="rect">
                    <a:avLst/>
                  </a:prstGeom>
                </pic:spPr>
              </pic:pic>
            </a:graphicData>
          </a:graphic>
          <wp14:sizeRelH relativeFrom="margin">
            <wp14:pctWidth>0</wp14:pctWidth>
          </wp14:sizeRelH>
          <wp14:sizeRelV relativeFrom="margin">
            <wp14:pctHeight>0</wp14:pctHeight>
          </wp14:sizeRelV>
        </wp:anchor>
      </w:drawing>
    </w:r>
  </w:p>
  <w:p w14:paraId="2A475B8F" w14:textId="77777777" w:rsidR="007D003F" w:rsidRDefault="00CB2E9D" w:rsidP="00EB0DE8">
    <w:pPr>
      <w:autoSpaceDE w:val="0"/>
      <w:autoSpaceDN w:val="0"/>
      <w:adjustRightInd w:val="0"/>
      <w:contextualSpacing/>
      <w:jc w:val="both"/>
      <w:rPr>
        <w:rFonts w:ascii="Roboto" w:hAnsi="Roboto" w:cs="Arial"/>
        <w:sz w:val="18"/>
        <w:szCs w:val="18"/>
      </w:rPr>
    </w:pPr>
    <w:r w:rsidRPr="00A80359">
      <w:rPr>
        <w:rFonts w:ascii="Roboto" w:hAnsi="Roboto" w:cs="Arial"/>
        <w:sz w:val="18"/>
        <w:szCs w:val="18"/>
      </w:rPr>
      <w:t xml:space="preserve">               </w:t>
    </w:r>
  </w:p>
  <w:p w14:paraId="026537DB" w14:textId="77777777" w:rsidR="007D003F" w:rsidRDefault="007D003F" w:rsidP="00EB0DE8">
    <w:pPr>
      <w:autoSpaceDE w:val="0"/>
      <w:autoSpaceDN w:val="0"/>
      <w:adjustRightInd w:val="0"/>
      <w:contextualSpacing/>
      <w:jc w:val="both"/>
      <w:rPr>
        <w:rFonts w:ascii="Roboto" w:hAnsi="Roboto" w:cs="Arial"/>
        <w:sz w:val="18"/>
        <w:szCs w:val="18"/>
      </w:rPr>
    </w:pPr>
  </w:p>
  <w:p w14:paraId="227D183B" w14:textId="62B57436" w:rsidR="00CB2E9D" w:rsidRPr="00A80359" w:rsidRDefault="007D003F" w:rsidP="00AF2814">
    <w:pPr>
      <w:autoSpaceDE w:val="0"/>
      <w:autoSpaceDN w:val="0"/>
      <w:adjustRightInd w:val="0"/>
      <w:contextualSpacing/>
      <w:jc w:val="both"/>
      <w:rPr>
        <w:rFonts w:ascii="Roboto" w:hAnsi="Roboto" w:cs="Arial"/>
        <w:sz w:val="18"/>
        <w:szCs w:val="18"/>
      </w:rPr>
    </w:pPr>
    <w:r>
      <w:rPr>
        <w:rFonts w:ascii="Roboto" w:hAnsi="Roboto" w:cs="Arial"/>
        <w:sz w:val="18"/>
        <w:szCs w:val="18"/>
      </w:rPr>
      <w:t xml:space="preserve">            </w:t>
    </w:r>
    <w:r w:rsidR="00CB2E9D" w:rsidRPr="00A80359">
      <w:rPr>
        <w:rFonts w:ascii="Roboto" w:hAnsi="Roboto" w:cs="Arial"/>
        <w:sz w:val="18"/>
        <w:szCs w:val="18"/>
      </w:rPr>
      <w:t>SGV-</w:t>
    </w:r>
    <w:r w:rsidR="008A5692">
      <w:rPr>
        <w:rFonts w:ascii="Roboto" w:hAnsi="Roboto" w:cs="Arial"/>
        <w:sz w:val="18"/>
        <w:szCs w:val="18"/>
      </w:rPr>
      <w:t>A</w:t>
    </w:r>
    <w:r w:rsidR="001F3093">
      <w:rPr>
        <w:rFonts w:ascii="Roboto" w:hAnsi="Roboto" w:cs="Arial"/>
        <w:sz w:val="18"/>
        <w:szCs w:val="18"/>
      </w:rPr>
      <w:t>-</w:t>
    </w:r>
    <w:r w:rsidR="00B1416F">
      <w:rPr>
        <w:rFonts w:ascii="Roboto" w:hAnsi="Roboto" w:cs="Arial"/>
        <w:sz w:val="18"/>
        <w:szCs w:val="18"/>
      </w:rPr>
      <w:t>1-</w:t>
    </w:r>
    <w:r w:rsidR="008A5692">
      <w:rPr>
        <w:rFonts w:ascii="Roboto" w:hAnsi="Roboto" w:cs="Arial"/>
        <w:sz w:val="18"/>
        <w:szCs w:val="18"/>
      </w:rPr>
      <w:t>2025</w:t>
    </w:r>
  </w:p>
  <w:p w14:paraId="4514F76C" w14:textId="52DFC996" w:rsidR="00C20EC5" w:rsidRPr="007D003F" w:rsidRDefault="00D33A7F" w:rsidP="00AF2814">
    <w:pPr>
      <w:autoSpaceDE w:val="0"/>
      <w:autoSpaceDN w:val="0"/>
      <w:adjustRightInd w:val="0"/>
      <w:contextualSpacing/>
      <w:jc w:val="both"/>
      <w:rPr>
        <w:rFonts w:ascii="Roboto" w:hAnsi="Roboto" w:cs="Arial"/>
        <w:sz w:val="18"/>
        <w:szCs w:val="18"/>
      </w:rPr>
    </w:pPr>
    <w:r>
      <w:rPr>
        <w:rFonts w:ascii="Arial" w:hAnsi="Arial" w:cs="Arial"/>
        <w:sz w:val="18"/>
        <w:szCs w:val="18"/>
      </w:rPr>
      <w:t xml:space="preserve">           </w:t>
    </w:r>
    <w:r w:rsidRPr="00A80359">
      <w:rPr>
        <w:rFonts w:ascii="Roboto" w:hAnsi="Roboto" w:cs="Arial"/>
        <w:sz w:val="18"/>
        <w:szCs w:val="18"/>
      </w:rPr>
      <w:t xml:space="preserve">Pág. </w:t>
    </w:r>
    <w:r w:rsidRPr="00A80359">
      <w:rPr>
        <w:rFonts w:ascii="Roboto" w:hAnsi="Roboto" w:cs="Arial"/>
        <w:sz w:val="18"/>
        <w:szCs w:val="18"/>
      </w:rPr>
      <w:fldChar w:fldCharType="begin"/>
    </w:r>
    <w:r w:rsidRPr="00A80359">
      <w:rPr>
        <w:rFonts w:ascii="Roboto" w:hAnsi="Roboto" w:cs="Arial"/>
        <w:sz w:val="18"/>
        <w:szCs w:val="18"/>
      </w:rPr>
      <w:instrText>PAGE</w:instrText>
    </w:r>
    <w:r w:rsidRPr="00A80359">
      <w:rPr>
        <w:rFonts w:ascii="Roboto" w:hAnsi="Roboto" w:cs="Arial"/>
        <w:sz w:val="18"/>
        <w:szCs w:val="18"/>
      </w:rPr>
      <w:fldChar w:fldCharType="separate"/>
    </w:r>
    <w:r w:rsidRPr="00A80359">
      <w:rPr>
        <w:rFonts w:ascii="Roboto" w:hAnsi="Roboto" w:cs="Arial"/>
        <w:sz w:val="18"/>
        <w:szCs w:val="18"/>
      </w:rPr>
      <w:t>2</w:t>
    </w:r>
    <w:r w:rsidRPr="00A80359">
      <w:rPr>
        <w:rFonts w:ascii="Roboto" w:hAnsi="Roboto" w:cs="Arial"/>
        <w:sz w:val="18"/>
        <w:szCs w:val="18"/>
      </w:rPr>
      <w:fldChar w:fldCharType="end"/>
    </w:r>
    <w:r w:rsidRPr="00A80359">
      <w:rPr>
        <w:rFonts w:ascii="Roboto" w:hAnsi="Roboto" w:cs="Arial"/>
        <w:sz w:val="18"/>
        <w:szCs w:val="18"/>
      </w:rPr>
      <w:t xml:space="preserve"> de </w:t>
    </w:r>
    <w:r w:rsidRPr="00A80359">
      <w:rPr>
        <w:rFonts w:ascii="Roboto" w:hAnsi="Roboto" w:cs="Arial"/>
        <w:sz w:val="18"/>
        <w:szCs w:val="18"/>
      </w:rPr>
      <w:fldChar w:fldCharType="begin"/>
    </w:r>
    <w:r w:rsidRPr="00A80359">
      <w:rPr>
        <w:rFonts w:ascii="Roboto" w:hAnsi="Roboto" w:cs="Arial"/>
        <w:sz w:val="18"/>
        <w:szCs w:val="18"/>
      </w:rPr>
      <w:instrText>NUMPAGES</w:instrText>
    </w:r>
    <w:r w:rsidRPr="00A80359">
      <w:rPr>
        <w:rFonts w:ascii="Roboto" w:hAnsi="Roboto" w:cs="Arial"/>
        <w:sz w:val="18"/>
        <w:szCs w:val="18"/>
      </w:rPr>
      <w:fldChar w:fldCharType="separate"/>
    </w:r>
    <w:r w:rsidRPr="00A80359">
      <w:rPr>
        <w:rFonts w:ascii="Roboto" w:hAnsi="Roboto" w:cs="Arial"/>
        <w:sz w:val="18"/>
        <w:szCs w:val="18"/>
      </w:rPr>
      <w:t>2</w:t>
    </w:r>
    <w:r w:rsidRPr="00A80359">
      <w:rPr>
        <w:rFonts w:ascii="Roboto" w:hAnsi="Roboto" w:cs="Arial"/>
        <w:sz w:val="18"/>
        <w:szCs w:val="1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436511" w14:textId="3ACF4A70" w:rsidR="00CB2DE9" w:rsidRPr="00AF2814" w:rsidRDefault="00CB2DE9" w:rsidP="00A03584">
    <w:pPr>
      <w:pStyle w:val="Encabezado"/>
      <w:tabs>
        <w:tab w:val="right" w:pos="9214"/>
      </w:tabs>
      <w:ind w:left="-851" w:right="-568"/>
      <w:rPr>
        <w:rFonts w:ascii="Arial" w:hAnsi="Arial" w:cs="Arial"/>
        <w: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C482F"/>
    <w:multiLevelType w:val="hybridMultilevel"/>
    <w:tmpl w:val="ADCA9BC8"/>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04E32A0C"/>
    <w:multiLevelType w:val="hybridMultilevel"/>
    <w:tmpl w:val="028C2EEA"/>
    <w:lvl w:ilvl="0" w:tplc="0CCC61C8">
      <w:start w:val="1"/>
      <w:numFmt w:val="decimal"/>
      <w:pStyle w:val="Numeracin"/>
      <w:lvlText w:val="%1."/>
      <w:lvlJc w:val="left"/>
      <w:pPr>
        <w:ind w:left="1636" w:hanging="360"/>
      </w:pPr>
      <w:rPr>
        <w:color w:val="auto"/>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 w15:restartNumberingAfterBreak="0">
    <w:nsid w:val="0F5B3F22"/>
    <w:multiLevelType w:val="hybridMultilevel"/>
    <w:tmpl w:val="A3987362"/>
    <w:lvl w:ilvl="0" w:tplc="140A0017">
      <w:start w:val="1"/>
      <w:numFmt w:val="lowerLetter"/>
      <w:lvlText w:val="%1)"/>
      <w:lvlJc w:val="left"/>
      <w:pPr>
        <w:ind w:left="1260" w:hanging="360"/>
      </w:pPr>
      <w:rPr>
        <w:rFonts w:hint="default"/>
      </w:rPr>
    </w:lvl>
    <w:lvl w:ilvl="1" w:tplc="140A0003" w:tentative="1">
      <w:start w:val="1"/>
      <w:numFmt w:val="bullet"/>
      <w:lvlText w:val="o"/>
      <w:lvlJc w:val="left"/>
      <w:pPr>
        <w:ind w:left="1980" w:hanging="360"/>
      </w:pPr>
      <w:rPr>
        <w:rFonts w:ascii="Courier New" w:hAnsi="Courier New" w:cs="Courier New" w:hint="default"/>
      </w:rPr>
    </w:lvl>
    <w:lvl w:ilvl="2" w:tplc="140A0005" w:tentative="1">
      <w:start w:val="1"/>
      <w:numFmt w:val="bullet"/>
      <w:lvlText w:val=""/>
      <w:lvlJc w:val="left"/>
      <w:pPr>
        <w:ind w:left="2700" w:hanging="360"/>
      </w:pPr>
      <w:rPr>
        <w:rFonts w:ascii="Wingdings" w:hAnsi="Wingdings" w:hint="default"/>
      </w:rPr>
    </w:lvl>
    <w:lvl w:ilvl="3" w:tplc="140A0001" w:tentative="1">
      <w:start w:val="1"/>
      <w:numFmt w:val="bullet"/>
      <w:lvlText w:val=""/>
      <w:lvlJc w:val="left"/>
      <w:pPr>
        <w:ind w:left="3420" w:hanging="360"/>
      </w:pPr>
      <w:rPr>
        <w:rFonts w:ascii="Symbol" w:hAnsi="Symbol" w:hint="default"/>
      </w:rPr>
    </w:lvl>
    <w:lvl w:ilvl="4" w:tplc="140A0003" w:tentative="1">
      <w:start w:val="1"/>
      <w:numFmt w:val="bullet"/>
      <w:lvlText w:val="o"/>
      <w:lvlJc w:val="left"/>
      <w:pPr>
        <w:ind w:left="4140" w:hanging="360"/>
      </w:pPr>
      <w:rPr>
        <w:rFonts w:ascii="Courier New" w:hAnsi="Courier New" w:cs="Courier New" w:hint="default"/>
      </w:rPr>
    </w:lvl>
    <w:lvl w:ilvl="5" w:tplc="140A0005" w:tentative="1">
      <w:start w:val="1"/>
      <w:numFmt w:val="bullet"/>
      <w:lvlText w:val=""/>
      <w:lvlJc w:val="left"/>
      <w:pPr>
        <w:ind w:left="4860" w:hanging="360"/>
      </w:pPr>
      <w:rPr>
        <w:rFonts w:ascii="Wingdings" w:hAnsi="Wingdings" w:hint="default"/>
      </w:rPr>
    </w:lvl>
    <w:lvl w:ilvl="6" w:tplc="140A0001" w:tentative="1">
      <w:start w:val="1"/>
      <w:numFmt w:val="bullet"/>
      <w:lvlText w:val=""/>
      <w:lvlJc w:val="left"/>
      <w:pPr>
        <w:ind w:left="5580" w:hanging="360"/>
      </w:pPr>
      <w:rPr>
        <w:rFonts w:ascii="Symbol" w:hAnsi="Symbol" w:hint="default"/>
      </w:rPr>
    </w:lvl>
    <w:lvl w:ilvl="7" w:tplc="140A0003" w:tentative="1">
      <w:start w:val="1"/>
      <w:numFmt w:val="bullet"/>
      <w:lvlText w:val="o"/>
      <w:lvlJc w:val="left"/>
      <w:pPr>
        <w:ind w:left="6300" w:hanging="360"/>
      </w:pPr>
      <w:rPr>
        <w:rFonts w:ascii="Courier New" w:hAnsi="Courier New" w:cs="Courier New" w:hint="default"/>
      </w:rPr>
    </w:lvl>
    <w:lvl w:ilvl="8" w:tplc="140A0005" w:tentative="1">
      <w:start w:val="1"/>
      <w:numFmt w:val="bullet"/>
      <w:lvlText w:val=""/>
      <w:lvlJc w:val="left"/>
      <w:pPr>
        <w:ind w:left="7020" w:hanging="360"/>
      </w:pPr>
      <w:rPr>
        <w:rFonts w:ascii="Wingdings" w:hAnsi="Wingdings" w:hint="default"/>
      </w:rPr>
    </w:lvl>
  </w:abstractNum>
  <w:abstractNum w:abstractNumId="3" w15:restartNumberingAfterBreak="0">
    <w:nsid w:val="0FDD5484"/>
    <w:multiLevelType w:val="hybridMultilevel"/>
    <w:tmpl w:val="24BEF8BC"/>
    <w:lvl w:ilvl="0" w:tplc="140A000F">
      <w:start w:val="1"/>
      <w:numFmt w:val="decimal"/>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4" w15:restartNumberingAfterBreak="0">
    <w:nsid w:val="1DBF641B"/>
    <w:multiLevelType w:val="hybridMultilevel"/>
    <w:tmpl w:val="057E1BB8"/>
    <w:lvl w:ilvl="0" w:tplc="140A0017">
      <w:start w:val="1"/>
      <w:numFmt w:val="lowerLetter"/>
      <w:lvlText w:val="%1)"/>
      <w:lvlJc w:val="left"/>
      <w:pPr>
        <w:ind w:left="1260" w:hanging="360"/>
      </w:pPr>
      <w:rPr>
        <w:rFonts w:hint="default"/>
      </w:rPr>
    </w:lvl>
    <w:lvl w:ilvl="1" w:tplc="140A0003" w:tentative="1">
      <w:start w:val="1"/>
      <w:numFmt w:val="bullet"/>
      <w:lvlText w:val="o"/>
      <w:lvlJc w:val="left"/>
      <w:pPr>
        <w:ind w:left="1980" w:hanging="360"/>
      </w:pPr>
      <w:rPr>
        <w:rFonts w:ascii="Courier New" w:hAnsi="Courier New" w:cs="Courier New" w:hint="default"/>
      </w:rPr>
    </w:lvl>
    <w:lvl w:ilvl="2" w:tplc="140A0005" w:tentative="1">
      <w:start w:val="1"/>
      <w:numFmt w:val="bullet"/>
      <w:lvlText w:val=""/>
      <w:lvlJc w:val="left"/>
      <w:pPr>
        <w:ind w:left="2700" w:hanging="360"/>
      </w:pPr>
      <w:rPr>
        <w:rFonts w:ascii="Wingdings" w:hAnsi="Wingdings" w:hint="default"/>
      </w:rPr>
    </w:lvl>
    <w:lvl w:ilvl="3" w:tplc="140A0001" w:tentative="1">
      <w:start w:val="1"/>
      <w:numFmt w:val="bullet"/>
      <w:lvlText w:val=""/>
      <w:lvlJc w:val="left"/>
      <w:pPr>
        <w:ind w:left="3420" w:hanging="360"/>
      </w:pPr>
      <w:rPr>
        <w:rFonts w:ascii="Symbol" w:hAnsi="Symbol" w:hint="default"/>
      </w:rPr>
    </w:lvl>
    <w:lvl w:ilvl="4" w:tplc="140A0003" w:tentative="1">
      <w:start w:val="1"/>
      <w:numFmt w:val="bullet"/>
      <w:lvlText w:val="o"/>
      <w:lvlJc w:val="left"/>
      <w:pPr>
        <w:ind w:left="4140" w:hanging="360"/>
      </w:pPr>
      <w:rPr>
        <w:rFonts w:ascii="Courier New" w:hAnsi="Courier New" w:cs="Courier New" w:hint="default"/>
      </w:rPr>
    </w:lvl>
    <w:lvl w:ilvl="5" w:tplc="140A0005" w:tentative="1">
      <w:start w:val="1"/>
      <w:numFmt w:val="bullet"/>
      <w:lvlText w:val=""/>
      <w:lvlJc w:val="left"/>
      <w:pPr>
        <w:ind w:left="4860" w:hanging="360"/>
      </w:pPr>
      <w:rPr>
        <w:rFonts w:ascii="Wingdings" w:hAnsi="Wingdings" w:hint="default"/>
      </w:rPr>
    </w:lvl>
    <w:lvl w:ilvl="6" w:tplc="140A0001" w:tentative="1">
      <w:start w:val="1"/>
      <w:numFmt w:val="bullet"/>
      <w:lvlText w:val=""/>
      <w:lvlJc w:val="left"/>
      <w:pPr>
        <w:ind w:left="5580" w:hanging="360"/>
      </w:pPr>
      <w:rPr>
        <w:rFonts w:ascii="Symbol" w:hAnsi="Symbol" w:hint="default"/>
      </w:rPr>
    </w:lvl>
    <w:lvl w:ilvl="7" w:tplc="140A0003" w:tentative="1">
      <w:start w:val="1"/>
      <w:numFmt w:val="bullet"/>
      <w:lvlText w:val="o"/>
      <w:lvlJc w:val="left"/>
      <w:pPr>
        <w:ind w:left="6300" w:hanging="360"/>
      </w:pPr>
      <w:rPr>
        <w:rFonts w:ascii="Courier New" w:hAnsi="Courier New" w:cs="Courier New" w:hint="default"/>
      </w:rPr>
    </w:lvl>
    <w:lvl w:ilvl="8" w:tplc="140A0005" w:tentative="1">
      <w:start w:val="1"/>
      <w:numFmt w:val="bullet"/>
      <w:lvlText w:val=""/>
      <w:lvlJc w:val="left"/>
      <w:pPr>
        <w:ind w:left="7020" w:hanging="360"/>
      </w:pPr>
      <w:rPr>
        <w:rFonts w:ascii="Wingdings" w:hAnsi="Wingdings" w:hint="default"/>
      </w:rPr>
    </w:lvl>
  </w:abstractNum>
  <w:abstractNum w:abstractNumId="5" w15:restartNumberingAfterBreak="0">
    <w:nsid w:val="286263CC"/>
    <w:multiLevelType w:val="hybridMultilevel"/>
    <w:tmpl w:val="E78EF258"/>
    <w:lvl w:ilvl="0" w:tplc="140A0017">
      <w:start w:val="1"/>
      <w:numFmt w:val="lowerLetter"/>
      <w:lvlText w:val="%1)"/>
      <w:lvlJc w:val="left"/>
      <w:pPr>
        <w:ind w:left="1260" w:hanging="360"/>
      </w:pPr>
      <w:rPr>
        <w:rFonts w:hint="default"/>
      </w:rPr>
    </w:lvl>
    <w:lvl w:ilvl="1" w:tplc="140A0003" w:tentative="1">
      <w:start w:val="1"/>
      <w:numFmt w:val="bullet"/>
      <w:lvlText w:val="o"/>
      <w:lvlJc w:val="left"/>
      <w:pPr>
        <w:ind w:left="1980" w:hanging="360"/>
      </w:pPr>
      <w:rPr>
        <w:rFonts w:ascii="Courier New" w:hAnsi="Courier New" w:cs="Courier New" w:hint="default"/>
      </w:rPr>
    </w:lvl>
    <w:lvl w:ilvl="2" w:tplc="140A0005" w:tentative="1">
      <w:start w:val="1"/>
      <w:numFmt w:val="bullet"/>
      <w:lvlText w:val=""/>
      <w:lvlJc w:val="left"/>
      <w:pPr>
        <w:ind w:left="2700" w:hanging="360"/>
      </w:pPr>
      <w:rPr>
        <w:rFonts w:ascii="Wingdings" w:hAnsi="Wingdings" w:hint="default"/>
      </w:rPr>
    </w:lvl>
    <w:lvl w:ilvl="3" w:tplc="140A0001" w:tentative="1">
      <w:start w:val="1"/>
      <w:numFmt w:val="bullet"/>
      <w:lvlText w:val=""/>
      <w:lvlJc w:val="left"/>
      <w:pPr>
        <w:ind w:left="3420" w:hanging="360"/>
      </w:pPr>
      <w:rPr>
        <w:rFonts w:ascii="Symbol" w:hAnsi="Symbol" w:hint="default"/>
      </w:rPr>
    </w:lvl>
    <w:lvl w:ilvl="4" w:tplc="140A0003" w:tentative="1">
      <w:start w:val="1"/>
      <w:numFmt w:val="bullet"/>
      <w:lvlText w:val="o"/>
      <w:lvlJc w:val="left"/>
      <w:pPr>
        <w:ind w:left="4140" w:hanging="360"/>
      </w:pPr>
      <w:rPr>
        <w:rFonts w:ascii="Courier New" w:hAnsi="Courier New" w:cs="Courier New" w:hint="default"/>
      </w:rPr>
    </w:lvl>
    <w:lvl w:ilvl="5" w:tplc="140A0005" w:tentative="1">
      <w:start w:val="1"/>
      <w:numFmt w:val="bullet"/>
      <w:lvlText w:val=""/>
      <w:lvlJc w:val="left"/>
      <w:pPr>
        <w:ind w:left="4860" w:hanging="360"/>
      </w:pPr>
      <w:rPr>
        <w:rFonts w:ascii="Wingdings" w:hAnsi="Wingdings" w:hint="default"/>
      </w:rPr>
    </w:lvl>
    <w:lvl w:ilvl="6" w:tplc="140A0001" w:tentative="1">
      <w:start w:val="1"/>
      <w:numFmt w:val="bullet"/>
      <w:lvlText w:val=""/>
      <w:lvlJc w:val="left"/>
      <w:pPr>
        <w:ind w:left="5580" w:hanging="360"/>
      </w:pPr>
      <w:rPr>
        <w:rFonts w:ascii="Symbol" w:hAnsi="Symbol" w:hint="default"/>
      </w:rPr>
    </w:lvl>
    <w:lvl w:ilvl="7" w:tplc="140A0003" w:tentative="1">
      <w:start w:val="1"/>
      <w:numFmt w:val="bullet"/>
      <w:lvlText w:val="o"/>
      <w:lvlJc w:val="left"/>
      <w:pPr>
        <w:ind w:left="6300" w:hanging="360"/>
      </w:pPr>
      <w:rPr>
        <w:rFonts w:ascii="Courier New" w:hAnsi="Courier New" w:cs="Courier New" w:hint="default"/>
      </w:rPr>
    </w:lvl>
    <w:lvl w:ilvl="8" w:tplc="140A0005" w:tentative="1">
      <w:start w:val="1"/>
      <w:numFmt w:val="bullet"/>
      <w:lvlText w:val=""/>
      <w:lvlJc w:val="left"/>
      <w:pPr>
        <w:ind w:left="7020" w:hanging="360"/>
      </w:pPr>
      <w:rPr>
        <w:rFonts w:ascii="Wingdings" w:hAnsi="Wingdings" w:hint="default"/>
      </w:rPr>
    </w:lvl>
  </w:abstractNum>
  <w:abstractNum w:abstractNumId="6" w15:restartNumberingAfterBreak="0">
    <w:nsid w:val="2C21213C"/>
    <w:multiLevelType w:val="hybridMultilevel"/>
    <w:tmpl w:val="99A60DB6"/>
    <w:lvl w:ilvl="0" w:tplc="85F81792">
      <w:start w:val="1"/>
      <w:numFmt w:val="lowerLetter"/>
      <w:lvlText w:val="%1)"/>
      <w:lvlJc w:val="left"/>
      <w:pPr>
        <w:ind w:left="900" w:hanging="36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15:restartNumberingAfterBreak="0">
    <w:nsid w:val="2F0D3E41"/>
    <w:multiLevelType w:val="hybridMultilevel"/>
    <w:tmpl w:val="1E784508"/>
    <w:lvl w:ilvl="0" w:tplc="140A001B">
      <w:start w:val="1"/>
      <w:numFmt w:val="lowerRoman"/>
      <w:lvlText w:val="%1."/>
      <w:lvlJc w:val="righ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3A853B36"/>
    <w:multiLevelType w:val="hybridMultilevel"/>
    <w:tmpl w:val="A378AF22"/>
    <w:lvl w:ilvl="0" w:tplc="5F4C3FDC">
      <w:start w:val="1"/>
      <w:numFmt w:val="upperRoman"/>
      <w:lvlText w:val="%1."/>
      <w:lvlJc w:val="left"/>
      <w:pPr>
        <w:tabs>
          <w:tab w:val="num" w:pos="180"/>
        </w:tabs>
        <w:ind w:left="180" w:hanging="180"/>
      </w:pPr>
      <w:rPr>
        <w:rFonts w:hint="default"/>
        <w:b w:val="0"/>
        <w:bCs w:val="0"/>
        <w:color w:val="auto"/>
      </w:rPr>
    </w:lvl>
    <w:lvl w:ilvl="1" w:tplc="5C42D710">
      <w:start w:val="1"/>
      <w:numFmt w:val="lowerLetter"/>
      <w:lvlText w:val="%2."/>
      <w:lvlJc w:val="left"/>
      <w:pPr>
        <w:tabs>
          <w:tab w:val="num" w:pos="1440"/>
        </w:tabs>
        <w:ind w:left="1440" w:hanging="360"/>
      </w:pPr>
      <w:rPr>
        <w:rFonts w:hint="default"/>
      </w:rPr>
    </w:lvl>
    <w:lvl w:ilvl="2" w:tplc="88382F8C">
      <w:start w:val="1"/>
      <w:numFmt w:val="decimal"/>
      <w:lvlText w:val="%3"/>
      <w:lvlJc w:val="left"/>
      <w:pPr>
        <w:tabs>
          <w:tab w:val="num" w:pos="2340"/>
        </w:tabs>
        <w:ind w:left="2340" w:hanging="360"/>
      </w:pPr>
      <w:rPr>
        <w:rFonts w:hint="default"/>
        <w:sz w:val="24"/>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AE359D2"/>
    <w:multiLevelType w:val="multilevel"/>
    <w:tmpl w:val="82A0C576"/>
    <w:lvl w:ilvl="0">
      <w:start w:val="3"/>
      <w:numFmt w:val="decimal"/>
      <w:lvlText w:val="%1."/>
      <w:lvlJc w:val="left"/>
      <w:pPr>
        <w:tabs>
          <w:tab w:val="num" w:pos="360"/>
        </w:tabs>
        <w:ind w:left="360" w:hanging="360"/>
      </w:pPr>
      <w:rPr>
        <w:rFonts w:hint="default"/>
        <w:b/>
        <w:i w:val="0"/>
        <w:color w:val="FFFFFF"/>
        <w:sz w:val="4"/>
        <w:szCs w:val="4"/>
      </w:rPr>
    </w:lvl>
    <w:lvl w:ilvl="1">
      <w:start w:val="1"/>
      <w:numFmt w:val="decimal"/>
      <w:lvlText w:val="%1.%2."/>
      <w:lvlJc w:val="left"/>
      <w:pPr>
        <w:tabs>
          <w:tab w:val="num" w:pos="792"/>
        </w:tabs>
        <w:ind w:left="792" w:hanging="432"/>
      </w:pPr>
      <w:rPr>
        <w:rFonts w:hint="default"/>
        <w:b w:val="0"/>
        <w:i w:val="0"/>
        <w:sz w:val="22"/>
        <w:szCs w:val="16"/>
      </w:rPr>
    </w:lvl>
    <w:lvl w:ilvl="2">
      <w:start w:val="1"/>
      <w:numFmt w:val="decimal"/>
      <w:lvlText w:val="%1.%2.%3."/>
      <w:lvlJc w:val="left"/>
      <w:pPr>
        <w:tabs>
          <w:tab w:val="num" w:pos="1224"/>
        </w:tabs>
        <w:ind w:left="1224" w:hanging="504"/>
      </w:pPr>
      <w:rPr>
        <w:rFonts w:hint="default"/>
        <w:b w:val="0"/>
        <w:i w:val="0"/>
      </w:rPr>
    </w:lvl>
    <w:lvl w:ilvl="3">
      <w:start w:val="1"/>
      <w:numFmt w:val="decimal"/>
      <w:lvlText w:val="%1.%2.%3.%4."/>
      <w:lvlJc w:val="left"/>
      <w:pPr>
        <w:tabs>
          <w:tab w:val="num" w:pos="1728"/>
        </w:tabs>
        <w:ind w:left="1728" w:hanging="648"/>
      </w:pPr>
      <w:rPr>
        <w:rFonts w:hint="default"/>
        <w:b w:val="0"/>
      </w:rPr>
    </w:lvl>
    <w:lvl w:ilvl="4">
      <w:start w:val="1"/>
      <w:numFmt w:val="decimal"/>
      <w:lvlText w:val="%1.%2.%3.%4.%5."/>
      <w:lvlJc w:val="left"/>
      <w:pPr>
        <w:tabs>
          <w:tab w:val="num" w:pos="2232"/>
        </w:tabs>
        <w:ind w:left="2232" w:hanging="792"/>
      </w:pPr>
      <w:rPr>
        <w:rFonts w:hint="default"/>
        <w:b w:val="0"/>
      </w:rPr>
    </w:lvl>
    <w:lvl w:ilvl="5">
      <w:start w:val="1"/>
      <w:numFmt w:val="decimal"/>
      <w:lvlText w:val="%1.%2.%3.%4.%5.%6."/>
      <w:lvlJc w:val="left"/>
      <w:pPr>
        <w:tabs>
          <w:tab w:val="num" w:pos="2736"/>
        </w:tabs>
        <w:ind w:left="2736" w:hanging="936"/>
      </w:pPr>
      <w:rPr>
        <w:rFonts w:hint="default"/>
        <w:b w:val="0"/>
      </w:rPr>
    </w:lvl>
    <w:lvl w:ilvl="6">
      <w:start w:val="1"/>
      <w:numFmt w:val="decimal"/>
      <w:lvlText w:val="%1.%2.%3.%4.%5.%6.%7."/>
      <w:lvlJc w:val="left"/>
      <w:pPr>
        <w:tabs>
          <w:tab w:val="num" w:pos="3240"/>
        </w:tabs>
        <w:ind w:left="3240" w:hanging="1080"/>
      </w:pPr>
      <w:rPr>
        <w:rFonts w:hint="default"/>
        <w:b w:val="0"/>
      </w:rPr>
    </w:lvl>
    <w:lvl w:ilvl="7">
      <w:start w:val="1"/>
      <w:numFmt w:val="decimal"/>
      <w:lvlText w:val="%1.%2.%3.%4.%5.%6.%7.%8."/>
      <w:lvlJc w:val="left"/>
      <w:pPr>
        <w:tabs>
          <w:tab w:val="num" w:pos="3744"/>
        </w:tabs>
        <w:ind w:left="3744" w:hanging="1224"/>
      </w:pPr>
      <w:rPr>
        <w:rFonts w:hint="default"/>
        <w:b w:val="0"/>
      </w:rPr>
    </w:lvl>
    <w:lvl w:ilvl="8">
      <w:start w:val="1"/>
      <w:numFmt w:val="decimal"/>
      <w:lvlText w:val="%1.%2.%3.%4.%5.%6.%7.%8.%9."/>
      <w:lvlJc w:val="left"/>
      <w:pPr>
        <w:tabs>
          <w:tab w:val="num" w:pos="4320"/>
        </w:tabs>
        <w:ind w:left="4320" w:hanging="1440"/>
      </w:pPr>
      <w:rPr>
        <w:rFonts w:hint="default"/>
        <w:b w:val="0"/>
      </w:rPr>
    </w:lvl>
  </w:abstractNum>
  <w:abstractNum w:abstractNumId="10" w15:restartNumberingAfterBreak="0">
    <w:nsid w:val="475F48D4"/>
    <w:multiLevelType w:val="hybridMultilevel"/>
    <w:tmpl w:val="019C09DE"/>
    <w:lvl w:ilvl="0" w:tplc="140A0013">
      <w:start w:val="1"/>
      <w:numFmt w:val="upperRoman"/>
      <w:lvlText w:val="%1."/>
      <w:lvlJc w:val="right"/>
      <w:pPr>
        <w:tabs>
          <w:tab w:val="num" w:pos="1080"/>
        </w:tabs>
        <w:ind w:left="1080" w:hanging="720"/>
      </w:pPr>
      <w:rPr>
        <w:rFonts w:hint="default"/>
        <w:b/>
      </w:rPr>
    </w:lvl>
    <w:lvl w:ilvl="1" w:tplc="140A0017">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09D6722"/>
    <w:multiLevelType w:val="hybridMultilevel"/>
    <w:tmpl w:val="BB52A874"/>
    <w:lvl w:ilvl="0" w:tplc="AB822032">
      <w:start w:val="1"/>
      <w:numFmt w:val="decimal"/>
      <w:lvlText w:val="%1."/>
      <w:lvlJc w:val="left"/>
      <w:pPr>
        <w:ind w:left="786" w:hanging="360"/>
      </w:pPr>
      <w:rPr>
        <w:rFonts w:hint="default"/>
        <w:b w:val="0"/>
        <w:bCs w:val="0"/>
        <w:color w:val="auto"/>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664C34B7"/>
    <w:multiLevelType w:val="hybridMultilevel"/>
    <w:tmpl w:val="BF5A9B36"/>
    <w:lvl w:ilvl="0" w:tplc="140A000F">
      <w:start w:val="1"/>
      <w:numFmt w:val="decimal"/>
      <w:lvlText w:val="%1."/>
      <w:lvlJc w:val="left"/>
      <w:pPr>
        <w:ind w:left="360" w:hanging="360"/>
      </w:pPr>
      <w:rPr>
        <w:rFonts w:hint="default"/>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13" w15:restartNumberingAfterBreak="0">
    <w:nsid w:val="6AAC087D"/>
    <w:multiLevelType w:val="hybridMultilevel"/>
    <w:tmpl w:val="C1BE5262"/>
    <w:lvl w:ilvl="0" w:tplc="140A0017">
      <w:start w:val="1"/>
      <w:numFmt w:val="lowerLetter"/>
      <w:lvlText w:val="%1)"/>
      <w:lvlJc w:val="left"/>
      <w:pPr>
        <w:ind w:left="1260" w:hanging="360"/>
      </w:pPr>
      <w:rPr>
        <w:rFonts w:hint="default"/>
      </w:rPr>
    </w:lvl>
    <w:lvl w:ilvl="1" w:tplc="140A0003" w:tentative="1">
      <w:start w:val="1"/>
      <w:numFmt w:val="bullet"/>
      <w:lvlText w:val="o"/>
      <w:lvlJc w:val="left"/>
      <w:pPr>
        <w:ind w:left="1980" w:hanging="360"/>
      </w:pPr>
      <w:rPr>
        <w:rFonts w:ascii="Courier New" w:hAnsi="Courier New" w:cs="Courier New" w:hint="default"/>
      </w:rPr>
    </w:lvl>
    <w:lvl w:ilvl="2" w:tplc="140A0005" w:tentative="1">
      <w:start w:val="1"/>
      <w:numFmt w:val="bullet"/>
      <w:lvlText w:val=""/>
      <w:lvlJc w:val="left"/>
      <w:pPr>
        <w:ind w:left="2700" w:hanging="360"/>
      </w:pPr>
      <w:rPr>
        <w:rFonts w:ascii="Wingdings" w:hAnsi="Wingdings" w:hint="default"/>
      </w:rPr>
    </w:lvl>
    <w:lvl w:ilvl="3" w:tplc="140A0001" w:tentative="1">
      <w:start w:val="1"/>
      <w:numFmt w:val="bullet"/>
      <w:lvlText w:val=""/>
      <w:lvlJc w:val="left"/>
      <w:pPr>
        <w:ind w:left="3420" w:hanging="360"/>
      </w:pPr>
      <w:rPr>
        <w:rFonts w:ascii="Symbol" w:hAnsi="Symbol" w:hint="default"/>
      </w:rPr>
    </w:lvl>
    <w:lvl w:ilvl="4" w:tplc="140A0003" w:tentative="1">
      <w:start w:val="1"/>
      <w:numFmt w:val="bullet"/>
      <w:lvlText w:val="o"/>
      <w:lvlJc w:val="left"/>
      <w:pPr>
        <w:ind w:left="4140" w:hanging="360"/>
      </w:pPr>
      <w:rPr>
        <w:rFonts w:ascii="Courier New" w:hAnsi="Courier New" w:cs="Courier New" w:hint="default"/>
      </w:rPr>
    </w:lvl>
    <w:lvl w:ilvl="5" w:tplc="140A0005" w:tentative="1">
      <w:start w:val="1"/>
      <w:numFmt w:val="bullet"/>
      <w:lvlText w:val=""/>
      <w:lvlJc w:val="left"/>
      <w:pPr>
        <w:ind w:left="4860" w:hanging="360"/>
      </w:pPr>
      <w:rPr>
        <w:rFonts w:ascii="Wingdings" w:hAnsi="Wingdings" w:hint="default"/>
      </w:rPr>
    </w:lvl>
    <w:lvl w:ilvl="6" w:tplc="140A0001" w:tentative="1">
      <w:start w:val="1"/>
      <w:numFmt w:val="bullet"/>
      <w:lvlText w:val=""/>
      <w:lvlJc w:val="left"/>
      <w:pPr>
        <w:ind w:left="5580" w:hanging="360"/>
      </w:pPr>
      <w:rPr>
        <w:rFonts w:ascii="Symbol" w:hAnsi="Symbol" w:hint="default"/>
      </w:rPr>
    </w:lvl>
    <w:lvl w:ilvl="7" w:tplc="140A0003" w:tentative="1">
      <w:start w:val="1"/>
      <w:numFmt w:val="bullet"/>
      <w:lvlText w:val="o"/>
      <w:lvlJc w:val="left"/>
      <w:pPr>
        <w:ind w:left="6300" w:hanging="360"/>
      </w:pPr>
      <w:rPr>
        <w:rFonts w:ascii="Courier New" w:hAnsi="Courier New" w:cs="Courier New" w:hint="default"/>
      </w:rPr>
    </w:lvl>
    <w:lvl w:ilvl="8" w:tplc="140A0005" w:tentative="1">
      <w:start w:val="1"/>
      <w:numFmt w:val="bullet"/>
      <w:lvlText w:val=""/>
      <w:lvlJc w:val="left"/>
      <w:pPr>
        <w:ind w:left="7020" w:hanging="360"/>
      </w:pPr>
      <w:rPr>
        <w:rFonts w:ascii="Wingdings" w:hAnsi="Wingdings" w:hint="default"/>
      </w:rPr>
    </w:lvl>
  </w:abstractNum>
  <w:abstractNum w:abstractNumId="14" w15:restartNumberingAfterBreak="0">
    <w:nsid w:val="6AD41E7A"/>
    <w:multiLevelType w:val="hybridMultilevel"/>
    <w:tmpl w:val="3BE2AA3A"/>
    <w:lvl w:ilvl="0" w:tplc="745C6D8C">
      <w:start w:val="1"/>
      <w:numFmt w:val="upperRoman"/>
      <w:lvlText w:val="%1."/>
      <w:lvlJc w:val="left"/>
      <w:pPr>
        <w:ind w:left="1080" w:hanging="720"/>
      </w:pPr>
      <w:rPr>
        <w:rFonts w:hint="default"/>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16cid:durableId="550927129">
    <w:abstractNumId w:val="10"/>
  </w:num>
  <w:num w:numId="2" w16cid:durableId="96755781">
    <w:abstractNumId w:val="6"/>
  </w:num>
  <w:num w:numId="3" w16cid:durableId="1832603591">
    <w:abstractNumId w:val="14"/>
  </w:num>
  <w:num w:numId="4" w16cid:durableId="488063643">
    <w:abstractNumId w:val="13"/>
  </w:num>
  <w:num w:numId="5" w16cid:durableId="635140846">
    <w:abstractNumId w:val="2"/>
  </w:num>
  <w:num w:numId="6" w16cid:durableId="178011935">
    <w:abstractNumId w:val="5"/>
  </w:num>
  <w:num w:numId="7" w16cid:durableId="1876697737">
    <w:abstractNumId w:val="4"/>
  </w:num>
  <w:num w:numId="8" w16cid:durableId="318852005">
    <w:abstractNumId w:val="0"/>
  </w:num>
  <w:num w:numId="9" w16cid:durableId="663819387">
    <w:abstractNumId w:val="8"/>
  </w:num>
  <w:num w:numId="10" w16cid:durableId="1867131672">
    <w:abstractNumId w:val="11"/>
  </w:num>
  <w:num w:numId="11" w16cid:durableId="1808164648">
    <w:abstractNumId w:val="1"/>
  </w:num>
  <w:num w:numId="12" w16cid:durableId="162754626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674706">
    <w:abstractNumId w:val="7"/>
  </w:num>
  <w:num w:numId="14" w16cid:durableId="909314767">
    <w:abstractNumId w:val="12"/>
  </w:num>
  <w:num w:numId="15" w16cid:durableId="16397868">
    <w:abstractNumId w:val="9"/>
  </w:num>
  <w:num w:numId="16" w16cid:durableId="107088730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6E38"/>
    <w:rsid w:val="00000104"/>
    <w:rsid w:val="00014673"/>
    <w:rsid w:val="000356FF"/>
    <w:rsid w:val="00052C17"/>
    <w:rsid w:val="00052EB9"/>
    <w:rsid w:val="00054BD5"/>
    <w:rsid w:val="0006330F"/>
    <w:rsid w:val="000924A5"/>
    <w:rsid w:val="000A2997"/>
    <w:rsid w:val="000A35F7"/>
    <w:rsid w:val="000B3882"/>
    <w:rsid w:val="000D2FBC"/>
    <w:rsid w:val="000D6CE8"/>
    <w:rsid w:val="000D70F8"/>
    <w:rsid w:val="00104F74"/>
    <w:rsid w:val="00105686"/>
    <w:rsid w:val="0011015B"/>
    <w:rsid w:val="00131B92"/>
    <w:rsid w:val="00142EDC"/>
    <w:rsid w:val="00147DD1"/>
    <w:rsid w:val="00185EA8"/>
    <w:rsid w:val="0019266D"/>
    <w:rsid w:val="001D1C7E"/>
    <w:rsid w:val="001D4F62"/>
    <w:rsid w:val="001F3093"/>
    <w:rsid w:val="001F6B07"/>
    <w:rsid w:val="00201A06"/>
    <w:rsid w:val="00237DE9"/>
    <w:rsid w:val="00247B6D"/>
    <w:rsid w:val="00272829"/>
    <w:rsid w:val="002731A3"/>
    <w:rsid w:val="00282E0D"/>
    <w:rsid w:val="002E179D"/>
    <w:rsid w:val="002E5094"/>
    <w:rsid w:val="002F28F7"/>
    <w:rsid w:val="00317F82"/>
    <w:rsid w:val="00321567"/>
    <w:rsid w:val="00321985"/>
    <w:rsid w:val="003418F4"/>
    <w:rsid w:val="00346E57"/>
    <w:rsid w:val="00347B62"/>
    <w:rsid w:val="0035557C"/>
    <w:rsid w:val="00360579"/>
    <w:rsid w:val="00380AE8"/>
    <w:rsid w:val="00384131"/>
    <w:rsid w:val="00384C66"/>
    <w:rsid w:val="00387E52"/>
    <w:rsid w:val="0039334B"/>
    <w:rsid w:val="00394C88"/>
    <w:rsid w:val="00396B8C"/>
    <w:rsid w:val="003A1012"/>
    <w:rsid w:val="003A64DD"/>
    <w:rsid w:val="003C62A3"/>
    <w:rsid w:val="003D2665"/>
    <w:rsid w:val="003D690B"/>
    <w:rsid w:val="003E2D38"/>
    <w:rsid w:val="003F544C"/>
    <w:rsid w:val="00402782"/>
    <w:rsid w:val="00403C78"/>
    <w:rsid w:val="00425BDD"/>
    <w:rsid w:val="00452381"/>
    <w:rsid w:val="00456B92"/>
    <w:rsid w:val="00471431"/>
    <w:rsid w:val="00477574"/>
    <w:rsid w:val="0048488E"/>
    <w:rsid w:val="0049118C"/>
    <w:rsid w:val="00497A67"/>
    <w:rsid w:val="004A6C39"/>
    <w:rsid w:val="004B4891"/>
    <w:rsid w:val="004C2163"/>
    <w:rsid w:val="004F2251"/>
    <w:rsid w:val="004F6B5D"/>
    <w:rsid w:val="00501780"/>
    <w:rsid w:val="0051206C"/>
    <w:rsid w:val="00520477"/>
    <w:rsid w:val="00550013"/>
    <w:rsid w:val="005536E9"/>
    <w:rsid w:val="00553FC5"/>
    <w:rsid w:val="005836CA"/>
    <w:rsid w:val="00597B93"/>
    <w:rsid w:val="00597F75"/>
    <w:rsid w:val="005B2839"/>
    <w:rsid w:val="005C3D4A"/>
    <w:rsid w:val="005D0073"/>
    <w:rsid w:val="005D5C45"/>
    <w:rsid w:val="006066E1"/>
    <w:rsid w:val="006170CA"/>
    <w:rsid w:val="00640204"/>
    <w:rsid w:val="006453BA"/>
    <w:rsid w:val="00654583"/>
    <w:rsid w:val="00654C87"/>
    <w:rsid w:val="00661115"/>
    <w:rsid w:val="00666033"/>
    <w:rsid w:val="00673C6F"/>
    <w:rsid w:val="006757EF"/>
    <w:rsid w:val="006B2AFA"/>
    <w:rsid w:val="00710FDF"/>
    <w:rsid w:val="00740E0F"/>
    <w:rsid w:val="007715FF"/>
    <w:rsid w:val="00793838"/>
    <w:rsid w:val="007A134D"/>
    <w:rsid w:val="007A1854"/>
    <w:rsid w:val="007A2F5E"/>
    <w:rsid w:val="007D003F"/>
    <w:rsid w:val="007E24B6"/>
    <w:rsid w:val="007F2B5B"/>
    <w:rsid w:val="007F7F4E"/>
    <w:rsid w:val="008032E5"/>
    <w:rsid w:val="00803317"/>
    <w:rsid w:val="00806E8F"/>
    <w:rsid w:val="00812ADF"/>
    <w:rsid w:val="00813B81"/>
    <w:rsid w:val="008230EC"/>
    <w:rsid w:val="0083673C"/>
    <w:rsid w:val="008507A5"/>
    <w:rsid w:val="0086412B"/>
    <w:rsid w:val="00867AEA"/>
    <w:rsid w:val="00885D0D"/>
    <w:rsid w:val="00886395"/>
    <w:rsid w:val="008A5692"/>
    <w:rsid w:val="008A60FB"/>
    <w:rsid w:val="008B4AA5"/>
    <w:rsid w:val="008C5513"/>
    <w:rsid w:val="008D2143"/>
    <w:rsid w:val="008D561F"/>
    <w:rsid w:val="008F084A"/>
    <w:rsid w:val="00923DDB"/>
    <w:rsid w:val="009517FC"/>
    <w:rsid w:val="009A1E0C"/>
    <w:rsid w:val="009C26D6"/>
    <w:rsid w:val="009C50CC"/>
    <w:rsid w:val="009D24FC"/>
    <w:rsid w:val="009D6A39"/>
    <w:rsid w:val="009D6E38"/>
    <w:rsid w:val="009F1192"/>
    <w:rsid w:val="00A03584"/>
    <w:rsid w:val="00A127C9"/>
    <w:rsid w:val="00A134E4"/>
    <w:rsid w:val="00A1437E"/>
    <w:rsid w:val="00A26F53"/>
    <w:rsid w:val="00A313BC"/>
    <w:rsid w:val="00A3491F"/>
    <w:rsid w:val="00A35411"/>
    <w:rsid w:val="00A43CC5"/>
    <w:rsid w:val="00A56811"/>
    <w:rsid w:val="00A576C2"/>
    <w:rsid w:val="00A625E8"/>
    <w:rsid w:val="00A72336"/>
    <w:rsid w:val="00A765DF"/>
    <w:rsid w:val="00A80340"/>
    <w:rsid w:val="00A80359"/>
    <w:rsid w:val="00A8144C"/>
    <w:rsid w:val="00AA7FB0"/>
    <w:rsid w:val="00AB468D"/>
    <w:rsid w:val="00AE20D5"/>
    <w:rsid w:val="00AE3ED0"/>
    <w:rsid w:val="00AE72CF"/>
    <w:rsid w:val="00AF2814"/>
    <w:rsid w:val="00AF62BE"/>
    <w:rsid w:val="00AF6C49"/>
    <w:rsid w:val="00B1416F"/>
    <w:rsid w:val="00B2011E"/>
    <w:rsid w:val="00B401C2"/>
    <w:rsid w:val="00B53206"/>
    <w:rsid w:val="00B754F8"/>
    <w:rsid w:val="00BA7766"/>
    <w:rsid w:val="00BB034D"/>
    <w:rsid w:val="00BD0403"/>
    <w:rsid w:val="00BD4AEE"/>
    <w:rsid w:val="00BE4A2D"/>
    <w:rsid w:val="00BF645B"/>
    <w:rsid w:val="00C074E1"/>
    <w:rsid w:val="00C20EC5"/>
    <w:rsid w:val="00C305C4"/>
    <w:rsid w:val="00C368EF"/>
    <w:rsid w:val="00C4060B"/>
    <w:rsid w:val="00C4523A"/>
    <w:rsid w:val="00C51B43"/>
    <w:rsid w:val="00C6058A"/>
    <w:rsid w:val="00C8420C"/>
    <w:rsid w:val="00C853B7"/>
    <w:rsid w:val="00CA5AA8"/>
    <w:rsid w:val="00CB244B"/>
    <w:rsid w:val="00CB2DE9"/>
    <w:rsid w:val="00CB2E9D"/>
    <w:rsid w:val="00CB3BA9"/>
    <w:rsid w:val="00CD589E"/>
    <w:rsid w:val="00CE3F5C"/>
    <w:rsid w:val="00D10466"/>
    <w:rsid w:val="00D10CBF"/>
    <w:rsid w:val="00D15B74"/>
    <w:rsid w:val="00D17348"/>
    <w:rsid w:val="00D33A7F"/>
    <w:rsid w:val="00D40411"/>
    <w:rsid w:val="00D43B60"/>
    <w:rsid w:val="00D4413A"/>
    <w:rsid w:val="00D4580F"/>
    <w:rsid w:val="00D77CEE"/>
    <w:rsid w:val="00D833D2"/>
    <w:rsid w:val="00DB01B7"/>
    <w:rsid w:val="00DB65C8"/>
    <w:rsid w:val="00DD765B"/>
    <w:rsid w:val="00DE32A3"/>
    <w:rsid w:val="00DF1CF2"/>
    <w:rsid w:val="00DF4FEE"/>
    <w:rsid w:val="00E4579E"/>
    <w:rsid w:val="00E55271"/>
    <w:rsid w:val="00E57E39"/>
    <w:rsid w:val="00E60F72"/>
    <w:rsid w:val="00E64680"/>
    <w:rsid w:val="00E677C6"/>
    <w:rsid w:val="00E7065E"/>
    <w:rsid w:val="00E72DF1"/>
    <w:rsid w:val="00E75985"/>
    <w:rsid w:val="00E847B5"/>
    <w:rsid w:val="00EA0A5F"/>
    <w:rsid w:val="00EA203B"/>
    <w:rsid w:val="00EA50EB"/>
    <w:rsid w:val="00EA7642"/>
    <w:rsid w:val="00EB1CE5"/>
    <w:rsid w:val="00EB2D7B"/>
    <w:rsid w:val="00EB2DC4"/>
    <w:rsid w:val="00EC7111"/>
    <w:rsid w:val="00EE4CD8"/>
    <w:rsid w:val="00EE76EA"/>
    <w:rsid w:val="00EF1502"/>
    <w:rsid w:val="00F05594"/>
    <w:rsid w:val="00F26D06"/>
    <w:rsid w:val="00F315B9"/>
    <w:rsid w:val="00F52363"/>
    <w:rsid w:val="00F60C61"/>
    <w:rsid w:val="00F613C2"/>
    <w:rsid w:val="00F740D9"/>
    <w:rsid w:val="00F857A3"/>
    <w:rsid w:val="00FA004A"/>
    <w:rsid w:val="00FA1985"/>
    <w:rsid w:val="00FA2FBD"/>
    <w:rsid w:val="00FD6B45"/>
    <w:rsid w:val="00FD6B7F"/>
    <w:rsid w:val="00FE2B93"/>
    <w:rsid w:val="00FE7E89"/>
    <w:rsid w:val="00FF5DE7"/>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BF635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6E38"/>
    <w:pPr>
      <w:spacing w:after="0" w:line="240" w:lineRule="auto"/>
    </w:pPr>
    <w:rPr>
      <w:rFonts w:ascii="Times New Roman" w:eastAsia="Times New Roman" w:hAnsi="Times New Roman" w:cs="Times New Roman"/>
      <w:sz w:val="24"/>
      <w:szCs w:val="20"/>
      <w:lang w:val="es-ES" w:eastAsia="es-ES"/>
    </w:rPr>
  </w:style>
  <w:style w:type="paragraph" w:styleId="Ttulo2">
    <w:name w:val="heading 2"/>
    <w:basedOn w:val="Normal"/>
    <w:next w:val="Normal"/>
    <w:link w:val="Ttulo2Car"/>
    <w:qFormat/>
    <w:rsid w:val="00803317"/>
    <w:pPr>
      <w:keepNext/>
      <w:ind w:left="708" w:hanging="708"/>
      <w:jc w:val="both"/>
      <w:outlineLvl w:val="1"/>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9D6E38"/>
    <w:rPr>
      <w:color w:val="0000FF"/>
      <w:u w:val="single"/>
    </w:rPr>
  </w:style>
  <w:style w:type="paragraph" w:styleId="Encabezado">
    <w:name w:val="header"/>
    <w:basedOn w:val="Normal"/>
    <w:link w:val="EncabezadoCar"/>
    <w:rsid w:val="009D6E38"/>
    <w:pPr>
      <w:tabs>
        <w:tab w:val="center" w:pos="4419"/>
        <w:tab w:val="right" w:pos="8838"/>
      </w:tabs>
    </w:pPr>
  </w:style>
  <w:style w:type="character" w:customStyle="1" w:styleId="EncabezadoCar">
    <w:name w:val="Encabezado Car"/>
    <w:basedOn w:val="Fuentedeprrafopredeter"/>
    <w:link w:val="Encabezado"/>
    <w:rsid w:val="009D6E38"/>
    <w:rPr>
      <w:rFonts w:ascii="Times New Roman" w:eastAsia="Times New Roman" w:hAnsi="Times New Roman" w:cs="Times New Roman"/>
      <w:sz w:val="24"/>
      <w:szCs w:val="20"/>
      <w:lang w:val="es-ES" w:eastAsia="es-ES"/>
    </w:rPr>
  </w:style>
  <w:style w:type="paragraph" w:styleId="Piedepgina">
    <w:name w:val="footer"/>
    <w:basedOn w:val="Normal"/>
    <w:link w:val="PiedepginaCar"/>
    <w:rsid w:val="009D6E38"/>
    <w:pPr>
      <w:tabs>
        <w:tab w:val="center" w:pos="4419"/>
        <w:tab w:val="right" w:pos="8838"/>
      </w:tabs>
    </w:pPr>
  </w:style>
  <w:style w:type="character" w:customStyle="1" w:styleId="PiedepginaCar">
    <w:name w:val="Pie de página Car"/>
    <w:basedOn w:val="Fuentedeprrafopredeter"/>
    <w:link w:val="Piedepgina"/>
    <w:rsid w:val="009D6E38"/>
    <w:rPr>
      <w:rFonts w:ascii="Times New Roman" w:eastAsia="Times New Roman" w:hAnsi="Times New Roman" w:cs="Times New Roman"/>
      <w:sz w:val="24"/>
      <w:szCs w:val="20"/>
      <w:lang w:val="es-ES" w:eastAsia="es-ES"/>
    </w:rPr>
  </w:style>
  <w:style w:type="paragraph" w:styleId="Textodeglobo">
    <w:name w:val="Balloon Text"/>
    <w:basedOn w:val="Normal"/>
    <w:link w:val="TextodegloboCar"/>
    <w:uiPriority w:val="99"/>
    <w:semiHidden/>
    <w:unhideWhenUsed/>
    <w:rsid w:val="0083673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3673C"/>
    <w:rPr>
      <w:rFonts w:ascii="Segoe UI" w:eastAsia="Times New Roman" w:hAnsi="Segoe UI" w:cs="Segoe UI"/>
      <w:sz w:val="18"/>
      <w:szCs w:val="18"/>
      <w:lang w:val="es-ES" w:eastAsia="es-ES"/>
    </w:rPr>
  </w:style>
  <w:style w:type="character" w:customStyle="1" w:styleId="Ttulo2Car">
    <w:name w:val="Título 2 Car"/>
    <w:basedOn w:val="Fuentedeprrafopredeter"/>
    <w:link w:val="Ttulo2"/>
    <w:rsid w:val="00803317"/>
    <w:rPr>
      <w:rFonts w:ascii="Times New Roman" w:eastAsia="Times New Roman" w:hAnsi="Times New Roman" w:cs="Times New Roman"/>
      <w:sz w:val="24"/>
      <w:szCs w:val="20"/>
      <w:lang w:val="es-ES" w:eastAsia="es-ES"/>
    </w:rPr>
  </w:style>
  <w:style w:type="paragraph" w:styleId="Prrafodelista">
    <w:name w:val="List Paragraph"/>
    <w:aliases w:val="Titulo 2,Párrafo de Informe de Auditoría,Informe,Con viñetas,Normal con viñetas,3,Use Case List Paragraph,Bullet 1,List Paragraph 1,Numbered List Paragraph,Main numbered paragraph,Bullets,List Paragraph (numbered (a)),Akapit z listą BS"/>
    <w:basedOn w:val="Normal"/>
    <w:link w:val="PrrafodelistaCar"/>
    <w:uiPriority w:val="34"/>
    <w:qFormat/>
    <w:rsid w:val="00BD0403"/>
    <w:pPr>
      <w:spacing w:after="200" w:line="276" w:lineRule="auto"/>
      <w:ind w:left="720"/>
      <w:contextualSpacing/>
    </w:pPr>
    <w:rPr>
      <w:rFonts w:asciiTheme="minorHAnsi" w:eastAsiaTheme="minorHAnsi" w:hAnsiTheme="minorHAnsi" w:cstheme="minorBidi"/>
      <w:sz w:val="22"/>
      <w:szCs w:val="22"/>
      <w:lang w:val="en-US" w:eastAsia="en-US"/>
    </w:rPr>
  </w:style>
  <w:style w:type="character" w:customStyle="1" w:styleId="PrrafodelistaCar">
    <w:name w:val="Párrafo de lista Car"/>
    <w:aliases w:val="Titulo 2 Car,Párrafo de Informe de Auditoría Car,Informe Car,Con viñetas Car,Normal con viñetas Car,3 Car,Use Case List Paragraph Car,Bullet 1 Car,List Paragraph 1 Car,Numbered List Paragraph Car,Main numbered paragraph Car"/>
    <w:link w:val="Prrafodelista"/>
    <w:uiPriority w:val="34"/>
    <w:qFormat/>
    <w:locked/>
    <w:rsid w:val="00BD0403"/>
    <w:rPr>
      <w:lang w:val="en-US"/>
    </w:rPr>
  </w:style>
  <w:style w:type="paragraph" w:customStyle="1" w:styleId="Numeracin">
    <w:name w:val="Numeración"/>
    <w:basedOn w:val="Normal"/>
    <w:link w:val="NumeracinChar"/>
    <w:qFormat/>
    <w:rsid w:val="004F2251"/>
    <w:pPr>
      <w:numPr>
        <w:numId w:val="11"/>
      </w:numPr>
      <w:spacing w:before="120"/>
      <w:jc w:val="both"/>
    </w:pPr>
    <w:rPr>
      <w:sz w:val="22"/>
      <w:szCs w:val="24"/>
    </w:rPr>
  </w:style>
  <w:style w:type="character" w:customStyle="1" w:styleId="NumeracinChar">
    <w:name w:val="Numeración Char"/>
    <w:link w:val="Numeracin"/>
    <w:rsid w:val="00A03584"/>
    <w:rPr>
      <w:rFonts w:ascii="Times New Roman" w:eastAsia="Times New Roman" w:hAnsi="Times New Roman" w:cs="Times New Roman"/>
      <w:szCs w:val="24"/>
      <w:lang w:val="es-ES" w:eastAsia="es-ES"/>
    </w:rPr>
  </w:style>
  <w:style w:type="paragraph" w:styleId="Textonotapie">
    <w:name w:val="footnote text"/>
    <w:basedOn w:val="Normal"/>
    <w:link w:val="TextonotapieCar"/>
    <w:uiPriority w:val="99"/>
    <w:semiHidden/>
    <w:unhideWhenUsed/>
    <w:rsid w:val="00867AEA"/>
    <w:rPr>
      <w:sz w:val="20"/>
    </w:rPr>
  </w:style>
  <w:style w:type="character" w:customStyle="1" w:styleId="TextonotapieCar">
    <w:name w:val="Texto nota pie Car"/>
    <w:basedOn w:val="Fuentedeprrafopredeter"/>
    <w:link w:val="Textonotapie"/>
    <w:uiPriority w:val="99"/>
    <w:semiHidden/>
    <w:rsid w:val="00867AEA"/>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867AEA"/>
    <w:rPr>
      <w:vertAlign w:val="superscript"/>
    </w:rPr>
  </w:style>
  <w:style w:type="table" w:styleId="Tablaconcuadrcula1clara">
    <w:name w:val="Grid Table 1 Light"/>
    <w:basedOn w:val="Tablanormal"/>
    <w:uiPriority w:val="46"/>
    <w:rsid w:val="00EA203B"/>
    <w:pPr>
      <w:spacing w:after="0" w:line="240" w:lineRule="auto"/>
    </w:pPr>
    <w:rPr>
      <w:kern w:val="2"/>
      <w:sz w:val="24"/>
      <w:szCs w:val="24"/>
      <w14:ligatures w14:val="standardContextual"/>
    </w:rPr>
    <w:tblPr>
      <w:tblStyleRowBandSize w:val="1"/>
      <w:tblStyleColBandSize w:val="1"/>
      <w:tblInd w:w="0" w:type="nil"/>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6060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mailto:correo@sugeval.fi.c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Nintex conditional workflow start</Name>
    <Synchronization>Synchronous</Synchronization>
    <Type>10001</Type>
    <SequenceNumber>50000</SequenceNumber>
    <Url/>
    <Assembly>Nintex.Workflow, Version=1.0.0.0, Culture=neutral, PublicKeyToken=913f6bae0ca5ae12</Assembly>
    <Class>Nintex.Workflow.ConditionalWorkflowStartReceiver</Class>
    <Data>638363850533699008</Data>
    <Filter/>
  </Receiver>
  <Receiver>
    <Name>Nintex conditional workflow start</Name>
    <Synchronization>Synchronous</Synchronization>
    <Type>10002</Type>
    <SequenceNumber>50000</SequenceNumber>
    <Url/>
    <Assembly>Nintex.Workflow, Version=1.0.0.0, Culture=neutral, PublicKeyToken=913f6bae0ca5ae12</Assembly>
    <Class>Nintex.Workflow.ConditionalWorkflowStartReceiver</Class>
    <Data>638363850533699008</Data>
    <Filter/>
  </Receiver>
  <Receiver>
    <Name>Nintex conditional workflow start</Name>
    <Synchronization>Synchronous</Synchronization>
    <Type>2</Type>
    <SequenceNumber>50000</SequenceNumber>
    <Url/>
    <Assembly>Nintex.Workflow, Version=1.0.0.0, Culture=neutral, PublicKeyToken=913f6bae0ca5ae12</Assembly>
    <Class>Nintex.Workflow.ConditionalWorkflowStartReceiver</Class>
    <Data>638363850533699008</Data>
    <Filter/>
  </Receiver>
  <Receiver>
    <Name>Nintex conditional workflow start</Name>
    <Synchronization>Synchronous</Synchronization>
    <Type>10004</Type>
    <SequenceNumber>50000</SequenceNumber>
    <Url/>
    <Assembly>Nintex.Workflow, Version=1.0.0.0, Culture=neutral, PublicKeyToken=913f6bae0ca5ae12</Assembly>
    <Class>Nintex.Workflow.ConditionalWorkflowStartReceiver</Class>
    <Data>638363850533699008</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Display>DocumentLibraryForm</Display>
  <Edit>DocumentLibraryForm</Edit>
  <New>DocumentLibraryForm</New>
  <MobileDisplayFormUrl/>
  <MobileEditFormUrl/>
  <MobileNewFormUrl/>
</FormTemplates>
</file>

<file path=customXml/item4.xml><?xml version="1.0" encoding="utf-8"?>
<?mso-contentType ?>
<FormTemplates xmlns="http://schemas.microsoft.com/sharepoint/v3/contenttype/forms">
  <Display>NFListDisplayForm</Display>
  <Edit>NFListEditForm</Edit>
  <New>NFListEditForm</New>
</FormTemplates>
</file>

<file path=customXml/item5.xml><?xml version="1.0" encoding="utf-8"?>
<ct:contentTypeSchema xmlns:ct="http://schemas.microsoft.com/office/2006/metadata/contentType" xmlns:ma="http://schemas.microsoft.com/office/2006/metadata/properties/metaAttributes" ct:_="" ma:_="" ma:contentTypeName="Documento" ma:contentTypeID="0x010100C66477CF232ACD46B93353E93693837C" ma:contentTypeVersion="22" ma:contentTypeDescription="Crear nuevo documento." ma:contentTypeScope="" ma:versionID="771b5d109343a25d4f006d1cf9f2dd89">
  <xsd:schema xmlns:xsd="http://www.w3.org/2001/XMLSchema" xmlns:xs="http://www.w3.org/2001/XMLSchema" xmlns:p="http://schemas.microsoft.com/office/2006/metadata/properties" xmlns:ns2="315842a7-4cff-4ca6-8fb0-a6562d7ae952" xmlns:ns3="fc66ef79-2d66-4fa3-90bd-e4f186d8d369" targetNamespace="http://schemas.microsoft.com/office/2006/metadata/properties" ma:root="true" ma:fieldsID="92001fb5b952c810e9fd9ed66f8f92f8" ns2:_="" ns3:_="">
    <xsd:import namespace="315842a7-4cff-4ca6-8fb0-a6562d7ae952"/>
    <xsd:import namespace="fc66ef79-2d66-4fa3-90bd-e4f186d8d369"/>
    <xsd:element name="properties">
      <xsd:complexType>
        <xsd:sequence>
          <xsd:element name="documentManagement">
            <xsd:complexType>
              <xsd:all>
                <xsd:element ref="ns2:Estado" minOccurs="0"/>
                <xsd:element ref="ns2:Derogado_x0020_por_x003a_"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5842a7-4cff-4ca6-8fb0-a6562d7ae952" elementFormDefault="qualified">
    <xsd:import namespace="http://schemas.microsoft.com/office/2006/documentManagement/types"/>
    <xsd:import namespace="http://schemas.microsoft.com/office/infopath/2007/PartnerControls"/>
    <xsd:element name="Estado" ma:index="8" nillable="true" ma:displayName="Estado" ma:default="Consulta" ma:format="Dropdown" ma:internalName="Estado">
      <xsd:simpleType>
        <xsd:restriction base="dms:Choice">
          <xsd:enumeration value="Consulta"/>
          <xsd:enumeration value="Derogado"/>
          <xsd:enumeration value="Vigente"/>
        </xsd:restriction>
      </xsd:simpleType>
    </xsd:element>
    <xsd:element name="Derogado_x0020_por_x003a_" ma:index="9" nillable="true" ma:displayName="Derogado por:" ma:internalName="Derogado_x0020_por_x003a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66ef79-2d66-4fa3-90bd-e4f186d8d369" elementFormDefault="qualified">
    <xsd:import namespace="http://schemas.microsoft.com/office/2006/documentManagement/types"/>
    <xsd:import namespace="http://schemas.microsoft.com/office/infopath/2007/PartnerControls"/>
    <xsd:element name="SharedWithUsers" ma:index="10"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Nombre Acuerd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Estado xmlns="315842a7-4cff-4ca6-8fb0-a6562d7ae952">Consulta</Estado>
    <Derogado_x0020_por_x003a_ xmlns="315842a7-4cff-4ca6-8fb0-a6562d7ae952" xsi:nil="true"/>
  </documentManagement>
</p:properties>
</file>

<file path=customXml/itemProps1.xml><?xml version="1.0" encoding="utf-8"?>
<ds:datastoreItem xmlns:ds="http://schemas.openxmlformats.org/officeDocument/2006/customXml" ds:itemID="{3218E16F-3AC3-4F3C-9AE0-0A742C3A043D}">
  <ds:schemaRefs>
    <ds:schemaRef ds:uri="http://schemas.openxmlformats.org/officeDocument/2006/bibliography"/>
  </ds:schemaRefs>
</ds:datastoreItem>
</file>

<file path=customXml/itemProps2.xml><?xml version="1.0" encoding="utf-8"?>
<ds:datastoreItem xmlns:ds="http://schemas.openxmlformats.org/officeDocument/2006/customXml" ds:itemID="{9C403370-888C-4BAE-A0E8-65C64C94BFAC}">
  <ds:schemaRefs>
    <ds:schemaRef ds:uri="http://schemas.microsoft.com/sharepoint/events"/>
  </ds:schemaRefs>
</ds:datastoreItem>
</file>

<file path=customXml/itemProps3.xml><?xml version="1.0" encoding="utf-8"?>
<ds:datastoreItem xmlns:ds="http://schemas.openxmlformats.org/officeDocument/2006/customXml" ds:itemID="{4F75142B-52A2-4CE4-918B-8BACE850F0A5}">
  <ds:schemaRefs/>
</ds:datastoreItem>
</file>

<file path=customXml/itemProps4.xml><?xml version="1.0" encoding="utf-8"?>
<ds:datastoreItem xmlns:ds="http://schemas.openxmlformats.org/officeDocument/2006/customXml" ds:itemID="{5FAB5EE2-5BA4-49FF-B7FD-EFFCDF52A3C7}">
  <ds:schemaRefs>
    <ds:schemaRef ds:uri="http://schemas.microsoft.com/sharepoint/v3/contenttype/forms"/>
  </ds:schemaRefs>
</ds:datastoreItem>
</file>

<file path=customXml/itemProps5.xml><?xml version="1.0" encoding="utf-8"?>
<ds:datastoreItem xmlns:ds="http://schemas.openxmlformats.org/officeDocument/2006/customXml" ds:itemID="{CDEE178B-B881-4D43-9F47-42BC62DDFB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5842a7-4cff-4ca6-8fb0-a6562d7ae952"/>
    <ds:schemaRef ds:uri="fc66ef79-2d66-4fa3-90bd-e4f186d8d3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49503AA-B54E-4F7D-A564-7344F1E7EF3E}">
  <ds:schemaRefs>
    <ds:schemaRef ds:uri="http://schemas.microsoft.com/office/2006/metadata/properties"/>
    <ds:schemaRef ds:uri="http://schemas.microsoft.com/office/infopath/2007/PartnerControls"/>
    <ds:schemaRef ds:uri="315842a7-4cff-4ca6-8fb0-a6562d7ae952"/>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845</Words>
  <Characters>4651</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SGV A-75 Modificación de los anexos 64 -Déficit/Superávit de GF y anexo 31 Riesgos operativos por eliminación de actividad de custodia</vt:lpstr>
    </vt:vector>
  </TitlesOfParts>
  <Company/>
  <LinksUpToDate>false</LinksUpToDate>
  <CharactersWithSpaces>5486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SGV A-75 Modificación de los anexos 64 -Déficit/Superávit de GF y anexo 31 Riesgos operativos por eliminación de actividad de custodia</dc:title>
  <dc:subject/>
  <dc:creator/>
  <cp:keywords/>
  <dc:description/>
  <cp:lastModifiedBy/>
  <cp:revision>1</cp:revision>
  <dcterms:created xsi:type="dcterms:W3CDTF">2025-04-22T15:05:00Z</dcterms:created>
  <dcterms:modified xsi:type="dcterms:W3CDTF">2025-04-22T15:05:00Z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8b4be34-365a-4a68-b9fb-75c1b6874315_Enabled">
    <vt:lpwstr>true</vt:lpwstr>
  </property>
  <property fmtid="{D5CDD505-2E9C-101B-9397-08002B2CF9AE}" pid="3" name="MSIP_Label_b8b4be34-365a-4a68-b9fb-75c1b6874315_SetDate">
    <vt:lpwstr>2023-12-14T17:52:15Z</vt:lpwstr>
  </property>
  <property fmtid="{D5CDD505-2E9C-101B-9397-08002B2CF9AE}" pid="4" name="MSIP_Label_b8b4be34-365a-4a68-b9fb-75c1b6874315_Method">
    <vt:lpwstr>Standard</vt:lpwstr>
  </property>
  <property fmtid="{D5CDD505-2E9C-101B-9397-08002B2CF9AE}" pid="5" name="MSIP_Label_b8b4be34-365a-4a68-b9fb-75c1b6874315_Name">
    <vt:lpwstr>b8b4be34-365a-4a68-b9fb-75c1b6874315</vt:lpwstr>
  </property>
  <property fmtid="{D5CDD505-2E9C-101B-9397-08002B2CF9AE}" pid="6" name="MSIP_Label_b8b4be34-365a-4a68-b9fb-75c1b6874315_SiteId">
    <vt:lpwstr>618d0a45-25a6-4618-9f80-8f70a435ee52</vt:lpwstr>
  </property>
  <property fmtid="{D5CDD505-2E9C-101B-9397-08002B2CF9AE}" pid="7" name="MSIP_Label_b8b4be34-365a-4a68-b9fb-75c1b6874315_ActionId">
    <vt:lpwstr>6fe89a9e-5b09-4068-bbdc-000064080b38</vt:lpwstr>
  </property>
  <property fmtid="{D5CDD505-2E9C-101B-9397-08002B2CF9AE}" pid="8" name="MSIP_Label_b8b4be34-365a-4a68-b9fb-75c1b6874315_ContentBits">
    <vt:lpwstr>2</vt:lpwstr>
  </property>
  <property fmtid="{D5CDD505-2E9C-101B-9397-08002B2CF9AE}" pid="9" name="ContentTypeId">
    <vt:lpwstr>0x010100C66477CF232ACD46B93353E93693837C</vt:lpwstr>
  </property>
  <property fmtid="{D5CDD505-2E9C-101B-9397-08002B2CF9AE}" pid="10" name="MediaServiceImageTags">
    <vt:lpwstr/>
  </property>
  <property fmtid="{D5CDD505-2E9C-101B-9397-08002B2CF9AE}" pid="11" name="DestinatarioInterno">
    <vt:lpwstr>1025;#i:0#.w|sugese\soleypt</vt:lpwstr>
  </property>
  <property fmtid="{D5CDD505-2E9C-101B-9397-08002B2CF9AE}" pid="12" name="_dlc_DocIdItemGuid">
    <vt:lpwstr>9a9667ca-f695-45a4-bd75-57a43ce31bdc</vt:lpwstr>
  </property>
  <property fmtid="{D5CDD505-2E9C-101B-9397-08002B2CF9AE}" pid="13" name="WorkflowChangePath">
    <vt:lpwstr>925af84c-f9b4-4c9e-aa34-aa473371a36e,41;393746fc-6fc4-41c7-a764-9531eaac1a57,44;73ce36ca-d441-4a75-b674-1e19e4671a8e,47;3239805f-962e-48ad-9b94-b03aa633c5f0,52;</vt:lpwstr>
  </property>
  <property fmtid="{D5CDD505-2E9C-101B-9397-08002B2CF9AE}" pid="14" name="TipoDocumental">
    <vt:lpwstr>Acuerdos</vt:lpwstr>
  </property>
</Properties>
</file>