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BE" w:rsidRPr="0061303C" w:rsidRDefault="007958BE" w:rsidP="007958BE">
      <w:pPr>
        <w:jc w:val="both"/>
        <w:rPr>
          <w:rFonts w:ascii="Arial" w:hAnsi="Arial" w:cs="Arial"/>
          <w:b/>
          <w:bCs/>
          <w:iCs/>
          <w:noProof/>
          <w:sz w:val="24"/>
          <w:lang w:val="es-ES_tradnl" w:eastAsia="en-US"/>
        </w:rPr>
      </w:pPr>
      <w:bookmarkStart w:id="0" w:name="_GoBack"/>
      <w:bookmarkEnd w:id="0"/>
      <w:r w:rsidRPr="0061303C">
        <w:rPr>
          <w:rFonts w:ascii="Arial" w:hAnsi="Arial" w:cs="Arial"/>
          <w:b/>
          <w:bCs/>
          <w:iCs/>
          <w:noProof/>
          <w:sz w:val="24"/>
          <w:lang w:val="es-ES_tradnl" w:eastAsia="en-US"/>
        </w:rPr>
        <w:t xml:space="preserve">SGV-A-184 REFORMA AL ARTÍCULO 13 DEL SGV-A-182 “INSTRUCCIONES PARA LA REMISIÓN DE PROSPECTOS DE ENTIDADES EMISORAS </w:t>
      </w:r>
    </w:p>
    <w:p w:rsidR="000446D8" w:rsidRPr="0061303C" w:rsidRDefault="007958BE" w:rsidP="007958BE">
      <w:pPr>
        <w:jc w:val="both"/>
        <w:rPr>
          <w:rFonts w:ascii="Arial" w:hAnsi="Arial" w:cs="Arial"/>
          <w:b/>
          <w:bCs/>
          <w:iCs/>
          <w:noProof/>
          <w:sz w:val="24"/>
          <w:lang w:eastAsia="en-US"/>
        </w:rPr>
      </w:pPr>
      <w:r w:rsidRPr="0061303C">
        <w:rPr>
          <w:rFonts w:ascii="Arial" w:hAnsi="Arial" w:cs="Arial"/>
          <w:b/>
          <w:bCs/>
          <w:iCs/>
          <w:noProof/>
          <w:sz w:val="24"/>
          <w:lang w:val="es-ES_tradnl" w:eastAsia="en-US"/>
        </w:rPr>
        <w:t>Y DOCUMENTOS RELACIONADOS</w:t>
      </w:r>
      <w:r w:rsidR="005D06F8" w:rsidRPr="0061303C">
        <w:rPr>
          <w:rFonts w:ascii="Arial" w:hAnsi="Arial" w:cs="Arial"/>
          <w:b/>
          <w:bCs/>
          <w:iCs/>
          <w:noProof/>
          <w:sz w:val="24"/>
          <w:lang w:eastAsia="en-US"/>
        </w:rPr>
        <w:t>”</w:t>
      </w:r>
      <w:r w:rsidR="00CD58F2" w:rsidRPr="0061303C">
        <w:rPr>
          <w:rStyle w:val="FootnoteReference"/>
          <w:rFonts w:ascii="Arial" w:hAnsi="Arial" w:cs="Arial"/>
          <w:b/>
          <w:bCs/>
          <w:iCs/>
          <w:noProof/>
          <w:sz w:val="24"/>
          <w:lang w:eastAsia="en-US"/>
        </w:rPr>
        <w:footnoteReference w:id="1"/>
      </w:r>
    </w:p>
    <w:p w:rsidR="005D06F8" w:rsidRDefault="005D06F8" w:rsidP="00D934D3">
      <w:pPr>
        <w:rPr>
          <w:rFonts w:ascii="Arial" w:hAnsi="Arial" w:cs="Arial"/>
          <w:b/>
          <w:szCs w:val="22"/>
          <w:lang w:eastAsia="en-US"/>
        </w:rPr>
      </w:pPr>
    </w:p>
    <w:p w:rsidR="0061303C" w:rsidRPr="00E0577E" w:rsidRDefault="0061303C" w:rsidP="0061303C">
      <w:pPr>
        <w:rPr>
          <w:rFonts w:ascii="Arial" w:eastAsia="Arial Unicode MS" w:hAnsi="Arial" w:cs="Arial"/>
          <w:b/>
          <w:color w:val="000000"/>
          <w:szCs w:val="22"/>
        </w:rPr>
      </w:pPr>
      <w:r w:rsidRPr="00E0577E">
        <w:rPr>
          <w:rFonts w:ascii="Arial" w:eastAsia="Arial Unicode MS" w:hAnsi="Arial" w:cs="Arial"/>
          <w:b/>
          <w:color w:val="000000"/>
          <w:szCs w:val="22"/>
        </w:rPr>
        <w:t>Considerando que:</w:t>
      </w:r>
    </w:p>
    <w:p w:rsidR="005D06F8" w:rsidRPr="0061303C" w:rsidRDefault="005D06F8" w:rsidP="00D934D3">
      <w:pPr>
        <w:rPr>
          <w:rFonts w:ascii="Arial" w:hAnsi="Arial" w:cs="Arial"/>
          <w:b/>
          <w:szCs w:val="22"/>
          <w:lang w:eastAsia="en-US"/>
        </w:rPr>
      </w:pPr>
    </w:p>
    <w:p w:rsidR="000446D8" w:rsidRPr="0061303C" w:rsidRDefault="000446D8" w:rsidP="00D870EC">
      <w:pPr>
        <w:pStyle w:val="ListParagraph"/>
        <w:numPr>
          <w:ilvl w:val="0"/>
          <w:numId w:val="9"/>
        </w:numPr>
        <w:tabs>
          <w:tab w:val="left" w:pos="317"/>
          <w:tab w:val="left" w:pos="8910"/>
        </w:tabs>
        <w:ind w:left="284" w:right="33" w:hanging="142"/>
        <w:jc w:val="both"/>
        <w:rPr>
          <w:rFonts w:ascii="Arial" w:hAnsi="Arial" w:cs="Arial"/>
          <w:szCs w:val="22"/>
        </w:rPr>
      </w:pPr>
      <w:r w:rsidRPr="0061303C">
        <w:rPr>
          <w:rFonts w:ascii="Arial" w:hAnsi="Arial" w:cs="Arial"/>
          <w:szCs w:val="22"/>
        </w:rPr>
        <w:t xml:space="preserve">Mediante el Acuerdo SGV-A-182 </w:t>
      </w:r>
      <w:r w:rsidR="006D44DF" w:rsidRPr="0061303C">
        <w:rPr>
          <w:rFonts w:ascii="Arial" w:hAnsi="Arial" w:cs="Arial"/>
          <w:szCs w:val="22"/>
        </w:rPr>
        <w:t>“</w:t>
      </w:r>
      <w:r w:rsidRPr="0061303C">
        <w:rPr>
          <w:rFonts w:ascii="Arial" w:hAnsi="Arial" w:cs="Arial"/>
          <w:szCs w:val="22"/>
        </w:rPr>
        <w:t>INSTRUCCIONES PARA LA REMISIÓN DE PROSPECTOS DE ENTIDADES EMISORAS Y DOCUMENTOS RELACIONADOS</w:t>
      </w:r>
      <w:r w:rsidR="006D44DF" w:rsidRPr="0061303C">
        <w:rPr>
          <w:rFonts w:ascii="Arial" w:hAnsi="Arial" w:cs="Arial"/>
          <w:szCs w:val="22"/>
        </w:rPr>
        <w:t>”</w:t>
      </w:r>
      <w:r w:rsidRPr="0061303C">
        <w:rPr>
          <w:rFonts w:ascii="Arial" w:hAnsi="Arial" w:cs="Arial"/>
          <w:szCs w:val="22"/>
        </w:rPr>
        <w:t>, de las nueve horas del dos de octubre del dos mil doce</w:t>
      </w:r>
      <w:r w:rsidR="006D44DF" w:rsidRPr="0061303C">
        <w:rPr>
          <w:rFonts w:ascii="Arial" w:hAnsi="Arial" w:cs="Arial"/>
          <w:szCs w:val="22"/>
        </w:rPr>
        <w:t>,</w:t>
      </w:r>
      <w:r w:rsidRPr="0061303C">
        <w:rPr>
          <w:rFonts w:ascii="Arial" w:hAnsi="Arial" w:cs="Arial"/>
          <w:szCs w:val="22"/>
        </w:rPr>
        <w:t xml:space="preserve"> se definieron los procedimientos que deben observarse para la presentación de los requisitos por parte de las entidades emisoras en los trámites de inscripción, modificación y desinscripción de emisiones, así como para la actualización del prospecto. </w:t>
      </w:r>
    </w:p>
    <w:p w:rsidR="00D97AB6" w:rsidRPr="0061303C" w:rsidRDefault="00D97AB6" w:rsidP="005D06F8">
      <w:pPr>
        <w:tabs>
          <w:tab w:val="left" w:pos="317"/>
          <w:tab w:val="left" w:pos="8910"/>
        </w:tabs>
        <w:ind w:left="317" w:right="33"/>
        <w:jc w:val="both"/>
        <w:rPr>
          <w:rFonts w:ascii="Arial" w:hAnsi="Arial" w:cs="Arial"/>
          <w:szCs w:val="22"/>
        </w:rPr>
      </w:pPr>
    </w:p>
    <w:p w:rsidR="00D97AB6" w:rsidRPr="0061303C" w:rsidRDefault="00D97AB6" w:rsidP="00D870EC">
      <w:pPr>
        <w:pStyle w:val="ListParagraph"/>
        <w:numPr>
          <w:ilvl w:val="0"/>
          <w:numId w:val="9"/>
        </w:numPr>
        <w:tabs>
          <w:tab w:val="left" w:pos="317"/>
          <w:tab w:val="left" w:pos="8910"/>
        </w:tabs>
        <w:ind w:left="284" w:right="33" w:hanging="142"/>
        <w:jc w:val="both"/>
        <w:rPr>
          <w:rFonts w:ascii="Arial" w:hAnsi="Arial" w:cs="Arial"/>
          <w:szCs w:val="22"/>
        </w:rPr>
      </w:pPr>
      <w:r w:rsidRPr="0061303C">
        <w:rPr>
          <w:rFonts w:ascii="Arial" w:hAnsi="Arial" w:cs="Arial"/>
          <w:szCs w:val="22"/>
        </w:rPr>
        <w:t xml:space="preserve">De acuerdo con el artículo 19 del Reglamento sobre oferta pública de valores, el prospecto debe acompañarse de una declaración jurada rendida por el representante legal de la entidad emisora ante un notario público sobre la veracidad de su información, cuyo contenido mínimo debe establecer el Superintendente. </w:t>
      </w:r>
    </w:p>
    <w:p w:rsidR="000446D8" w:rsidRPr="0061303C" w:rsidRDefault="000446D8" w:rsidP="005D06F8">
      <w:pPr>
        <w:tabs>
          <w:tab w:val="left" w:pos="317"/>
          <w:tab w:val="left" w:pos="8910"/>
        </w:tabs>
        <w:ind w:left="317" w:right="33"/>
        <w:jc w:val="both"/>
        <w:rPr>
          <w:rFonts w:ascii="Arial" w:hAnsi="Arial" w:cs="Arial"/>
          <w:szCs w:val="22"/>
        </w:rPr>
      </w:pPr>
    </w:p>
    <w:p w:rsidR="00AA0128" w:rsidRPr="0061303C" w:rsidRDefault="00041555" w:rsidP="00D870EC">
      <w:pPr>
        <w:pStyle w:val="ListParagraph"/>
        <w:numPr>
          <w:ilvl w:val="0"/>
          <w:numId w:val="9"/>
        </w:numPr>
        <w:tabs>
          <w:tab w:val="left" w:pos="317"/>
          <w:tab w:val="left" w:pos="8910"/>
        </w:tabs>
        <w:ind w:left="284" w:right="33" w:hanging="142"/>
        <w:jc w:val="both"/>
        <w:rPr>
          <w:rFonts w:ascii="Arial" w:hAnsi="Arial" w:cs="Arial"/>
          <w:szCs w:val="22"/>
        </w:rPr>
      </w:pPr>
      <w:r w:rsidRPr="0061303C">
        <w:rPr>
          <w:rFonts w:ascii="Arial" w:hAnsi="Arial" w:cs="Arial"/>
          <w:szCs w:val="22"/>
        </w:rPr>
        <w:t xml:space="preserve">El </w:t>
      </w:r>
      <w:r w:rsidR="000446D8" w:rsidRPr="0061303C">
        <w:rPr>
          <w:rFonts w:ascii="Arial" w:hAnsi="Arial" w:cs="Arial"/>
          <w:szCs w:val="22"/>
        </w:rPr>
        <w:t>artícu</w:t>
      </w:r>
      <w:r w:rsidR="00D97AB6" w:rsidRPr="0061303C">
        <w:rPr>
          <w:rFonts w:ascii="Arial" w:hAnsi="Arial" w:cs="Arial"/>
          <w:szCs w:val="22"/>
        </w:rPr>
        <w:t xml:space="preserve">lo 13 del </w:t>
      </w:r>
      <w:r w:rsidR="00AA0128" w:rsidRPr="0061303C">
        <w:rPr>
          <w:rFonts w:ascii="Arial" w:hAnsi="Arial" w:cs="Arial"/>
          <w:szCs w:val="22"/>
        </w:rPr>
        <w:t xml:space="preserve">Acuerdo </w:t>
      </w:r>
      <w:r w:rsidR="00D97AB6" w:rsidRPr="0061303C">
        <w:rPr>
          <w:rFonts w:ascii="Arial" w:hAnsi="Arial" w:cs="Arial"/>
          <w:szCs w:val="22"/>
        </w:rPr>
        <w:t xml:space="preserve">SGV-A-182 </w:t>
      </w:r>
      <w:r w:rsidR="00AA0128" w:rsidRPr="0061303C">
        <w:rPr>
          <w:rFonts w:ascii="Arial" w:hAnsi="Arial" w:cs="Arial"/>
          <w:szCs w:val="22"/>
        </w:rPr>
        <w:t xml:space="preserve">establece el procedimiento a seguir por parte de la entidad emisora para realizar la actualización anual de su prospecto. En dicho artículo se definió que la declaración jurada original del representante legal de la entidad emisora sobre el procedimiento de </w:t>
      </w:r>
      <w:r w:rsidR="00AA0128" w:rsidRPr="0061303C">
        <w:rPr>
          <w:rFonts w:ascii="Arial" w:hAnsi="Arial" w:cs="Arial"/>
          <w:szCs w:val="22"/>
          <w:lang w:val="es-ES_tradnl"/>
        </w:rPr>
        <w:t>actualización anual del prospecto</w:t>
      </w:r>
      <w:r w:rsidR="00AA0128" w:rsidRPr="0061303C">
        <w:rPr>
          <w:rFonts w:ascii="Arial" w:hAnsi="Arial" w:cs="Arial"/>
          <w:szCs w:val="22"/>
        </w:rPr>
        <w:t xml:space="preserve">, se </w:t>
      </w:r>
      <w:r w:rsidR="006D44DF" w:rsidRPr="0061303C">
        <w:rPr>
          <w:rFonts w:ascii="Arial" w:hAnsi="Arial" w:cs="Arial"/>
          <w:szCs w:val="22"/>
        </w:rPr>
        <w:t>debe</w:t>
      </w:r>
      <w:r w:rsidR="00AA0128" w:rsidRPr="0061303C">
        <w:rPr>
          <w:rFonts w:ascii="Arial" w:hAnsi="Arial" w:cs="Arial"/>
          <w:szCs w:val="22"/>
        </w:rPr>
        <w:t xml:space="preserve"> presentar en un plazo máximo de 24 horas a partir de la remisión del prospecto </w:t>
      </w:r>
      <w:r w:rsidR="006D44DF" w:rsidRPr="0061303C">
        <w:rPr>
          <w:rFonts w:ascii="Arial" w:hAnsi="Arial" w:cs="Arial"/>
          <w:szCs w:val="22"/>
        </w:rPr>
        <w:t>a través de la</w:t>
      </w:r>
      <w:r w:rsidR="00AA0128" w:rsidRPr="0061303C">
        <w:rPr>
          <w:rFonts w:ascii="Arial" w:hAnsi="Arial" w:cs="Arial"/>
          <w:szCs w:val="22"/>
        </w:rPr>
        <w:t xml:space="preserve"> Ventanilla Virtual.</w:t>
      </w:r>
    </w:p>
    <w:p w:rsidR="00AA0128" w:rsidRPr="0061303C" w:rsidRDefault="00AA0128" w:rsidP="005D06F8">
      <w:pPr>
        <w:pStyle w:val="ListParagraph"/>
        <w:rPr>
          <w:rFonts w:ascii="Arial" w:hAnsi="Arial" w:cs="Arial"/>
          <w:szCs w:val="22"/>
        </w:rPr>
      </w:pPr>
    </w:p>
    <w:p w:rsidR="00AA0128" w:rsidRPr="0061303C" w:rsidRDefault="00AA0128" w:rsidP="00D870EC">
      <w:pPr>
        <w:pStyle w:val="ListParagraph"/>
        <w:numPr>
          <w:ilvl w:val="0"/>
          <w:numId w:val="9"/>
        </w:numPr>
        <w:tabs>
          <w:tab w:val="left" w:pos="317"/>
          <w:tab w:val="left" w:pos="8910"/>
        </w:tabs>
        <w:ind w:left="284" w:right="33" w:hanging="142"/>
        <w:jc w:val="both"/>
        <w:rPr>
          <w:rFonts w:ascii="Arial" w:hAnsi="Arial" w:cs="Arial"/>
          <w:szCs w:val="22"/>
        </w:rPr>
      </w:pPr>
      <w:r w:rsidRPr="0061303C">
        <w:rPr>
          <w:rFonts w:ascii="Arial" w:hAnsi="Arial" w:cs="Arial"/>
          <w:szCs w:val="22"/>
        </w:rPr>
        <w:t>Si bien la fecha para el envío</w:t>
      </w:r>
      <w:r w:rsidR="00D97AB6" w:rsidRPr="0061303C">
        <w:rPr>
          <w:rFonts w:ascii="Arial" w:hAnsi="Arial" w:cs="Arial"/>
          <w:szCs w:val="22"/>
        </w:rPr>
        <w:t xml:space="preserve"> de la</w:t>
      </w:r>
      <w:r w:rsidRPr="0061303C">
        <w:rPr>
          <w:rFonts w:ascii="Arial" w:hAnsi="Arial" w:cs="Arial"/>
          <w:szCs w:val="22"/>
        </w:rPr>
        <w:t xml:space="preserve"> actualización </w:t>
      </w:r>
      <w:r w:rsidR="00D97AB6" w:rsidRPr="0061303C">
        <w:rPr>
          <w:rFonts w:ascii="Arial" w:hAnsi="Arial" w:cs="Arial"/>
          <w:szCs w:val="22"/>
        </w:rPr>
        <w:t xml:space="preserve">anual </w:t>
      </w:r>
      <w:r w:rsidRPr="0061303C">
        <w:rPr>
          <w:rFonts w:ascii="Arial" w:hAnsi="Arial" w:cs="Arial"/>
          <w:szCs w:val="22"/>
        </w:rPr>
        <w:t xml:space="preserve">del prospecto se establece </w:t>
      </w:r>
      <w:r w:rsidR="00D97AB6" w:rsidRPr="0061303C">
        <w:rPr>
          <w:rFonts w:ascii="Arial" w:hAnsi="Arial" w:cs="Arial"/>
          <w:szCs w:val="22"/>
        </w:rPr>
        <w:t xml:space="preserve">al inicio de cada año </w:t>
      </w:r>
      <w:r w:rsidRPr="0061303C">
        <w:rPr>
          <w:rFonts w:ascii="Arial" w:hAnsi="Arial" w:cs="Arial"/>
          <w:szCs w:val="22"/>
        </w:rPr>
        <w:t xml:space="preserve">en el </w:t>
      </w:r>
      <w:r w:rsidR="00D97AB6" w:rsidRPr="0061303C">
        <w:rPr>
          <w:rFonts w:ascii="Arial" w:hAnsi="Arial" w:cs="Arial"/>
          <w:szCs w:val="22"/>
        </w:rPr>
        <w:t>“</w:t>
      </w:r>
      <w:r w:rsidR="00D97AB6" w:rsidRPr="0061303C">
        <w:rPr>
          <w:rFonts w:ascii="Arial" w:hAnsi="Arial" w:cs="Arial"/>
          <w:bCs/>
        </w:rPr>
        <w:t xml:space="preserve">Cronograma para la presentación de la información periódica”, según los requerimientos dispuestos en el SGV-A-75 “Acuerdo sobre el suministro de información periódica”, </w:t>
      </w:r>
      <w:r w:rsidR="00D97AB6" w:rsidRPr="0061303C">
        <w:rPr>
          <w:rFonts w:ascii="Arial" w:hAnsi="Arial" w:cs="Arial"/>
          <w:szCs w:val="22"/>
        </w:rPr>
        <w:t xml:space="preserve">es hasta </w:t>
      </w:r>
      <w:r w:rsidRPr="0061303C">
        <w:rPr>
          <w:rFonts w:ascii="Arial" w:hAnsi="Arial" w:cs="Arial"/>
          <w:szCs w:val="22"/>
        </w:rPr>
        <w:t xml:space="preserve">que se </w:t>
      </w:r>
      <w:r w:rsidR="00D97AB6" w:rsidRPr="0061303C">
        <w:rPr>
          <w:rFonts w:ascii="Arial" w:hAnsi="Arial" w:cs="Arial"/>
          <w:szCs w:val="22"/>
        </w:rPr>
        <w:t>remite</w:t>
      </w:r>
      <w:r w:rsidRPr="0061303C">
        <w:rPr>
          <w:rFonts w:ascii="Arial" w:hAnsi="Arial" w:cs="Arial"/>
          <w:szCs w:val="22"/>
        </w:rPr>
        <w:t xml:space="preserve"> el prospecto </w:t>
      </w:r>
      <w:r w:rsidR="00D97AB6" w:rsidRPr="0061303C">
        <w:rPr>
          <w:rFonts w:ascii="Arial" w:hAnsi="Arial" w:cs="Arial"/>
          <w:szCs w:val="22"/>
        </w:rPr>
        <w:t xml:space="preserve">mediante el trámite de </w:t>
      </w:r>
      <w:r w:rsidR="00D97AB6" w:rsidRPr="0061303C">
        <w:rPr>
          <w:rFonts w:ascii="Arial" w:hAnsi="Arial" w:cs="Arial"/>
          <w:szCs w:val="22"/>
          <w:lang w:val="es-ES_tradnl"/>
        </w:rPr>
        <w:t>“Actualización anual de prospecto”</w:t>
      </w:r>
      <w:r w:rsidR="00D97AB6" w:rsidRPr="0061303C">
        <w:rPr>
          <w:rFonts w:ascii="Arial" w:hAnsi="Arial" w:cs="Arial"/>
          <w:szCs w:val="22"/>
        </w:rPr>
        <w:t xml:space="preserve"> de la Ventanilla Virtual, que se </w:t>
      </w:r>
      <w:r w:rsidRPr="0061303C">
        <w:rPr>
          <w:rFonts w:ascii="Arial" w:hAnsi="Arial" w:cs="Arial"/>
          <w:szCs w:val="22"/>
        </w:rPr>
        <w:t>conoce el número de trámite</w:t>
      </w:r>
      <w:r w:rsidR="00D97AB6" w:rsidRPr="0061303C">
        <w:rPr>
          <w:rFonts w:ascii="Arial" w:hAnsi="Arial" w:cs="Arial"/>
          <w:szCs w:val="22"/>
        </w:rPr>
        <w:t xml:space="preserve"> y el </w:t>
      </w:r>
      <w:r w:rsidR="006D44DF" w:rsidRPr="0061303C">
        <w:rPr>
          <w:rFonts w:ascii="Arial" w:hAnsi="Arial" w:cs="Arial"/>
          <w:szCs w:val="22"/>
        </w:rPr>
        <w:t>número de</w:t>
      </w:r>
      <w:r w:rsidR="00D97AB6" w:rsidRPr="0061303C">
        <w:rPr>
          <w:rFonts w:ascii="Arial" w:hAnsi="Arial" w:cs="Arial"/>
          <w:szCs w:val="22"/>
        </w:rPr>
        <w:t xml:space="preserve"> los documentos</w:t>
      </w:r>
      <w:r w:rsidRPr="0061303C">
        <w:rPr>
          <w:rFonts w:ascii="Arial" w:hAnsi="Arial" w:cs="Arial"/>
          <w:szCs w:val="22"/>
        </w:rPr>
        <w:t xml:space="preserve"> con que </w:t>
      </w:r>
      <w:r w:rsidR="00FC031D" w:rsidRPr="0061303C">
        <w:rPr>
          <w:rFonts w:ascii="Arial" w:hAnsi="Arial" w:cs="Arial"/>
          <w:szCs w:val="22"/>
        </w:rPr>
        <w:t>el</w:t>
      </w:r>
      <w:r w:rsidR="00D97AB6" w:rsidRPr="0061303C">
        <w:rPr>
          <w:rFonts w:ascii="Arial" w:hAnsi="Arial" w:cs="Arial"/>
          <w:szCs w:val="22"/>
        </w:rPr>
        <w:t xml:space="preserve"> </w:t>
      </w:r>
      <w:r w:rsidR="00FC031D" w:rsidRPr="0061303C">
        <w:rPr>
          <w:rFonts w:ascii="Arial" w:hAnsi="Arial" w:cs="Arial"/>
          <w:szCs w:val="22"/>
        </w:rPr>
        <w:t xml:space="preserve">prospecto </w:t>
      </w:r>
      <w:r w:rsidR="00D97AB6" w:rsidRPr="0061303C">
        <w:rPr>
          <w:rFonts w:ascii="Arial" w:hAnsi="Arial" w:cs="Arial"/>
          <w:szCs w:val="22"/>
        </w:rPr>
        <w:t xml:space="preserve">y </w:t>
      </w:r>
      <w:r w:rsidR="00FC031D" w:rsidRPr="0061303C">
        <w:rPr>
          <w:rFonts w:ascii="Arial" w:hAnsi="Arial" w:cs="Arial"/>
          <w:szCs w:val="22"/>
        </w:rPr>
        <w:t>los</w:t>
      </w:r>
      <w:r w:rsidR="00D97AB6" w:rsidRPr="0061303C">
        <w:rPr>
          <w:rFonts w:ascii="Arial" w:hAnsi="Arial" w:cs="Arial"/>
          <w:szCs w:val="22"/>
        </w:rPr>
        <w:t xml:space="preserve"> anexos</w:t>
      </w:r>
      <w:r w:rsidR="00FC031D" w:rsidRPr="0061303C">
        <w:rPr>
          <w:rFonts w:ascii="Arial" w:hAnsi="Arial" w:cs="Arial"/>
          <w:szCs w:val="22"/>
        </w:rPr>
        <w:t xml:space="preserve"> que lo componen</w:t>
      </w:r>
      <w:r w:rsidR="00D97AB6" w:rsidRPr="0061303C">
        <w:rPr>
          <w:rFonts w:ascii="Arial" w:hAnsi="Arial" w:cs="Arial"/>
          <w:szCs w:val="22"/>
        </w:rPr>
        <w:t xml:space="preserve"> </w:t>
      </w:r>
      <w:r w:rsidR="00FC031D" w:rsidRPr="0061303C">
        <w:rPr>
          <w:rFonts w:ascii="Arial" w:hAnsi="Arial" w:cs="Arial"/>
          <w:szCs w:val="22"/>
        </w:rPr>
        <w:t>son</w:t>
      </w:r>
      <w:r w:rsidR="00D97AB6" w:rsidRPr="0061303C">
        <w:rPr>
          <w:rFonts w:ascii="Arial" w:hAnsi="Arial" w:cs="Arial"/>
          <w:szCs w:val="22"/>
        </w:rPr>
        <w:t xml:space="preserve"> presentados, </w:t>
      </w:r>
      <w:r w:rsidR="00FC031D" w:rsidRPr="0061303C">
        <w:rPr>
          <w:rFonts w:ascii="Arial" w:hAnsi="Arial" w:cs="Arial"/>
          <w:szCs w:val="22"/>
        </w:rPr>
        <w:t xml:space="preserve">información necesaria para elaborar </w:t>
      </w:r>
      <w:r w:rsidR="00D97AB6" w:rsidRPr="0061303C">
        <w:rPr>
          <w:rFonts w:ascii="Arial" w:hAnsi="Arial" w:cs="Arial"/>
          <w:szCs w:val="22"/>
        </w:rPr>
        <w:t xml:space="preserve">la declaración jurada </w:t>
      </w:r>
      <w:r w:rsidR="006D44DF" w:rsidRPr="0061303C">
        <w:rPr>
          <w:rFonts w:ascii="Arial" w:hAnsi="Arial" w:cs="Arial"/>
          <w:szCs w:val="22"/>
        </w:rPr>
        <w:t>que el</w:t>
      </w:r>
      <w:r w:rsidR="00D97AB6" w:rsidRPr="0061303C">
        <w:rPr>
          <w:rFonts w:ascii="Arial" w:hAnsi="Arial" w:cs="Arial"/>
          <w:szCs w:val="22"/>
        </w:rPr>
        <w:t xml:space="preserve"> representante legal </w:t>
      </w:r>
      <w:r w:rsidR="006D44DF" w:rsidRPr="0061303C">
        <w:rPr>
          <w:rFonts w:ascii="Arial" w:hAnsi="Arial" w:cs="Arial"/>
          <w:szCs w:val="22"/>
        </w:rPr>
        <w:t>rinde</w:t>
      </w:r>
      <w:r w:rsidR="00D97AB6" w:rsidRPr="0061303C">
        <w:rPr>
          <w:rFonts w:ascii="Arial" w:hAnsi="Arial" w:cs="Arial"/>
          <w:szCs w:val="22"/>
        </w:rPr>
        <w:t xml:space="preserve"> ante notario público. </w:t>
      </w:r>
    </w:p>
    <w:p w:rsidR="00FC031D" w:rsidRPr="0061303C" w:rsidRDefault="00FC031D" w:rsidP="005D06F8">
      <w:pPr>
        <w:pStyle w:val="ListParagraph"/>
        <w:rPr>
          <w:rFonts w:ascii="Arial" w:hAnsi="Arial" w:cs="Arial"/>
          <w:szCs w:val="22"/>
        </w:rPr>
      </w:pPr>
    </w:p>
    <w:p w:rsidR="00FC031D" w:rsidRPr="0061303C" w:rsidRDefault="00FC031D" w:rsidP="00D870EC">
      <w:pPr>
        <w:pStyle w:val="ListParagraph"/>
        <w:numPr>
          <w:ilvl w:val="0"/>
          <w:numId w:val="9"/>
        </w:numPr>
        <w:tabs>
          <w:tab w:val="left" w:pos="317"/>
          <w:tab w:val="left" w:pos="8910"/>
        </w:tabs>
        <w:ind w:left="284" w:right="33" w:hanging="142"/>
        <w:jc w:val="both"/>
        <w:rPr>
          <w:rFonts w:ascii="Arial" w:hAnsi="Arial" w:cs="Arial"/>
          <w:szCs w:val="22"/>
        </w:rPr>
      </w:pPr>
      <w:r w:rsidRPr="0061303C">
        <w:rPr>
          <w:rFonts w:ascii="Arial" w:hAnsi="Arial" w:cs="Arial"/>
          <w:szCs w:val="22"/>
        </w:rPr>
        <w:t xml:space="preserve">Para evitar atrasos en la presentación de esa declaración jurada, se considera conveniente </w:t>
      </w:r>
      <w:r w:rsidR="00432D77" w:rsidRPr="0061303C">
        <w:rPr>
          <w:rFonts w:ascii="Arial" w:hAnsi="Arial" w:cs="Arial"/>
          <w:szCs w:val="22"/>
        </w:rPr>
        <w:t>ampliar</w:t>
      </w:r>
      <w:r w:rsidRPr="0061303C">
        <w:rPr>
          <w:rFonts w:ascii="Arial" w:hAnsi="Arial" w:cs="Arial"/>
          <w:szCs w:val="22"/>
        </w:rPr>
        <w:t xml:space="preserve"> el plazo de su presentación en el caso </w:t>
      </w:r>
      <w:r w:rsidR="00432D77" w:rsidRPr="0061303C">
        <w:rPr>
          <w:rFonts w:ascii="Arial" w:hAnsi="Arial" w:cs="Arial"/>
          <w:szCs w:val="22"/>
        </w:rPr>
        <w:t>del trámite de</w:t>
      </w:r>
      <w:r w:rsidRPr="0061303C">
        <w:rPr>
          <w:rFonts w:ascii="Arial" w:hAnsi="Arial" w:cs="Arial"/>
          <w:szCs w:val="22"/>
        </w:rPr>
        <w:t xml:space="preserve"> la actualización anual del prospecto. </w:t>
      </w:r>
      <w:r w:rsidR="00432D77" w:rsidRPr="0061303C">
        <w:rPr>
          <w:rFonts w:ascii="Arial" w:hAnsi="Arial" w:cs="Arial"/>
          <w:szCs w:val="22"/>
        </w:rPr>
        <w:t xml:space="preserve">En los otros trámites a que se refiere ese Acuerdo ya </w:t>
      </w:r>
      <w:r w:rsidR="006D44DF" w:rsidRPr="0061303C">
        <w:rPr>
          <w:rFonts w:ascii="Arial" w:hAnsi="Arial" w:cs="Arial"/>
          <w:szCs w:val="22"/>
        </w:rPr>
        <w:t xml:space="preserve">se </w:t>
      </w:r>
      <w:r w:rsidR="00432D77" w:rsidRPr="0061303C">
        <w:rPr>
          <w:rFonts w:ascii="Arial" w:hAnsi="Arial" w:cs="Arial"/>
          <w:szCs w:val="22"/>
        </w:rPr>
        <w:t xml:space="preserve">contemplan la presentación de esa documentación en un plazo similar. </w:t>
      </w:r>
    </w:p>
    <w:p w:rsidR="00432D77" w:rsidRPr="0061303C" w:rsidRDefault="00432D77" w:rsidP="005D06F8">
      <w:pPr>
        <w:pStyle w:val="ListParagraph"/>
        <w:rPr>
          <w:rFonts w:ascii="Arial" w:hAnsi="Arial" w:cs="Arial"/>
          <w:szCs w:val="22"/>
        </w:rPr>
      </w:pPr>
    </w:p>
    <w:p w:rsidR="00432D77" w:rsidRPr="0061303C" w:rsidRDefault="00432D77" w:rsidP="00D870EC">
      <w:pPr>
        <w:pStyle w:val="ListParagraph"/>
        <w:numPr>
          <w:ilvl w:val="0"/>
          <w:numId w:val="9"/>
        </w:numPr>
        <w:tabs>
          <w:tab w:val="left" w:pos="317"/>
          <w:tab w:val="left" w:pos="8910"/>
        </w:tabs>
        <w:ind w:left="284" w:right="33" w:hanging="284"/>
        <w:jc w:val="both"/>
        <w:rPr>
          <w:rFonts w:ascii="Arial" w:hAnsi="Arial" w:cs="Arial"/>
          <w:szCs w:val="22"/>
        </w:rPr>
      </w:pPr>
      <w:r w:rsidRPr="0061303C">
        <w:rPr>
          <w:rFonts w:ascii="Arial" w:hAnsi="Arial" w:cs="Arial"/>
          <w:szCs w:val="22"/>
        </w:rPr>
        <w:t xml:space="preserve">En vista de que las disposiciones contenidas en este Acuerdo se consideran necesarias para la adecuada interpretación del artículo 13 del SGV-A182 y de que las entidades emisoras tengan certeza sobre el marco normativo que deben aplicar, se prescinde del trámite de consulta, de conformidad con el artículo 361 de la Ley General de la Administración Pública. </w:t>
      </w:r>
    </w:p>
    <w:p w:rsidR="0061303C" w:rsidRPr="0061303C" w:rsidRDefault="0061303C" w:rsidP="0061303C">
      <w:pPr>
        <w:rPr>
          <w:rFonts w:ascii="Arial" w:hAnsi="Arial" w:cs="Arial"/>
          <w:b/>
          <w:szCs w:val="22"/>
        </w:rPr>
      </w:pPr>
    </w:p>
    <w:p w:rsidR="000446D8" w:rsidRPr="0061303C" w:rsidRDefault="00432D77" w:rsidP="00D934D3">
      <w:pPr>
        <w:rPr>
          <w:rFonts w:ascii="Arial" w:hAnsi="Arial" w:cs="Arial"/>
          <w:b/>
          <w:szCs w:val="22"/>
          <w:lang w:eastAsia="en-US"/>
        </w:rPr>
      </w:pPr>
      <w:r w:rsidRPr="0061303C">
        <w:rPr>
          <w:rFonts w:ascii="Arial" w:hAnsi="Arial" w:cs="Arial"/>
          <w:b/>
          <w:szCs w:val="22"/>
          <w:lang w:eastAsia="en-US"/>
        </w:rPr>
        <w:t xml:space="preserve">Por tanto, acuerda: </w:t>
      </w:r>
    </w:p>
    <w:p w:rsidR="00432D77" w:rsidRDefault="00432D77" w:rsidP="00D934D3">
      <w:pPr>
        <w:rPr>
          <w:rFonts w:ascii="Arial" w:hAnsi="Arial" w:cs="Arial"/>
          <w:szCs w:val="22"/>
          <w:lang w:eastAsia="en-US"/>
        </w:rPr>
      </w:pPr>
    </w:p>
    <w:p w:rsidR="00432D77" w:rsidRPr="0061303C" w:rsidRDefault="00432D77" w:rsidP="00432D77">
      <w:pPr>
        <w:jc w:val="center"/>
        <w:rPr>
          <w:rFonts w:ascii="Arial" w:hAnsi="Arial" w:cs="Arial"/>
          <w:b/>
          <w:szCs w:val="22"/>
          <w:lang w:eastAsia="en-US"/>
        </w:rPr>
      </w:pPr>
      <w:r w:rsidRPr="0061303C">
        <w:rPr>
          <w:rFonts w:ascii="Arial" w:hAnsi="Arial" w:cs="Arial"/>
          <w:b/>
          <w:szCs w:val="22"/>
          <w:lang w:eastAsia="en-US"/>
        </w:rPr>
        <w:t>SGV-A-</w:t>
      </w:r>
      <w:r w:rsidR="005044AB" w:rsidRPr="0061303C">
        <w:rPr>
          <w:rFonts w:ascii="Arial" w:hAnsi="Arial" w:cs="Arial"/>
          <w:b/>
          <w:szCs w:val="22"/>
          <w:lang w:eastAsia="en-US"/>
        </w:rPr>
        <w:t>184</w:t>
      </w:r>
      <w:r w:rsidRPr="0061303C">
        <w:rPr>
          <w:rFonts w:ascii="Arial" w:hAnsi="Arial" w:cs="Arial"/>
          <w:b/>
          <w:szCs w:val="22"/>
          <w:lang w:eastAsia="en-US"/>
        </w:rPr>
        <w:t xml:space="preserve"> REFORMA AL ARTÍCULO 13 DEL SGV-A-182 </w:t>
      </w:r>
      <w:r w:rsidRPr="0061303C">
        <w:rPr>
          <w:rFonts w:ascii="Arial" w:hAnsi="Arial" w:cs="Arial"/>
          <w:b/>
          <w:szCs w:val="22"/>
        </w:rPr>
        <w:t>INSTRUCCIONES PARA LA REMISIÓN DE PROSPECTOS  DE ENTIDADES EMISORAS Y DOCUMENTOS RELACIONADOS</w:t>
      </w:r>
    </w:p>
    <w:p w:rsidR="001B450E" w:rsidRPr="00E0577E" w:rsidRDefault="001B450E" w:rsidP="001B450E">
      <w:pPr>
        <w:rPr>
          <w:rFonts w:ascii="Arial" w:hAnsi="Arial" w:cs="Arial"/>
          <w:b/>
          <w:color w:val="000000"/>
          <w:szCs w:val="22"/>
          <w:lang w:eastAsia="en-US"/>
        </w:rPr>
      </w:pPr>
    </w:p>
    <w:p w:rsidR="0017382F" w:rsidRPr="00E0577E" w:rsidRDefault="001B450E" w:rsidP="00D934D3">
      <w:pPr>
        <w:rPr>
          <w:rFonts w:ascii="Arial" w:hAnsi="Arial" w:cs="Arial"/>
          <w:b/>
          <w:color w:val="000000"/>
          <w:szCs w:val="22"/>
          <w:lang w:eastAsia="en-US"/>
        </w:rPr>
      </w:pPr>
      <w:r w:rsidRPr="00E0577E">
        <w:rPr>
          <w:rFonts w:ascii="Arial" w:hAnsi="Arial" w:cs="Arial"/>
          <w:b/>
          <w:color w:val="000000"/>
          <w:szCs w:val="22"/>
          <w:lang w:eastAsia="en-US"/>
        </w:rPr>
        <w:t>Artículo 1. Reforma</w:t>
      </w:r>
    </w:p>
    <w:p w:rsidR="004E7DE7" w:rsidRPr="0061303C" w:rsidRDefault="004E7DE7" w:rsidP="00D934D3">
      <w:pPr>
        <w:rPr>
          <w:rFonts w:ascii="Arial" w:hAnsi="Arial" w:cs="Arial"/>
          <w:b/>
          <w:szCs w:val="22"/>
          <w:lang w:eastAsia="en-US"/>
        </w:rPr>
      </w:pPr>
    </w:p>
    <w:p w:rsidR="00432D77" w:rsidRPr="0061303C" w:rsidRDefault="00432D77" w:rsidP="00D934D3">
      <w:pPr>
        <w:rPr>
          <w:rFonts w:ascii="Arial" w:hAnsi="Arial" w:cs="Arial"/>
          <w:szCs w:val="22"/>
          <w:lang w:eastAsia="en-US"/>
        </w:rPr>
      </w:pPr>
      <w:r w:rsidRPr="0061303C">
        <w:rPr>
          <w:rFonts w:ascii="Arial" w:hAnsi="Arial" w:cs="Arial"/>
          <w:szCs w:val="22"/>
          <w:lang w:eastAsia="en-US"/>
        </w:rPr>
        <w:t xml:space="preserve">Reformar el artículo 13 del SGV-A-182, para que se lea como sigue: </w:t>
      </w:r>
    </w:p>
    <w:p w:rsidR="000446D8" w:rsidRPr="0061303C" w:rsidRDefault="000446D8" w:rsidP="00D934D3">
      <w:pPr>
        <w:rPr>
          <w:rFonts w:ascii="Arial" w:hAnsi="Arial" w:cs="Arial"/>
          <w:szCs w:val="22"/>
          <w:lang w:eastAsia="en-US"/>
        </w:rPr>
      </w:pPr>
    </w:p>
    <w:p w:rsidR="00D934D3" w:rsidRPr="0061303C" w:rsidRDefault="00432D77" w:rsidP="00D934D3">
      <w:pPr>
        <w:rPr>
          <w:rFonts w:ascii="Arial" w:hAnsi="Arial" w:cs="Arial"/>
          <w:b/>
          <w:szCs w:val="22"/>
          <w:lang w:eastAsia="en-US"/>
        </w:rPr>
      </w:pPr>
      <w:r w:rsidRPr="0061303C">
        <w:rPr>
          <w:rFonts w:ascii="Arial" w:hAnsi="Arial" w:cs="Arial"/>
          <w:b/>
          <w:szCs w:val="22"/>
          <w:lang w:eastAsia="en-US"/>
        </w:rPr>
        <w:t>“</w:t>
      </w:r>
      <w:r w:rsidR="00D934D3" w:rsidRPr="0061303C">
        <w:rPr>
          <w:rFonts w:ascii="Arial" w:hAnsi="Arial" w:cs="Arial"/>
          <w:b/>
          <w:szCs w:val="22"/>
          <w:lang w:eastAsia="en-US"/>
        </w:rPr>
        <w:t>Artículo 13. Procedimiento de actualización anual del prospecto</w:t>
      </w:r>
    </w:p>
    <w:p w:rsidR="00D934D3" w:rsidRPr="0061303C" w:rsidRDefault="00D934D3" w:rsidP="00D934D3">
      <w:pPr>
        <w:jc w:val="both"/>
        <w:rPr>
          <w:rFonts w:ascii="Arial" w:hAnsi="Arial" w:cs="Arial"/>
          <w:szCs w:val="22"/>
        </w:rPr>
      </w:pPr>
      <w:r w:rsidRPr="0061303C">
        <w:rPr>
          <w:rFonts w:ascii="Arial" w:hAnsi="Arial" w:cs="Arial"/>
          <w:szCs w:val="22"/>
        </w:rPr>
        <w:t xml:space="preserve">La entidad emisora selecciona en la Ventanilla Virtual la opción para crear un trámite de </w:t>
      </w:r>
      <w:r w:rsidRPr="0061303C">
        <w:rPr>
          <w:rFonts w:ascii="Arial" w:hAnsi="Arial" w:cs="Arial"/>
          <w:szCs w:val="22"/>
          <w:lang w:val="es-ES_tradnl"/>
        </w:rPr>
        <w:t>“Actualización anual de prospecto”</w:t>
      </w:r>
      <w:r w:rsidRPr="0061303C">
        <w:rPr>
          <w:rFonts w:ascii="Arial" w:hAnsi="Arial" w:cs="Arial"/>
          <w:szCs w:val="22"/>
        </w:rPr>
        <w:t xml:space="preserve"> y procede a presentar la siguiente documentación: </w:t>
      </w:r>
    </w:p>
    <w:p w:rsidR="00D934D3" w:rsidRPr="0061303C" w:rsidRDefault="00D934D3" w:rsidP="00D934D3">
      <w:pPr>
        <w:jc w:val="both"/>
        <w:rPr>
          <w:rFonts w:ascii="Arial" w:hAnsi="Arial" w:cs="Arial"/>
          <w:szCs w:val="22"/>
        </w:rPr>
      </w:pPr>
    </w:p>
    <w:p w:rsidR="00D934D3" w:rsidRPr="0061303C" w:rsidRDefault="00D934D3" w:rsidP="00D934D3">
      <w:pPr>
        <w:numPr>
          <w:ilvl w:val="0"/>
          <w:numId w:val="1"/>
        </w:numPr>
        <w:ind w:left="426" w:hanging="426"/>
        <w:jc w:val="both"/>
        <w:rPr>
          <w:rFonts w:ascii="Arial" w:hAnsi="Arial" w:cs="Arial"/>
          <w:szCs w:val="22"/>
        </w:rPr>
      </w:pPr>
      <w:r w:rsidRPr="0061303C">
        <w:rPr>
          <w:rFonts w:ascii="Arial" w:hAnsi="Arial" w:cs="Arial"/>
          <w:szCs w:val="22"/>
        </w:rPr>
        <w:t xml:space="preserve">Documento en formato MS Word que contenga el prospecto actualizado y firmado digitalmente por el representante legal de la entidad emisora. </w:t>
      </w:r>
    </w:p>
    <w:p w:rsidR="00AE711A" w:rsidRPr="0061303C" w:rsidRDefault="000446D8" w:rsidP="00AE711A">
      <w:pPr>
        <w:numPr>
          <w:ilvl w:val="0"/>
          <w:numId w:val="1"/>
        </w:numPr>
        <w:ind w:left="426" w:hanging="426"/>
        <w:jc w:val="both"/>
        <w:rPr>
          <w:rFonts w:ascii="Arial" w:hAnsi="Arial" w:cs="Arial"/>
          <w:szCs w:val="22"/>
        </w:rPr>
      </w:pPr>
      <w:r w:rsidRPr="0061303C">
        <w:rPr>
          <w:rFonts w:ascii="Arial" w:hAnsi="Arial" w:cs="Arial"/>
          <w:szCs w:val="22"/>
        </w:rPr>
        <w:t>los anexos que se incorporan o</w:t>
      </w:r>
      <w:r w:rsidR="00AE711A" w:rsidRPr="0061303C">
        <w:rPr>
          <w:rFonts w:ascii="Arial" w:hAnsi="Arial" w:cs="Arial"/>
          <w:szCs w:val="22"/>
        </w:rPr>
        <w:t xml:space="preserve"> sustituyen</w:t>
      </w:r>
      <w:r w:rsidRPr="0061303C">
        <w:rPr>
          <w:rFonts w:ascii="Arial" w:hAnsi="Arial" w:cs="Arial"/>
          <w:szCs w:val="22"/>
        </w:rPr>
        <w:t>.</w:t>
      </w:r>
    </w:p>
    <w:p w:rsidR="00AE711A" w:rsidRPr="0061303C" w:rsidRDefault="00AE711A" w:rsidP="00AE711A">
      <w:pPr>
        <w:jc w:val="both"/>
        <w:rPr>
          <w:rFonts w:ascii="Arial" w:hAnsi="Arial" w:cs="Arial"/>
          <w:szCs w:val="22"/>
        </w:rPr>
      </w:pPr>
    </w:p>
    <w:p w:rsidR="00D934D3" w:rsidRPr="0061303C" w:rsidRDefault="00D934D3" w:rsidP="00D934D3">
      <w:pPr>
        <w:pStyle w:val="ListParagraph"/>
        <w:tabs>
          <w:tab w:val="left" w:pos="567"/>
        </w:tabs>
        <w:ind w:left="0"/>
        <w:jc w:val="both"/>
        <w:rPr>
          <w:rFonts w:ascii="Arial" w:hAnsi="Arial" w:cs="Arial"/>
          <w:szCs w:val="22"/>
        </w:rPr>
      </w:pPr>
      <w:r w:rsidRPr="0061303C">
        <w:rPr>
          <w:rFonts w:ascii="Arial" w:hAnsi="Arial" w:cs="Arial"/>
          <w:szCs w:val="22"/>
        </w:rPr>
        <w:t xml:space="preserve">Además debe presentar en original la declaración jurada del representante legal de la entidad emisora sobre el procedimiento de </w:t>
      </w:r>
      <w:r w:rsidRPr="0061303C">
        <w:rPr>
          <w:rFonts w:ascii="Arial" w:hAnsi="Arial" w:cs="Arial"/>
          <w:szCs w:val="22"/>
          <w:lang w:val="es-ES_tradnl"/>
        </w:rPr>
        <w:t>actualización anual del prospecto</w:t>
      </w:r>
      <w:r w:rsidRPr="0061303C">
        <w:rPr>
          <w:rFonts w:ascii="Arial" w:hAnsi="Arial" w:cs="Arial"/>
          <w:szCs w:val="22"/>
        </w:rPr>
        <w:t xml:space="preserve">, según lo establecido en el artículo </w:t>
      </w:r>
      <w:r w:rsidR="005044AB" w:rsidRPr="0061303C">
        <w:rPr>
          <w:rFonts w:ascii="Arial" w:hAnsi="Arial" w:cs="Arial"/>
          <w:szCs w:val="22"/>
        </w:rPr>
        <w:t>16</w:t>
      </w:r>
      <w:r w:rsidRPr="0061303C">
        <w:rPr>
          <w:rFonts w:ascii="Arial" w:hAnsi="Arial" w:cs="Arial"/>
          <w:szCs w:val="22"/>
        </w:rPr>
        <w:t xml:space="preserve">.  Este documento se deberá presentar en un plazo máximo de </w:t>
      </w:r>
      <w:r w:rsidR="00AE711A" w:rsidRPr="0061303C">
        <w:rPr>
          <w:rFonts w:ascii="Arial" w:hAnsi="Arial" w:cs="Arial"/>
          <w:szCs w:val="22"/>
        </w:rPr>
        <w:t xml:space="preserve">3 días hábiles </w:t>
      </w:r>
      <w:r w:rsidRPr="0061303C">
        <w:rPr>
          <w:rFonts w:ascii="Arial" w:hAnsi="Arial" w:cs="Arial"/>
          <w:szCs w:val="22"/>
        </w:rPr>
        <w:t>a partir de la remisión del prospecto por Ventanilla Virtual. Una vez recibida esta información, se registrará en el Registro Nacional de Valores e Intermediarios.</w:t>
      </w:r>
      <w:r w:rsidR="00432D77" w:rsidRPr="0061303C">
        <w:rPr>
          <w:rFonts w:ascii="Arial" w:hAnsi="Arial" w:cs="Arial"/>
          <w:szCs w:val="22"/>
        </w:rPr>
        <w:t>”</w:t>
      </w:r>
    </w:p>
    <w:p w:rsidR="0017382F" w:rsidRPr="0061303C" w:rsidRDefault="0017382F" w:rsidP="00D934D3">
      <w:pPr>
        <w:pStyle w:val="ListParagraph"/>
        <w:tabs>
          <w:tab w:val="left" w:pos="567"/>
        </w:tabs>
        <w:ind w:left="0"/>
        <w:jc w:val="both"/>
        <w:rPr>
          <w:rFonts w:ascii="Arial" w:hAnsi="Arial" w:cs="Arial"/>
          <w:szCs w:val="22"/>
        </w:rPr>
      </w:pPr>
    </w:p>
    <w:p w:rsidR="00432D77" w:rsidRPr="00E745CB" w:rsidRDefault="001B450E" w:rsidP="001B450E">
      <w:pPr>
        <w:rPr>
          <w:rFonts w:ascii="Arial" w:hAnsi="Arial" w:cs="Arial"/>
          <w:szCs w:val="22"/>
        </w:rPr>
      </w:pPr>
      <w:r w:rsidRPr="00E0577E">
        <w:rPr>
          <w:rFonts w:ascii="Arial" w:hAnsi="Arial" w:cs="Arial"/>
          <w:b/>
          <w:color w:val="000000"/>
          <w:szCs w:val="22"/>
          <w:lang w:eastAsia="en-US"/>
        </w:rPr>
        <w:t>Artículo 2. Vigencia</w:t>
      </w:r>
    </w:p>
    <w:p w:rsidR="0017382F" w:rsidRPr="0061303C" w:rsidRDefault="0017382F" w:rsidP="00D934D3">
      <w:pPr>
        <w:pStyle w:val="ListParagraph"/>
        <w:tabs>
          <w:tab w:val="left" w:pos="567"/>
        </w:tabs>
        <w:ind w:left="0"/>
        <w:jc w:val="both"/>
        <w:rPr>
          <w:rFonts w:ascii="Arial" w:hAnsi="Arial" w:cs="Arial"/>
          <w:b/>
          <w:szCs w:val="22"/>
        </w:rPr>
      </w:pPr>
    </w:p>
    <w:p w:rsidR="0017382F" w:rsidRPr="0061303C" w:rsidRDefault="00432D77" w:rsidP="0017382F">
      <w:pPr>
        <w:pStyle w:val="ListParagraph"/>
        <w:tabs>
          <w:tab w:val="left" w:pos="567"/>
        </w:tabs>
        <w:ind w:left="0"/>
        <w:jc w:val="both"/>
        <w:rPr>
          <w:rFonts w:ascii="Arial" w:hAnsi="Arial" w:cs="Arial"/>
        </w:rPr>
      </w:pPr>
      <w:r w:rsidRPr="0061303C">
        <w:rPr>
          <w:rFonts w:ascii="Arial" w:hAnsi="Arial" w:cs="Arial"/>
          <w:szCs w:val="22"/>
        </w:rPr>
        <w:t xml:space="preserve">Rige a </w:t>
      </w:r>
      <w:r w:rsidR="00002E95" w:rsidRPr="0061303C">
        <w:rPr>
          <w:rFonts w:ascii="Arial" w:hAnsi="Arial" w:cs="Arial"/>
          <w:szCs w:val="22"/>
        </w:rPr>
        <w:t>partir del jueves 20 de diciembre del 2012.</w:t>
      </w:r>
    </w:p>
    <w:sectPr w:rsidR="0017382F" w:rsidRPr="0061303C" w:rsidSect="0017382F">
      <w:headerReference w:type="default" r:id="rId11"/>
      <w:footerReference w:type="defaul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2D" w:rsidRDefault="00BE5D2D" w:rsidP="00002E95">
      <w:r>
        <w:separator/>
      </w:r>
    </w:p>
  </w:endnote>
  <w:endnote w:type="continuationSeparator" w:id="0">
    <w:p w:rsidR="00BE5D2D" w:rsidRDefault="00BE5D2D" w:rsidP="0000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3C" w:rsidRPr="0061303C" w:rsidRDefault="0061303C" w:rsidP="00E0577E">
    <w:pPr>
      <w:pStyle w:val="Footer"/>
      <w:pBdr>
        <w:top w:val="single" w:sz="4" w:space="1" w:color="D9D9D9"/>
      </w:pBdr>
      <w:rPr>
        <w:rFonts w:ascii="Arial" w:hAnsi="Arial" w:cs="Arial"/>
        <w:b/>
        <w:bCs/>
        <w:color w:val="1B75BB"/>
      </w:rPr>
    </w:pPr>
    <w:r w:rsidRPr="0061303C">
      <w:rPr>
        <w:rFonts w:ascii="Arial" w:hAnsi="Arial" w:cs="Arial"/>
        <w:color w:val="1B75BB"/>
      </w:rPr>
      <w:fldChar w:fldCharType="begin"/>
    </w:r>
    <w:r w:rsidRPr="0061303C">
      <w:rPr>
        <w:rFonts w:ascii="Arial" w:hAnsi="Arial" w:cs="Arial"/>
        <w:color w:val="1B75BB"/>
      </w:rPr>
      <w:instrText xml:space="preserve"> PAGE   \* MERGEFORMAT </w:instrText>
    </w:r>
    <w:r w:rsidRPr="0061303C">
      <w:rPr>
        <w:rFonts w:ascii="Arial" w:hAnsi="Arial" w:cs="Arial"/>
        <w:color w:val="1B75BB"/>
      </w:rPr>
      <w:fldChar w:fldCharType="separate"/>
    </w:r>
    <w:r w:rsidR="000E419A" w:rsidRPr="000E419A">
      <w:rPr>
        <w:rFonts w:ascii="Arial" w:hAnsi="Arial" w:cs="Arial"/>
        <w:b/>
        <w:bCs/>
        <w:noProof/>
        <w:color w:val="1B75BB"/>
      </w:rPr>
      <w:t>2</w:t>
    </w:r>
    <w:r w:rsidRPr="0061303C">
      <w:rPr>
        <w:rFonts w:ascii="Arial" w:hAnsi="Arial" w:cs="Arial"/>
        <w:b/>
        <w:bCs/>
        <w:noProof/>
        <w:color w:val="1B75BB"/>
      </w:rPr>
      <w:fldChar w:fldCharType="end"/>
    </w:r>
    <w:r w:rsidRPr="0061303C">
      <w:rPr>
        <w:rFonts w:ascii="Arial" w:hAnsi="Arial" w:cs="Arial"/>
        <w:b/>
        <w:bCs/>
        <w:color w:val="1B75BB"/>
      </w:rPr>
      <w:t xml:space="preserve"> | </w:t>
    </w:r>
  </w:p>
  <w:p w:rsidR="0061303C" w:rsidRDefault="00613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2D" w:rsidRDefault="00BE5D2D" w:rsidP="00002E95">
      <w:r>
        <w:separator/>
      </w:r>
    </w:p>
  </w:footnote>
  <w:footnote w:type="continuationSeparator" w:id="0">
    <w:p w:rsidR="00BE5D2D" w:rsidRDefault="00BE5D2D" w:rsidP="00002E95">
      <w:r>
        <w:continuationSeparator/>
      </w:r>
    </w:p>
  </w:footnote>
  <w:footnote w:id="1">
    <w:p w:rsidR="00222D1E" w:rsidRPr="008129C1" w:rsidRDefault="00222D1E" w:rsidP="00CA1E45">
      <w:pPr>
        <w:jc w:val="both"/>
        <w:rPr>
          <w:rFonts w:ascii="Arial" w:hAnsi="Arial" w:cs="Arial"/>
          <w:szCs w:val="22"/>
          <w:lang w:val="es-MX"/>
        </w:rPr>
      </w:pPr>
      <w:r w:rsidRPr="008129C1">
        <w:rPr>
          <w:rStyle w:val="FootnoteReference"/>
          <w:rFonts w:ascii="Arial" w:hAnsi="Arial" w:cs="Arial"/>
          <w:szCs w:val="22"/>
        </w:rPr>
        <w:footnoteRef/>
      </w:r>
      <w:r w:rsidRPr="008129C1">
        <w:rPr>
          <w:rFonts w:ascii="Arial" w:hAnsi="Arial" w:cs="Arial"/>
          <w:szCs w:val="22"/>
        </w:rPr>
        <w:t xml:space="preserve"> </w:t>
      </w:r>
      <w:r w:rsidRPr="008129C1">
        <w:rPr>
          <w:rFonts w:ascii="Arial" w:hAnsi="Arial" w:cs="Arial"/>
          <w:szCs w:val="22"/>
          <w:lang w:val="es-MX"/>
        </w:rPr>
        <w:t>Superintendencia General de Valores.  Despacho del Superintendente.  A las nueve horas del dieciocho de diciembre del dos mil doce.</w:t>
      </w:r>
      <w:r w:rsidR="00D2537E" w:rsidRPr="008129C1">
        <w:rPr>
          <w:rFonts w:ascii="Arial" w:hAnsi="Arial" w:cs="Arial"/>
          <w:szCs w:val="22"/>
          <w:lang w:val="es-MX"/>
        </w:rPr>
        <w:t xml:space="preserve"> Publicado en el Diario Oficial La Gaceta No. 41 del 27 de febrero del 2013.</w:t>
      </w:r>
    </w:p>
    <w:p w:rsidR="00222D1E" w:rsidRPr="00CA1E45" w:rsidRDefault="00222D1E">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1E" w:rsidRDefault="00E0577E" w:rsidP="0061303C">
    <w:pPr>
      <w:pStyle w:val="Header"/>
      <w:jc w:val="right"/>
    </w:pPr>
    <w:r w:rsidRPr="00E0577E">
      <w:rPr>
        <w:rFonts w:ascii="Calibri" w:hAnsi="Calibri" w:cs="Arial"/>
        <w:i/>
        <w:noProof/>
        <w:sz w:val="20"/>
        <w:szCs w:val="20"/>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i1025" type="#_x0000_t75" alt="Logo-Sugeval-Pequeño" style="width:124.5pt;height:30.75pt;visibility:visible">
          <v:imagedata r:id="rId1" o:title="Logo-Sugeval-Pequeño"/>
        </v:shape>
      </w:pict>
    </w:r>
  </w:p>
  <w:p w:rsidR="0061303C" w:rsidRPr="0017382F" w:rsidRDefault="00E0577E" w:rsidP="0061303C">
    <w:pPr>
      <w:pStyle w:val="Header"/>
      <w:jc w:val="right"/>
    </w:pPr>
    <w:r>
      <w:rPr>
        <w:noProof/>
      </w:rPr>
      <w:pict>
        <v:line id="Straight Connector 4" o:spid="_x0000_s2049" style="position:absolute;left:0;text-align:left;flip:y;z-index:251657728;visibility:visible;mso-wrap-distance-top:-8e-5mm;mso-wrap-distance-bottom:-8e-5mm;mso-position-horizontal-relative:margin"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3F37"/>
    <w:multiLevelType w:val="hybridMultilevel"/>
    <w:tmpl w:val="D130C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E0243F"/>
    <w:multiLevelType w:val="hybridMultilevel"/>
    <w:tmpl w:val="831C5CD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42B6894"/>
    <w:multiLevelType w:val="multilevel"/>
    <w:tmpl w:val="8398DA52"/>
    <w:lvl w:ilvl="0">
      <w:start w:val="1"/>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4" w15:restartNumberingAfterBreak="0">
    <w:nsid w:val="467F3EF5"/>
    <w:multiLevelType w:val="hybridMultilevel"/>
    <w:tmpl w:val="02AAA4D2"/>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493117C2"/>
    <w:multiLevelType w:val="hybridMultilevel"/>
    <w:tmpl w:val="67361FFC"/>
    <w:lvl w:ilvl="0" w:tplc="140A0011">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6" w15:restartNumberingAfterBreak="0">
    <w:nsid w:val="4B3874CB"/>
    <w:multiLevelType w:val="singleLevel"/>
    <w:tmpl w:val="E59069EE"/>
    <w:lvl w:ilvl="0">
      <w:start w:val="1"/>
      <w:numFmt w:val="upperRoman"/>
      <w:lvlText w:val="%1."/>
      <w:lvlJc w:val="left"/>
      <w:pPr>
        <w:tabs>
          <w:tab w:val="num" w:pos="720"/>
        </w:tabs>
        <w:ind w:left="720" w:hanging="720"/>
      </w:pPr>
      <w:rPr>
        <w:rFonts w:ascii="Arial" w:hAnsi="Arial" w:cs="Arial" w:hint="default"/>
        <w:sz w:val="22"/>
      </w:rPr>
    </w:lvl>
  </w:abstractNum>
  <w:abstractNum w:abstractNumId="7" w15:restartNumberingAfterBreak="0">
    <w:nsid w:val="4F15287E"/>
    <w:multiLevelType w:val="hybridMultilevel"/>
    <w:tmpl w:val="3342BB8C"/>
    <w:lvl w:ilvl="0" w:tplc="724891CA">
      <w:start w:val="1"/>
      <w:numFmt w:val="low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97A34"/>
    <w:multiLevelType w:val="multilevel"/>
    <w:tmpl w:val="F71206AC"/>
    <w:lvl w:ilvl="0">
      <w:start w:val="1"/>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num w:numId="1">
    <w:abstractNumId w:val="7"/>
  </w:num>
  <w:num w:numId="2">
    <w:abstractNumId w:val="8"/>
  </w:num>
  <w:num w:numId="3">
    <w:abstractNumId w:val="3"/>
  </w:num>
  <w:num w:numId="4">
    <w:abstractNumId w:val="5"/>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4D3"/>
    <w:rsid w:val="00002E95"/>
    <w:rsid w:val="00041555"/>
    <w:rsid w:val="000446D8"/>
    <w:rsid w:val="00055C89"/>
    <w:rsid w:val="000E419A"/>
    <w:rsid w:val="0017382F"/>
    <w:rsid w:val="00185279"/>
    <w:rsid w:val="001B450E"/>
    <w:rsid w:val="00222D1E"/>
    <w:rsid w:val="002F32C2"/>
    <w:rsid w:val="00432D77"/>
    <w:rsid w:val="00437A9D"/>
    <w:rsid w:val="004E7DE7"/>
    <w:rsid w:val="005044AB"/>
    <w:rsid w:val="005728A1"/>
    <w:rsid w:val="00582196"/>
    <w:rsid w:val="005D06F8"/>
    <w:rsid w:val="005E0196"/>
    <w:rsid w:val="005E2F0A"/>
    <w:rsid w:val="0061303C"/>
    <w:rsid w:val="006D44DF"/>
    <w:rsid w:val="007958BE"/>
    <w:rsid w:val="008129C1"/>
    <w:rsid w:val="00836B65"/>
    <w:rsid w:val="00A52C5A"/>
    <w:rsid w:val="00A55097"/>
    <w:rsid w:val="00AA0128"/>
    <w:rsid w:val="00AE711A"/>
    <w:rsid w:val="00BE5D2D"/>
    <w:rsid w:val="00CA1E45"/>
    <w:rsid w:val="00CD58F2"/>
    <w:rsid w:val="00D175CB"/>
    <w:rsid w:val="00D2537E"/>
    <w:rsid w:val="00D870EC"/>
    <w:rsid w:val="00D934D3"/>
    <w:rsid w:val="00D97AB6"/>
    <w:rsid w:val="00DC67D0"/>
    <w:rsid w:val="00DE0599"/>
    <w:rsid w:val="00E0577E"/>
    <w:rsid w:val="00E66203"/>
    <w:rsid w:val="00E745CB"/>
    <w:rsid w:val="00F0682C"/>
    <w:rsid w:val="00FC03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110F36F4-5AF5-4A98-BFC1-E82281FC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D3"/>
    <w:rPr>
      <w:rFonts w:ascii="Arial Narrow" w:eastAsia="Times New Roman" w:hAnsi="Arial Narrow"/>
      <w:sz w:val="22"/>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D3"/>
    <w:pPr>
      <w:ind w:left="720"/>
    </w:pPr>
  </w:style>
  <w:style w:type="character" w:styleId="CommentReference">
    <w:name w:val="annotation reference"/>
    <w:uiPriority w:val="99"/>
    <w:semiHidden/>
    <w:unhideWhenUsed/>
    <w:rsid w:val="00AE711A"/>
    <w:rPr>
      <w:sz w:val="16"/>
      <w:szCs w:val="16"/>
    </w:rPr>
  </w:style>
  <w:style w:type="paragraph" w:styleId="CommentText">
    <w:name w:val="annotation text"/>
    <w:basedOn w:val="Normal"/>
    <w:link w:val="CommentTextChar"/>
    <w:uiPriority w:val="99"/>
    <w:semiHidden/>
    <w:unhideWhenUsed/>
    <w:rsid w:val="00AE711A"/>
    <w:rPr>
      <w:sz w:val="20"/>
      <w:szCs w:val="20"/>
    </w:rPr>
  </w:style>
  <w:style w:type="character" w:customStyle="1" w:styleId="CommentTextChar">
    <w:name w:val="Comment Text Char"/>
    <w:link w:val="CommentText"/>
    <w:uiPriority w:val="99"/>
    <w:semiHidden/>
    <w:rsid w:val="00AE711A"/>
    <w:rPr>
      <w:rFonts w:ascii="Arial Narrow" w:eastAsia="Times New Roman" w:hAnsi="Arial Narrow"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AE711A"/>
    <w:rPr>
      <w:b/>
      <w:bCs/>
    </w:rPr>
  </w:style>
  <w:style w:type="character" w:customStyle="1" w:styleId="CommentSubjectChar">
    <w:name w:val="Comment Subject Char"/>
    <w:link w:val="CommentSubject"/>
    <w:uiPriority w:val="99"/>
    <w:semiHidden/>
    <w:rsid w:val="00AE711A"/>
    <w:rPr>
      <w:rFonts w:ascii="Arial Narrow" w:eastAsia="Times New Roman" w:hAnsi="Arial Narrow" w:cs="Times New Roman"/>
      <w:b/>
      <w:bCs/>
      <w:sz w:val="20"/>
      <w:szCs w:val="20"/>
      <w:lang w:eastAsia="es-ES"/>
    </w:rPr>
  </w:style>
  <w:style w:type="paragraph" w:styleId="BalloonText">
    <w:name w:val="Balloon Text"/>
    <w:basedOn w:val="Normal"/>
    <w:link w:val="BalloonTextChar"/>
    <w:uiPriority w:val="99"/>
    <w:semiHidden/>
    <w:unhideWhenUsed/>
    <w:rsid w:val="00AE711A"/>
    <w:rPr>
      <w:rFonts w:ascii="Tahoma" w:hAnsi="Tahoma" w:cs="Tahoma"/>
      <w:sz w:val="16"/>
      <w:szCs w:val="16"/>
    </w:rPr>
  </w:style>
  <w:style w:type="character" w:customStyle="1" w:styleId="BalloonTextChar">
    <w:name w:val="Balloon Text Char"/>
    <w:link w:val="BalloonText"/>
    <w:uiPriority w:val="99"/>
    <w:semiHidden/>
    <w:rsid w:val="00AE711A"/>
    <w:rPr>
      <w:rFonts w:ascii="Tahoma" w:eastAsia="Times New Roman" w:hAnsi="Tahoma" w:cs="Tahoma"/>
      <w:sz w:val="16"/>
      <w:szCs w:val="16"/>
      <w:lang w:eastAsia="es-ES"/>
    </w:rPr>
  </w:style>
  <w:style w:type="character" w:styleId="Strong">
    <w:name w:val="Strong"/>
    <w:uiPriority w:val="22"/>
    <w:qFormat/>
    <w:rsid w:val="00D97AB6"/>
    <w:rPr>
      <w:b/>
      <w:bCs/>
    </w:rPr>
  </w:style>
  <w:style w:type="paragraph" w:styleId="Header">
    <w:name w:val="header"/>
    <w:basedOn w:val="Normal"/>
    <w:link w:val="HeaderChar"/>
    <w:uiPriority w:val="99"/>
    <w:unhideWhenUsed/>
    <w:rsid w:val="00002E95"/>
    <w:pPr>
      <w:tabs>
        <w:tab w:val="center" w:pos="4419"/>
        <w:tab w:val="right" w:pos="8838"/>
      </w:tabs>
    </w:pPr>
  </w:style>
  <w:style w:type="character" w:customStyle="1" w:styleId="HeaderChar">
    <w:name w:val="Header Char"/>
    <w:link w:val="Header"/>
    <w:uiPriority w:val="99"/>
    <w:rsid w:val="00002E95"/>
    <w:rPr>
      <w:rFonts w:ascii="Arial Narrow" w:eastAsia="Times New Roman" w:hAnsi="Arial Narrow" w:cs="Times New Roman"/>
      <w:szCs w:val="24"/>
      <w:lang w:eastAsia="es-ES"/>
    </w:rPr>
  </w:style>
  <w:style w:type="paragraph" w:styleId="Footer">
    <w:name w:val="footer"/>
    <w:basedOn w:val="Normal"/>
    <w:link w:val="FooterChar"/>
    <w:uiPriority w:val="99"/>
    <w:unhideWhenUsed/>
    <w:rsid w:val="00002E95"/>
    <w:pPr>
      <w:tabs>
        <w:tab w:val="center" w:pos="4419"/>
        <w:tab w:val="right" w:pos="8838"/>
      </w:tabs>
    </w:pPr>
  </w:style>
  <w:style w:type="character" w:customStyle="1" w:styleId="FooterChar">
    <w:name w:val="Footer Char"/>
    <w:link w:val="Footer"/>
    <w:uiPriority w:val="99"/>
    <w:rsid w:val="00002E95"/>
    <w:rPr>
      <w:rFonts w:ascii="Arial Narrow" w:eastAsia="Times New Roman" w:hAnsi="Arial Narrow" w:cs="Times New Roman"/>
      <w:szCs w:val="24"/>
      <w:lang w:eastAsia="es-ES"/>
    </w:rPr>
  </w:style>
  <w:style w:type="paragraph" w:styleId="FootnoteText">
    <w:name w:val="footnote text"/>
    <w:basedOn w:val="Normal"/>
    <w:link w:val="FootnoteTextChar"/>
    <w:uiPriority w:val="99"/>
    <w:semiHidden/>
    <w:unhideWhenUsed/>
    <w:rsid w:val="00CD58F2"/>
    <w:rPr>
      <w:sz w:val="20"/>
      <w:szCs w:val="20"/>
    </w:rPr>
  </w:style>
  <w:style w:type="character" w:customStyle="1" w:styleId="FootnoteTextChar">
    <w:name w:val="Footnote Text Char"/>
    <w:link w:val="FootnoteText"/>
    <w:uiPriority w:val="99"/>
    <w:semiHidden/>
    <w:rsid w:val="00CD58F2"/>
    <w:rPr>
      <w:rFonts w:ascii="Arial Narrow" w:eastAsia="Times New Roman" w:hAnsi="Arial Narrow" w:cs="Times New Roman"/>
      <w:sz w:val="20"/>
      <w:szCs w:val="20"/>
      <w:lang w:eastAsia="es-ES"/>
    </w:rPr>
  </w:style>
  <w:style w:type="character" w:styleId="FootnoteReference">
    <w:name w:val="footnote reference"/>
    <w:uiPriority w:val="99"/>
    <w:semiHidden/>
    <w:unhideWhenUsed/>
    <w:rsid w:val="00CD5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2BC7E-A468-4B8F-9EA9-4D84F87FA213}"/>
</file>

<file path=customXml/itemProps2.xml><?xml version="1.0" encoding="utf-8"?>
<ds:datastoreItem xmlns:ds="http://schemas.openxmlformats.org/officeDocument/2006/customXml" ds:itemID="{8FC097D6-BD1E-40F8-AD5F-572914861B14}"/>
</file>

<file path=customXml/itemProps3.xml><?xml version="1.0" encoding="utf-8"?>
<ds:datastoreItem xmlns:ds="http://schemas.openxmlformats.org/officeDocument/2006/customXml" ds:itemID="{9C9B2D16-72EA-4707-BCB4-FC8CCA114C4A}"/>
</file>

<file path=customXml/itemProps4.xml><?xml version="1.0" encoding="utf-8"?>
<ds:datastoreItem xmlns:ds="http://schemas.openxmlformats.org/officeDocument/2006/customXml" ds:itemID="{0DC8A619-D865-4462-88A1-CECB74BC3B12}"/>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Acuerdo del Superintendente aprobado el 18 de diciembre del 2012</vt:lpstr>
    </vt:vector>
  </TitlesOfParts>
  <Company>SUGEVAL</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aprobado el 18 de diciembre del 2012</dc:title>
  <dc:subject>Acuerdos del Superintendente</dc:subject>
  <dc:creator>SUGEVAL</dc:creator>
  <dc:description>Véase además el Acuerdo del Superintendente SGV-A-182</dc:description>
  <cp:lastModifiedBy>FERNANDEZ PORRAS PATRICIA</cp:lastModifiedBy>
  <cp:revision>2</cp:revision>
  <dcterms:created xsi:type="dcterms:W3CDTF">2017-12-08T15:56:00Z</dcterms:created>
  <dcterms:modified xsi:type="dcterms:W3CDTF">2017-12-08T15:56:00Z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SGV-A-184.docx</vt:lpwstr>
  </property>
</Properties>
</file>