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1A6D" w14:textId="77777777" w:rsidR="005E31A4" w:rsidRPr="006149BF" w:rsidRDefault="005E31A4" w:rsidP="006149BF">
      <w:pPr>
        <w:jc w:val="both"/>
        <w:rPr>
          <w:rFonts w:ascii="Arial" w:hAnsi="Arial" w:cs="Arial"/>
          <w:b/>
          <w:bCs/>
          <w:iCs/>
          <w:noProof/>
          <w:sz w:val="24"/>
          <w:szCs w:val="36"/>
          <w:lang w:val="es-ES_tradnl" w:eastAsia="en-US"/>
        </w:rPr>
      </w:pPr>
      <w:r w:rsidRPr="006149BF">
        <w:rPr>
          <w:rFonts w:ascii="Arial" w:hAnsi="Arial" w:cs="Arial"/>
          <w:b/>
          <w:bCs/>
          <w:iCs/>
          <w:noProof/>
          <w:sz w:val="24"/>
          <w:szCs w:val="36"/>
          <w:lang w:val="es-ES_tradnl" w:eastAsia="en-US"/>
        </w:rPr>
        <w:t>SGV-A-185 REFORMA AL ARTÍCULO 15 Y AL TRANSITORIO II DEL SGV-A-182 “INSTRUCCIONES PARA LA REMISIÓN DE PROSPECTOS  DE ENTIDADES EMISORAS Y DOCUMENTOS RELACIONADOS”</w:t>
      </w:r>
      <w:r w:rsidRPr="006149BF">
        <w:rPr>
          <w:rStyle w:val="FootnoteReference"/>
          <w:rFonts w:ascii="Arial" w:hAnsi="Arial" w:cs="Arial"/>
          <w:b/>
          <w:bCs/>
          <w:iCs/>
          <w:noProof/>
          <w:sz w:val="24"/>
          <w:szCs w:val="36"/>
          <w:lang w:val="es-ES_tradnl" w:eastAsia="en-US"/>
        </w:rPr>
        <w:footnoteReference w:id="1"/>
      </w:r>
    </w:p>
    <w:p w14:paraId="1CFD1A6E" w14:textId="77777777" w:rsidR="005E31A4" w:rsidRPr="005E31A4" w:rsidRDefault="005E31A4" w:rsidP="00CA082E">
      <w:pPr>
        <w:jc w:val="both"/>
        <w:rPr>
          <w:rFonts w:ascii="Arial" w:hAnsi="Arial" w:cs="Arial"/>
          <w:b/>
          <w:szCs w:val="22"/>
        </w:rPr>
      </w:pPr>
    </w:p>
    <w:p w14:paraId="02870443" w14:textId="77777777" w:rsidR="006149BF" w:rsidRPr="006149BF" w:rsidRDefault="006149BF" w:rsidP="006149BF">
      <w:pPr>
        <w:rPr>
          <w:rFonts w:ascii="Arial" w:eastAsia="Arial Unicode MS" w:hAnsi="Arial" w:cs="Arial"/>
          <w:b/>
          <w:color w:val="000000" w:themeColor="text1"/>
          <w:szCs w:val="22"/>
        </w:rPr>
      </w:pPr>
      <w:r w:rsidRPr="006149BF">
        <w:rPr>
          <w:rFonts w:ascii="Arial" w:eastAsia="Arial Unicode MS" w:hAnsi="Arial" w:cs="Arial"/>
          <w:b/>
          <w:color w:val="000000" w:themeColor="text1"/>
          <w:szCs w:val="22"/>
        </w:rPr>
        <w:t>Considerando que:</w:t>
      </w:r>
    </w:p>
    <w:p w14:paraId="1CFD1A71" w14:textId="77777777" w:rsidR="000446D8" w:rsidRPr="003239FC" w:rsidRDefault="000446D8" w:rsidP="00D934D3">
      <w:pPr>
        <w:rPr>
          <w:rFonts w:ascii="Arial" w:hAnsi="Arial" w:cs="Arial"/>
          <w:szCs w:val="22"/>
          <w:lang w:eastAsia="en-US"/>
        </w:rPr>
      </w:pPr>
    </w:p>
    <w:p w14:paraId="1CFD1A72" w14:textId="77777777" w:rsidR="000446D8" w:rsidRPr="006149BF" w:rsidRDefault="000446D8"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 xml:space="preserve">Mediante el Acuerdo SGV-A-182 </w:t>
      </w:r>
      <w:r w:rsidR="006D44DF" w:rsidRPr="006149BF">
        <w:rPr>
          <w:rFonts w:ascii="Arial" w:hAnsi="Arial" w:cs="Arial"/>
          <w:szCs w:val="22"/>
        </w:rPr>
        <w:t>“</w:t>
      </w:r>
      <w:r w:rsidRPr="006149BF">
        <w:rPr>
          <w:rFonts w:ascii="Arial" w:hAnsi="Arial" w:cs="Arial"/>
          <w:szCs w:val="22"/>
        </w:rPr>
        <w:t>INSTRUCCIONES PARA LA REMISIÓN DE PROSPECTOS DE ENTIDADES EMISORAS Y DOCUMENTOS RELACIONADOS</w:t>
      </w:r>
      <w:r w:rsidR="006D44DF" w:rsidRPr="006149BF">
        <w:rPr>
          <w:rFonts w:ascii="Arial" w:hAnsi="Arial" w:cs="Arial"/>
          <w:szCs w:val="22"/>
        </w:rPr>
        <w:t>”</w:t>
      </w:r>
      <w:r w:rsidRPr="006149BF">
        <w:rPr>
          <w:rFonts w:ascii="Arial" w:hAnsi="Arial" w:cs="Arial"/>
          <w:szCs w:val="22"/>
        </w:rPr>
        <w:t>, de las nueve horas del dos de octubre del dos mil doce</w:t>
      </w:r>
      <w:r w:rsidR="006D44DF" w:rsidRPr="006149BF">
        <w:rPr>
          <w:rFonts w:ascii="Arial" w:hAnsi="Arial" w:cs="Arial"/>
          <w:szCs w:val="22"/>
        </w:rPr>
        <w:t>,</w:t>
      </w:r>
      <w:r w:rsidRPr="006149BF">
        <w:rPr>
          <w:rFonts w:ascii="Arial" w:hAnsi="Arial" w:cs="Arial"/>
          <w:szCs w:val="22"/>
        </w:rPr>
        <w:t xml:space="preserve"> se definieron los procedimientos que deben observarse para la presentación de los requisitos por parte de las entidades emisoras en los trámites de inscripción, modificación y </w:t>
      </w:r>
      <w:proofErr w:type="spellStart"/>
      <w:r w:rsidRPr="006149BF">
        <w:rPr>
          <w:rFonts w:ascii="Arial" w:hAnsi="Arial" w:cs="Arial"/>
          <w:szCs w:val="22"/>
        </w:rPr>
        <w:t>desinscripción</w:t>
      </w:r>
      <w:proofErr w:type="spellEnd"/>
      <w:r w:rsidRPr="006149BF">
        <w:rPr>
          <w:rFonts w:ascii="Arial" w:hAnsi="Arial" w:cs="Arial"/>
          <w:szCs w:val="22"/>
        </w:rPr>
        <w:t xml:space="preserve"> de emisiones, así como para la actualización del prospecto. </w:t>
      </w:r>
    </w:p>
    <w:p w14:paraId="1CFD1A73" w14:textId="77777777" w:rsidR="00D97AB6" w:rsidRPr="006149BF" w:rsidRDefault="00D97AB6" w:rsidP="005D06F8">
      <w:pPr>
        <w:tabs>
          <w:tab w:val="left" w:pos="317"/>
          <w:tab w:val="left" w:pos="8910"/>
        </w:tabs>
        <w:ind w:left="317" w:right="33"/>
        <w:jc w:val="both"/>
        <w:rPr>
          <w:rFonts w:ascii="Arial" w:hAnsi="Arial" w:cs="Arial"/>
          <w:szCs w:val="22"/>
        </w:rPr>
      </w:pPr>
    </w:p>
    <w:p w14:paraId="1CFD1A74" w14:textId="77777777" w:rsidR="00AA0128" w:rsidRPr="006149BF" w:rsidRDefault="005E6BFB"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E</w:t>
      </w:r>
      <w:r w:rsidR="000446D8" w:rsidRPr="006149BF">
        <w:rPr>
          <w:rFonts w:ascii="Arial" w:hAnsi="Arial" w:cs="Arial"/>
          <w:szCs w:val="22"/>
        </w:rPr>
        <w:t>l artícu</w:t>
      </w:r>
      <w:r w:rsidR="00B64066" w:rsidRPr="006149BF">
        <w:rPr>
          <w:rFonts w:ascii="Arial" w:hAnsi="Arial" w:cs="Arial"/>
          <w:szCs w:val="22"/>
        </w:rPr>
        <w:t>lo 15</w:t>
      </w:r>
      <w:r w:rsidR="00D97AB6" w:rsidRPr="006149BF">
        <w:rPr>
          <w:rFonts w:ascii="Arial" w:hAnsi="Arial" w:cs="Arial"/>
          <w:szCs w:val="22"/>
        </w:rPr>
        <w:t xml:space="preserve"> del </w:t>
      </w:r>
      <w:r w:rsidR="00AA0128" w:rsidRPr="006149BF">
        <w:rPr>
          <w:rFonts w:ascii="Arial" w:hAnsi="Arial" w:cs="Arial"/>
          <w:szCs w:val="22"/>
        </w:rPr>
        <w:t xml:space="preserve">Acuerdo </w:t>
      </w:r>
      <w:r w:rsidR="00D97AB6" w:rsidRPr="006149BF">
        <w:rPr>
          <w:rFonts w:ascii="Arial" w:hAnsi="Arial" w:cs="Arial"/>
          <w:szCs w:val="22"/>
        </w:rPr>
        <w:t xml:space="preserve">SGV-A-182 </w:t>
      </w:r>
      <w:r w:rsidR="00AA0128" w:rsidRPr="006149BF">
        <w:rPr>
          <w:rFonts w:ascii="Arial" w:hAnsi="Arial" w:cs="Arial"/>
          <w:szCs w:val="22"/>
        </w:rPr>
        <w:t xml:space="preserve">establece </w:t>
      </w:r>
      <w:r w:rsidR="00442857" w:rsidRPr="006149BF">
        <w:rPr>
          <w:rFonts w:ascii="Arial" w:hAnsi="Arial" w:cs="Arial"/>
          <w:szCs w:val="22"/>
        </w:rPr>
        <w:t>las características que deben tener los documentos que se remitan por medios electrónicos. El inciso a) de dicho artículo señala que individualmente, el volumen del archivo del prospecto, el de cada uno de sus anexos y el de los estados finan</w:t>
      </w:r>
      <w:r w:rsidR="00BB19FB" w:rsidRPr="006149BF">
        <w:rPr>
          <w:rFonts w:ascii="Arial" w:hAnsi="Arial" w:cs="Arial"/>
          <w:szCs w:val="22"/>
        </w:rPr>
        <w:t xml:space="preserve">cieros auditados no deberá superar 3 </w:t>
      </w:r>
      <w:proofErr w:type="spellStart"/>
      <w:r w:rsidR="00BB19FB" w:rsidRPr="006149BF">
        <w:rPr>
          <w:rFonts w:ascii="Arial" w:hAnsi="Arial" w:cs="Arial"/>
          <w:szCs w:val="22"/>
        </w:rPr>
        <w:t>MegaByte</w:t>
      </w:r>
      <w:proofErr w:type="spellEnd"/>
      <w:r w:rsidR="00BB19FB" w:rsidRPr="006149BF">
        <w:rPr>
          <w:rFonts w:ascii="Arial" w:hAnsi="Arial" w:cs="Arial"/>
          <w:szCs w:val="22"/>
        </w:rPr>
        <w:t xml:space="preserve"> (MB).</w:t>
      </w:r>
      <w:r w:rsidR="0034073B" w:rsidRPr="006149BF">
        <w:rPr>
          <w:rFonts w:ascii="Arial" w:hAnsi="Arial" w:cs="Arial"/>
          <w:szCs w:val="22"/>
        </w:rPr>
        <w:t xml:space="preserve"> En el caso de los demás archivos, estos no deberán superar 1 </w:t>
      </w:r>
      <w:proofErr w:type="spellStart"/>
      <w:r w:rsidR="0034073B" w:rsidRPr="006149BF">
        <w:rPr>
          <w:rFonts w:ascii="Arial" w:hAnsi="Arial" w:cs="Arial"/>
          <w:szCs w:val="22"/>
        </w:rPr>
        <w:t>MegaByte</w:t>
      </w:r>
      <w:proofErr w:type="spellEnd"/>
      <w:r w:rsidR="0034073B" w:rsidRPr="006149BF">
        <w:rPr>
          <w:rFonts w:ascii="Arial" w:hAnsi="Arial" w:cs="Arial"/>
          <w:szCs w:val="22"/>
        </w:rPr>
        <w:t xml:space="preserve"> (MB) en forma individual.</w:t>
      </w:r>
    </w:p>
    <w:p w14:paraId="1CFD1A75" w14:textId="77777777" w:rsidR="0034073B" w:rsidRPr="006149BF" w:rsidRDefault="0034073B" w:rsidP="0034073B">
      <w:pPr>
        <w:pStyle w:val="ListParagraph"/>
        <w:rPr>
          <w:rFonts w:ascii="Arial" w:hAnsi="Arial" w:cs="Arial"/>
          <w:szCs w:val="22"/>
        </w:rPr>
      </w:pPr>
    </w:p>
    <w:p w14:paraId="1CFD1A76" w14:textId="77777777" w:rsidR="0034073B" w:rsidRPr="006149BF" w:rsidRDefault="0029791A"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 xml:space="preserve">El establecimiento de </w:t>
      </w:r>
      <w:r w:rsidR="00ED163B" w:rsidRPr="006149BF">
        <w:rPr>
          <w:rFonts w:ascii="Arial" w:hAnsi="Arial" w:cs="Arial"/>
          <w:szCs w:val="22"/>
        </w:rPr>
        <w:t xml:space="preserve">un tamaño máximo para </w:t>
      </w:r>
      <w:r w:rsidR="005C3243" w:rsidRPr="006149BF">
        <w:rPr>
          <w:rFonts w:ascii="Arial" w:hAnsi="Arial" w:cs="Arial"/>
          <w:szCs w:val="22"/>
        </w:rPr>
        <w:t xml:space="preserve">cada uno de </w:t>
      </w:r>
      <w:r w:rsidR="00ED163B" w:rsidRPr="006149BF">
        <w:rPr>
          <w:rFonts w:ascii="Arial" w:hAnsi="Arial" w:cs="Arial"/>
          <w:szCs w:val="22"/>
        </w:rPr>
        <w:t>los archivos que se remiten por medios electrónicos</w:t>
      </w:r>
      <w:r w:rsidR="00C249B5" w:rsidRPr="006149BF">
        <w:rPr>
          <w:rFonts w:ascii="Arial" w:hAnsi="Arial" w:cs="Arial"/>
          <w:szCs w:val="22"/>
        </w:rPr>
        <w:t xml:space="preserve"> tiene como propósito</w:t>
      </w:r>
      <w:r w:rsidR="005C3243" w:rsidRPr="006149BF">
        <w:rPr>
          <w:rFonts w:ascii="Arial" w:hAnsi="Arial" w:cs="Arial"/>
          <w:szCs w:val="22"/>
        </w:rPr>
        <w:t xml:space="preserve"> facilitar la descarga de</w:t>
      </w:r>
      <w:r w:rsidR="00AE13F2" w:rsidRPr="006149BF">
        <w:rPr>
          <w:rFonts w:ascii="Arial" w:hAnsi="Arial" w:cs="Arial"/>
          <w:szCs w:val="22"/>
        </w:rPr>
        <w:t xml:space="preserve"> </w:t>
      </w:r>
      <w:r w:rsidR="005C3243" w:rsidRPr="006149BF">
        <w:rPr>
          <w:rFonts w:ascii="Arial" w:hAnsi="Arial" w:cs="Arial"/>
          <w:szCs w:val="22"/>
        </w:rPr>
        <w:t>l</w:t>
      </w:r>
      <w:r w:rsidR="00AE13F2" w:rsidRPr="006149BF">
        <w:rPr>
          <w:rFonts w:ascii="Arial" w:hAnsi="Arial" w:cs="Arial"/>
          <w:szCs w:val="22"/>
        </w:rPr>
        <w:t>os</w:t>
      </w:r>
      <w:r w:rsidR="005C3243" w:rsidRPr="006149BF">
        <w:rPr>
          <w:rFonts w:ascii="Arial" w:hAnsi="Arial" w:cs="Arial"/>
          <w:szCs w:val="22"/>
        </w:rPr>
        <w:t xml:space="preserve"> documento</w:t>
      </w:r>
      <w:r w:rsidR="00AE13F2" w:rsidRPr="006149BF">
        <w:rPr>
          <w:rFonts w:ascii="Arial" w:hAnsi="Arial" w:cs="Arial"/>
          <w:szCs w:val="22"/>
        </w:rPr>
        <w:t>s</w:t>
      </w:r>
      <w:r w:rsidR="005C3243" w:rsidRPr="006149BF">
        <w:rPr>
          <w:rFonts w:ascii="Arial" w:hAnsi="Arial" w:cs="Arial"/>
          <w:szCs w:val="22"/>
        </w:rPr>
        <w:t xml:space="preserve"> por parte de los inversionistas</w:t>
      </w:r>
      <w:r w:rsidR="000C5F38" w:rsidRPr="006149BF">
        <w:rPr>
          <w:rFonts w:ascii="Arial" w:hAnsi="Arial" w:cs="Arial"/>
          <w:szCs w:val="22"/>
        </w:rPr>
        <w:t xml:space="preserve"> desde el Registro Nacional de Valores e Intermediarios (RNVI).</w:t>
      </w:r>
      <w:r w:rsidR="005C3243" w:rsidRPr="006149BF">
        <w:rPr>
          <w:rFonts w:ascii="Arial" w:hAnsi="Arial" w:cs="Arial"/>
          <w:szCs w:val="22"/>
        </w:rPr>
        <w:t xml:space="preserve"> </w:t>
      </w:r>
    </w:p>
    <w:p w14:paraId="1CFD1A77" w14:textId="77777777" w:rsidR="005C3243" w:rsidRPr="006149BF" w:rsidRDefault="005C3243" w:rsidP="005C3243">
      <w:pPr>
        <w:pStyle w:val="ListParagraph"/>
        <w:rPr>
          <w:rFonts w:ascii="Arial" w:hAnsi="Arial" w:cs="Arial"/>
          <w:szCs w:val="22"/>
        </w:rPr>
      </w:pPr>
    </w:p>
    <w:p w14:paraId="1CFD1A78" w14:textId="77777777" w:rsidR="005C3243" w:rsidRPr="006149BF" w:rsidRDefault="00EB3C6B"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Con el fin de evitar inconv</w:t>
      </w:r>
      <w:r w:rsidR="00AE13F2" w:rsidRPr="006149BF">
        <w:rPr>
          <w:rFonts w:ascii="Arial" w:hAnsi="Arial" w:cs="Arial"/>
          <w:szCs w:val="22"/>
        </w:rPr>
        <w:t>enientes a las entidades emisora</w:t>
      </w:r>
      <w:r w:rsidRPr="006149BF">
        <w:rPr>
          <w:rFonts w:ascii="Arial" w:hAnsi="Arial" w:cs="Arial"/>
          <w:szCs w:val="22"/>
        </w:rPr>
        <w:t xml:space="preserve">s y </w:t>
      </w:r>
      <w:r w:rsidR="002B0C50" w:rsidRPr="006149BF">
        <w:rPr>
          <w:rFonts w:ascii="Arial" w:hAnsi="Arial" w:cs="Arial"/>
          <w:szCs w:val="22"/>
        </w:rPr>
        <w:t xml:space="preserve">debido a </w:t>
      </w:r>
      <w:r w:rsidR="006F475F" w:rsidRPr="006149BF">
        <w:rPr>
          <w:rFonts w:ascii="Arial" w:hAnsi="Arial" w:cs="Arial"/>
          <w:szCs w:val="22"/>
        </w:rPr>
        <w:t xml:space="preserve">que algunos documentos que se deben remitir por la Plataforma de Servicios de Ventanilla Virtual son de gran tamaño, se considera conveniente ampliar el tamaño máximo de cada uno de los archivos que se envíen a 6 </w:t>
      </w:r>
      <w:proofErr w:type="spellStart"/>
      <w:r w:rsidR="006F475F" w:rsidRPr="006149BF">
        <w:rPr>
          <w:rFonts w:ascii="Arial" w:hAnsi="Arial" w:cs="Arial"/>
          <w:szCs w:val="22"/>
        </w:rPr>
        <w:t>MegaByte</w:t>
      </w:r>
      <w:proofErr w:type="spellEnd"/>
      <w:r w:rsidR="006F475F" w:rsidRPr="006149BF">
        <w:rPr>
          <w:rFonts w:ascii="Arial" w:hAnsi="Arial" w:cs="Arial"/>
          <w:szCs w:val="22"/>
        </w:rPr>
        <w:t xml:space="preserve"> (MB).</w:t>
      </w:r>
    </w:p>
    <w:p w14:paraId="1CFD1A79" w14:textId="77777777" w:rsidR="002B0C50" w:rsidRPr="006149BF" w:rsidRDefault="002B0C50" w:rsidP="002B0C50">
      <w:pPr>
        <w:pStyle w:val="ListParagraph"/>
        <w:rPr>
          <w:rFonts w:ascii="Arial" w:hAnsi="Arial" w:cs="Arial"/>
          <w:szCs w:val="22"/>
        </w:rPr>
      </w:pPr>
    </w:p>
    <w:p w14:paraId="1CFD1A7A" w14:textId="77777777" w:rsidR="002B0C50" w:rsidRPr="006149BF" w:rsidRDefault="00AC4744"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El transitorio II del Acuerdo SGV-A-182 señala que los emisores cuyo cierre anual es en el mes de diciembre deben remitir el prospecto vigente en formato electrónico durante el plazo comprendido entre el 1° de diciembre del 2012 y el 9 de enero del 2013</w:t>
      </w:r>
      <w:r w:rsidR="00E419C5" w:rsidRPr="006149BF">
        <w:rPr>
          <w:rFonts w:ascii="Arial" w:hAnsi="Arial" w:cs="Arial"/>
          <w:szCs w:val="22"/>
        </w:rPr>
        <w:t>. Debido a que algunas entidades cerraron sus oficinas</w:t>
      </w:r>
      <w:r w:rsidR="004C1ED8" w:rsidRPr="006149BF">
        <w:rPr>
          <w:rFonts w:ascii="Arial" w:hAnsi="Arial" w:cs="Arial"/>
          <w:szCs w:val="22"/>
        </w:rPr>
        <w:t xml:space="preserve"> producto del fin de año, se estima razonable ampliar la fecha límite para envío inicial de </w:t>
      </w:r>
      <w:r w:rsidR="00DE0A11" w:rsidRPr="006149BF">
        <w:rPr>
          <w:rFonts w:ascii="Arial" w:hAnsi="Arial" w:cs="Arial"/>
          <w:szCs w:val="22"/>
        </w:rPr>
        <w:t xml:space="preserve">los </w:t>
      </w:r>
      <w:r w:rsidR="0030193E" w:rsidRPr="006149BF">
        <w:rPr>
          <w:rFonts w:ascii="Arial" w:hAnsi="Arial" w:cs="Arial"/>
          <w:szCs w:val="22"/>
        </w:rPr>
        <w:t>prospectos de dichos</w:t>
      </w:r>
      <w:r w:rsidR="004C1ED8" w:rsidRPr="006149BF">
        <w:rPr>
          <w:rFonts w:ascii="Arial" w:hAnsi="Arial" w:cs="Arial"/>
          <w:szCs w:val="22"/>
        </w:rPr>
        <w:t xml:space="preserve"> emisores al 14 de enero próximo.</w:t>
      </w:r>
    </w:p>
    <w:p w14:paraId="1CFD1A7B" w14:textId="77777777" w:rsidR="00B64066" w:rsidRPr="006149BF" w:rsidRDefault="00B64066" w:rsidP="00B64066">
      <w:pPr>
        <w:tabs>
          <w:tab w:val="left" w:pos="317"/>
          <w:tab w:val="left" w:pos="8910"/>
        </w:tabs>
        <w:ind w:right="33"/>
        <w:jc w:val="both"/>
        <w:rPr>
          <w:rFonts w:ascii="Arial" w:hAnsi="Arial" w:cs="Arial"/>
          <w:szCs w:val="22"/>
        </w:rPr>
      </w:pPr>
    </w:p>
    <w:p w14:paraId="1CFD1A7C" w14:textId="77777777" w:rsidR="00432D77" w:rsidRPr="006149BF" w:rsidRDefault="00432D77" w:rsidP="005D06F8">
      <w:pPr>
        <w:pStyle w:val="ListParagraph"/>
        <w:numPr>
          <w:ilvl w:val="0"/>
          <w:numId w:val="8"/>
        </w:numPr>
        <w:tabs>
          <w:tab w:val="left" w:pos="317"/>
          <w:tab w:val="left" w:pos="8910"/>
        </w:tabs>
        <w:ind w:right="33"/>
        <w:jc w:val="both"/>
        <w:rPr>
          <w:rFonts w:ascii="Arial" w:hAnsi="Arial" w:cs="Arial"/>
          <w:szCs w:val="22"/>
        </w:rPr>
      </w:pPr>
      <w:r w:rsidRPr="006149BF">
        <w:rPr>
          <w:rFonts w:ascii="Arial" w:hAnsi="Arial" w:cs="Arial"/>
          <w:szCs w:val="22"/>
        </w:rPr>
        <w:t>En vista de que las disposiciones contenidas en este Acuerdo se consideran necesarias para la adecuad</w:t>
      </w:r>
      <w:r w:rsidR="0034073B" w:rsidRPr="006149BF">
        <w:rPr>
          <w:rFonts w:ascii="Arial" w:hAnsi="Arial" w:cs="Arial"/>
          <w:szCs w:val="22"/>
        </w:rPr>
        <w:t>a interpretación del artículo 15</w:t>
      </w:r>
      <w:r w:rsidRPr="006149BF">
        <w:rPr>
          <w:rFonts w:ascii="Arial" w:hAnsi="Arial" w:cs="Arial"/>
          <w:szCs w:val="22"/>
        </w:rPr>
        <w:t xml:space="preserve"> del SGV-A182 y </w:t>
      </w:r>
      <w:r w:rsidR="0034073B" w:rsidRPr="006149BF">
        <w:rPr>
          <w:rFonts w:ascii="Arial" w:hAnsi="Arial" w:cs="Arial"/>
          <w:szCs w:val="22"/>
        </w:rPr>
        <w:t>con el fin de</w:t>
      </w:r>
      <w:r w:rsidRPr="006149BF">
        <w:rPr>
          <w:rFonts w:ascii="Arial" w:hAnsi="Arial" w:cs="Arial"/>
          <w:szCs w:val="22"/>
        </w:rPr>
        <w:t xml:space="preserve"> que las entidades emisoras tengan certeza sobre el marco normativo que deben aplicar, se prescinde del trámite de consulta, de conformidad con el artículo 361 de la Ley General de la Administración Pública. </w:t>
      </w:r>
    </w:p>
    <w:p w14:paraId="1CFD1A7D" w14:textId="77777777" w:rsidR="00432D77" w:rsidRPr="006149BF" w:rsidRDefault="00432D77" w:rsidP="00432D77">
      <w:pPr>
        <w:tabs>
          <w:tab w:val="left" w:pos="317"/>
          <w:tab w:val="left" w:pos="8910"/>
        </w:tabs>
        <w:ind w:left="317" w:right="33"/>
        <w:jc w:val="both"/>
        <w:rPr>
          <w:rFonts w:ascii="Arial" w:hAnsi="Arial" w:cs="Arial"/>
          <w:szCs w:val="22"/>
        </w:rPr>
      </w:pPr>
    </w:p>
    <w:p w14:paraId="1CFD1A7E" w14:textId="77777777" w:rsidR="00D97AB6" w:rsidRPr="006149BF" w:rsidRDefault="00D97AB6" w:rsidP="00D97AB6">
      <w:pPr>
        <w:pStyle w:val="ListParagraph"/>
        <w:rPr>
          <w:rFonts w:ascii="Arial" w:hAnsi="Arial" w:cs="Arial"/>
          <w:szCs w:val="22"/>
        </w:rPr>
      </w:pPr>
    </w:p>
    <w:p w14:paraId="1CFD1A7F" w14:textId="77777777" w:rsidR="000446D8" w:rsidRPr="006149BF" w:rsidRDefault="00432D77" w:rsidP="00D934D3">
      <w:pPr>
        <w:rPr>
          <w:rFonts w:ascii="Arial" w:hAnsi="Arial" w:cs="Arial"/>
          <w:b/>
          <w:szCs w:val="22"/>
          <w:lang w:eastAsia="en-US"/>
        </w:rPr>
      </w:pPr>
      <w:r w:rsidRPr="006149BF">
        <w:rPr>
          <w:rFonts w:ascii="Arial" w:hAnsi="Arial" w:cs="Arial"/>
          <w:b/>
          <w:szCs w:val="22"/>
          <w:lang w:eastAsia="en-US"/>
        </w:rPr>
        <w:t xml:space="preserve">Por tanto, acuerda: </w:t>
      </w:r>
    </w:p>
    <w:p w14:paraId="1CFD1A83" w14:textId="77777777" w:rsidR="00432D77" w:rsidRPr="006149BF" w:rsidRDefault="00432D77" w:rsidP="00432D77">
      <w:pPr>
        <w:jc w:val="center"/>
        <w:rPr>
          <w:rFonts w:ascii="Arial" w:hAnsi="Arial" w:cs="Arial"/>
          <w:b/>
          <w:szCs w:val="22"/>
        </w:rPr>
      </w:pPr>
      <w:r w:rsidRPr="006149BF">
        <w:rPr>
          <w:rFonts w:ascii="Arial" w:hAnsi="Arial" w:cs="Arial"/>
          <w:b/>
          <w:szCs w:val="22"/>
          <w:lang w:eastAsia="en-US"/>
        </w:rPr>
        <w:lastRenderedPageBreak/>
        <w:t>SGV-A-</w:t>
      </w:r>
      <w:r w:rsidR="005E31A4" w:rsidRPr="006149BF">
        <w:rPr>
          <w:rFonts w:ascii="Arial" w:hAnsi="Arial" w:cs="Arial"/>
          <w:b/>
          <w:szCs w:val="22"/>
          <w:lang w:eastAsia="en-US"/>
        </w:rPr>
        <w:t>185</w:t>
      </w:r>
      <w:r w:rsidRPr="006149BF">
        <w:rPr>
          <w:rFonts w:ascii="Arial" w:hAnsi="Arial" w:cs="Arial"/>
          <w:b/>
          <w:szCs w:val="22"/>
          <w:lang w:eastAsia="en-US"/>
        </w:rPr>
        <w:t xml:space="preserve"> REFORMA AL ARTÍCULO 1</w:t>
      </w:r>
      <w:r w:rsidR="00FF1665" w:rsidRPr="006149BF">
        <w:rPr>
          <w:rFonts w:ascii="Arial" w:hAnsi="Arial" w:cs="Arial"/>
          <w:b/>
          <w:szCs w:val="22"/>
          <w:lang w:eastAsia="en-US"/>
        </w:rPr>
        <w:t>5</w:t>
      </w:r>
      <w:r w:rsidR="00AC4744" w:rsidRPr="006149BF">
        <w:rPr>
          <w:rFonts w:ascii="Arial" w:hAnsi="Arial" w:cs="Arial"/>
          <w:b/>
          <w:szCs w:val="22"/>
          <w:lang w:eastAsia="en-US"/>
        </w:rPr>
        <w:t xml:space="preserve"> Y AL TRANSITORIO II</w:t>
      </w:r>
      <w:r w:rsidRPr="006149BF">
        <w:rPr>
          <w:rFonts w:ascii="Arial" w:hAnsi="Arial" w:cs="Arial"/>
          <w:b/>
          <w:szCs w:val="22"/>
          <w:lang w:eastAsia="en-US"/>
        </w:rPr>
        <w:t xml:space="preserve"> DEL SGV-A-182 </w:t>
      </w:r>
      <w:r w:rsidR="00CA082E" w:rsidRPr="006149BF">
        <w:rPr>
          <w:rFonts w:ascii="Arial" w:hAnsi="Arial" w:cs="Arial"/>
          <w:b/>
          <w:szCs w:val="22"/>
          <w:lang w:eastAsia="en-US"/>
        </w:rPr>
        <w:t>“</w:t>
      </w:r>
      <w:r w:rsidRPr="006149BF">
        <w:rPr>
          <w:rFonts w:ascii="Arial" w:hAnsi="Arial" w:cs="Arial"/>
          <w:b/>
          <w:szCs w:val="22"/>
        </w:rPr>
        <w:t>INSTRUCCIONES PARA LA REMISIÓN DE PROSPECTOS  DE ENTIDADES EMISORAS Y DOCUMENTOS RELACIONADOS</w:t>
      </w:r>
      <w:r w:rsidR="00CA082E" w:rsidRPr="006149BF">
        <w:rPr>
          <w:rFonts w:ascii="Arial" w:hAnsi="Arial" w:cs="Arial"/>
          <w:b/>
          <w:szCs w:val="22"/>
        </w:rPr>
        <w:t>”</w:t>
      </w:r>
    </w:p>
    <w:p w14:paraId="1CFD1A84" w14:textId="77777777" w:rsidR="00CA082E" w:rsidRPr="006149BF" w:rsidRDefault="00CA082E" w:rsidP="008B1BF2">
      <w:pPr>
        <w:rPr>
          <w:rFonts w:ascii="Arial" w:hAnsi="Arial" w:cs="Arial"/>
          <w:b/>
          <w:szCs w:val="22"/>
        </w:rPr>
      </w:pPr>
    </w:p>
    <w:p w14:paraId="11B7D4B9" w14:textId="77777777" w:rsidR="006149BF" w:rsidRPr="006149BF" w:rsidRDefault="006149BF" w:rsidP="006149BF">
      <w:pPr>
        <w:rPr>
          <w:rFonts w:ascii="Arial" w:hAnsi="Arial" w:cs="Arial"/>
          <w:b/>
          <w:color w:val="000000" w:themeColor="text1"/>
          <w:szCs w:val="22"/>
          <w:lang w:eastAsia="en-US"/>
        </w:rPr>
      </w:pPr>
      <w:r w:rsidRPr="006149BF">
        <w:rPr>
          <w:rFonts w:ascii="Arial" w:hAnsi="Arial" w:cs="Arial"/>
          <w:b/>
          <w:color w:val="000000" w:themeColor="text1"/>
          <w:szCs w:val="22"/>
          <w:lang w:eastAsia="en-US"/>
        </w:rPr>
        <w:t>Artículo 1. Reforma</w:t>
      </w:r>
    </w:p>
    <w:p w14:paraId="1CFD1A86" w14:textId="77777777" w:rsidR="005E31A4" w:rsidRPr="006149BF" w:rsidRDefault="005E31A4" w:rsidP="00D934D3">
      <w:pPr>
        <w:rPr>
          <w:rFonts w:ascii="Arial" w:hAnsi="Arial" w:cs="Arial"/>
          <w:szCs w:val="22"/>
          <w:lang w:eastAsia="en-US"/>
        </w:rPr>
      </w:pPr>
    </w:p>
    <w:p w14:paraId="1CFD1A87" w14:textId="77777777" w:rsidR="00432D77" w:rsidRPr="006149BF" w:rsidRDefault="00432D77" w:rsidP="00D934D3">
      <w:pPr>
        <w:rPr>
          <w:rFonts w:ascii="Arial" w:hAnsi="Arial" w:cs="Arial"/>
          <w:szCs w:val="22"/>
          <w:lang w:eastAsia="en-US"/>
        </w:rPr>
      </w:pPr>
      <w:r w:rsidRPr="006149BF">
        <w:rPr>
          <w:rFonts w:ascii="Arial" w:hAnsi="Arial" w:cs="Arial"/>
          <w:szCs w:val="22"/>
          <w:lang w:eastAsia="en-US"/>
        </w:rPr>
        <w:t>Reformar el artículo 1</w:t>
      </w:r>
      <w:r w:rsidR="00FF1665" w:rsidRPr="006149BF">
        <w:rPr>
          <w:rFonts w:ascii="Arial" w:hAnsi="Arial" w:cs="Arial"/>
          <w:szCs w:val="22"/>
          <w:lang w:eastAsia="en-US"/>
        </w:rPr>
        <w:t>5</w:t>
      </w:r>
      <w:r w:rsidRPr="006149BF">
        <w:rPr>
          <w:rFonts w:ascii="Arial" w:hAnsi="Arial" w:cs="Arial"/>
          <w:szCs w:val="22"/>
          <w:lang w:eastAsia="en-US"/>
        </w:rPr>
        <w:t xml:space="preserve"> </w:t>
      </w:r>
      <w:r w:rsidR="00802E98" w:rsidRPr="006149BF">
        <w:rPr>
          <w:rFonts w:ascii="Arial" w:hAnsi="Arial" w:cs="Arial"/>
          <w:szCs w:val="22"/>
          <w:lang w:eastAsia="en-US"/>
        </w:rPr>
        <w:t xml:space="preserve">y el Transitorio II </w:t>
      </w:r>
      <w:r w:rsidRPr="006149BF">
        <w:rPr>
          <w:rFonts w:ascii="Arial" w:hAnsi="Arial" w:cs="Arial"/>
          <w:szCs w:val="22"/>
          <w:lang w:eastAsia="en-US"/>
        </w:rPr>
        <w:t>del SGV-A-182, para que se lea</w:t>
      </w:r>
      <w:r w:rsidR="00802E98" w:rsidRPr="006149BF">
        <w:rPr>
          <w:rFonts w:ascii="Arial" w:hAnsi="Arial" w:cs="Arial"/>
          <w:szCs w:val="22"/>
          <w:lang w:eastAsia="en-US"/>
        </w:rPr>
        <w:t>n</w:t>
      </w:r>
      <w:r w:rsidRPr="006149BF">
        <w:rPr>
          <w:rFonts w:ascii="Arial" w:hAnsi="Arial" w:cs="Arial"/>
          <w:szCs w:val="22"/>
          <w:lang w:eastAsia="en-US"/>
        </w:rPr>
        <w:t xml:space="preserve"> como sigue: </w:t>
      </w:r>
    </w:p>
    <w:p w14:paraId="1CFD1A88" w14:textId="77777777" w:rsidR="000446D8" w:rsidRPr="006149BF" w:rsidRDefault="000446D8" w:rsidP="00D934D3">
      <w:pPr>
        <w:rPr>
          <w:rFonts w:ascii="Arial" w:hAnsi="Arial" w:cs="Arial"/>
          <w:szCs w:val="22"/>
          <w:lang w:eastAsia="en-US"/>
        </w:rPr>
      </w:pPr>
    </w:p>
    <w:p w14:paraId="1CFD1A89" w14:textId="77777777" w:rsidR="00D934D3" w:rsidRPr="006149BF" w:rsidRDefault="00432D77" w:rsidP="00D934D3">
      <w:pPr>
        <w:rPr>
          <w:rFonts w:ascii="Arial" w:hAnsi="Arial" w:cs="Arial"/>
          <w:b/>
          <w:szCs w:val="22"/>
          <w:lang w:eastAsia="en-US"/>
        </w:rPr>
      </w:pPr>
      <w:r w:rsidRPr="006149BF">
        <w:rPr>
          <w:rFonts w:ascii="Arial" w:hAnsi="Arial" w:cs="Arial"/>
          <w:b/>
          <w:szCs w:val="22"/>
          <w:lang w:eastAsia="en-US"/>
        </w:rPr>
        <w:t>“</w:t>
      </w:r>
      <w:r w:rsidR="00FF1665" w:rsidRPr="006149BF">
        <w:rPr>
          <w:rFonts w:ascii="Arial" w:hAnsi="Arial" w:cs="Arial"/>
          <w:b/>
          <w:szCs w:val="22"/>
          <w:lang w:eastAsia="en-US"/>
        </w:rPr>
        <w:t>Artículo 15</w:t>
      </w:r>
      <w:r w:rsidR="00D934D3" w:rsidRPr="006149BF">
        <w:rPr>
          <w:rFonts w:ascii="Arial" w:hAnsi="Arial" w:cs="Arial"/>
          <w:b/>
          <w:szCs w:val="22"/>
          <w:lang w:eastAsia="en-US"/>
        </w:rPr>
        <w:t xml:space="preserve">. </w:t>
      </w:r>
      <w:r w:rsidR="00F34EF3" w:rsidRPr="006149BF">
        <w:rPr>
          <w:rFonts w:ascii="Arial" w:hAnsi="Arial" w:cs="Arial"/>
          <w:b/>
          <w:szCs w:val="22"/>
          <w:lang w:eastAsia="en-US"/>
        </w:rPr>
        <w:t>Características de los documentos</w:t>
      </w:r>
    </w:p>
    <w:p w14:paraId="1CFD1A8A" w14:textId="77777777" w:rsidR="006577A0" w:rsidRPr="006149BF" w:rsidRDefault="006577A0" w:rsidP="00D934D3">
      <w:pPr>
        <w:rPr>
          <w:rFonts w:ascii="Arial" w:hAnsi="Arial" w:cs="Arial"/>
          <w:b/>
          <w:szCs w:val="22"/>
          <w:lang w:eastAsia="en-US"/>
        </w:rPr>
      </w:pPr>
    </w:p>
    <w:p w14:paraId="1CFD1A8B" w14:textId="77777777" w:rsidR="00F34EF3" w:rsidRPr="006149BF" w:rsidRDefault="00F34EF3" w:rsidP="00F34EF3">
      <w:pPr>
        <w:keepNext/>
        <w:keepLines/>
        <w:tabs>
          <w:tab w:val="left" w:pos="8910"/>
        </w:tabs>
        <w:jc w:val="both"/>
        <w:rPr>
          <w:rFonts w:ascii="Arial" w:hAnsi="Arial" w:cs="Arial"/>
          <w:szCs w:val="22"/>
        </w:rPr>
      </w:pPr>
      <w:r w:rsidRPr="006149BF">
        <w:rPr>
          <w:rFonts w:ascii="Arial" w:hAnsi="Arial" w:cs="Arial"/>
          <w:szCs w:val="22"/>
        </w:rPr>
        <w:t>Los documentos que se remitan por medios electrónicos deben cumplir con los siguientes criterios:</w:t>
      </w:r>
    </w:p>
    <w:p w14:paraId="1CFD1A8C" w14:textId="77777777" w:rsidR="00F34EF3" w:rsidRPr="006149BF" w:rsidRDefault="00F34EF3" w:rsidP="00F34EF3">
      <w:pPr>
        <w:tabs>
          <w:tab w:val="left" w:pos="8910"/>
        </w:tabs>
        <w:jc w:val="both"/>
        <w:rPr>
          <w:rFonts w:ascii="Arial" w:hAnsi="Arial" w:cs="Arial"/>
          <w:szCs w:val="22"/>
        </w:rPr>
      </w:pPr>
    </w:p>
    <w:p w14:paraId="1CFD1A8D" w14:textId="77777777" w:rsidR="00F34EF3" w:rsidRPr="006149BF" w:rsidRDefault="00F34EF3" w:rsidP="00F34EF3">
      <w:pPr>
        <w:numPr>
          <w:ilvl w:val="0"/>
          <w:numId w:val="9"/>
        </w:numPr>
        <w:ind w:left="426" w:hanging="426"/>
        <w:jc w:val="both"/>
        <w:rPr>
          <w:rFonts w:ascii="Arial" w:hAnsi="Arial" w:cs="Arial"/>
          <w:szCs w:val="22"/>
        </w:rPr>
      </w:pPr>
      <w:r w:rsidRPr="006149BF">
        <w:rPr>
          <w:rFonts w:ascii="Arial" w:hAnsi="Arial" w:cs="Arial"/>
          <w:szCs w:val="22"/>
        </w:rPr>
        <w:t xml:space="preserve">Individualmente, el volumen del archivo del prospecto, el de cada uno de sus anexos y el de los estados financieros auditados no deberá superar </w:t>
      </w:r>
      <w:r w:rsidRPr="006149BF">
        <w:rPr>
          <w:rFonts w:ascii="Arial" w:hAnsi="Arial" w:cs="Arial"/>
          <w:b/>
          <w:szCs w:val="22"/>
        </w:rPr>
        <w:t>6</w:t>
      </w:r>
      <w:r w:rsidRPr="006149BF">
        <w:rPr>
          <w:rFonts w:ascii="Arial" w:hAnsi="Arial" w:cs="Arial"/>
          <w:szCs w:val="22"/>
        </w:rPr>
        <w:t xml:space="preserve"> </w:t>
      </w:r>
      <w:proofErr w:type="spellStart"/>
      <w:r w:rsidRPr="006149BF">
        <w:rPr>
          <w:rFonts w:ascii="Arial" w:hAnsi="Arial" w:cs="Arial"/>
          <w:szCs w:val="22"/>
        </w:rPr>
        <w:t>MegaByte</w:t>
      </w:r>
      <w:proofErr w:type="spellEnd"/>
      <w:r w:rsidRPr="006149BF">
        <w:rPr>
          <w:rFonts w:ascii="Arial" w:hAnsi="Arial" w:cs="Arial"/>
          <w:szCs w:val="22"/>
        </w:rPr>
        <w:t xml:space="preserve"> (MB). Cada uno de los demás archivos no deberán superar </w:t>
      </w:r>
      <w:r w:rsidRPr="006149BF">
        <w:rPr>
          <w:rFonts w:ascii="Arial" w:hAnsi="Arial" w:cs="Arial"/>
          <w:b/>
          <w:szCs w:val="22"/>
        </w:rPr>
        <w:t>6</w:t>
      </w:r>
      <w:r w:rsidRPr="006149BF">
        <w:rPr>
          <w:rFonts w:ascii="Arial" w:hAnsi="Arial" w:cs="Arial"/>
          <w:szCs w:val="22"/>
        </w:rPr>
        <w:t xml:space="preserve"> </w:t>
      </w:r>
      <w:proofErr w:type="spellStart"/>
      <w:r w:rsidRPr="006149BF">
        <w:rPr>
          <w:rFonts w:ascii="Arial" w:hAnsi="Arial" w:cs="Arial"/>
          <w:szCs w:val="22"/>
        </w:rPr>
        <w:t>MegaByte</w:t>
      </w:r>
      <w:proofErr w:type="spellEnd"/>
      <w:r w:rsidRPr="006149BF">
        <w:rPr>
          <w:rFonts w:ascii="Arial" w:hAnsi="Arial" w:cs="Arial"/>
          <w:szCs w:val="22"/>
        </w:rPr>
        <w:t xml:space="preserve"> (MB).</w:t>
      </w:r>
    </w:p>
    <w:p w14:paraId="1CFD1A8E" w14:textId="77777777" w:rsidR="00F34EF3" w:rsidRPr="006149BF" w:rsidRDefault="00F34EF3" w:rsidP="00F34EF3">
      <w:pPr>
        <w:ind w:left="426" w:hanging="426"/>
        <w:jc w:val="both"/>
        <w:rPr>
          <w:rFonts w:ascii="Arial" w:hAnsi="Arial" w:cs="Arial"/>
          <w:szCs w:val="22"/>
        </w:rPr>
      </w:pPr>
    </w:p>
    <w:p w14:paraId="1CFD1A8F" w14:textId="77777777" w:rsidR="00F34EF3" w:rsidRPr="006149BF" w:rsidRDefault="00F34EF3" w:rsidP="00F34EF3">
      <w:pPr>
        <w:numPr>
          <w:ilvl w:val="0"/>
          <w:numId w:val="9"/>
        </w:numPr>
        <w:ind w:left="426" w:hanging="426"/>
        <w:jc w:val="both"/>
        <w:rPr>
          <w:rFonts w:ascii="Arial" w:hAnsi="Arial" w:cs="Arial"/>
          <w:szCs w:val="22"/>
        </w:rPr>
      </w:pPr>
      <w:r w:rsidRPr="006149BF">
        <w:rPr>
          <w:rFonts w:ascii="Arial" w:hAnsi="Arial" w:cs="Arial"/>
          <w:szCs w:val="22"/>
        </w:rPr>
        <w:t>Los archivos remitidos deben estar libres de virus o programas maliciosos, por lo que la entidad emisora debe utilizar algún software antivirus de amplia aceptación y reconocimiento en el mercado, el cual además debe mantenerse correctamente actualizado en todo momento.</w:t>
      </w:r>
    </w:p>
    <w:p w14:paraId="1CFD1A90" w14:textId="77777777" w:rsidR="00F34EF3" w:rsidRPr="006149BF" w:rsidRDefault="00F34EF3" w:rsidP="00F34EF3">
      <w:pPr>
        <w:tabs>
          <w:tab w:val="left" w:pos="8910"/>
        </w:tabs>
        <w:ind w:left="426" w:hanging="426"/>
        <w:jc w:val="both"/>
        <w:rPr>
          <w:rFonts w:ascii="Arial" w:hAnsi="Arial" w:cs="Arial"/>
          <w:szCs w:val="22"/>
        </w:rPr>
      </w:pPr>
    </w:p>
    <w:p w14:paraId="1CFD1A91" w14:textId="77777777" w:rsidR="00F34EF3" w:rsidRPr="006149BF" w:rsidRDefault="00F34EF3" w:rsidP="00F34EF3">
      <w:pPr>
        <w:numPr>
          <w:ilvl w:val="0"/>
          <w:numId w:val="9"/>
        </w:numPr>
        <w:ind w:left="426" w:hanging="426"/>
        <w:jc w:val="both"/>
        <w:rPr>
          <w:rFonts w:ascii="Arial" w:hAnsi="Arial" w:cs="Arial"/>
          <w:szCs w:val="22"/>
        </w:rPr>
      </w:pPr>
      <w:r w:rsidRPr="006149BF">
        <w:rPr>
          <w:rFonts w:ascii="Arial" w:hAnsi="Arial" w:cs="Arial"/>
          <w:szCs w:val="22"/>
        </w:rPr>
        <w:t>Únicamente serán admitidos los documentos en los siguientes formatos  MS Word (.</w:t>
      </w:r>
      <w:proofErr w:type="spellStart"/>
      <w:r w:rsidRPr="006149BF">
        <w:rPr>
          <w:rFonts w:ascii="Arial" w:hAnsi="Arial" w:cs="Arial"/>
          <w:szCs w:val="22"/>
        </w:rPr>
        <w:t>doc</w:t>
      </w:r>
      <w:proofErr w:type="spellEnd"/>
      <w:r w:rsidRPr="006149BF">
        <w:rPr>
          <w:rFonts w:ascii="Arial" w:hAnsi="Arial" w:cs="Arial"/>
          <w:szCs w:val="22"/>
        </w:rPr>
        <w:t xml:space="preserve"> o .</w:t>
      </w:r>
      <w:proofErr w:type="spellStart"/>
      <w:r w:rsidRPr="006149BF">
        <w:rPr>
          <w:rFonts w:ascii="Arial" w:hAnsi="Arial" w:cs="Arial"/>
          <w:szCs w:val="22"/>
        </w:rPr>
        <w:t>docx</w:t>
      </w:r>
      <w:proofErr w:type="spellEnd"/>
      <w:r w:rsidRPr="006149BF">
        <w:rPr>
          <w:rFonts w:ascii="Arial" w:hAnsi="Arial" w:cs="Arial"/>
          <w:szCs w:val="22"/>
        </w:rPr>
        <w:t>), MS Excel (.</w:t>
      </w:r>
      <w:proofErr w:type="spellStart"/>
      <w:r w:rsidRPr="006149BF">
        <w:rPr>
          <w:rFonts w:ascii="Arial" w:hAnsi="Arial" w:cs="Arial"/>
          <w:szCs w:val="22"/>
        </w:rPr>
        <w:t>xls</w:t>
      </w:r>
      <w:proofErr w:type="spellEnd"/>
      <w:r w:rsidRPr="006149BF">
        <w:rPr>
          <w:rFonts w:ascii="Arial" w:hAnsi="Arial" w:cs="Arial"/>
          <w:szCs w:val="22"/>
        </w:rPr>
        <w:t xml:space="preserve"> o .</w:t>
      </w:r>
      <w:proofErr w:type="spellStart"/>
      <w:r w:rsidRPr="006149BF">
        <w:rPr>
          <w:rFonts w:ascii="Arial" w:hAnsi="Arial" w:cs="Arial"/>
          <w:szCs w:val="22"/>
        </w:rPr>
        <w:t>xlsx</w:t>
      </w:r>
      <w:proofErr w:type="spellEnd"/>
      <w:r w:rsidRPr="006149BF">
        <w:rPr>
          <w:rFonts w:ascii="Arial" w:hAnsi="Arial" w:cs="Arial"/>
          <w:szCs w:val="22"/>
        </w:rPr>
        <w:t xml:space="preserve">), Portable </w:t>
      </w:r>
      <w:proofErr w:type="spellStart"/>
      <w:r w:rsidRPr="006149BF">
        <w:rPr>
          <w:rFonts w:ascii="Arial" w:hAnsi="Arial" w:cs="Arial"/>
          <w:szCs w:val="22"/>
        </w:rPr>
        <w:t>Document</w:t>
      </w:r>
      <w:proofErr w:type="spellEnd"/>
      <w:r w:rsidRPr="006149BF">
        <w:rPr>
          <w:rFonts w:ascii="Arial" w:hAnsi="Arial" w:cs="Arial"/>
          <w:szCs w:val="22"/>
        </w:rPr>
        <w:t xml:space="preserve"> </w:t>
      </w:r>
      <w:proofErr w:type="spellStart"/>
      <w:r w:rsidRPr="006149BF">
        <w:rPr>
          <w:rFonts w:ascii="Arial" w:hAnsi="Arial" w:cs="Arial"/>
          <w:szCs w:val="22"/>
        </w:rPr>
        <w:t>Format</w:t>
      </w:r>
      <w:proofErr w:type="spellEnd"/>
      <w:r w:rsidRPr="006149BF">
        <w:rPr>
          <w:rFonts w:ascii="Arial" w:hAnsi="Arial" w:cs="Arial"/>
          <w:szCs w:val="22"/>
        </w:rPr>
        <w:t xml:space="preserve"> (.</w:t>
      </w:r>
      <w:proofErr w:type="spellStart"/>
      <w:r w:rsidRPr="006149BF">
        <w:rPr>
          <w:rFonts w:ascii="Arial" w:hAnsi="Arial" w:cs="Arial"/>
          <w:szCs w:val="22"/>
        </w:rPr>
        <w:t>pdf</w:t>
      </w:r>
      <w:proofErr w:type="spellEnd"/>
      <w:r w:rsidRPr="006149BF">
        <w:rPr>
          <w:rFonts w:ascii="Arial" w:hAnsi="Arial" w:cs="Arial"/>
          <w:szCs w:val="22"/>
        </w:rPr>
        <w:t xml:space="preserve">) y </w:t>
      </w:r>
      <w:proofErr w:type="spellStart"/>
      <w:r w:rsidRPr="006149BF">
        <w:rPr>
          <w:rFonts w:ascii="Arial" w:hAnsi="Arial" w:cs="Arial"/>
          <w:szCs w:val="22"/>
        </w:rPr>
        <w:t>Joint</w:t>
      </w:r>
      <w:proofErr w:type="spellEnd"/>
      <w:r w:rsidRPr="006149BF">
        <w:rPr>
          <w:rFonts w:ascii="Arial" w:hAnsi="Arial" w:cs="Arial"/>
          <w:szCs w:val="22"/>
        </w:rPr>
        <w:t xml:space="preserve"> </w:t>
      </w:r>
      <w:proofErr w:type="spellStart"/>
      <w:r w:rsidRPr="006149BF">
        <w:rPr>
          <w:rFonts w:ascii="Arial" w:hAnsi="Arial" w:cs="Arial"/>
          <w:szCs w:val="22"/>
        </w:rPr>
        <w:t>Photographic</w:t>
      </w:r>
      <w:proofErr w:type="spellEnd"/>
      <w:r w:rsidRPr="006149BF">
        <w:rPr>
          <w:rFonts w:ascii="Arial" w:hAnsi="Arial" w:cs="Arial"/>
          <w:szCs w:val="22"/>
        </w:rPr>
        <w:t xml:space="preserve"> </w:t>
      </w:r>
      <w:proofErr w:type="spellStart"/>
      <w:r w:rsidRPr="006149BF">
        <w:rPr>
          <w:rFonts w:ascii="Arial" w:hAnsi="Arial" w:cs="Arial"/>
          <w:szCs w:val="22"/>
        </w:rPr>
        <w:t>Experts</w:t>
      </w:r>
      <w:proofErr w:type="spellEnd"/>
      <w:r w:rsidRPr="006149BF">
        <w:rPr>
          <w:rFonts w:ascii="Arial" w:hAnsi="Arial" w:cs="Arial"/>
          <w:szCs w:val="22"/>
        </w:rPr>
        <w:t xml:space="preserve"> </w:t>
      </w:r>
      <w:proofErr w:type="spellStart"/>
      <w:r w:rsidRPr="006149BF">
        <w:rPr>
          <w:rFonts w:ascii="Arial" w:hAnsi="Arial" w:cs="Arial"/>
          <w:szCs w:val="22"/>
        </w:rPr>
        <w:t>Group</w:t>
      </w:r>
      <w:proofErr w:type="spellEnd"/>
      <w:r w:rsidRPr="006149BF">
        <w:rPr>
          <w:rFonts w:ascii="Arial" w:hAnsi="Arial" w:cs="Arial"/>
          <w:szCs w:val="22"/>
        </w:rPr>
        <w:t xml:space="preserve"> (.</w:t>
      </w:r>
      <w:proofErr w:type="spellStart"/>
      <w:r w:rsidRPr="006149BF">
        <w:rPr>
          <w:rFonts w:ascii="Arial" w:hAnsi="Arial" w:cs="Arial"/>
          <w:szCs w:val="22"/>
        </w:rPr>
        <w:t>jpg</w:t>
      </w:r>
      <w:proofErr w:type="spellEnd"/>
      <w:r w:rsidRPr="006149BF">
        <w:rPr>
          <w:rFonts w:ascii="Arial" w:hAnsi="Arial" w:cs="Arial"/>
          <w:szCs w:val="22"/>
        </w:rPr>
        <w:t xml:space="preserve"> o .</w:t>
      </w:r>
      <w:proofErr w:type="spellStart"/>
      <w:r w:rsidRPr="006149BF">
        <w:rPr>
          <w:rFonts w:ascii="Arial" w:hAnsi="Arial" w:cs="Arial"/>
          <w:szCs w:val="22"/>
        </w:rPr>
        <w:t>jpeg</w:t>
      </w:r>
      <w:proofErr w:type="spellEnd"/>
      <w:r w:rsidRPr="006149BF">
        <w:rPr>
          <w:rFonts w:ascii="Arial" w:hAnsi="Arial" w:cs="Arial"/>
          <w:szCs w:val="22"/>
        </w:rPr>
        <w:t>), según se indica en este Acuerdo.  En cualquier caso, el prospecto únicamente podrá presentarse en formato Word (.</w:t>
      </w:r>
      <w:proofErr w:type="spellStart"/>
      <w:r w:rsidRPr="006149BF">
        <w:rPr>
          <w:rFonts w:ascii="Arial" w:hAnsi="Arial" w:cs="Arial"/>
          <w:szCs w:val="22"/>
        </w:rPr>
        <w:t>doc</w:t>
      </w:r>
      <w:proofErr w:type="spellEnd"/>
      <w:r w:rsidRPr="006149BF">
        <w:rPr>
          <w:rFonts w:ascii="Arial" w:hAnsi="Arial" w:cs="Arial"/>
          <w:szCs w:val="22"/>
        </w:rPr>
        <w:t xml:space="preserve"> o .</w:t>
      </w:r>
      <w:proofErr w:type="spellStart"/>
      <w:r w:rsidRPr="006149BF">
        <w:rPr>
          <w:rFonts w:ascii="Arial" w:hAnsi="Arial" w:cs="Arial"/>
          <w:szCs w:val="22"/>
        </w:rPr>
        <w:t>docx</w:t>
      </w:r>
      <w:proofErr w:type="spellEnd"/>
      <w:r w:rsidRPr="006149BF">
        <w:rPr>
          <w:rFonts w:ascii="Arial" w:hAnsi="Arial" w:cs="Arial"/>
          <w:szCs w:val="22"/>
        </w:rPr>
        <w:t>).</w:t>
      </w:r>
      <w:r w:rsidR="00B30EDE" w:rsidRPr="006149BF">
        <w:rPr>
          <w:rFonts w:ascii="Arial" w:hAnsi="Arial" w:cs="Arial"/>
          <w:szCs w:val="22"/>
        </w:rPr>
        <w:t>”</w:t>
      </w:r>
    </w:p>
    <w:p w14:paraId="1CFD1A92" w14:textId="77777777" w:rsidR="006577A0" w:rsidRPr="006149BF" w:rsidRDefault="006577A0" w:rsidP="00D934D3">
      <w:pPr>
        <w:rPr>
          <w:rFonts w:ascii="Arial" w:hAnsi="Arial" w:cs="Arial"/>
          <w:b/>
          <w:szCs w:val="22"/>
          <w:lang w:eastAsia="en-US"/>
        </w:rPr>
      </w:pPr>
    </w:p>
    <w:p w14:paraId="1CFD1A93" w14:textId="77777777" w:rsidR="00802E98" w:rsidRPr="006149BF" w:rsidRDefault="00802E98" w:rsidP="00802E98">
      <w:pPr>
        <w:pStyle w:val="Heading1"/>
        <w:numPr>
          <w:ilvl w:val="0"/>
          <w:numId w:val="0"/>
        </w:numPr>
        <w:ind w:left="142"/>
        <w:rPr>
          <w:rFonts w:ascii="Arial" w:hAnsi="Arial" w:cs="Arial"/>
          <w:sz w:val="22"/>
          <w:szCs w:val="22"/>
          <w:lang w:val="es-ES_tradnl"/>
        </w:rPr>
      </w:pPr>
      <w:r w:rsidRPr="006149BF">
        <w:rPr>
          <w:rFonts w:ascii="Arial" w:hAnsi="Arial" w:cs="Arial"/>
          <w:sz w:val="22"/>
          <w:szCs w:val="22"/>
          <w:lang w:val="es-ES_tradnl"/>
        </w:rPr>
        <w:t>“Transitorio II.  Remisión inicial de prospectos por medios electrónicos de los emisores inscritos en el RNVI</w:t>
      </w:r>
    </w:p>
    <w:p w14:paraId="1CFD1A94" w14:textId="77777777" w:rsidR="00802E98" w:rsidRPr="006149BF" w:rsidRDefault="00802E98" w:rsidP="00802E98">
      <w:pPr>
        <w:rPr>
          <w:rFonts w:ascii="Arial" w:hAnsi="Arial" w:cs="Arial"/>
          <w:lang w:val="es-ES_tradnl"/>
        </w:rPr>
      </w:pPr>
    </w:p>
    <w:p w14:paraId="1CFD1A95" w14:textId="77777777" w:rsidR="00802E98" w:rsidRPr="006149BF" w:rsidRDefault="00802E98" w:rsidP="00802E98">
      <w:pPr>
        <w:jc w:val="both"/>
        <w:rPr>
          <w:rFonts w:ascii="Arial" w:hAnsi="Arial" w:cs="Arial"/>
          <w:lang w:val="es-ES_tradnl"/>
        </w:rPr>
      </w:pPr>
      <w:r w:rsidRPr="006149BF">
        <w:rPr>
          <w:rFonts w:ascii="Arial" w:hAnsi="Arial" w:cs="Arial"/>
          <w:lang w:val="es-ES_tradnl"/>
        </w:rPr>
        <w:t>Los emisores cuyo cierre anual es en el mes de setiembre, deberán remitir en formato electrónico por los medios dispuestos en este Acuerdo, el prospecto actualizado de conformidad con lo dispuesto en el artículo 13, en la fecha establecida en el “Cronograma de fechas límites para la presentación y publicación de información periódica</w:t>
      </w:r>
      <w:r w:rsidRPr="006149BF">
        <w:rPr>
          <w:rFonts w:ascii="Arial" w:hAnsi="Arial" w:cs="Arial"/>
        </w:rPr>
        <w:t xml:space="preserve"> </w:t>
      </w:r>
      <w:r w:rsidRPr="006149BF">
        <w:rPr>
          <w:rFonts w:ascii="Arial" w:hAnsi="Arial" w:cs="Arial"/>
          <w:lang w:val="es-ES_tradnl"/>
        </w:rPr>
        <w:t xml:space="preserve">conforme con el SGV-A-75 Acuerdo sobre el suministro de información periódica y sus reformas”, </w:t>
      </w:r>
      <w:r w:rsidRPr="006149BF">
        <w:rPr>
          <w:rFonts w:ascii="Arial" w:hAnsi="Arial" w:cs="Arial"/>
          <w:szCs w:val="22"/>
        </w:rPr>
        <w:t>utilizando la opción para crear un trámite de “Actualización anual de prospecto” dispuesto en la Ventanilla Virtual</w:t>
      </w:r>
      <w:bookmarkStart w:id="0" w:name="_GoBack"/>
      <w:bookmarkEnd w:id="0"/>
    </w:p>
    <w:p w14:paraId="1CFD1A96" w14:textId="77777777" w:rsidR="00802E98" w:rsidRPr="006149BF" w:rsidRDefault="00802E98" w:rsidP="00802E98">
      <w:pPr>
        <w:tabs>
          <w:tab w:val="left" w:pos="8910"/>
        </w:tabs>
        <w:jc w:val="both"/>
        <w:rPr>
          <w:rFonts w:ascii="Arial" w:hAnsi="Arial" w:cs="Arial"/>
          <w:szCs w:val="22"/>
        </w:rPr>
      </w:pPr>
    </w:p>
    <w:p w14:paraId="1CFD1A97" w14:textId="77777777" w:rsidR="00802E98" w:rsidRPr="006149BF" w:rsidRDefault="00802E98" w:rsidP="00802E98">
      <w:pPr>
        <w:tabs>
          <w:tab w:val="left" w:pos="8910"/>
        </w:tabs>
        <w:jc w:val="both"/>
        <w:rPr>
          <w:rFonts w:ascii="Arial" w:hAnsi="Arial" w:cs="Arial"/>
          <w:szCs w:val="22"/>
        </w:rPr>
      </w:pPr>
      <w:r w:rsidRPr="006149BF">
        <w:rPr>
          <w:rFonts w:ascii="Arial" w:hAnsi="Arial" w:cs="Arial"/>
          <w:szCs w:val="22"/>
        </w:rPr>
        <w:t xml:space="preserve">Los emisores cuyo cierre anual es en el mes de diciembre deben remitir en formato electrónico por los medios dispuestos en este Acuerdo, durante el plazo comprendido entre el 1° de diciembre del 2012 y el 14 de enero del 2013, el prospecto vigente a esa fecha e incorporar como parte integral toda la información que se hubiese suministrado mediante Comunicados de Hechos Relevantes y que afecten su contenido así como la incorporada durante el año sobre nuevas emisiones mediante adenda, utilizando para ello la opción para crear un trámite de “Actualización anual de prospecto” dispuesto en la Ventanilla Virtual. </w:t>
      </w:r>
    </w:p>
    <w:p w14:paraId="1CFD1A98" w14:textId="77777777" w:rsidR="00802E98" w:rsidRPr="006149BF" w:rsidRDefault="00802E98" w:rsidP="00802E98">
      <w:pPr>
        <w:tabs>
          <w:tab w:val="left" w:pos="8910"/>
        </w:tabs>
        <w:jc w:val="both"/>
        <w:rPr>
          <w:rFonts w:ascii="Arial" w:hAnsi="Arial" w:cs="Arial"/>
          <w:szCs w:val="22"/>
        </w:rPr>
      </w:pPr>
    </w:p>
    <w:p w14:paraId="1CFD1A99" w14:textId="77777777" w:rsidR="00802E98" w:rsidRPr="006149BF" w:rsidRDefault="00802E98" w:rsidP="00802E98">
      <w:pPr>
        <w:tabs>
          <w:tab w:val="left" w:pos="8910"/>
        </w:tabs>
        <w:jc w:val="both"/>
        <w:rPr>
          <w:rFonts w:ascii="Arial" w:hAnsi="Arial" w:cs="Arial"/>
          <w:szCs w:val="22"/>
        </w:rPr>
      </w:pPr>
      <w:r w:rsidRPr="006149BF">
        <w:rPr>
          <w:rFonts w:ascii="Arial" w:hAnsi="Arial" w:cs="Arial"/>
          <w:szCs w:val="22"/>
        </w:rPr>
        <w:t xml:space="preserve">Para completar el trámite de la remisión del prospecto en formato electrónico se requiere que la entidad envíe en el plazo máximo de tres días hábiles posteriores a la remisión del prospecto, una declaración jurada rendida ante notario público del representante legal de </w:t>
      </w:r>
      <w:r w:rsidRPr="006149BF">
        <w:rPr>
          <w:rFonts w:ascii="Arial" w:hAnsi="Arial" w:cs="Arial"/>
          <w:szCs w:val="22"/>
        </w:rPr>
        <w:lastRenderedPageBreak/>
        <w:t xml:space="preserve">la entidad emisora, en donde se confirma que la información contenida en el prospecto coincide con la registrada en el RNVI. El contenido mínimo de la declaración debe atender lo indicado en el </w:t>
      </w:r>
      <w:hyperlink w:anchor="Anexo9" w:history="1">
        <w:r w:rsidRPr="006149BF">
          <w:rPr>
            <w:rStyle w:val="Hyperlink"/>
            <w:rFonts w:ascii="Arial" w:hAnsi="Arial" w:cs="Arial"/>
            <w:color w:val="auto"/>
            <w:szCs w:val="22"/>
          </w:rPr>
          <w:t>Anexo No. 9</w:t>
        </w:r>
      </w:hyperlink>
      <w:r w:rsidRPr="006149BF">
        <w:rPr>
          <w:rFonts w:ascii="Arial" w:hAnsi="Arial" w:cs="Arial"/>
          <w:szCs w:val="22"/>
        </w:rPr>
        <w:t>.</w:t>
      </w:r>
    </w:p>
    <w:p w14:paraId="1CFD1A9A" w14:textId="77777777" w:rsidR="00802E98" w:rsidRPr="006149BF" w:rsidRDefault="00802E98" w:rsidP="00802E98">
      <w:pPr>
        <w:rPr>
          <w:rFonts w:ascii="Arial" w:hAnsi="Arial" w:cs="Arial"/>
          <w:szCs w:val="22"/>
        </w:rPr>
      </w:pPr>
    </w:p>
    <w:p w14:paraId="1CFD1A9B" w14:textId="77777777" w:rsidR="00802E98" w:rsidRPr="006149BF" w:rsidRDefault="00802E98" w:rsidP="00802E98">
      <w:pPr>
        <w:tabs>
          <w:tab w:val="left" w:pos="8910"/>
        </w:tabs>
        <w:jc w:val="both"/>
        <w:rPr>
          <w:rFonts w:ascii="Arial" w:hAnsi="Arial" w:cs="Arial"/>
          <w:szCs w:val="22"/>
        </w:rPr>
      </w:pPr>
      <w:r w:rsidRPr="006149BF">
        <w:rPr>
          <w:rFonts w:ascii="Arial" w:hAnsi="Arial" w:cs="Arial"/>
          <w:szCs w:val="22"/>
        </w:rPr>
        <w:t>De acuerdo con el Transitorio d) del Reglamento sobre oferta pública de valores, a partir del 28 de diciembre del 2012, todos los trámites señalados en el artículo 21 de ese Reglamento, deberán efectuarse por medios electrónicos, para lo cual es necesario cumplir con las disposiciones transitorias que establece este Acuerdo.”</w:t>
      </w:r>
    </w:p>
    <w:p w14:paraId="1CFD1A9C" w14:textId="77777777" w:rsidR="00802E98" w:rsidRPr="006149BF" w:rsidRDefault="00802E98" w:rsidP="00D934D3">
      <w:pPr>
        <w:rPr>
          <w:rFonts w:ascii="Arial" w:hAnsi="Arial" w:cs="Arial"/>
          <w:b/>
          <w:szCs w:val="22"/>
          <w:lang w:eastAsia="en-US"/>
        </w:rPr>
      </w:pPr>
    </w:p>
    <w:p w14:paraId="69E10611" w14:textId="77777777" w:rsidR="006149BF" w:rsidRPr="006149BF" w:rsidRDefault="006149BF" w:rsidP="006149BF">
      <w:pPr>
        <w:rPr>
          <w:rFonts w:ascii="Arial" w:hAnsi="Arial" w:cs="Arial"/>
          <w:b/>
          <w:color w:val="000000" w:themeColor="text1"/>
          <w:szCs w:val="22"/>
          <w:lang w:eastAsia="en-US"/>
        </w:rPr>
      </w:pPr>
      <w:r w:rsidRPr="006149BF">
        <w:rPr>
          <w:rFonts w:ascii="Arial" w:hAnsi="Arial" w:cs="Arial"/>
          <w:b/>
          <w:color w:val="000000" w:themeColor="text1"/>
          <w:szCs w:val="22"/>
          <w:lang w:eastAsia="en-US"/>
        </w:rPr>
        <w:t>Artículo 2. Vigencia</w:t>
      </w:r>
    </w:p>
    <w:p w14:paraId="1CFD1A9E" w14:textId="77777777" w:rsidR="005E31A4" w:rsidRPr="006149BF" w:rsidRDefault="005E31A4" w:rsidP="00D934D3">
      <w:pPr>
        <w:pStyle w:val="ListParagraph"/>
        <w:tabs>
          <w:tab w:val="left" w:pos="567"/>
        </w:tabs>
        <w:ind w:left="0"/>
        <w:jc w:val="both"/>
        <w:rPr>
          <w:rFonts w:ascii="Arial" w:hAnsi="Arial" w:cs="Arial"/>
          <w:b/>
          <w:szCs w:val="22"/>
        </w:rPr>
      </w:pPr>
    </w:p>
    <w:p w14:paraId="1CFD1A9F" w14:textId="77777777" w:rsidR="00432D77" w:rsidRPr="006149BF" w:rsidRDefault="00432D77" w:rsidP="00D934D3">
      <w:pPr>
        <w:pStyle w:val="ListParagraph"/>
        <w:tabs>
          <w:tab w:val="left" w:pos="567"/>
        </w:tabs>
        <w:ind w:left="0"/>
        <w:jc w:val="both"/>
        <w:rPr>
          <w:rFonts w:ascii="Arial" w:hAnsi="Arial" w:cs="Arial"/>
          <w:szCs w:val="22"/>
        </w:rPr>
      </w:pPr>
      <w:r w:rsidRPr="006149BF">
        <w:rPr>
          <w:rFonts w:ascii="Arial" w:hAnsi="Arial" w:cs="Arial"/>
          <w:szCs w:val="22"/>
        </w:rPr>
        <w:t>Rige a partir d</w:t>
      </w:r>
      <w:r w:rsidR="003239FC" w:rsidRPr="006149BF">
        <w:rPr>
          <w:rFonts w:ascii="Arial" w:hAnsi="Arial" w:cs="Arial"/>
          <w:szCs w:val="22"/>
        </w:rPr>
        <w:t>el 8</w:t>
      </w:r>
      <w:r w:rsidR="00CA082E" w:rsidRPr="006149BF">
        <w:rPr>
          <w:rFonts w:ascii="Arial" w:hAnsi="Arial" w:cs="Arial"/>
          <w:szCs w:val="22"/>
        </w:rPr>
        <w:t xml:space="preserve"> de enero de 2013.</w:t>
      </w:r>
    </w:p>
    <w:p w14:paraId="1CFD1AA0" w14:textId="77777777" w:rsidR="00442857" w:rsidRPr="006149BF" w:rsidRDefault="00442857">
      <w:pPr>
        <w:rPr>
          <w:rFonts w:ascii="Arial" w:hAnsi="Arial" w:cs="Arial"/>
        </w:rPr>
      </w:pPr>
    </w:p>
    <w:sectPr w:rsidR="00442857" w:rsidRPr="006149BF" w:rsidSect="005E31A4">
      <w:headerReference w:type="default" r:id="rId11"/>
      <w:footerReference w:type="default" r:id="rId12"/>
      <w:headerReference w:type="first" r:id="rId13"/>
      <w:pgSz w:w="12240" w:h="15840"/>
      <w:pgMar w:top="134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1AA9" w14:textId="77777777" w:rsidR="001447EF" w:rsidRDefault="001447EF" w:rsidP="00CA082E">
      <w:r>
        <w:separator/>
      </w:r>
    </w:p>
  </w:endnote>
  <w:endnote w:type="continuationSeparator" w:id="0">
    <w:p w14:paraId="1CFD1AAA" w14:textId="77777777" w:rsidR="001447EF" w:rsidRDefault="001447EF" w:rsidP="00CA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785203"/>
      <w:docPartObj>
        <w:docPartGallery w:val="Page Numbers (Bottom of Page)"/>
        <w:docPartUnique/>
      </w:docPartObj>
    </w:sdtPr>
    <w:sdtEndPr>
      <w:rPr>
        <w:rFonts w:ascii="Arial" w:hAnsi="Arial" w:cs="Arial"/>
        <w:color w:val="1B75BB"/>
        <w:spacing w:val="60"/>
      </w:rPr>
    </w:sdtEndPr>
    <w:sdtContent>
      <w:p w14:paraId="5E4AC613" w14:textId="282CEC43" w:rsidR="006149BF" w:rsidRPr="006149BF" w:rsidRDefault="006149BF">
        <w:pPr>
          <w:pStyle w:val="Footer"/>
          <w:pBdr>
            <w:top w:val="single" w:sz="4" w:space="1" w:color="D9D9D9" w:themeColor="background1" w:themeShade="D9"/>
          </w:pBdr>
          <w:rPr>
            <w:rFonts w:ascii="Arial" w:hAnsi="Arial" w:cs="Arial"/>
            <w:b/>
            <w:bCs/>
            <w:color w:val="1B75BB"/>
          </w:rPr>
        </w:pPr>
        <w:r w:rsidRPr="006149BF">
          <w:rPr>
            <w:rFonts w:ascii="Arial" w:hAnsi="Arial" w:cs="Arial"/>
            <w:color w:val="1B75BB"/>
          </w:rPr>
          <w:fldChar w:fldCharType="begin"/>
        </w:r>
        <w:r w:rsidRPr="006149BF">
          <w:rPr>
            <w:rFonts w:ascii="Arial" w:hAnsi="Arial" w:cs="Arial"/>
            <w:color w:val="1B75BB"/>
          </w:rPr>
          <w:instrText xml:space="preserve"> PAGE   \* MERGEFORMAT </w:instrText>
        </w:r>
        <w:r w:rsidRPr="006149BF">
          <w:rPr>
            <w:rFonts w:ascii="Arial" w:hAnsi="Arial" w:cs="Arial"/>
            <w:color w:val="1B75BB"/>
          </w:rPr>
          <w:fldChar w:fldCharType="separate"/>
        </w:r>
        <w:r w:rsidR="008B1BF2" w:rsidRPr="008B1BF2">
          <w:rPr>
            <w:rFonts w:ascii="Arial" w:hAnsi="Arial" w:cs="Arial"/>
            <w:b/>
            <w:bCs/>
            <w:noProof/>
            <w:color w:val="1B75BB"/>
          </w:rPr>
          <w:t>2</w:t>
        </w:r>
        <w:r w:rsidRPr="006149BF">
          <w:rPr>
            <w:rFonts w:ascii="Arial" w:hAnsi="Arial" w:cs="Arial"/>
            <w:b/>
            <w:bCs/>
            <w:noProof/>
            <w:color w:val="1B75BB"/>
          </w:rPr>
          <w:fldChar w:fldCharType="end"/>
        </w:r>
        <w:r w:rsidRPr="006149BF">
          <w:rPr>
            <w:rFonts w:ascii="Arial" w:hAnsi="Arial" w:cs="Arial"/>
            <w:b/>
            <w:bCs/>
            <w:color w:val="1B75BB"/>
          </w:rPr>
          <w:t xml:space="preserve"> | </w:t>
        </w:r>
      </w:p>
    </w:sdtContent>
  </w:sdt>
  <w:p w14:paraId="24F5EF2E" w14:textId="77777777" w:rsidR="006149BF" w:rsidRDefault="00614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D1AA7" w14:textId="77777777" w:rsidR="001447EF" w:rsidRDefault="001447EF" w:rsidP="00CA082E">
      <w:r>
        <w:separator/>
      </w:r>
    </w:p>
  </w:footnote>
  <w:footnote w:type="continuationSeparator" w:id="0">
    <w:p w14:paraId="1CFD1AA8" w14:textId="77777777" w:rsidR="001447EF" w:rsidRDefault="001447EF" w:rsidP="00CA082E">
      <w:r>
        <w:continuationSeparator/>
      </w:r>
    </w:p>
  </w:footnote>
  <w:footnote w:id="1">
    <w:p w14:paraId="1CFD1AB0" w14:textId="1AB79D89" w:rsidR="005E31A4" w:rsidRPr="006149BF" w:rsidRDefault="005E31A4" w:rsidP="005E31A4">
      <w:pPr>
        <w:jc w:val="both"/>
        <w:rPr>
          <w:rFonts w:ascii="Arial" w:hAnsi="Arial" w:cs="Arial"/>
          <w:szCs w:val="22"/>
          <w:lang w:val="es-ES_tradnl"/>
        </w:rPr>
      </w:pPr>
      <w:r w:rsidRPr="006149BF">
        <w:rPr>
          <w:rStyle w:val="FootnoteReference"/>
          <w:rFonts w:ascii="Arial" w:hAnsi="Arial" w:cs="Arial"/>
          <w:szCs w:val="22"/>
        </w:rPr>
        <w:footnoteRef/>
      </w:r>
      <w:r w:rsidRPr="006149BF">
        <w:rPr>
          <w:rFonts w:ascii="Arial" w:hAnsi="Arial" w:cs="Arial"/>
          <w:szCs w:val="22"/>
        </w:rPr>
        <w:t xml:space="preserve"> </w:t>
      </w:r>
      <w:r w:rsidRPr="006149BF">
        <w:rPr>
          <w:rFonts w:ascii="Arial" w:hAnsi="Arial" w:cs="Arial"/>
          <w:szCs w:val="22"/>
          <w:lang w:val="es-MX"/>
        </w:rPr>
        <w:t>Superintendencia General de Valores.  Despacho del Superintendente.  A las catorce horas del cuatro de enero de 2013.</w:t>
      </w:r>
      <w:r w:rsidR="00EB1F51" w:rsidRPr="006149BF">
        <w:rPr>
          <w:rFonts w:ascii="Arial" w:hAnsi="Arial" w:cs="Arial"/>
          <w:szCs w:val="22"/>
          <w:lang w:val="es-MX"/>
        </w:rPr>
        <w:t xml:space="preserve"> Publicado en el Diario Oficial La Gaceta No. 41 del 27 de febrero del 2013.</w:t>
      </w:r>
    </w:p>
    <w:p w14:paraId="1CFD1AB1" w14:textId="77777777" w:rsidR="005E31A4" w:rsidRPr="005E31A4" w:rsidRDefault="005E31A4">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14:paraId="1CFD1AAB" w14:textId="137A54E2" w:rsidR="005E31A4" w:rsidRDefault="006149BF" w:rsidP="006149BF">
        <w:pPr>
          <w:pStyle w:val="Header"/>
          <w:jc w:val="right"/>
        </w:pPr>
        <w:r>
          <w:rPr>
            <w:rFonts w:ascii="Calibri" w:hAnsi="Calibri" w:cs="Arial"/>
            <w:bCs/>
            <w:i/>
            <w:noProof/>
            <w:sz w:val="20"/>
            <w:szCs w:val="20"/>
            <w:lang w:eastAsia="es-CR"/>
          </w:rPr>
          <w:drawing>
            <wp:inline distT="0" distB="0" distL="0" distR="0" wp14:anchorId="06E0AB0A" wp14:editId="3F5401B9">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0D05BF1F" w14:textId="034465F6" w:rsidR="008B1BF2" w:rsidRPr="008B1BF2" w:rsidRDefault="008B1BF2" w:rsidP="006149BF">
        <w:pPr>
          <w:pStyle w:val="Header"/>
          <w:jc w:val="right"/>
          <w:rPr>
            <w:sz w:val="16"/>
            <w:szCs w:val="16"/>
          </w:rPr>
        </w:pPr>
        <w:r>
          <w:rPr>
            <w:noProof/>
            <w:lang w:eastAsia="es-CR"/>
          </w:rPr>
          <mc:AlternateContent>
            <mc:Choice Requires="wps">
              <w:drawing>
                <wp:anchor distT="4294967293" distB="4294967293" distL="114300" distR="114300" simplePos="0" relativeHeight="251659264" behindDoc="0" locked="0" layoutInCell="1" allowOverlap="1" wp14:anchorId="7B444E8C" wp14:editId="526F972B">
                  <wp:simplePos x="0" y="0"/>
                  <wp:positionH relativeFrom="margin">
                    <wp:align>right</wp:align>
                  </wp:positionH>
                  <wp:positionV relativeFrom="paragraph">
                    <wp:posOffset>59055</wp:posOffset>
                  </wp:positionV>
                  <wp:extent cx="55911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3AD50" id="Straight Connector 4" o:spid="_x0000_s1026" style="position:absolute;flip:y;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89.05pt,4.65pt" to="8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" strokecolor="#1b75bb" strokeweight="1.5pt">
                  <w10:wrap anchorx="margin"/>
                </v:line>
              </w:pict>
            </mc:Fallback>
          </mc:AlternateContent>
        </w:r>
      </w:p>
      <w:p w14:paraId="1CFD1AAC" w14:textId="3D0EFE73" w:rsidR="00CA082E" w:rsidRPr="008B1BF2" w:rsidRDefault="008B1BF2">
        <w:pPr>
          <w:pStyle w:val="Header"/>
          <w:rPr>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1AAE" w14:textId="77777777" w:rsidR="00CA082E" w:rsidRPr="00CA082E" w:rsidRDefault="00CA082E" w:rsidP="005E31A4">
    <w:pPr>
      <w:tabs>
        <w:tab w:val="center" w:pos="4419"/>
        <w:tab w:val="right" w:pos="8838"/>
        <w:tab w:val="right" w:pos="9214"/>
      </w:tabs>
      <w:rPr>
        <w:rFonts w:ascii="Eras Light ITC" w:eastAsiaTheme="minorHAnsi" w:hAnsi="Eras Light ITC" w:cs="Arial"/>
        <w:b/>
        <w:sz w:val="28"/>
        <w:szCs w:val="26"/>
        <w:lang w:eastAsia="en-US"/>
      </w:rPr>
    </w:pPr>
  </w:p>
  <w:p w14:paraId="1CFD1AAF" w14:textId="77777777" w:rsidR="00CA082E" w:rsidRDefault="00CA0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6492"/>
    <w:multiLevelType w:val="hybridMultilevel"/>
    <w:tmpl w:val="58AC4DCE"/>
    <w:lvl w:ilvl="0" w:tplc="F3EAE852">
      <w:start w:val="1"/>
      <w:numFmt w:val="bullet"/>
      <w:lvlText w:val=""/>
      <w:lvlJc w:val="left"/>
      <w:pPr>
        <w:ind w:left="360" w:hanging="360"/>
      </w:pPr>
      <w:rPr>
        <w:rFonts w:ascii="Wingdings" w:hAnsi="Wingdings" w:hint="default"/>
        <w:color w:val="80808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C3F37"/>
    <w:multiLevelType w:val="hybridMultilevel"/>
    <w:tmpl w:val="D130C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E0243F"/>
    <w:multiLevelType w:val="hybridMultilevel"/>
    <w:tmpl w:val="831C5CD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DC45179"/>
    <w:multiLevelType w:val="hybridMultilevel"/>
    <w:tmpl w:val="35BCD488"/>
    <w:lvl w:ilvl="0" w:tplc="E38AD4A8">
      <w:start w:val="1"/>
      <w:numFmt w:val="bullet"/>
      <w:pStyle w:val="Heading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B6894"/>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6" w15:restartNumberingAfterBreak="0">
    <w:nsid w:val="493117C2"/>
    <w:multiLevelType w:val="hybridMultilevel"/>
    <w:tmpl w:val="67361FFC"/>
    <w:lvl w:ilvl="0" w:tplc="140A0011">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7" w15:restartNumberingAfterBreak="0">
    <w:nsid w:val="4B3874CB"/>
    <w:multiLevelType w:val="singleLevel"/>
    <w:tmpl w:val="E59069EE"/>
    <w:lvl w:ilvl="0">
      <w:start w:val="1"/>
      <w:numFmt w:val="upperRoman"/>
      <w:lvlText w:val="%1."/>
      <w:lvlJc w:val="left"/>
      <w:pPr>
        <w:tabs>
          <w:tab w:val="num" w:pos="720"/>
        </w:tabs>
        <w:ind w:left="720" w:hanging="720"/>
      </w:pPr>
      <w:rPr>
        <w:rFonts w:ascii="Arial" w:hAnsi="Arial" w:cs="Arial" w:hint="default"/>
        <w:sz w:val="22"/>
      </w:rPr>
    </w:lvl>
  </w:abstractNum>
  <w:abstractNum w:abstractNumId="8" w15:restartNumberingAfterBreak="0">
    <w:nsid w:val="4F15287E"/>
    <w:multiLevelType w:val="hybridMultilevel"/>
    <w:tmpl w:val="3342BB8C"/>
    <w:lvl w:ilvl="0" w:tplc="724891CA">
      <w:start w:val="1"/>
      <w:numFmt w:val="low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54187"/>
    <w:multiLevelType w:val="hybridMultilevel"/>
    <w:tmpl w:val="3064E2A2"/>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97A34"/>
    <w:multiLevelType w:val="multilevel"/>
    <w:tmpl w:val="F71206AC"/>
    <w:lvl w:ilvl="0">
      <w:start w:val="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num w:numId="1">
    <w:abstractNumId w:val="8"/>
  </w:num>
  <w:num w:numId="2">
    <w:abstractNumId w:val="10"/>
  </w:num>
  <w:num w:numId="3">
    <w:abstractNumId w:val="5"/>
  </w:num>
  <w:num w:numId="4">
    <w:abstractNumId w:val="6"/>
  </w:num>
  <w:num w:numId="5">
    <w:abstractNumId w:val="2"/>
  </w:num>
  <w:num w:numId="6">
    <w:abstractNumId w:val="1"/>
  </w:num>
  <w:num w:numId="7">
    <w:abstractNumId w:val="7"/>
  </w:num>
  <w:num w:numId="8">
    <w:abstractNumId w:val="3"/>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D3"/>
    <w:rsid w:val="000446D8"/>
    <w:rsid w:val="00055C89"/>
    <w:rsid w:val="000C5F38"/>
    <w:rsid w:val="001401B2"/>
    <w:rsid w:val="001447EF"/>
    <w:rsid w:val="001913A9"/>
    <w:rsid w:val="0029791A"/>
    <w:rsid w:val="002B0C50"/>
    <w:rsid w:val="0030193E"/>
    <w:rsid w:val="003239FC"/>
    <w:rsid w:val="0034073B"/>
    <w:rsid w:val="00432D77"/>
    <w:rsid w:val="00437A9D"/>
    <w:rsid w:val="00442857"/>
    <w:rsid w:val="004C1ED8"/>
    <w:rsid w:val="0054723C"/>
    <w:rsid w:val="005728A1"/>
    <w:rsid w:val="00582196"/>
    <w:rsid w:val="005C3243"/>
    <w:rsid w:val="005D06F8"/>
    <w:rsid w:val="005E31A4"/>
    <w:rsid w:val="005E6BFB"/>
    <w:rsid w:val="006149BF"/>
    <w:rsid w:val="006577A0"/>
    <w:rsid w:val="006741BD"/>
    <w:rsid w:val="00690835"/>
    <w:rsid w:val="006D44DF"/>
    <w:rsid w:val="006F475F"/>
    <w:rsid w:val="007A64C4"/>
    <w:rsid w:val="00802E98"/>
    <w:rsid w:val="008B1BF2"/>
    <w:rsid w:val="00A55097"/>
    <w:rsid w:val="00AA0128"/>
    <w:rsid w:val="00AC4744"/>
    <w:rsid w:val="00AE13F2"/>
    <w:rsid w:val="00AE711A"/>
    <w:rsid w:val="00B24DF3"/>
    <w:rsid w:val="00B30EDE"/>
    <w:rsid w:val="00B64066"/>
    <w:rsid w:val="00BB19FB"/>
    <w:rsid w:val="00C1157D"/>
    <w:rsid w:val="00C249B5"/>
    <w:rsid w:val="00CA082E"/>
    <w:rsid w:val="00CB2A80"/>
    <w:rsid w:val="00D27BEB"/>
    <w:rsid w:val="00D546A0"/>
    <w:rsid w:val="00D934D3"/>
    <w:rsid w:val="00D97AB6"/>
    <w:rsid w:val="00DE0A11"/>
    <w:rsid w:val="00E35BC8"/>
    <w:rsid w:val="00E419C5"/>
    <w:rsid w:val="00EB1F51"/>
    <w:rsid w:val="00EB3C6B"/>
    <w:rsid w:val="00ED163B"/>
    <w:rsid w:val="00F0682C"/>
    <w:rsid w:val="00F34EF3"/>
    <w:rsid w:val="00FC031D"/>
    <w:rsid w:val="00FF16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D1A6B"/>
  <w15:docId w15:val="{316BD8A5-5B1C-43BF-BE36-BB51B4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D3"/>
    <w:rPr>
      <w:rFonts w:ascii="Arial Narrow" w:eastAsia="Times New Roman" w:hAnsi="Arial Narrow" w:cs="Times New Roman"/>
      <w:szCs w:val="24"/>
      <w:lang w:eastAsia="es-ES"/>
    </w:rPr>
  </w:style>
  <w:style w:type="paragraph" w:styleId="Heading1">
    <w:name w:val="heading 1"/>
    <w:basedOn w:val="Normal"/>
    <w:next w:val="Normal"/>
    <w:link w:val="Heading1Char"/>
    <w:qFormat/>
    <w:rsid w:val="00802E98"/>
    <w:pPr>
      <w:keepNext/>
      <w:numPr>
        <w:numId w:val="10"/>
      </w:numPr>
      <w:jc w:val="both"/>
      <w:outlineLvl w:val="0"/>
    </w:pPr>
    <w:rPr>
      <w:rFonts w:ascii="Century Gothic" w:hAnsi="Century Gothic"/>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D3"/>
    <w:pPr>
      <w:ind w:left="720"/>
    </w:pPr>
  </w:style>
  <w:style w:type="character" w:styleId="CommentReference">
    <w:name w:val="annotation reference"/>
    <w:basedOn w:val="DefaultParagraphFont"/>
    <w:uiPriority w:val="99"/>
    <w:semiHidden/>
    <w:unhideWhenUsed/>
    <w:rsid w:val="00AE711A"/>
    <w:rPr>
      <w:sz w:val="16"/>
      <w:szCs w:val="16"/>
    </w:rPr>
  </w:style>
  <w:style w:type="paragraph" w:styleId="CommentText">
    <w:name w:val="annotation text"/>
    <w:basedOn w:val="Normal"/>
    <w:link w:val="CommentTextChar"/>
    <w:uiPriority w:val="99"/>
    <w:semiHidden/>
    <w:unhideWhenUsed/>
    <w:rsid w:val="00AE711A"/>
    <w:rPr>
      <w:sz w:val="20"/>
      <w:szCs w:val="20"/>
    </w:rPr>
  </w:style>
  <w:style w:type="character" w:customStyle="1" w:styleId="CommentTextChar">
    <w:name w:val="Comment Text Char"/>
    <w:basedOn w:val="DefaultParagraphFont"/>
    <w:link w:val="CommentText"/>
    <w:uiPriority w:val="99"/>
    <w:semiHidden/>
    <w:rsid w:val="00AE711A"/>
    <w:rPr>
      <w:rFonts w:ascii="Arial Narrow" w:eastAsia="Times New Roman" w:hAnsi="Arial Narrow"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AE711A"/>
    <w:rPr>
      <w:b/>
      <w:bCs/>
    </w:rPr>
  </w:style>
  <w:style w:type="character" w:customStyle="1" w:styleId="CommentSubjectChar">
    <w:name w:val="Comment Subject Char"/>
    <w:basedOn w:val="CommentTextChar"/>
    <w:link w:val="CommentSubject"/>
    <w:uiPriority w:val="99"/>
    <w:semiHidden/>
    <w:rsid w:val="00AE711A"/>
    <w:rPr>
      <w:rFonts w:ascii="Arial Narrow" w:eastAsia="Times New Roman" w:hAnsi="Arial Narrow" w:cs="Times New Roman"/>
      <w:b/>
      <w:bCs/>
      <w:sz w:val="20"/>
      <w:szCs w:val="20"/>
      <w:lang w:eastAsia="es-ES"/>
    </w:rPr>
  </w:style>
  <w:style w:type="paragraph" w:styleId="BalloonText">
    <w:name w:val="Balloon Text"/>
    <w:basedOn w:val="Normal"/>
    <w:link w:val="BalloonTextChar"/>
    <w:uiPriority w:val="99"/>
    <w:semiHidden/>
    <w:unhideWhenUsed/>
    <w:rsid w:val="00AE711A"/>
    <w:rPr>
      <w:rFonts w:ascii="Tahoma" w:hAnsi="Tahoma" w:cs="Tahoma"/>
      <w:sz w:val="16"/>
      <w:szCs w:val="16"/>
    </w:rPr>
  </w:style>
  <w:style w:type="character" w:customStyle="1" w:styleId="BalloonTextChar">
    <w:name w:val="Balloon Text Char"/>
    <w:basedOn w:val="DefaultParagraphFont"/>
    <w:link w:val="BalloonText"/>
    <w:uiPriority w:val="99"/>
    <w:semiHidden/>
    <w:rsid w:val="00AE711A"/>
    <w:rPr>
      <w:rFonts w:ascii="Tahoma" w:eastAsia="Times New Roman" w:hAnsi="Tahoma" w:cs="Tahoma"/>
      <w:sz w:val="16"/>
      <w:szCs w:val="16"/>
      <w:lang w:eastAsia="es-ES"/>
    </w:rPr>
  </w:style>
  <w:style w:type="character" w:styleId="Strong">
    <w:name w:val="Strong"/>
    <w:basedOn w:val="DefaultParagraphFont"/>
    <w:uiPriority w:val="22"/>
    <w:qFormat/>
    <w:rsid w:val="00D97AB6"/>
    <w:rPr>
      <w:b/>
      <w:bCs/>
    </w:rPr>
  </w:style>
  <w:style w:type="character" w:customStyle="1" w:styleId="Heading1Char">
    <w:name w:val="Heading 1 Char"/>
    <w:basedOn w:val="DefaultParagraphFont"/>
    <w:link w:val="Heading1"/>
    <w:rsid w:val="00802E98"/>
    <w:rPr>
      <w:rFonts w:ascii="Century Gothic" w:eastAsia="Times New Roman" w:hAnsi="Century Gothic" w:cs="Times New Roman"/>
      <w:b/>
      <w:sz w:val="20"/>
      <w:szCs w:val="20"/>
      <w:lang w:eastAsia="es-ES"/>
    </w:rPr>
  </w:style>
  <w:style w:type="character" w:styleId="Hyperlink">
    <w:name w:val="Hyperlink"/>
    <w:uiPriority w:val="99"/>
    <w:unhideWhenUsed/>
    <w:rsid w:val="00802E98"/>
    <w:rPr>
      <w:color w:val="0000FF"/>
      <w:u w:val="single"/>
    </w:rPr>
  </w:style>
  <w:style w:type="paragraph" w:styleId="Header">
    <w:name w:val="header"/>
    <w:basedOn w:val="Normal"/>
    <w:link w:val="HeaderChar"/>
    <w:uiPriority w:val="99"/>
    <w:unhideWhenUsed/>
    <w:rsid w:val="00CA082E"/>
    <w:pPr>
      <w:tabs>
        <w:tab w:val="center" w:pos="4419"/>
        <w:tab w:val="right" w:pos="8838"/>
      </w:tabs>
    </w:pPr>
  </w:style>
  <w:style w:type="character" w:customStyle="1" w:styleId="HeaderChar">
    <w:name w:val="Header Char"/>
    <w:basedOn w:val="DefaultParagraphFont"/>
    <w:link w:val="Header"/>
    <w:uiPriority w:val="99"/>
    <w:rsid w:val="00CA082E"/>
    <w:rPr>
      <w:rFonts w:ascii="Arial Narrow" w:eastAsia="Times New Roman" w:hAnsi="Arial Narrow" w:cs="Times New Roman"/>
      <w:szCs w:val="24"/>
      <w:lang w:eastAsia="es-ES"/>
    </w:rPr>
  </w:style>
  <w:style w:type="paragraph" w:styleId="Footer">
    <w:name w:val="footer"/>
    <w:basedOn w:val="Normal"/>
    <w:link w:val="FooterChar"/>
    <w:uiPriority w:val="99"/>
    <w:unhideWhenUsed/>
    <w:rsid w:val="00CA082E"/>
    <w:pPr>
      <w:tabs>
        <w:tab w:val="center" w:pos="4419"/>
        <w:tab w:val="right" w:pos="8838"/>
      </w:tabs>
    </w:pPr>
  </w:style>
  <w:style w:type="character" w:customStyle="1" w:styleId="FooterChar">
    <w:name w:val="Footer Char"/>
    <w:basedOn w:val="DefaultParagraphFont"/>
    <w:link w:val="Footer"/>
    <w:uiPriority w:val="99"/>
    <w:rsid w:val="00CA082E"/>
    <w:rPr>
      <w:rFonts w:ascii="Arial Narrow" w:eastAsia="Times New Roman" w:hAnsi="Arial Narrow" w:cs="Times New Roman"/>
      <w:szCs w:val="24"/>
      <w:lang w:eastAsia="es-ES"/>
    </w:rPr>
  </w:style>
  <w:style w:type="paragraph" w:styleId="FootnoteText">
    <w:name w:val="footnote text"/>
    <w:basedOn w:val="Normal"/>
    <w:link w:val="FootnoteTextChar"/>
    <w:uiPriority w:val="99"/>
    <w:semiHidden/>
    <w:unhideWhenUsed/>
    <w:rsid w:val="005E31A4"/>
    <w:rPr>
      <w:sz w:val="20"/>
      <w:szCs w:val="20"/>
    </w:rPr>
  </w:style>
  <w:style w:type="character" w:customStyle="1" w:styleId="FootnoteTextChar">
    <w:name w:val="Footnote Text Char"/>
    <w:basedOn w:val="DefaultParagraphFont"/>
    <w:link w:val="FootnoteText"/>
    <w:uiPriority w:val="99"/>
    <w:semiHidden/>
    <w:rsid w:val="005E31A4"/>
    <w:rPr>
      <w:rFonts w:ascii="Arial Narrow" w:eastAsia="Times New Roman" w:hAnsi="Arial Narrow" w:cs="Times New Roman"/>
      <w:sz w:val="20"/>
      <w:szCs w:val="20"/>
      <w:lang w:eastAsia="es-ES"/>
    </w:rPr>
  </w:style>
  <w:style w:type="character" w:styleId="FootnoteReference">
    <w:name w:val="footnote reference"/>
    <w:basedOn w:val="DefaultParagraphFont"/>
    <w:uiPriority w:val="99"/>
    <w:semiHidden/>
    <w:unhideWhenUsed/>
    <w:rsid w:val="005E3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7E7EC-9E76-40BE-8D3C-B0FA5C9FE587}"/>
</file>

<file path=customXml/itemProps2.xml><?xml version="1.0" encoding="utf-8"?>
<ds:datastoreItem xmlns:ds="http://schemas.openxmlformats.org/officeDocument/2006/customXml" ds:itemID="{2C266A8D-7082-4AA5-93D3-449973AFB786}"/>
</file>

<file path=customXml/itemProps3.xml><?xml version="1.0" encoding="utf-8"?>
<ds:datastoreItem xmlns:ds="http://schemas.openxmlformats.org/officeDocument/2006/customXml" ds:itemID="{8DD7567C-2F72-4FEB-86AC-37B0F39693C4}"/>
</file>

<file path=customXml/itemProps4.xml><?xml version="1.0" encoding="utf-8"?>
<ds:datastoreItem xmlns:ds="http://schemas.openxmlformats.org/officeDocument/2006/customXml" ds:itemID="{CDBB8C7B-D5FE-4B8B-8274-E1DE76F3E811}"/>
</file>

<file path=docProps/app.xml><?xml version="1.0" encoding="utf-8"?>
<Properties xmlns="http://schemas.openxmlformats.org/officeDocument/2006/extended-properties" xmlns:vt="http://schemas.openxmlformats.org/officeDocument/2006/docPropsVTypes">
  <Template>Normal</Template>
  <TotalTime>5</TotalTime>
  <Pages>3</Pages>
  <Words>908</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SGV-A-185 REFORMA AL ARTÍCULO 15 Y AL TRANSITORIO II DEL SGV-A-182 “INSTRUCCIONES PARA LA REMISIÓN DE PROSPECTOS DE ENTIDADES EMISORAS Y DOCUMENTOS RELACIONADOS”</dc:title>
  <dc:creator>Patricia Mata Solís</dc:creator>
  <cp:lastModifiedBy>FERNANDEZ PORRAS PATRICIA</cp:lastModifiedBy>
  <cp:revision>3</cp:revision>
  <dcterms:created xsi:type="dcterms:W3CDTF">2017-11-27T17:03:00Z</dcterms:created>
  <dcterms:modified xsi:type="dcterms:W3CDTF">2017-12-07T16:34:00Z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5" name="FileLeafRef">
    <vt:lpwstr>SGV-A-185.docx</vt:lpwstr>
  </property>
</Properties>
</file>