
<file path=[Content_Types].xml><?xml version="1.0" encoding="utf-8"?>
<Types xmlns="http://schemas.openxmlformats.org/package/2006/content-types">
  <Default Extension="doc" ContentType="application/msword"/>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010" w:rsidRPr="00735E43" w:rsidRDefault="002223B2" w:rsidP="00040938">
      <w:pPr>
        <w:pStyle w:val="Textodereglamento"/>
        <w:spacing w:before="0"/>
        <w:rPr>
          <w:rFonts w:ascii="Arial" w:hAnsi="Arial" w:cs="Arial"/>
          <w:b/>
          <w:bCs/>
          <w:iCs/>
          <w:noProof/>
          <w:sz w:val="24"/>
          <w:lang w:val="es-ES_tradnl" w:eastAsia="en-US"/>
        </w:rPr>
      </w:pPr>
      <w:r w:rsidRPr="00735E43">
        <w:rPr>
          <w:rFonts w:ascii="Arial" w:hAnsi="Arial" w:cs="Arial"/>
          <w:b/>
          <w:bCs/>
          <w:iCs/>
          <w:noProof/>
          <w:sz w:val="24"/>
          <w:lang w:val="es-ES_tradnl" w:eastAsia="en-US"/>
        </w:rPr>
        <w:t>SGV-A-</w:t>
      </w:r>
      <w:r w:rsidR="00796347" w:rsidRPr="00735E43">
        <w:rPr>
          <w:rFonts w:ascii="Arial" w:hAnsi="Arial" w:cs="Arial"/>
          <w:b/>
          <w:bCs/>
          <w:iCs/>
          <w:noProof/>
          <w:sz w:val="24"/>
          <w:lang w:val="es-ES_tradnl" w:eastAsia="en-US"/>
        </w:rPr>
        <w:t>194</w:t>
      </w:r>
      <w:r w:rsidRPr="00735E43">
        <w:rPr>
          <w:rFonts w:ascii="Arial" w:hAnsi="Arial" w:cs="Arial"/>
          <w:b/>
          <w:bCs/>
          <w:iCs/>
          <w:noProof/>
          <w:sz w:val="24"/>
          <w:lang w:val="es-ES_tradnl" w:eastAsia="en-US"/>
        </w:rPr>
        <w:t xml:space="preserve">. </w:t>
      </w:r>
      <w:r w:rsidR="00780CC6" w:rsidRPr="00735E43">
        <w:rPr>
          <w:rFonts w:ascii="Arial" w:hAnsi="Arial" w:cs="Arial"/>
          <w:b/>
          <w:bCs/>
          <w:iCs/>
          <w:noProof/>
          <w:sz w:val="24"/>
          <w:lang w:val="es-ES_tradnl" w:eastAsia="en-US"/>
        </w:rPr>
        <w:t>MODIFICACIÓN AL ACUERDO SGV-A-75 ACUERDO SOBRE EL SUMINISTRO DE INFORMACIÓN PERIÓDICA</w:t>
      </w:r>
      <w:r w:rsidR="00796347" w:rsidRPr="00735E43">
        <w:rPr>
          <w:rFonts w:ascii="Arial" w:hAnsi="Arial" w:cs="Arial"/>
          <w:b/>
          <w:bCs/>
          <w:iCs/>
          <w:noProof/>
          <w:sz w:val="24"/>
          <w:lang w:val="es-ES_tradnl" w:eastAsia="en-US"/>
        </w:rPr>
        <w:t>.</w:t>
      </w:r>
      <w:r w:rsidR="00780CC6" w:rsidRPr="00735E43">
        <w:rPr>
          <w:rStyle w:val="FootnoteReference"/>
          <w:rFonts w:ascii="Arial" w:hAnsi="Arial" w:cs="Arial"/>
          <w:b/>
          <w:bCs/>
          <w:iCs/>
          <w:noProof/>
          <w:sz w:val="24"/>
          <w:lang w:val="es-ES_tradnl" w:eastAsia="en-US"/>
        </w:rPr>
        <w:footnoteReference w:id="1"/>
      </w:r>
    </w:p>
    <w:p w:rsidR="002223B2" w:rsidRDefault="002223B2" w:rsidP="00A8546D">
      <w:pPr>
        <w:pStyle w:val="Textodereglamento"/>
        <w:spacing w:before="0"/>
        <w:rPr>
          <w:rFonts w:ascii="Arial" w:hAnsi="Arial" w:cs="Arial"/>
          <w:b/>
          <w:lang w:val="es-CR"/>
        </w:rPr>
      </w:pPr>
    </w:p>
    <w:p w:rsidR="00735E43" w:rsidRPr="00735E43" w:rsidRDefault="00735E43" w:rsidP="00735E43">
      <w:pPr>
        <w:rPr>
          <w:rFonts w:ascii="Arial" w:eastAsia="Arial Unicode MS" w:hAnsi="Arial" w:cs="Arial"/>
          <w:b/>
          <w:color w:val="000000" w:themeColor="text1"/>
        </w:rPr>
      </w:pPr>
      <w:r w:rsidRPr="00735E43">
        <w:rPr>
          <w:rFonts w:ascii="Arial" w:eastAsia="Arial Unicode MS" w:hAnsi="Arial" w:cs="Arial"/>
          <w:b/>
          <w:color w:val="000000" w:themeColor="text1"/>
        </w:rPr>
        <w:t>Considerando que:</w:t>
      </w:r>
    </w:p>
    <w:p w:rsidR="002223B2" w:rsidRDefault="002223B2" w:rsidP="00A8546D">
      <w:pPr>
        <w:pStyle w:val="Textodereglamento"/>
        <w:spacing w:before="0"/>
        <w:rPr>
          <w:rFonts w:ascii="Arial" w:hAnsi="Arial" w:cs="Arial"/>
          <w:b/>
          <w:bCs/>
          <w:lang w:val="es-CR"/>
        </w:rPr>
      </w:pPr>
    </w:p>
    <w:p w:rsidR="003A0321"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lang w:val="es-CR"/>
        </w:rPr>
        <w:t>El</w:t>
      </w:r>
      <w:r w:rsidR="001D1E34" w:rsidRPr="00735E43">
        <w:rPr>
          <w:rFonts w:ascii="Arial" w:hAnsi="Arial" w:cs="Arial"/>
          <w:szCs w:val="22"/>
          <w:lang w:val="es-CR"/>
        </w:rPr>
        <w:t xml:space="preserve"> </w:t>
      </w:r>
      <w:r w:rsidR="003A0321" w:rsidRPr="00735E43">
        <w:rPr>
          <w:rFonts w:ascii="Arial" w:hAnsi="Arial" w:cs="Arial"/>
          <w:szCs w:val="22"/>
        </w:rPr>
        <w:t xml:space="preserve">Artículo </w:t>
      </w:r>
      <w:r w:rsidR="0019521E" w:rsidRPr="00735E43">
        <w:rPr>
          <w:rFonts w:ascii="Arial" w:hAnsi="Arial" w:cs="Arial"/>
          <w:szCs w:val="22"/>
        </w:rPr>
        <w:t>8</w:t>
      </w:r>
      <w:r w:rsidR="003A0321" w:rsidRPr="00735E43">
        <w:rPr>
          <w:rFonts w:ascii="Arial" w:hAnsi="Arial" w:cs="Arial"/>
          <w:szCs w:val="22"/>
        </w:rPr>
        <w:t xml:space="preserve"> </w:t>
      </w:r>
      <w:r w:rsidR="001D1E34" w:rsidRPr="00735E43">
        <w:rPr>
          <w:rFonts w:ascii="Arial" w:hAnsi="Arial" w:cs="Arial"/>
          <w:szCs w:val="22"/>
        </w:rPr>
        <w:t xml:space="preserve">inciso l) </w:t>
      </w:r>
      <w:r w:rsidR="003A0321" w:rsidRPr="00735E43">
        <w:rPr>
          <w:rFonts w:ascii="Arial" w:hAnsi="Arial" w:cs="Arial"/>
          <w:szCs w:val="22"/>
        </w:rPr>
        <w:t xml:space="preserve">de la Ley Reguladora del Mercado de Valores faculta </w:t>
      </w:r>
      <w:r w:rsidR="0019521E" w:rsidRPr="00735E43">
        <w:rPr>
          <w:rFonts w:ascii="Arial" w:hAnsi="Arial" w:cs="Arial"/>
          <w:szCs w:val="22"/>
        </w:rPr>
        <w:t>al Superintendente</w:t>
      </w:r>
      <w:r w:rsidR="003A0321" w:rsidRPr="00735E43">
        <w:rPr>
          <w:rFonts w:ascii="Arial" w:hAnsi="Arial" w:cs="Arial"/>
          <w:szCs w:val="22"/>
        </w:rPr>
        <w:t xml:space="preserve"> </w:t>
      </w:r>
      <w:r w:rsidR="0019521E" w:rsidRPr="00735E43">
        <w:rPr>
          <w:rFonts w:ascii="Arial" w:hAnsi="Arial" w:cs="Arial"/>
          <w:szCs w:val="22"/>
        </w:rPr>
        <w:t>a</w:t>
      </w:r>
      <w:r w:rsidR="003A0321" w:rsidRPr="00735E43">
        <w:rPr>
          <w:rFonts w:ascii="Arial" w:hAnsi="Arial" w:cs="Arial"/>
          <w:szCs w:val="22"/>
        </w:rPr>
        <w:t xml:space="preserve"> exigir a los sujetos fiscalizados toda la información razonablemente necesaria, en las condiciones y periodicidad que la Superintendencia determine, para cumplir adecuadamente con sus funciones supervisoras del mercado de valores, según lo disponga el reglamento.</w:t>
      </w:r>
    </w:p>
    <w:p w:rsidR="0019521E" w:rsidRPr="00735E43" w:rsidRDefault="0019521E" w:rsidP="00985AF0">
      <w:pPr>
        <w:pStyle w:val="Numeracin"/>
        <w:numPr>
          <w:ilvl w:val="0"/>
          <w:numId w:val="0"/>
        </w:numPr>
        <w:tabs>
          <w:tab w:val="left" w:pos="567"/>
        </w:tabs>
        <w:spacing w:before="0"/>
        <w:ind w:left="567"/>
        <w:rPr>
          <w:rFonts w:ascii="Arial" w:hAnsi="Arial" w:cs="Arial"/>
          <w:szCs w:val="22"/>
        </w:rPr>
      </w:pPr>
    </w:p>
    <w:p w:rsidR="000A4472"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rPr>
        <w:t>E</w:t>
      </w:r>
      <w:r w:rsidR="000A4472" w:rsidRPr="00735E43">
        <w:rPr>
          <w:rFonts w:ascii="Arial" w:hAnsi="Arial" w:cs="Arial"/>
          <w:szCs w:val="22"/>
        </w:rPr>
        <w:t>l Artículo 13 del Acta de la Sesión 81-99, celebrada el 18 de marzo de 1999, el Consejo Na</w:t>
      </w:r>
      <w:bookmarkStart w:id="0" w:name="_GoBack"/>
      <w:bookmarkEnd w:id="0"/>
      <w:r w:rsidR="000A4472" w:rsidRPr="00735E43">
        <w:rPr>
          <w:rFonts w:ascii="Arial" w:hAnsi="Arial" w:cs="Arial"/>
          <w:szCs w:val="22"/>
        </w:rPr>
        <w:t>cional de Supervisión del Sistema Financiero aprobó el Reglamento sobre el Suministro de Información Periódica, Hechos Relevantes y otras Obligaciones de Información con lineamientos sobre los deberes de comunicación de los diferentes participantes en el mercado de valores</w:t>
      </w:r>
      <w:r w:rsidRPr="00735E43">
        <w:rPr>
          <w:rFonts w:ascii="Arial" w:hAnsi="Arial" w:cs="Arial"/>
          <w:szCs w:val="22"/>
        </w:rPr>
        <w:t>.</w:t>
      </w:r>
    </w:p>
    <w:p w:rsidR="001D1E34" w:rsidRPr="00735E43" w:rsidRDefault="001D1E34" w:rsidP="00985AF0">
      <w:pPr>
        <w:pStyle w:val="ListParagraph"/>
        <w:spacing w:after="0" w:line="240" w:lineRule="auto"/>
        <w:rPr>
          <w:rFonts w:ascii="Arial" w:hAnsi="Arial" w:cs="Arial"/>
          <w:lang w:val="es-ES"/>
        </w:rPr>
      </w:pPr>
    </w:p>
    <w:p w:rsidR="001D1E34"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rPr>
        <w:t xml:space="preserve">Este </w:t>
      </w:r>
      <w:r w:rsidR="001D1E34" w:rsidRPr="00735E43">
        <w:rPr>
          <w:rFonts w:ascii="Arial" w:hAnsi="Arial" w:cs="Arial"/>
          <w:szCs w:val="22"/>
        </w:rPr>
        <w:t>reglamento confiere al Superintendente la potestad para defini</w:t>
      </w:r>
      <w:r w:rsidRPr="00735E43">
        <w:rPr>
          <w:rFonts w:ascii="Arial" w:hAnsi="Arial" w:cs="Arial"/>
          <w:szCs w:val="22"/>
        </w:rPr>
        <w:t>r el contenido, la periodicidad y</w:t>
      </w:r>
      <w:r w:rsidR="001D1E34" w:rsidRPr="00735E43">
        <w:rPr>
          <w:rFonts w:ascii="Arial" w:hAnsi="Arial" w:cs="Arial"/>
          <w:szCs w:val="22"/>
        </w:rPr>
        <w:t xml:space="preserve"> los medios de suministro de la información periódica que debe remitirse a la Superintendencia General de Valores, por lo que emitió el SGV-A-75, Acuerdo sobre el Sumi</w:t>
      </w:r>
      <w:r w:rsidRPr="00735E43">
        <w:rPr>
          <w:rFonts w:ascii="Arial" w:hAnsi="Arial" w:cs="Arial"/>
          <w:szCs w:val="22"/>
        </w:rPr>
        <w:t>nistro de Información Periódica.</w:t>
      </w:r>
    </w:p>
    <w:p w:rsidR="0019521E" w:rsidRPr="00735E43" w:rsidRDefault="0019521E" w:rsidP="00985AF0">
      <w:pPr>
        <w:pStyle w:val="ListParagraph"/>
        <w:spacing w:after="0" w:line="240" w:lineRule="auto"/>
        <w:rPr>
          <w:rFonts w:ascii="Arial" w:hAnsi="Arial" w:cs="Arial"/>
          <w:lang w:val="es-CR"/>
        </w:rPr>
      </w:pPr>
    </w:p>
    <w:p w:rsidR="004C78AA"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rPr>
        <w:t>M</w:t>
      </w:r>
      <w:r w:rsidR="004C78AA" w:rsidRPr="00735E43">
        <w:rPr>
          <w:rFonts w:ascii="Arial" w:hAnsi="Arial" w:cs="Arial"/>
          <w:szCs w:val="22"/>
        </w:rPr>
        <w:t xml:space="preserve">ediante el artículo 13 del acta de la </w:t>
      </w:r>
      <w:r w:rsidR="00796347" w:rsidRPr="00735E43">
        <w:rPr>
          <w:rFonts w:ascii="Arial" w:hAnsi="Arial" w:cs="Arial"/>
          <w:szCs w:val="22"/>
        </w:rPr>
        <w:t>S</w:t>
      </w:r>
      <w:r w:rsidR="004C78AA" w:rsidRPr="00735E43">
        <w:rPr>
          <w:rFonts w:ascii="Arial" w:hAnsi="Arial" w:cs="Arial"/>
          <w:szCs w:val="22"/>
        </w:rPr>
        <w:t>esión 1124-2014, celebrada el 8 de setiembre del 2014, se aprobó el Reglamento sobre financiamiento de proyectos de infraestructura, el Reglamento sobre procesos de titularización y el Reglamento sobre sociedades fiduciarias que administren fideicomisos emisores de valores de oferta pública. En los artículos</w:t>
      </w:r>
      <w:r w:rsidRPr="00735E43">
        <w:rPr>
          <w:rFonts w:ascii="Arial" w:hAnsi="Arial" w:cs="Arial"/>
          <w:szCs w:val="22"/>
        </w:rPr>
        <w:t xml:space="preserve"> 10,</w:t>
      </w:r>
      <w:r w:rsidR="004C78AA" w:rsidRPr="00735E43">
        <w:rPr>
          <w:rFonts w:ascii="Arial" w:hAnsi="Arial" w:cs="Arial"/>
          <w:szCs w:val="22"/>
        </w:rPr>
        <w:t xml:space="preserve"> 32</w:t>
      </w:r>
      <w:r w:rsidRPr="00735E43">
        <w:rPr>
          <w:rFonts w:ascii="Arial" w:hAnsi="Arial" w:cs="Arial"/>
          <w:szCs w:val="22"/>
        </w:rPr>
        <w:t xml:space="preserve"> y</w:t>
      </w:r>
      <w:r w:rsidR="004C78AA" w:rsidRPr="00735E43">
        <w:rPr>
          <w:rFonts w:ascii="Arial" w:hAnsi="Arial" w:cs="Arial"/>
          <w:szCs w:val="22"/>
        </w:rPr>
        <w:t xml:space="preserve"> 49 de estos Reglamentos, se dispuso que los participantes estarán sometidos a la normativa prudencial, a las disposiciones de suministro de información periódica y Comunicados de Hecho Relevantes, a la contribución como sujeto fiscalizado al presupuesto de la Superintendencia, así como a las demás disposiciones establecidas por el Consejo Nacional de Supervisión del Sistema Financiero y la Superintendencia General de Valores. Es necesario incorporar disposiciones particulares para las sociedades fiduciarias y las sociedades </w:t>
      </w:r>
      <w:proofErr w:type="spellStart"/>
      <w:r w:rsidR="004C78AA" w:rsidRPr="00735E43">
        <w:rPr>
          <w:rFonts w:ascii="Arial" w:hAnsi="Arial" w:cs="Arial"/>
          <w:szCs w:val="22"/>
        </w:rPr>
        <w:t>titularizadoras</w:t>
      </w:r>
      <w:proofErr w:type="spellEnd"/>
      <w:r w:rsidR="004C78AA" w:rsidRPr="00735E43">
        <w:rPr>
          <w:rFonts w:ascii="Arial" w:hAnsi="Arial" w:cs="Arial"/>
          <w:szCs w:val="22"/>
        </w:rPr>
        <w:t xml:space="preserve"> respecto a la presentación de información periódica y de los estados financieros auditados y el dictamen del auditor en forma individual para cada fideicomiso o universalidad que administren respectivamente. Adicionalmente,</w:t>
      </w:r>
      <w:r w:rsidRPr="00735E43">
        <w:rPr>
          <w:rFonts w:ascii="Arial" w:hAnsi="Arial" w:cs="Arial"/>
          <w:szCs w:val="22"/>
        </w:rPr>
        <w:t xml:space="preserve"> en relación con el artículo 16 del Reglamento sobre financiamiento de proyectos de infraestructura, se incorpora el requerimiento trimestral de </w:t>
      </w:r>
      <w:r w:rsidR="00EC014D" w:rsidRPr="00735E43">
        <w:rPr>
          <w:rFonts w:ascii="Arial" w:hAnsi="Arial" w:cs="Arial"/>
          <w:szCs w:val="22"/>
        </w:rPr>
        <w:t xml:space="preserve">presentar </w:t>
      </w:r>
      <w:r w:rsidR="004C78AA" w:rsidRPr="00735E43">
        <w:rPr>
          <w:rFonts w:ascii="Arial" w:hAnsi="Arial" w:cs="Arial"/>
          <w:szCs w:val="22"/>
        </w:rPr>
        <w:t xml:space="preserve">un informe de avance del proyecto de </w:t>
      </w:r>
      <w:r w:rsidRPr="00735E43">
        <w:rPr>
          <w:rFonts w:ascii="Arial" w:hAnsi="Arial" w:cs="Arial"/>
          <w:szCs w:val="22"/>
        </w:rPr>
        <w:t>infraestructura.</w:t>
      </w:r>
    </w:p>
    <w:p w:rsidR="00985AF0" w:rsidRPr="00735E43" w:rsidRDefault="00985AF0" w:rsidP="00985AF0">
      <w:pPr>
        <w:pStyle w:val="Numeracin"/>
        <w:numPr>
          <w:ilvl w:val="0"/>
          <w:numId w:val="0"/>
        </w:numPr>
        <w:tabs>
          <w:tab w:val="left" w:pos="567"/>
        </w:tabs>
        <w:spacing w:before="0"/>
        <w:ind w:left="567"/>
        <w:rPr>
          <w:rFonts w:ascii="Arial" w:hAnsi="Arial" w:cs="Arial"/>
          <w:szCs w:val="22"/>
        </w:rPr>
      </w:pPr>
    </w:p>
    <w:p w:rsidR="00985AF0"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rPr>
        <w:t xml:space="preserve">El Artículo 1 del Acuerdo SGV-A-188 Directriz para la Implementación del Sistema de Mensajería de Documentos Electrónicos (MENDOCEL), permite el intercambio de documentos en formato digital entre la Superintendencia General de Valores y sus regulados, eliminando la necesidad de enviar y recibir en físico correspondencia e información relativa a ciertos trámites. Asimismo, el artículo 7 del Acuerdo citado, indica que los documentos que sean firmados por funcionarios que no cuenten con representación legal del regulado o que no se encuentren autorizados en el Módulo </w:t>
      </w:r>
      <w:r w:rsidRPr="00735E43">
        <w:rPr>
          <w:rFonts w:ascii="Arial" w:hAnsi="Arial" w:cs="Arial"/>
          <w:szCs w:val="22"/>
        </w:rPr>
        <w:lastRenderedPageBreak/>
        <w:t xml:space="preserve">de Administración de Privilegios del Sistema </w:t>
      </w:r>
      <w:proofErr w:type="spellStart"/>
      <w:r w:rsidRPr="00735E43">
        <w:rPr>
          <w:rFonts w:ascii="Arial" w:hAnsi="Arial" w:cs="Arial"/>
          <w:szCs w:val="22"/>
        </w:rPr>
        <w:t>Ingresador</w:t>
      </w:r>
      <w:proofErr w:type="spellEnd"/>
      <w:r w:rsidRPr="00735E43">
        <w:rPr>
          <w:rFonts w:ascii="Arial" w:hAnsi="Arial" w:cs="Arial"/>
          <w:szCs w:val="22"/>
        </w:rPr>
        <w:t xml:space="preserve">, serán rechazados a su ingreso en el Sistema. </w:t>
      </w:r>
    </w:p>
    <w:p w:rsidR="001B514A" w:rsidRPr="00735E43" w:rsidRDefault="001B514A" w:rsidP="00985AF0">
      <w:pPr>
        <w:pStyle w:val="Numeracin"/>
        <w:numPr>
          <w:ilvl w:val="0"/>
          <w:numId w:val="0"/>
        </w:numPr>
        <w:tabs>
          <w:tab w:val="left" w:pos="567"/>
        </w:tabs>
        <w:spacing w:before="0"/>
        <w:ind w:left="567"/>
        <w:rPr>
          <w:rFonts w:ascii="Arial" w:hAnsi="Arial" w:cs="Arial"/>
          <w:szCs w:val="22"/>
        </w:rPr>
      </w:pPr>
    </w:p>
    <w:p w:rsidR="00F0752D" w:rsidRPr="00735E43" w:rsidRDefault="00637A64" w:rsidP="00637A64">
      <w:pPr>
        <w:pStyle w:val="Numeracin"/>
        <w:tabs>
          <w:tab w:val="left" w:pos="567"/>
        </w:tabs>
        <w:spacing w:before="0"/>
        <w:ind w:left="567" w:hanging="567"/>
        <w:rPr>
          <w:rFonts w:ascii="Arial" w:hAnsi="Arial" w:cs="Arial"/>
          <w:szCs w:val="22"/>
        </w:rPr>
      </w:pPr>
      <w:r w:rsidRPr="00735E43">
        <w:rPr>
          <w:rFonts w:ascii="Arial" w:hAnsi="Arial" w:cs="Arial"/>
          <w:szCs w:val="22"/>
        </w:rPr>
        <w:t>La Superintendencia General de Valores realizó una revisión sobre el contenido, periodicidad, medios de suministro y difusión, en materia de requerimientos de información sobre el estado de las colocaciones de los valores autorizados a los emisores y fondos de inversión cerrados. Como resultado de dicha revisión, se redefinió el catálogo de  los reportes de las colocaciones de deuda existentes y se crearon catálogos para los valores accionarios  y los valores de participación de dichos fondos. La finalidad de los catálogos es capturar la información sobre todos los movimientos que afecten el saldo de las emisiones de valores, cuando el emisor realice directamente la transacción, es decir que no utilicen los sistemas de  una bolsa de valores. No obstante, existen excepciones en las cuales se debe remitir el reporte de colocaciones respectivo independientemente de que el emisor realice la colocación directamente  o mediante los sistemas de una bolsa de valores: a) colocaciones que se realicen mediante contratos de suscripción, b) recompras de acciones que se realicen por medio de programas de recompras y  las que se realicen a un socio estratégico. Los catálogos aplican para todos los fondos de inversión cerrados y emisores de emisiones de valores estandarizadas.</w:t>
      </w:r>
    </w:p>
    <w:p w:rsidR="00637A64" w:rsidRPr="00735E43" w:rsidRDefault="00637A64" w:rsidP="00637A64">
      <w:pPr>
        <w:pStyle w:val="Numeracin"/>
        <w:numPr>
          <w:ilvl w:val="0"/>
          <w:numId w:val="0"/>
        </w:numPr>
        <w:tabs>
          <w:tab w:val="left" w:pos="567"/>
        </w:tabs>
        <w:spacing w:before="0"/>
        <w:ind w:left="567"/>
        <w:rPr>
          <w:rFonts w:ascii="Arial" w:hAnsi="Arial" w:cs="Arial"/>
          <w:szCs w:val="22"/>
        </w:rPr>
      </w:pPr>
    </w:p>
    <w:p w:rsidR="00F0752D"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rPr>
        <w:t>E</w:t>
      </w:r>
      <w:r w:rsidR="00F0752D" w:rsidRPr="00735E43">
        <w:rPr>
          <w:rFonts w:ascii="Arial" w:hAnsi="Arial" w:cs="Arial"/>
          <w:szCs w:val="22"/>
        </w:rPr>
        <w:t xml:space="preserve">n aras de </w:t>
      </w:r>
      <w:r w:rsidRPr="00735E43">
        <w:rPr>
          <w:rFonts w:ascii="Arial" w:hAnsi="Arial" w:cs="Arial"/>
          <w:szCs w:val="22"/>
        </w:rPr>
        <w:t>actualizar</w:t>
      </w:r>
      <w:r w:rsidR="00F0752D" w:rsidRPr="00735E43">
        <w:rPr>
          <w:rFonts w:ascii="Arial" w:hAnsi="Arial" w:cs="Arial"/>
          <w:szCs w:val="22"/>
        </w:rPr>
        <w:t xml:space="preserve"> y dar una adecuada accesibilidad a la información financiera que remite la Bolsa Nacional de Valores y la Central de Valores, S.A. al mercado de valores costarricense, se requiere modificar la periodicidad y los medios de suministro de información; así como crear los catálogos de la Bolsa Nacional de Valores y la Central de Valores, S.A., para facilitar su preparación y hacer una mejor revelación de su situación financiera y resultados de operaciones</w:t>
      </w:r>
      <w:r w:rsidRPr="00735E43">
        <w:rPr>
          <w:rFonts w:ascii="Arial" w:hAnsi="Arial" w:cs="Arial"/>
          <w:szCs w:val="22"/>
        </w:rPr>
        <w:t>.</w:t>
      </w:r>
    </w:p>
    <w:p w:rsidR="00F20F81" w:rsidRPr="00735E43" w:rsidRDefault="00F20F81" w:rsidP="00985AF0">
      <w:pPr>
        <w:pStyle w:val="ListParagraph"/>
        <w:spacing w:after="0" w:line="240" w:lineRule="auto"/>
        <w:rPr>
          <w:rFonts w:ascii="Arial" w:hAnsi="Arial" w:cs="Arial"/>
          <w:highlight w:val="green"/>
          <w:lang w:val="es-ES"/>
        </w:rPr>
      </w:pPr>
    </w:p>
    <w:p w:rsidR="00F83F17"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rPr>
        <w:t>M</w:t>
      </w:r>
      <w:r w:rsidR="00654FC8" w:rsidRPr="00735E43">
        <w:rPr>
          <w:rFonts w:ascii="Arial" w:hAnsi="Arial" w:cs="Arial"/>
          <w:szCs w:val="22"/>
        </w:rPr>
        <w:t xml:space="preserve">ediante los artículos 4 y 37 de la Normativa para el cumplimiento de la Ley 8204, las entidades deben asignar una categoría de riesgo a cada cliente y contar con un informe anual del auditor externo que incluya una valoración de la eficacia operativa y eventuales rectificaciones o mejoras. Al ser esta información de interés para la supervisión en materia de legitimación de capitales y </w:t>
      </w:r>
      <w:r w:rsidR="004B0A67" w:rsidRPr="00735E43">
        <w:rPr>
          <w:rFonts w:ascii="Arial" w:hAnsi="Arial" w:cs="Arial"/>
          <w:szCs w:val="22"/>
        </w:rPr>
        <w:t xml:space="preserve">contra </w:t>
      </w:r>
      <w:r w:rsidR="00654FC8" w:rsidRPr="00735E43">
        <w:rPr>
          <w:rFonts w:ascii="Arial" w:hAnsi="Arial" w:cs="Arial"/>
          <w:szCs w:val="22"/>
        </w:rPr>
        <w:t xml:space="preserve">financiamiento al terrorismo, se requiere definir la forma y medio de reporte de estos </w:t>
      </w:r>
      <w:r w:rsidRPr="00735E43">
        <w:rPr>
          <w:rFonts w:ascii="Arial" w:hAnsi="Arial" w:cs="Arial"/>
          <w:szCs w:val="22"/>
        </w:rPr>
        <w:t xml:space="preserve">reportes.  Adicionalmente, en atención a la </w:t>
      </w:r>
      <w:r w:rsidR="001F1B71" w:rsidRPr="00735E43">
        <w:rPr>
          <w:rFonts w:ascii="Arial" w:hAnsi="Arial" w:cs="Arial"/>
          <w:szCs w:val="22"/>
        </w:rPr>
        <w:t>modificación del artículo 35 del Reglamento general sobre legislación contra el narcotráfico, actividades conexas, legitimación de capitales, financiamiento al terrorismo y delincuencia organizada</w:t>
      </w:r>
      <w:r w:rsidR="00F83F17" w:rsidRPr="00735E43">
        <w:rPr>
          <w:rFonts w:ascii="Arial" w:hAnsi="Arial" w:cs="Arial"/>
          <w:szCs w:val="22"/>
        </w:rPr>
        <w:t xml:space="preserve">, </w:t>
      </w:r>
      <w:r w:rsidRPr="00735E43">
        <w:rPr>
          <w:rFonts w:ascii="Arial" w:hAnsi="Arial" w:cs="Arial"/>
          <w:szCs w:val="22"/>
        </w:rPr>
        <w:t xml:space="preserve">se elimina el Anexo 5 relacionado </w:t>
      </w:r>
      <w:r w:rsidR="00796347" w:rsidRPr="00735E43">
        <w:rPr>
          <w:rFonts w:ascii="Arial" w:hAnsi="Arial" w:cs="Arial"/>
          <w:szCs w:val="22"/>
        </w:rPr>
        <w:t>c</w:t>
      </w:r>
      <w:r w:rsidRPr="00735E43">
        <w:rPr>
          <w:rFonts w:ascii="Arial" w:hAnsi="Arial" w:cs="Arial"/>
          <w:szCs w:val="22"/>
        </w:rPr>
        <w:t xml:space="preserve">on </w:t>
      </w:r>
      <w:r w:rsidR="00F83F17" w:rsidRPr="00735E43">
        <w:rPr>
          <w:rFonts w:ascii="Arial" w:hAnsi="Arial" w:cs="Arial"/>
          <w:szCs w:val="22"/>
        </w:rPr>
        <w:t>los Reportes de Operaciones Sospechosas</w:t>
      </w:r>
      <w:r w:rsidRPr="00735E43">
        <w:rPr>
          <w:rFonts w:ascii="Arial" w:hAnsi="Arial" w:cs="Arial"/>
          <w:szCs w:val="22"/>
        </w:rPr>
        <w:t xml:space="preserve">, los cuales se envían </w:t>
      </w:r>
      <w:r w:rsidR="00F83F17" w:rsidRPr="00735E43">
        <w:rPr>
          <w:rFonts w:ascii="Arial" w:hAnsi="Arial" w:cs="Arial"/>
          <w:szCs w:val="22"/>
        </w:rPr>
        <w:t xml:space="preserve">directamente a la </w:t>
      </w:r>
      <w:r w:rsidR="005279C8" w:rsidRPr="00735E43">
        <w:rPr>
          <w:rFonts w:ascii="Arial" w:hAnsi="Arial" w:cs="Arial"/>
          <w:szCs w:val="22"/>
        </w:rPr>
        <w:t>Unidad de Inteligencia Financiera</w:t>
      </w:r>
      <w:r w:rsidRPr="00735E43">
        <w:rPr>
          <w:rFonts w:ascii="Arial" w:hAnsi="Arial" w:cs="Arial"/>
          <w:szCs w:val="22"/>
        </w:rPr>
        <w:t xml:space="preserve"> (UIF)</w:t>
      </w:r>
      <w:r w:rsidR="00F83F17" w:rsidRPr="00735E43">
        <w:rPr>
          <w:rFonts w:ascii="Arial" w:hAnsi="Arial" w:cs="Arial"/>
          <w:szCs w:val="22"/>
        </w:rPr>
        <w:t>.</w:t>
      </w:r>
    </w:p>
    <w:p w:rsidR="004C78AA" w:rsidRPr="00735E43" w:rsidRDefault="004C78AA" w:rsidP="00985AF0">
      <w:pPr>
        <w:pStyle w:val="Textodereglamento"/>
        <w:spacing w:before="0"/>
        <w:rPr>
          <w:rFonts w:ascii="Arial" w:hAnsi="Arial" w:cs="Arial"/>
          <w:szCs w:val="22"/>
        </w:rPr>
      </w:pPr>
    </w:p>
    <w:p w:rsidR="00B06095" w:rsidRPr="00735E43" w:rsidRDefault="00985AF0" w:rsidP="00985AF0">
      <w:pPr>
        <w:pStyle w:val="Numeracin"/>
        <w:tabs>
          <w:tab w:val="left" w:pos="567"/>
        </w:tabs>
        <w:spacing w:before="0"/>
        <w:ind w:left="567" w:hanging="567"/>
        <w:rPr>
          <w:rFonts w:ascii="Arial" w:hAnsi="Arial" w:cs="Arial"/>
          <w:szCs w:val="22"/>
        </w:rPr>
      </w:pPr>
      <w:r w:rsidRPr="00735E43">
        <w:rPr>
          <w:rFonts w:ascii="Arial" w:hAnsi="Arial" w:cs="Arial"/>
          <w:szCs w:val="22"/>
        </w:rPr>
        <w:t>C</w:t>
      </w:r>
      <w:r w:rsidR="004C78AA" w:rsidRPr="00735E43">
        <w:rPr>
          <w:rFonts w:ascii="Arial" w:hAnsi="Arial" w:cs="Arial"/>
          <w:szCs w:val="22"/>
        </w:rPr>
        <w:t>omo parte de la revisión periódica que se lleva a cabo para racionalizar los requerimientos de información por parte de la Superintendencia General de Valores, se estima pertinente eliminar el requisito de enviar un estado de resultados que muestre los ingresos y gastos obtenidos por el emisor durante el trimestre,  y en su lugar únicamente se mantiene el envío del estado de resultados acumulado al cierre de cada trimestre</w:t>
      </w:r>
      <w:r w:rsidRPr="00735E43">
        <w:rPr>
          <w:rFonts w:ascii="Arial" w:hAnsi="Arial" w:cs="Arial"/>
          <w:szCs w:val="22"/>
        </w:rPr>
        <w:t>.</w:t>
      </w:r>
    </w:p>
    <w:p w:rsidR="001D1E34" w:rsidRPr="00735E43" w:rsidRDefault="001D1E34" w:rsidP="00985AF0">
      <w:pPr>
        <w:pStyle w:val="Numeracin"/>
        <w:numPr>
          <w:ilvl w:val="0"/>
          <w:numId w:val="0"/>
        </w:numPr>
        <w:tabs>
          <w:tab w:val="left" w:pos="567"/>
        </w:tabs>
        <w:spacing w:before="0"/>
        <w:ind w:left="567"/>
        <w:rPr>
          <w:rFonts w:ascii="Arial" w:hAnsi="Arial" w:cs="Arial"/>
          <w:szCs w:val="22"/>
        </w:rPr>
      </w:pPr>
    </w:p>
    <w:p w:rsidR="001D1E34" w:rsidRPr="00735E43" w:rsidRDefault="00C13149" w:rsidP="00763511">
      <w:pPr>
        <w:pStyle w:val="Numeracin"/>
        <w:tabs>
          <w:tab w:val="left" w:pos="567"/>
        </w:tabs>
        <w:spacing w:before="0"/>
        <w:ind w:left="567" w:hanging="567"/>
        <w:rPr>
          <w:rFonts w:ascii="Arial" w:hAnsi="Arial" w:cs="Arial"/>
          <w:szCs w:val="22"/>
        </w:rPr>
      </w:pPr>
      <w:r w:rsidRPr="00735E43">
        <w:rPr>
          <w:rFonts w:ascii="Arial" w:hAnsi="Arial" w:cs="Arial"/>
          <w:szCs w:val="22"/>
        </w:rPr>
        <w:t>Es conveniente realizar las actualizaciones de los requerimientos de información consignados en los anexos del SGV-A-75 Acuerdo sobre el suministro de información periódica para requerir información adicional que ha demostrado ser necesaria y eliminar la información que ha demostrado ser de poca utilidad.</w:t>
      </w:r>
      <w:r w:rsidR="00763511" w:rsidRPr="00735E43">
        <w:rPr>
          <w:rFonts w:ascii="Arial" w:hAnsi="Arial" w:cs="Arial"/>
          <w:szCs w:val="22"/>
        </w:rPr>
        <w:t xml:space="preserve"> </w:t>
      </w:r>
      <w:r w:rsidR="00763511" w:rsidRPr="00735E43">
        <w:rPr>
          <w:rFonts w:ascii="Arial" w:hAnsi="Arial" w:cs="Arial"/>
          <w:szCs w:val="22"/>
        </w:rPr>
        <w:lastRenderedPageBreak/>
        <w:t xml:space="preserve">Además, se hace necesario actualizar los requerimientos de información a proveedores de precios para que sean consistentes con las modificaciones a los artículos 20 y 21 del </w:t>
      </w:r>
      <w:r w:rsidR="00763511" w:rsidRPr="00735E43">
        <w:rPr>
          <w:rFonts w:ascii="Arial" w:hAnsi="Arial" w:cs="Arial"/>
          <w:i/>
          <w:szCs w:val="22"/>
        </w:rPr>
        <w:t>Reglamento sobre valoración de instrumentos financieros</w:t>
      </w:r>
      <w:r w:rsidR="00763511" w:rsidRPr="00735E43">
        <w:rPr>
          <w:rFonts w:ascii="Arial" w:hAnsi="Arial" w:cs="Arial"/>
          <w:szCs w:val="22"/>
        </w:rPr>
        <w:t xml:space="preserve">, aprobados por el Consejo Nacional de Supervisión del Sistema Financiero en el artículo 10 del acta de la sesión 1071-2013, celebrada el 29 de octubre del 2013. </w:t>
      </w:r>
    </w:p>
    <w:p w:rsidR="00763511" w:rsidRPr="00735E43" w:rsidRDefault="00763511" w:rsidP="00763511">
      <w:pPr>
        <w:pStyle w:val="Numeracin"/>
        <w:numPr>
          <w:ilvl w:val="0"/>
          <w:numId w:val="0"/>
        </w:numPr>
        <w:tabs>
          <w:tab w:val="left" w:pos="567"/>
        </w:tabs>
        <w:spacing w:before="0"/>
        <w:ind w:left="567"/>
        <w:rPr>
          <w:rFonts w:ascii="Arial" w:hAnsi="Arial" w:cs="Arial"/>
          <w:szCs w:val="22"/>
        </w:rPr>
      </w:pPr>
    </w:p>
    <w:p w:rsidR="001D1E34" w:rsidRPr="00735E43" w:rsidRDefault="003A4851" w:rsidP="00985AF0">
      <w:pPr>
        <w:pStyle w:val="Numeracin"/>
        <w:tabs>
          <w:tab w:val="left" w:pos="567"/>
        </w:tabs>
        <w:spacing w:before="0"/>
        <w:ind w:left="567" w:hanging="567"/>
        <w:rPr>
          <w:rFonts w:ascii="Arial" w:hAnsi="Arial" w:cs="Arial"/>
          <w:szCs w:val="22"/>
        </w:rPr>
      </w:pPr>
      <w:r w:rsidRPr="00735E43">
        <w:rPr>
          <w:rFonts w:ascii="Arial" w:hAnsi="Arial" w:cs="Arial"/>
          <w:szCs w:val="22"/>
        </w:rPr>
        <w:t>El presente Acuerdo fue sometido a consulta de conformidad con el Artículo 361 de la Ley General de Administración Pública.</w:t>
      </w:r>
    </w:p>
    <w:p w:rsidR="003A4851" w:rsidRPr="00735E43" w:rsidRDefault="003A4851" w:rsidP="00A8546D">
      <w:pPr>
        <w:pStyle w:val="Numeracin"/>
        <w:numPr>
          <w:ilvl w:val="0"/>
          <w:numId w:val="0"/>
        </w:numPr>
        <w:tabs>
          <w:tab w:val="left" w:pos="567"/>
        </w:tabs>
        <w:spacing w:before="0"/>
        <w:ind w:left="567"/>
        <w:rPr>
          <w:rFonts w:ascii="Arial" w:hAnsi="Arial" w:cs="Arial"/>
          <w:szCs w:val="22"/>
        </w:rPr>
      </w:pPr>
    </w:p>
    <w:p w:rsidR="002772DD" w:rsidRDefault="004C355B" w:rsidP="00A8546D">
      <w:pPr>
        <w:pStyle w:val="Textodereglamento"/>
        <w:spacing w:before="0"/>
        <w:rPr>
          <w:rFonts w:ascii="Arial" w:eastAsia="Arial Unicode MS" w:hAnsi="Arial" w:cs="Arial"/>
          <w:b/>
          <w:szCs w:val="22"/>
          <w:lang w:val="es-CR"/>
        </w:rPr>
      </w:pPr>
      <w:r w:rsidRPr="00735E43">
        <w:rPr>
          <w:rFonts w:ascii="Arial" w:hAnsi="Arial" w:cs="Arial"/>
          <w:b/>
          <w:szCs w:val="22"/>
          <w:lang w:val="es-CR"/>
        </w:rPr>
        <w:t>Dispuso</w:t>
      </w:r>
      <w:r w:rsidR="002772DD" w:rsidRPr="00735E43">
        <w:rPr>
          <w:rFonts w:ascii="Arial" w:hAnsi="Arial" w:cs="Arial"/>
          <w:b/>
          <w:szCs w:val="22"/>
          <w:lang w:val="es-CR"/>
        </w:rPr>
        <w:t xml:space="preserve"> aprobar</w:t>
      </w:r>
      <w:r w:rsidR="002772DD" w:rsidRPr="00735E43">
        <w:rPr>
          <w:rFonts w:ascii="Arial" w:eastAsia="Arial Unicode MS" w:hAnsi="Arial" w:cs="Arial"/>
          <w:b/>
          <w:szCs w:val="22"/>
          <w:lang w:val="es-CR"/>
        </w:rPr>
        <w:t xml:space="preserve"> el siguiente Acuerdo: </w:t>
      </w:r>
    </w:p>
    <w:p w:rsidR="002223B2" w:rsidRDefault="002223B2" w:rsidP="00A8546D">
      <w:pPr>
        <w:pStyle w:val="Textodereglamento"/>
        <w:spacing w:before="0"/>
        <w:rPr>
          <w:rFonts w:ascii="Arial" w:hAnsi="Arial" w:cs="Arial"/>
          <w:b/>
          <w:szCs w:val="22"/>
          <w:lang w:val="es-CR"/>
        </w:rPr>
      </w:pPr>
    </w:p>
    <w:p w:rsidR="00796347" w:rsidRPr="00735E43" w:rsidRDefault="00780CC6" w:rsidP="00796347">
      <w:pPr>
        <w:pStyle w:val="Textodereglamento"/>
        <w:spacing w:before="0"/>
        <w:jc w:val="center"/>
        <w:rPr>
          <w:rFonts w:ascii="Arial" w:hAnsi="Arial" w:cs="Arial"/>
          <w:b/>
          <w:szCs w:val="22"/>
          <w:lang w:val="es-CR"/>
        </w:rPr>
      </w:pPr>
      <w:r w:rsidRPr="00735E43">
        <w:rPr>
          <w:rFonts w:ascii="Arial" w:hAnsi="Arial" w:cs="Arial"/>
          <w:b/>
          <w:szCs w:val="22"/>
          <w:lang w:val="es-CR"/>
        </w:rPr>
        <w:t>SGV-A-194. MODIFICACIÓN AL ACUERDO SGV-A-75 ACUERDO SOBRE EL SUMINISTRO DE INFORMACIÓN PERIÓDICA.</w:t>
      </w:r>
    </w:p>
    <w:p w:rsidR="00796347" w:rsidRPr="00735E43" w:rsidRDefault="00796347" w:rsidP="008137D3">
      <w:pPr>
        <w:pStyle w:val="Textodereglamento"/>
        <w:spacing w:before="0"/>
        <w:jc w:val="center"/>
        <w:rPr>
          <w:rFonts w:ascii="Arial" w:hAnsi="Arial" w:cs="Arial"/>
          <w:b/>
          <w:szCs w:val="22"/>
          <w:lang w:val="es-CR"/>
        </w:rPr>
      </w:pPr>
    </w:p>
    <w:p w:rsidR="00735E43" w:rsidRPr="00735E43" w:rsidRDefault="00735E43" w:rsidP="00735E43">
      <w:pPr>
        <w:jc w:val="both"/>
        <w:rPr>
          <w:rFonts w:ascii="Arial" w:hAnsi="Arial" w:cs="Arial"/>
          <w:b/>
          <w:color w:val="000000" w:themeColor="text1"/>
        </w:rPr>
      </w:pPr>
      <w:r w:rsidRPr="00735E43">
        <w:rPr>
          <w:rFonts w:ascii="Arial" w:hAnsi="Arial" w:cs="Arial"/>
          <w:b/>
          <w:color w:val="000000" w:themeColor="text1"/>
        </w:rPr>
        <w:t xml:space="preserve">Artículo 1. </w:t>
      </w:r>
      <w:r w:rsidRPr="00735E43">
        <w:rPr>
          <w:rFonts w:ascii="Arial" w:hAnsi="Arial" w:cs="Arial"/>
          <w:b/>
          <w:color w:val="000000" w:themeColor="text1"/>
          <w:szCs w:val="22"/>
          <w:lang w:val="es-CR"/>
        </w:rPr>
        <w:t>Modificaciones a los medios de comunicación para la remisión de información periódica.</w:t>
      </w:r>
    </w:p>
    <w:p w:rsidR="00D92630" w:rsidRPr="00735E43" w:rsidRDefault="00D92630" w:rsidP="00A8546D">
      <w:pPr>
        <w:pStyle w:val="Textodereglamento"/>
        <w:spacing w:before="0"/>
        <w:rPr>
          <w:rFonts w:ascii="Arial" w:hAnsi="Arial" w:cs="Arial"/>
          <w:b/>
          <w:szCs w:val="22"/>
          <w:lang w:val="es-CR"/>
        </w:rPr>
      </w:pPr>
    </w:p>
    <w:p w:rsidR="00D92630" w:rsidRPr="00735E43" w:rsidRDefault="00D92630" w:rsidP="00A8546D">
      <w:pPr>
        <w:pStyle w:val="Textodereglamento"/>
        <w:spacing w:before="0"/>
        <w:rPr>
          <w:rFonts w:ascii="Arial" w:hAnsi="Arial" w:cs="Arial"/>
          <w:szCs w:val="22"/>
          <w:lang w:val="es-CR"/>
        </w:rPr>
      </w:pPr>
      <w:r w:rsidRPr="00735E43">
        <w:rPr>
          <w:rFonts w:ascii="Arial" w:hAnsi="Arial" w:cs="Arial"/>
          <w:szCs w:val="22"/>
          <w:lang w:val="es-CR"/>
        </w:rPr>
        <w:t>Se modifican los medios para la remisión de información periódica de los siguientes reportes, para que puedan ser remitidos mediante el Sistema de Mensajería de Documentos Electrónicos (MENDOCEL):</w:t>
      </w:r>
    </w:p>
    <w:p w:rsidR="00D92630" w:rsidRPr="00735E43" w:rsidRDefault="00D92630" w:rsidP="00A8546D">
      <w:pPr>
        <w:pStyle w:val="Textodereglamento"/>
        <w:spacing w:before="0"/>
        <w:rPr>
          <w:rFonts w:ascii="Arial" w:hAnsi="Arial" w:cs="Arial"/>
          <w:b/>
          <w:szCs w:val="22"/>
          <w:lang w:val="es-CR"/>
        </w:rPr>
      </w:pPr>
    </w:p>
    <w:p w:rsidR="00D92630" w:rsidRPr="00735E43" w:rsidRDefault="00642E07" w:rsidP="00A8546D">
      <w:pPr>
        <w:pStyle w:val="Textodereglamento"/>
        <w:numPr>
          <w:ilvl w:val="0"/>
          <w:numId w:val="15"/>
        </w:numPr>
        <w:spacing w:before="0"/>
        <w:rPr>
          <w:rFonts w:ascii="Arial" w:hAnsi="Arial" w:cs="Arial"/>
          <w:b/>
          <w:szCs w:val="22"/>
          <w:lang w:val="es-CR"/>
        </w:rPr>
      </w:pPr>
      <w:r w:rsidRPr="00735E43">
        <w:rPr>
          <w:rFonts w:ascii="Arial" w:hAnsi="Arial" w:cs="Arial"/>
          <w:b/>
          <w:szCs w:val="22"/>
          <w:lang w:val="es-CR"/>
        </w:rPr>
        <w:t>Todos los participantes</w:t>
      </w:r>
      <w:r w:rsidR="00D92630" w:rsidRPr="00735E43">
        <w:rPr>
          <w:rFonts w:ascii="Arial" w:hAnsi="Arial" w:cs="Arial"/>
          <w:b/>
          <w:szCs w:val="22"/>
          <w:lang w:val="es-CR"/>
        </w:rPr>
        <w:t xml:space="preserve">: </w:t>
      </w:r>
      <w:r w:rsidR="00D92630" w:rsidRPr="00735E43">
        <w:rPr>
          <w:rFonts w:ascii="Arial" w:hAnsi="Arial" w:cs="Arial"/>
          <w:szCs w:val="22"/>
          <w:lang w:val="es-CR"/>
        </w:rPr>
        <w:t xml:space="preserve">Comunicación del nombre del Contador Público Autorizado o firma de auditores externos del emisor y los garantes; </w:t>
      </w:r>
      <w:r w:rsidRPr="00735E43">
        <w:rPr>
          <w:rFonts w:ascii="Arial" w:hAnsi="Arial" w:cs="Arial"/>
          <w:szCs w:val="22"/>
          <w:lang w:val="es-CR"/>
        </w:rPr>
        <w:t>Cuadro resumen de títulos valores recibidos o entregados al portador; Informe de Gobierno Corporativo.</w:t>
      </w:r>
    </w:p>
    <w:p w:rsidR="003A4851" w:rsidRPr="00735E43" w:rsidRDefault="003A4851" w:rsidP="00A8546D">
      <w:pPr>
        <w:pStyle w:val="Textodereglamento"/>
        <w:spacing w:before="0"/>
        <w:ind w:left="720"/>
        <w:rPr>
          <w:rFonts w:ascii="Arial" w:hAnsi="Arial" w:cs="Arial"/>
          <w:b/>
          <w:szCs w:val="22"/>
          <w:lang w:val="es-CR"/>
        </w:rPr>
      </w:pPr>
    </w:p>
    <w:p w:rsidR="00D92630" w:rsidRPr="00735E43" w:rsidRDefault="00D92630" w:rsidP="00A8546D">
      <w:pPr>
        <w:pStyle w:val="Textodereglamento"/>
        <w:numPr>
          <w:ilvl w:val="0"/>
          <w:numId w:val="15"/>
        </w:numPr>
        <w:spacing w:before="0"/>
        <w:rPr>
          <w:rFonts w:ascii="Arial" w:hAnsi="Arial" w:cs="Arial"/>
          <w:b/>
          <w:szCs w:val="22"/>
          <w:lang w:val="es-CR"/>
        </w:rPr>
      </w:pPr>
      <w:r w:rsidRPr="00735E43">
        <w:rPr>
          <w:rFonts w:ascii="Arial" w:hAnsi="Arial" w:cs="Arial"/>
          <w:b/>
          <w:szCs w:val="22"/>
          <w:lang w:val="es-CR"/>
        </w:rPr>
        <w:t xml:space="preserve">Sociedades administradoras y Fondos de Inversión: </w:t>
      </w:r>
      <w:r w:rsidRPr="00735E43">
        <w:rPr>
          <w:rFonts w:ascii="Arial" w:hAnsi="Arial" w:cs="Arial"/>
          <w:szCs w:val="22"/>
          <w:lang w:val="es-CR"/>
        </w:rPr>
        <w:t xml:space="preserve">Reporte de comercialización de fondos extranjeros; Avalúo pericial y financiero de bienes inmuebles de fondos inmobiliarios; Cambios en la información inmobiliaria; Informe de avance de proyectos inmobiliarios de fondos de desarrollo inmobiliario; y Plantilla de cartera de </w:t>
      </w:r>
      <w:proofErr w:type="spellStart"/>
      <w:r w:rsidRPr="00735E43">
        <w:rPr>
          <w:rFonts w:ascii="Arial" w:hAnsi="Arial" w:cs="Arial"/>
          <w:szCs w:val="22"/>
          <w:lang w:val="es-CR"/>
        </w:rPr>
        <w:t>megafondos</w:t>
      </w:r>
      <w:proofErr w:type="spellEnd"/>
      <w:r w:rsidRPr="00735E43">
        <w:rPr>
          <w:rFonts w:ascii="Arial" w:hAnsi="Arial" w:cs="Arial"/>
          <w:szCs w:val="22"/>
          <w:lang w:val="es-CR"/>
        </w:rPr>
        <w:t>.</w:t>
      </w:r>
    </w:p>
    <w:p w:rsidR="003A4851" w:rsidRPr="00735E43" w:rsidRDefault="003A4851" w:rsidP="00A8546D">
      <w:pPr>
        <w:pStyle w:val="Textodereglamento"/>
        <w:spacing w:before="0"/>
        <w:rPr>
          <w:rFonts w:ascii="Arial" w:hAnsi="Arial" w:cs="Arial"/>
          <w:b/>
          <w:szCs w:val="22"/>
          <w:lang w:val="es-CR"/>
        </w:rPr>
      </w:pPr>
    </w:p>
    <w:p w:rsidR="00D92630" w:rsidRPr="00735E43" w:rsidRDefault="00D92630" w:rsidP="00A8546D">
      <w:pPr>
        <w:pStyle w:val="Textodereglamento"/>
        <w:numPr>
          <w:ilvl w:val="0"/>
          <w:numId w:val="15"/>
        </w:numPr>
        <w:spacing w:before="0"/>
        <w:rPr>
          <w:rFonts w:ascii="Arial" w:hAnsi="Arial" w:cs="Arial"/>
          <w:szCs w:val="22"/>
          <w:lang w:val="es-CR"/>
        </w:rPr>
      </w:pPr>
      <w:r w:rsidRPr="00735E43">
        <w:rPr>
          <w:rFonts w:ascii="Arial" w:hAnsi="Arial" w:cs="Arial"/>
          <w:b/>
          <w:szCs w:val="22"/>
          <w:lang w:val="es-CR"/>
        </w:rPr>
        <w:t>Puestos de bolsa</w:t>
      </w:r>
      <w:r w:rsidR="003A4851" w:rsidRPr="00735E43">
        <w:rPr>
          <w:rFonts w:ascii="Arial" w:hAnsi="Arial" w:cs="Arial"/>
          <w:b/>
          <w:szCs w:val="22"/>
          <w:lang w:val="es-CR"/>
        </w:rPr>
        <w:t>:</w:t>
      </w:r>
      <w:r w:rsidR="003A4851" w:rsidRPr="00735E43">
        <w:rPr>
          <w:rFonts w:ascii="Arial" w:hAnsi="Arial" w:cs="Arial"/>
          <w:szCs w:val="22"/>
          <w:lang w:val="es-CR"/>
        </w:rPr>
        <w:t xml:space="preserve"> Reporte</w:t>
      </w:r>
      <w:r w:rsidR="00642E07" w:rsidRPr="00735E43">
        <w:rPr>
          <w:rFonts w:ascii="Arial" w:hAnsi="Arial" w:cs="Arial"/>
          <w:szCs w:val="22"/>
          <w:lang w:val="es-CR"/>
        </w:rPr>
        <w:t xml:space="preserve"> trimestral de inversiones en títulos internacionales; Reporte de comercialización de fondos extranjeros; </w:t>
      </w:r>
      <w:r w:rsidR="003A4851" w:rsidRPr="00735E43">
        <w:rPr>
          <w:rFonts w:ascii="Arial" w:hAnsi="Arial" w:cs="Arial"/>
          <w:szCs w:val="22"/>
          <w:lang w:val="es-CR"/>
        </w:rPr>
        <w:t>e</w:t>
      </w:r>
      <w:r w:rsidR="00642E07" w:rsidRPr="00735E43">
        <w:rPr>
          <w:rFonts w:ascii="Arial" w:hAnsi="Arial" w:cs="Arial"/>
          <w:szCs w:val="22"/>
          <w:lang w:val="es-CR"/>
        </w:rPr>
        <w:t xml:space="preserve"> Información sobre Ofertas y Transacciones.</w:t>
      </w:r>
    </w:p>
    <w:p w:rsidR="00D92630" w:rsidRPr="00735E43" w:rsidRDefault="00D92630" w:rsidP="00A8546D">
      <w:pPr>
        <w:pStyle w:val="Textodereglamento"/>
        <w:spacing w:before="0"/>
        <w:rPr>
          <w:rFonts w:ascii="Arial" w:hAnsi="Arial" w:cs="Arial"/>
          <w:szCs w:val="22"/>
          <w:lang w:val="es-CR"/>
        </w:rPr>
      </w:pPr>
    </w:p>
    <w:p w:rsidR="00780CC6" w:rsidRPr="00735E43" w:rsidRDefault="00735E43" w:rsidP="00A85450">
      <w:pPr>
        <w:jc w:val="both"/>
        <w:rPr>
          <w:rFonts w:ascii="Arial" w:hAnsi="Arial" w:cs="Arial"/>
          <w:b/>
          <w:color w:val="000000" w:themeColor="text1"/>
          <w:szCs w:val="22"/>
          <w:lang w:val="es-CR"/>
        </w:rPr>
      </w:pPr>
      <w:r w:rsidRPr="00735E43">
        <w:rPr>
          <w:rFonts w:ascii="Arial" w:hAnsi="Arial" w:cs="Arial"/>
          <w:b/>
          <w:color w:val="000000" w:themeColor="text1"/>
          <w:szCs w:val="22"/>
          <w:lang w:val="es-CR"/>
        </w:rPr>
        <w:t>Artículo 2. Modificación a los artículos 1, 8, 12 y al “Cuadro de Información Periódica”</w:t>
      </w:r>
    </w:p>
    <w:p w:rsidR="00780CC6" w:rsidRPr="005E0AA2" w:rsidRDefault="00780CC6" w:rsidP="00A85450">
      <w:pPr>
        <w:jc w:val="both"/>
        <w:rPr>
          <w:rFonts w:ascii="Arial" w:hAnsi="Arial" w:cs="Arial"/>
          <w:szCs w:val="22"/>
          <w:lang w:val="es-CR"/>
        </w:rPr>
      </w:pPr>
    </w:p>
    <w:p w:rsidR="00000255" w:rsidRPr="00735E43" w:rsidRDefault="00000255" w:rsidP="00000255">
      <w:pPr>
        <w:pStyle w:val="Textodereglamento"/>
        <w:numPr>
          <w:ilvl w:val="0"/>
          <w:numId w:val="41"/>
        </w:numPr>
        <w:spacing w:before="0"/>
        <w:rPr>
          <w:rFonts w:ascii="Arial" w:hAnsi="Arial" w:cs="Arial"/>
          <w:szCs w:val="22"/>
          <w:lang w:val="es-CR"/>
        </w:rPr>
      </w:pPr>
      <w:r w:rsidRPr="00735E43">
        <w:rPr>
          <w:rFonts w:ascii="Arial" w:hAnsi="Arial" w:cs="Arial"/>
          <w:szCs w:val="22"/>
          <w:lang w:val="es-CR"/>
        </w:rPr>
        <w:t>Se reforma el segundo párrafo del artículo 1 del Acuerdo SGV-A-75, para que en adelante se lea de la siguiente forma:</w:t>
      </w:r>
    </w:p>
    <w:p w:rsidR="00000255" w:rsidRPr="00735E43" w:rsidRDefault="00000255" w:rsidP="00A8546D">
      <w:pPr>
        <w:pStyle w:val="Textodereglamento"/>
        <w:spacing w:before="0"/>
        <w:rPr>
          <w:rFonts w:ascii="Arial" w:hAnsi="Arial" w:cs="Arial"/>
          <w:b/>
          <w:szCs w:val="22"/>
          <w:lang w:val="es-CR"/>
        </w:rPr>
      </w:pPr>
    </w:p>
    <w:p w:rsidR="00000255" w:rsidRPr="00735E43" w:rsidRDefault="00000255" w:rsidP="00000255">
      <w:pPr>
        <w:ind w:left="1080"/>
        <w:jc w:val="both"/>
        <w:rPr>
          <w:rFonts w:ascii="Arial" w:hAnsi="Arial" w:cs="Arial"/>
          <w:i/>
          <w:szCs w:val="22"/>
          <w:lang w:val="es-CR"/>
        </w:rPr>
      </w:pPr>
      <w:r w:rsidRPr="00735E43">
        <w:rPr>
          <w:rFonts w:ascii="Arial" w:hAnsi="Arial" w:cs="Arial"/>
          <w:i/>
          <w:szCs w:val="22"/>
          <w:lang w:val="es-CR"/>
        </w:rPr>
        <w:t>“…</w:t>
      </w:r>
    </w:p>
    <w:p w:rsidR="00000255" w:rsidRPr="00735E43" w:rsidRDefault="00000255" w:rsidP="00000255">
      <w:pPr>
        <w:ind w:left="1080"/>
        <w:jc w:val="both"/>
        <w:rPr>
          <w:rFonts w:ascii="Arial" w:hAnsi="Arial" w:cs="Arial"/>
          <w:i/>
          <w:szCs w:val="22"/>
          <w:lang w:val="es-CR"/>
        </w:rPr>
      </w:pPr>
      <w:r w:rsidRPr="00735E43">
        <w:rPr>
          <w:rFonts w:ascii="Arial" w:hAnsi="Arial" w:cs="Arial"/>
          <w:i/>
          <w:szCs w:val="22"/>
          <w:lang w:val="es-CR"/>
        </w:rPr>
        <w:t>Salvo en lo concerniente al Reporte de Colocaciones, se exceptúa de los requisitos de información establecidos en este Acuerdo a las siguientes entidades: …”</w:t>
      </w:r>
    </w:p>
    <w:p w:rsidR="00000255" w:rsidRPr="00735E43" w:rsidRDefault="00000255" w:rsidP="00000255">
      <w:pPr>
        <w:ind w:left="1080"/>
        <w:rPr>
          <w:rFonts w:ascii="Arial" w:hAnsi="Arial" w:cs="Arial"/>
          <w:szCs w:val="22"/>
          <w:lang w:val="es-CR"/>
        </w:rPr>
      </w:pPr>
    </w:p>
    <w:p w:rsidR="00642E07" w:rsidRPr="00735E43" w:rsidRDefault="00642E07" w:rsidP="00A679BA">
      <w:pPr>
        <w:pStyle w:val="Textodereglamento"/>
        <w:numPr>
          <w:ilvl w:val="0"/>
          <w:numId w:val="41"/>
        </w:numPr>
        <w:spacing w:before="0"/>
        <w:rPr>
          <w:rFonts w:ascii="Arial" w:hAnsi="Arial" w:cs="Arial"/>
          <w:szCs w:val="22"/>
          <w:lang w:val="es-CR"/>
        </w:rPr>
      </w:pPr>
      <w:r w:rsidRPr="00735E43">
        <w:rPr>
          <w:rFonts w:ascii="Arial" w:hAnsi="Arial" w:cs="Arial"/>
          <w:szCs w:val="22"/>
          <w:lang w:val="es-CR"/>
        </w:rPr>
        <w:t>Se reforma integralmente el “Cuadro de Información Periódica” que se cita en el artículo 2 del Acuerdo SGV-A-75, para que en adelante se lea de la siguiente forma:</w:t>
      </w:r>
    </w:p>
    <w:p w:rsidR="00C13149" w:rsidRPr="00735E43" w:rsidRDefault="00C13149" w:rsidP="00A8546D">
      <w:pPr>
        <w:pStyle w:val="Textodereglamento"/>
        <w:spacing w:before="0"/>
        <w:rPr>
          <w:rFonts w:ascii="Arial" w:hAnsi="Arial" w:cs="Arial"/>
          <w:szCs w:val="22"/>
          <w:lang w:val="es-CR"/>
        </w:rPr>
      </w:pPr>
    </w:p>
    <w:bookmarkStart w:id="1" w:name="_MON_1479710108"/>
    <w:bookmarkEnd w:id="1"/>
    <w:p w:rsidR="00D92630" w:rsidRPr="00735E43" w:rsidRDefault="00CC1C47" w:rsidP="00A8546D">
      <w:pPr>
        <w:pStyle w:val="Textodereglamento"/>
        <w:spacing w:before="0"/>
        <w:jc w:val="center"/>
        <w:rPr>
          <w:rFonts w:ascii="Arial" w:hAnsi="Arial" w:cs="Arial"/>
          <w:b/>
          <w:szCs w:val="22"/>
          <w:lang w:val="es-CR"/>
        </w:rPr>
      </w:pPr>
      <w:r w:rsidRPr="00735E43">
        <w:rPr>
          <w:rFonts w:ascii="Arial" w:hAnsi="Arial" w:cs="Arial"/>
          <w:b/>
          <w:szCs w:val="22"/>
          <w:lang w:val="es-CR"/>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2" o:title=""/>
          </v:shape>
          <o:OLEObject Type="Embed" ProgID="Excel.Sheet.8" ShapeID="_x0000_i1025" DrawAspect="Icon" ObjectID="_1574154311" r:id="rId13"/>
        </w:object>
      </w:r>
    </w:p>
    <w:p w:rsidR="00A679BA" w:rsidRPr="005E0AA2" w:rsidRDefault="00A679BA" w:rsidP="00C13149">
      <w:pPr>
        <w:rPr>
          <w:rFonts w:ascii="Arial" w:hAnsi="Arial" w:cs="Arial"/>
          <w:szCs w:val="22"/>
          <w:lang w:val="es-CR"/>
        </w:rPr>
      </w:pPr>
    </w:p>
    <w:p w:rsidR="00A679BA" w:rsidRPr="00735E43" w:rsidRDefault="00A679BA" w:rsidP="00055E1D">
      <w:pPr>
        <w:pStyle w:val="ListParagraph"/>
        <w:numPr>
          <w:ilvl w:val="0"/>
          <w:numId w:val="41"/>
        </w:numPr>
        <w:jc w:val="both"/>
        <w:rPr>
          <w:rFonts w:ascii="Arial" w:hAnsi="Arial" w:cs="Arial"/>
          <w:lang w:val="es-CR"/>
        </w:rPr>
      </w:pPr>
      <w:r w:rsidRPr="00735E43">
        <w:rPr>
          <w:rFonts w:ascii="Arial" w:hAnsi="Arial" w:cs="Arial"/>
          <w:lang w:val="es-CR"/>
        </w:rPr>
        <w:t xml:space="preserve">Se derogan los incisos a. y n. del artículo 8 </w:t>
      </w:r>
      <w:r w:rsidRPr="00735E43">
        <w:rPr>
          <w:rFonts w:ascii="Arial" w:hAnsi="Arial" w:cs="Arial"/>
          <w:i/>
          <w:lang w:val="es-CR"/>
        </w:rPr>
        <w:t>Naturaleza de la información periódica, divulgación  y registro</w:t>
      </w:r>
      <w:r w:rsidRPr="00735E43">
        <w:rPr>
          <w:rFonts w:ascii="Arial" w:hAnsi="Arial" w:cs="Arial"/>
          <w:lang w:val="es-CR"/>
        </w:rPr>
        <w:t>, y se adicionan los incisos q. y r. que se leerán de la siguiente manera:</w:t>
      </w:r>
    </w:p>
    <w:p w:rsidR="00A679BA" w:rsidRPr="00735E43" w:rsidRDefault="00A679BA" w:rsidP="00055E1D">
      <w:pPr>
        <w:ind w:left="1134" w:right="704"/>
        <w:jc w:val="both"/>
        <w:rPr>
          <w:rFonts w:ascii="Arial" w:hAnsi="Arial" w:cs="Arial"/>
          <w:i/>
          <w:szCs w:val="22"/>
          <w:lang w:val="es-CR"/>
        </w:rPr>
      </w:pPr>
      <w:r w:rsidRPr="00735E43">
        <w:rPr>
          <w:rFonts w:ascii="Arial" w:hAnsi="Arial" w:cs="Arial"/>
          <w:i/>
          <w:szCs w:val="22"/>
          <w:lang w:val="es-CR"/>
        </w:rPr>
        <w:t>“q. Reporte de Clasificación de riesgo de los clientes Normativa Ley 8204 (Anexo 49)</w:t>
      </w:r>
    </w:p>
    <w:p w:rsidR="00A679BA" w:rsidRPr="00735E43" w:rsidRDefault="00A679BA" w:rsidP="00055E1D">
      <w:pPr>
        <w:ind w:left="1134" w:right="704"/>
        <w:jc w:val="both"/>
        <w:rPr>
          <w:rFonts w:ascii="Arial" w:hAnsi="Arial" w:cs="Arial"/>
          <w:i/>
          <w:szCs w:val="22"/>
          <w:lang w:val="es-CR"/>
        </w:rPr>
      </w:pPr>
    </w:p>
    <w:p w:rsidR="00055E1D" w:rsidRPr="00735E43" w:rsidRDefault="00A679BA" w:rsidP="00055E1D">
      <w:pPr>
        <w:ind w:left="1134" w:right="704"/>
        <w:jc w:val="both"/>
        <w:rPr>
          <w:rFonts w:ascii="Arial" w:hAnsi="Arial" w:cs="Arial"/>
          <w:i/>
          <w:szCs w:val="22"/>
          <w:lang w:val="es-CR"/>
        </w:rPr>
      </w:pPr>
      <w:r w:rsidRPr="00735E43">
        <w:rPr>
          <w:rFonts w:ascii="Arial" w:hAnsi="Arial" w:cs="Arial"/>
          <w:i/>
          <w:szCs w:val="22"/>
          <w:lang w:val="es-CR"/>
        </w:rPr>
        <w:t xml:space="preserve">r. </w:t>
      </w:r>
      <w:r w:rsidR="00055E1D" w:rsidRPr="00735E43">
        <w:rPr>
          <w:rFonts w:ascii="Arial" w:hAnsi="Arial" w:cs="Arial"/>
          <w:i/>
          <w:szCs w:val="22"/>
          <w:lang w:val="es-CR"/>
        </w:rPr>
        <w:t xml:space="preserve">Identificación de inversionistas en Reporte de Concentración de Inversionistas (Anexo 17 RC_FONDOS, cuentas </w:t>
      </w:r>
      <w:r w:rsidR="007B3029" w:rsidRPr="00735E43">
        <w:rPr>
          <w:rFonts w:ascii="Arial" w:hAnsi="Arial" w:cs="Arial"/>
          <w:i/>
          <w:szCs w:val="22"/>
          <w:lang w:val="es-CR"/>
        </w:rPr>
        <w:t>302020100000</w:t>
      </w:r>
      <w:r w:rsidR="00587575" w:rsidRPr="00735E43">
        <w:rPr>
          <w:rFonts w:ascii="Arial" w:hAnsi="Arial" w:cs="Arial"/>
          <w:i/>
          <w:szCs w:val="22"/>
          <w:lang w:val="es-CR"/>
        </w:rPr>
        <w:t xml:space="preserve"> a</w:t>
      </w:r>
      <w:r w:rsidR="007B3029" w:rsidRPr="00735E43">
        <w:rPr>
          <w:rFonts w:ascii="Arial" w:hAnsi="Arial" w:cs="Arial"/>
          <w:i/>
          <w:szCs w:val="22"/>
          <w:lang w:val="es-CR"/>
        </w:rPr>
        <w:t xml:space="preserve"> 302020990000, </w:t>
      </w:r>
      <w:r w:rsidR="00587575" w:rsidRPr="00735E43">
        <w:rPr>
          <w:rFonts w:ascii="Arial" w:hAnsi="Arial" w:cs="Arial"/>
          <w:i/>
          <w:szCs w:val="22"/>
          <w:lang w:val="es-CR"/>
        </w:rPr>
        <w:t>así</w:t>
      </w:r>
      <w:r w:rsidR="007B3029" w:rsidRPr="00735E43">
        <w:rPr>
          <w:rFonts w:ascii="Arial" w:hAnsi="Arial" w:cs="Arial"/>
          <w:i/>
          <w:szCs w:val="22"/>
          <w:lang w:val="es-CR"/>
        </w:rPr>
        <w:t xml:space="preserve"> como: </w:t>
      </w:r>
      <w:r w:rsidR="00055E1D" w:rsidRPr="00735E43">
        <w:rPr>
          <w:rFonts w:ascii="Arial" w:hAnsi="Arial" w:cs="Arial"/>
          <w:i/>
          <w:szCs w:val="22"/>
          <w:lang w:val="es-CR"/>
        </w:rPr>
        <w:t>303010201011 a 303010201015; de 303010201021 a 303010201031, de 303010202011 a 303010202015; y de 303010202021 a 303010202031)”</w:t>
      </w:r>
    </w:p>
    <w:p w:rsidR="006B294F" w:rsidRPr="005E0AA2" w:rsidRDefault="006B294F" w:rsidP="00055E1D">
      <w:pPr>
        <w:rPr>
          <w:rFonts w:ascii="Arial" w:hAnsi="Arial" w:cs="Arial"/>
          <w:szCs w:val="22"/>
          <w:lang w:val="es-CR"/>
        </w:rPr>
      </w:pPr>
    </w:p>
    <w:p w:rsidR="006B294F" w:rsidRPr="00735E43" w:rsidRDefault="006B294F" w:rsidP="006B294F">
      <w:pPr>
        <w:pStyle w:val="ListParagraph"/>
        <w:numPr>
          <w:ilvl w:val="0"/>
          <w:numId w:val="41"/>
        </w:numPr>
        <w:jc w:val="both"/>
        <w:rPr>
          <w:rFonts w:ascii="Arial" w:hAnsi="Arial" w:cs="Arial"/>
          <w:lang w:val="es-CR"/>
        </w:rPr>
      </w:pPr>
      <w:r w:rsidRPr="00735E43">
        <w:rPr>
          <w:rFonts w:ascii="Arial" w:hAnsi="Arial" w:cs="Arial"/>
          <w:lang w:val="es-CR"/>
        </w:rPr>
        <w:t>Se modifica el artículo 12 del acuerdo, que se leerá de la siguiente manera:</w:t>
      </w:r>
    </w:p>
    <w:p w:rsidR="006B294F" w:rsidRPr="005E0AA2" w:rsidRDefault="006B294F" w:rsidP="00055E1D">
      <w:pPr>
        <w:rPr>
          <w:rFonts w:ascii="Arial" w:hAnsi="Arial" w:cs="Arial"/>
          <w:szCs w:val="22"/>
          <w:lang w:val="es-CR"/>
        </w:rPr>
      </w:pPr>
    </w:p>
    <w:p w:rsidR="006B294F" w:rsidRPr="00735E43" w:rsidRDefault="006B294F" w:rsidP="006B294F">
      <w:pPr>
        <w:ind w:left="1134" w:right="704"/>
        <w:jc w:val="both"/>
        <w:rPr>
          <w:rFonts w:ascii="Arial" w:hAnsi="Arial" w:cs="Arial"/>
          <w:i/>
          <w:szCs w:val="22"/>
          <w:lang w:val="es-CR"/>
        </w:rPr>
      </w:pPr>
      <w:r w:rsidRPr="00735E43">
        <w:rPr>
          <w:rFonts w:ascii="Arial" w:hAnsi="Arial" w:cs="Arial"/>
          <w:i/>
          <w:szCs w:val="22"/>
          <w:lang w:val="es-CR"/>
        </w:rPr>
        <w:t xml:space="preserve">“Artículo 12. Disposiciones adicionales sobre sociedades administradoras, </w:t>
      </w:r>
      <w:r w:rsidRPr="00735E43">
        <w:rPr>
          <w:rFonts w:ascii="Arial" w:hAnsi="Arial" w:cs="Arial"/>
          <w:b/>
          <w:i/>
          <w:szCs w:val="22"/>
          <w:lang w:val="es-CR"/>
        </w:rPr>
        <w:t xml:space="preserve">sociedades fiduciarias y sociedades </w:t>
      </w:r>
      <w:proofErr w:type="spellStart"/>
      <w:r w:rsidRPr="00735E43">
        <w:rPr>
          <w:rFonts w:ascii="Arial" w:hAnsi="Arial" w:cs="Arial"/>
          <w:b/>
          <w:i/>
          <w:szCs w:val="22"/>
          <w:lang w:val="es-CR"/>
        </w:rPr>
        <w:t>titularizadoras</w:t>
      </w:r>
      <w:proofErr w:type="spellEnd"/>
      <w:r w:rsidRPr="00735E43">
        <w:rPr>
          <w:rFonts w:ascii="Arial" w:hAnsi="Arial" w:cs="Arial"/>
          <w:i/>
          <w:szCs w:val="22"/>
          <w:lang w:val="es-CR"/>
        </w:rPr>
        <w:t>.</w:t>
      </w:r>
    </w:p>
    <w:p w:rsidR="006B294F" w:rsidRPr="00735E43" w:rsidRDefault="006B294F" w:rsidP="006B294F">
      <w:pPr>
        <w:ind w:left="1134" w:right="704"/>
        <w:jc w:val="both"/>
        <w:rPr>
          <w:rFonts w:ascii="Arial" w:hAnsi="Arial" w:cs="Arial"/>
          <w:i/>
          <w:szCs w:val="22"/>
          <w:lang w:val="es-CR"/>
        </w:rPr>
      </w:pPr>
    </w:p>
    <w:p w:rsidR="00587575" w:rsidRPr="00735E43" w:rsidRDefault="006B294F" w:rsidP="00670677">
      <w:pPr>
        <w:ind w:left="1134" w:right="704"/>
        <w:jc w:val="both"/>
        <w:rPr>
          <w:rFonts w:ascii="Arial" w:hAnsi="Arial" w:cs="Arial"/>
          <w:i/>
          <w:szCs w:val="22"/>
          <w:lang w:val="es-CR"/>
        </w:rPr>
      </w:pPr>
      <w:r w:rsidRPr="00735E43">
        <w:rPr>
          <w:rFonts w:ascii="Arial" w:hAnsi="Arial" w:cs="Arial"/>
          <w:i/>
          <w:szCs w:val="22"/>
          <w:lang w:val="es-CR"/>
        </w:rPr>
        <w:t xml:space="preserve">Para el caso de fondos de inversión, y los fideicomisos similares a los fondos de inversión o de pensión, </w:t>
      </w:r>
      <w:r w:rsidRPr="00735E43">
        <w:rPr>
          <w:rFonts w:ascii="Arial" w:hAnsi="Arial" w:cs="Arial"/>
          <w:b/>
          <w:i/>
          <w:szCs w:val="22"/>
          <w:lang w:val="es-CR"/>
        </w:rPr>
        <w:t>los fideicomisos y las universalidades</w:t>
      </w:r>
      <w:r w:rsidRPr="00735E43">
        <w:rPr>
          <w:rFonts w:ascii="Arial" w:hAnsi="Arial" w:cs="Arial"/>
          <w:i/>
          <w:szCs w:val="22"/>
          <w:lang w:val="es-CR"/>
        </w:rPr>
        <w:t xml:space="preserve">, las sociedades administradoras, las sociedades fiduciarias y las sociedades </w:t>
      </w:r>
      <w:proofErr w:type="spellStart"/>
      <w:r w:rsidRPr="00735E43">
        <w:rPr>
          <w:rFonts w:ascii="Arial" w:hAnsi="Arial" w:cs="Arial"/>
          <w:i/>
          <w:szCs w:val="22"/>
          <w:lang w:val="es-CR"/>
        </w:rPr>
        <w:t>titularizadoras</w:t>
      </w:r>
      <w:proofErr w:type="spellEnd"/>
      <w:r w:rsidRPr="00735E43">
        <w:rPr>
          <w:rFonts w:ascii="Arial" w:hAnsi="Arial" w:cs="Arial"/>
          <w:i/>
          <w:szCs w:val="22"/>
          <w:lang w:val="es-CR"/>
        </w:rPr>
        <w:t xml:space="preserve"> deben presentar los estados financieros auditados y el dictamen del auditor, en forma individual para cada fondo, </w:t>
      </w:r>
      <w:r w:rsidRPr="00735E43">
        <w:rPr>
          <w:rFonts w:ascii="Arial" w:hAnsi="Arial" w:cs="Arial"/>
          <w:b/>
          <w:i/>
          <w:szCs w:val="22"/>
          <w:lang w:val="es-CR"/>
        </w:rPr>
        <w:t>fideicomiso o universalidad</w:t>
      </w:r>
      <w:r w:rsidRPr="00735E43">
        <w:rPr>
          <w:rFonts w:ascii="Arial" w:hAnsi="Arial" w:cs="Arial"/>
          <w:i/>
          <w:szCs w:val="22"/>
          <w:lang w:val="es-CR"/>
        </w:rPr>
        <w:t xml:space="preserve"> que administren.” </w:t>
      </w:r>
    </w:p>
    <w:p w:rsidR="00587575" w:rsidRPr="00735E43" w:rsidRDefault="00587575" w:rsidP="00587575">
      <w:pPr>
        <w:ind w:right="704"/>
        <w:jc w:val="both"/>
        <w:rPr>
          <w:rFonts w:ascii="Arial" w:hAnsi="Arial" w:cs="Arial"/>
          <w:i/>
          <w:szCs w:val="22"/>
          <w:lang w:val="es-CR"/>
        </w:rPr>
      </w:pPr>
    </w:p>
    <w:p w:rsidR="00735E43" w:rsidRPr="00735E43" w:rsidRDefault="00735E43" w:rsidP="00735E43">
      <w:pPr>
        <w:jc w:val="both"/>
        <w:rPr>
          <w:rFonts w:ascii="Arial" w:hAnsi="Arial" w:cs="Arial"/>
          <w:b/>
          <w:color w:val="000000" w:themeColor="text1"/>
          <w:lang w:val="es-CR"/>
        </w:rPr>
      </w:pPr>
      <w:r w:rsidRPr="00735E43">
        <w:rPr>
          <w:rFonts w:ascii="Arial" w:hAnsi="Arial" w:cs="Arial"/>
          <w:b/>
          <w:color w:val="000000" w:themeColor="text1"/>
          <w:szCs w:val="22"/>
          <w:lang w:val="es-CR"/>
        </w:rPr>
        <w:t>Artículo 3. Inclusión de nuevos participantes y productos</w:t>
      </w:r>
    </w:p>
    <w:p w:rsidR="00780CC6" w:rsidRPr="005E0AA2" w:rsidRDefault="00780CC6" w:rsidP="00587575">
      <w:pPr>
        <w:ind w:right="704"/>
        <w:jc w:val="both"/>
        <w:rPr>
          <w:rFonts w:ascii="Arial" w:hAnsi="Arial" w:cs="Arial"/>
          <w:szCs w:val="22"/>
          <w:lang w:val="es-CR"/>
        </w:rPr>
      </w:pPr>
    </w:p>
    <w:p w:rsidR="00642E07" w:rsidRPr="00735E43" w:rsidRDefault="002A05E8" w:rsidP="00985AF0">
      <w:pPr>
        <w:jc w:val="both"/>
        <w:rPr>
          <w:rFonts w:ascii="Arial" w:hAnsi="Arial" w:cs="Arial"/>
          <w:szCs w:val="22"/>
          <w:lang w:val="es-CR"/>
        </w:rPr>
      </w:pPr>
      <w:r w:rsidRPr="00735E43">
        <w:rPr>
          <w:rFonts w:ascii="Arial" w:hAnsi="Arial" w:cs="Arial"/>
          <w:szCs w:val="22"/>
          <w:lang w:val="es-CR"/>
        </w:rPr>
        <w:t>Se adiciona</w:t>
      </w:r>
      <w:r w:rsidR="00B55E65" w:rsidRPr="00735E43">
        <w:rPr>
          <w:rFonts w:ascii="Arial" w:hAnsi="Arial" w:cs="Arial"/>
          <w:szCs w:val="22"/>
          <w:lang w:val="es-CR"/>
        </w:rPr>
        <w:t xml:space="preserve"> al</w:t>
      </w:r>
      <w:r w:rsidR="00642E07" w:rsidRPr="00735E43">
        <w:rPr>
          <w:rFonts w:ascii="Arial" w:hAnsi="Arial" w:cs="Arial"/>
          <w:szCs w:val="22"/>
          <w:lang w:val="es-CR"/>
        </w:rPr>
        <w:t xml:space="preserve"> Cuadro de Información Periódica la solicitud de información para las </w:t>
      </w:r>
      <w:r w:rsidR="00B55E65" w:rsidRPr="00735E43">
        <w:rPr>
          <w:rFonts w:ascii="Arial" w:hAnsi="Arial" w:cs="Arial"/>
          <w:szCs w:val="22"/>
          <w:lang w:val="es-CR"/>
        </w:rPr>
        <w:t>Sociedades</w:t>
      </w:r>
      <w:r w:rsidR="00642E07" w:rsidRPr="00735E43">
        <w:rPr>
          <w:rFonts w:ascii="Arial" w:hAnsi="Arial" w:cs="Arial"/>
          <w:szCs w:val="22"/>
          <w:lang w:val="es-CR"/>
        </w:rPr>
        <w:t xml:space="preserve"> </w:t>
      </w:r>
      <w:proofErr w:type="spellStart"/>
      <w:r w:rsidR="00642E07" w:rsidRPr="00735E43">
        <w:rPr>
          <w:rFonts w:ascii="Arial" w:hAnsi="Arial" w:cs="Arial"/>
          <w:szCs w:val="22"/>
          <w:lang w:val="es-CR"/>
        </w:rPr>
        <w:t>Titularizadoras</w:t>
      </w:r>
      <w:proofErr w:type="spellEnd"/>
      <w:r w:rsidR="00642E07" w:rsidRPr="00735E43">
        <w:rPr>
          <w:rFonts w:ascii="Arial" w:hAnsi="Arial" w:cs="Arial"/>
          <w:szCs w:val="22"/>
          <w:lang w:val="es-CR"/>
        </w:rPr>
        <w:t xml:space="preserve"> y sus correspondientes Universalidades, así como las </w:t>
      </w:r>
      <w:r w:rsidR="00985AF0" w:rsidRPr="00735E43">
        <w:rPr>
          <w:rFonts w:ascii="Arial" w:hAnsi="Arial" w:cs="Arial"/>
          <w:szCs w:val="22"/>
          <w:lang w:val="es-CR"/>
        </w:rPr>
        <w:t>Sociedades</w:t>
      </w:r>
      <w:r w:rsidR="00642E07" w:rsidRPr="00735E43">
        <w:rPr>
          <w:rFonts w:ascii="Arial" w:hAnsi="Arial" w:cs="Arial"/>
          <w:szCs w:val="22"/>
          <w:lang w:val="es-CR"/>
        </w:rPr>
        <w:t xml:space="preserve"> Fiduciarias, en la hoja “Tipo de entidad: “</w:t>
      </w:r>
      <w:proofErr w:type="spellStart"/>
      <w:r w:rsidR="00642E07" w:rsidRPr="00735E43">
        <w:rPr>
          <w:rFonts w:ascii="Arial" w:hAnsi="Arial" w:cs="Arial"/>
          <w:szCs w:val="22"/>
          <w:lang w:val="es-CR"/>
        </w:rPr>
        <w:t>Titularizadoras</w:t>
      </w:r>
      <w:proofErr w:type="spellEnd"/>
      <w:r w:rsidR="00642E07" w:rsidRPr="00735E43">
        <w:rPr>
          <w:rFonts w:ascii="Arial" w:hAnsi="Arial" w:cs="Arial"/>
          <w:szCs w:val="22"/>
          <w:lang w:val="es-CR"/>
        </w:rPr>
        <w:t xml:space="preserve">, Universalidades y Fiduciarias” de acuerdo con el </w:t>
      </w:r>
      <w:r w:rsidR="00DC0D87" w:rsidRPr="00735E43">
        <w:rPr>
          <w:rFonts w:ascii="Arial" w:hAnsi="Arial" w:cs="Arial"/>
          <w:szCs w:val="22"/>
          <w:lang w:val="es-CR"/>
        </w:rPr>
        <w:t>detalle revelado en el Cuadro de Información Periódica los siguientes reportes:</w:t>
      </w:r>
    </w:p>
    <w:p w:rsidR="00985AF0" w:rsidRPr="00735E43" w:rsidRDefault="00985AF0" w:rsidP="00985AF0">
      <w:pPr>
        <w:jc w:val="both"/>
        <w:rPr>
          <w:rFonts w:ascii="Arial" w:hAnsi="Arial" w:cs="Arial"/>
          <w:szCs w:val="22"/>
          <w:lang w:val="es-CR"/>
        </w:rPr>
      </w:pPr>
    </w:p>
    <w:p w:rsidR="00DC0D87" w:rsidRPr="00735E43" w:rsidRDefault="00DC0D87" w:rsidP="00985AF0">
      <w:pPr>
        <w:pStyle w:val="ListParagraph"/>
        <w:numPr>
          <w:ilvl w:val="0"/>
          <w:numId w:val="37"/>
        </w:numPr>
        <w:rPr>
          <w:rFonts w:ascii="Arial" w:hAnsi="Arial" w:cs="Arial"/>
          <w:b/>
          <w:lang w:val="es-CR"/>
        </w:rPr>
      </w:pPr>
      <w:r w:rsidRPr="00735E43">
        <w:rPr>
          <w:rFonts w:ascii="Arial" w:hAnsi="Arial" w:cs="Arial"/>
          <w:b/>
          <w:lang w:val="es-CR"/>
        </w:rPr>
        <w:t xml:space="preserve">Sociedades </w:t>
      </w:r>
      <w:proofErr w:type="spellStart"/>
      <w:r w:rsidRPr="00735E43">
        <w:rPr>
          <w:rFonts w:ascii="Arial" w:hAnsi="Arial" w:cs="Arial"/>
          <w:b/>
          <w:lang w:val="es-CR"/>
        </w:rPr>
        <w:t>Titularizadoras</w:t>
      </w:r>
      <w:proofErr w:type="spellEnd"/>
      <w:r w:rsidRPr="00735E43">
        <w:rPr>
          <w:rFonts w:ascii="Arial" w:hAnsi="Arial" w:cs="Arial"/>
          <w:b/>
          <w:lang w:val="es-CR"/>
        </w:rPr>
        <w:t xml:space="preserve"> y Fiduciarias </w:t>
      </w:r>
    </w:p>
    <w:p w:rsidR="00DC0D87" w:rsidRPr="00735E43" w:rsidRDefault="00DC0D87" w:rsidP="00985AF0">
      <w:pPr>
        <w:pStyle w:val="ListParagraph"/>
        <w:numPr>
          <w:ilvl w:val="0"/>
          <w:numId w:val="38"/>
        </w:numPr>
        <w:spacing w:line="240" w:lineRule="auto"/>
        <w:rPr>
          <w:rFonts w:ascii="Arial" w:hAnsi="Arial" w:cs="Arial"/>
          <w:lang w:val="es-CR"/>
        </w:rPr>
      </w:pPr>
      <w:r w:rsidRPr="00735E43">
        <w:rPr>
          <w:rFonts w:ascii="Arial" w:hAnsi="Arial" w:cs="Arial"/>
          <w:lang w:val="es-CR"/>
        </w:rPr>
        <w:t xml:space="preserve">Estados financieros auditados  </w:t>
      </w:r>
    </w:p>
    <w:p w:rsidR="00DC0D87" w:rsidRPr="00735E43" w:rsidRDefault="00DC0D87" w:rsidP="00985AF0">
      <w:pPr>
        <w:pStyle w:val="ListParagraph"/>
        <w:numPr>
          <w:ilvl w:val="0"/>
          <w:numId w:val="38"/>
        </w:numPr>
        <w:spacing w:line="240" w:lineRule="auto"/>
        <w:rPr>
          <w:rFonts w:ascii="Arial" w:hAnsi="Arial" w:cs="Arial"/>
          <w:lang w:val="es-CR"/>
        </w:rPr>
      </w:pPr>
      <w:r w:rsidRPr="00735E43">
        <w:rPr>
          <w:rFonts w:ascii="Arial" w:hAnsi="Arial" w:cs="Arial"/>
          <w:lang w:val="es-CR"/>
        </w:rPr>
        <w:t xml:space="preserve">Carta de Gerencia </w:t>
      </w:r>
    </w:p>
    <w:p w:rsidR="00DC0D87" w:rsidRPr="00735E43" w:rsidRDefault="00DC0D87" w:rsidP="00985AF0">
      <w:pPr>
        <w:pStyle w:val="ListParagraph"/>
        <w:numPr>
          <w:ilvl w:val="0"/>
          <w:numId w:val="38"/>
        </w:numPr>
        <w:spacing w:line="240" w:lineRule="auto"/>
        <w:rPr>
          <w:rFonts w:ascii="Arial" w:hAnsi="Arial" w:cs="Arial"/>
          <w:lang w:val="es-CR"/>
        </w:rPr>
      </w:pPr>
      <w:r w:rsidRPr="00735E43">
        <w:rPr>
          <w:rFonts w:ascii="Arial" w:hAnsi="Arial" w:cs="Arial"/>
          <w:lang w:val="es-CR"/>
        </w:rPr>
        <w:t xml:space="preserve">Comunicación del nombre del Contador Público Autorizado o firma de auditores externos del emisor y los garantes   </w:t>
      </w:r>
    </w:p>
    <w:p w:rsidR="00DC0D87" w:rsidRPr="00735E43" w:rsidRDefault="00DC0D87" w:rsidP="00985AF0">
      <w:pPr>
        <w:pStyle w:val="ListParagraph"/>
        <w:numPr>
          <w:ilvl w:val="0"/>
          <w:numId w:val="38"/>
        </w:numPr>
        <w:spacing w:line="240" w:lineRule="auto"/>
        <w:rPr>
          <w:rFonts w:ascii="Arial" w:hAnsi="Arial" w:cs="Arial"/>
          <w:lang w:val="es-CR"/>
        </w:rPr>
      </w:pPr>
      <w:r w:rsidRPr="00735E43">
        <w:rPr>
          <w:rFonts w:ascii="Arial" w:hAnsi="Arial" w:cs="Arial"/>
          <w:lang w:val="es-CR"/>
        </w:rPr>
        <w:t xml:space="preserve">Informe de Gobierno Corporativo </w:t>
      </w:r>
    </w:p>
    <w:p w:rsidR="00DC0D87" w:rsidRPr="00735E43" w:rsidRDefault="00DC0D87" w:rsidP="00985AF0">
      <w:pPr>
        <w:pStyle w:val="ListParagraph"/>
        <w:numPr>
          <w:ilvl w:val="0"/>
          <w:numId w:val="38"/>
        </w:numPr>
        <w:spacing w:line="240" w:lineRule="auto"/>
        <w:rPr>
          <w:rFonts w:ascii="Arial" w:hAnsi="Arial" w:cs="Arial"/>
          <w:lang w:val="es-CR"/>
        </w:rPr>
      </w:pPr>
      <w:r w:rsidRPr="00735E43">
        <w:rPr>
          <w:rFonts w:ascii="Arial" w:hAnsi="Arial" w:cs="Arial"/>
          <w:lang w:val="es-CR"/>
        </w:rPr>
        <w:lastRenderedPageBreak/>
        <w:t>Informe anual del Auditor Externo sobre prevención y control de legitimación de capitales y financiamiento al terrorismo</w:t>
      </w:r>
    </w:p>
    <w:p w:rsidR="00C456AA" w:rsidRPr="00735E43" w:rsidRDefault="00C456AA" w:rsidP="00985AF0">
      <w:pPr>
        <w:pStyle w:val="ListParagraph"/>
        <w:numPr>
          <w:ilvl w:val="0"/>
          <w:numId w:val="38"/>
        </w:numPr>
        <w:spacing w:line="240" w:lineRule="auto"/>
        <w:rPr>
          <w:rFonts w:ascii="Arial" w:hAnsi="Arial" w:cs="Arial"/>
          <w:lang w:val="es-CR"/>
        </w:rPr>
      </w:pPr>
      <w:r w:rsidRPr="00735E43">
        <w:rPr>
          <w:rFonts w:ascii="Arial" w:hAnsi="Arial" w:cs="Arial"/>
          <w:lang w:val="es-CR"/>
        </w:rPr>
        <w:t xml:space="preserve">Reporte de suficiencia patrimonial y control de límites </w:t>
      </w:r>
    </w:p>
    <w:p w:rsidR="001E18A9" w:rsidRPr="00735E43" w:rsidRDefault="00C456AA" w:rsidP="00796347">
      <w:pPr>
        <w:pStyle w:val="ListParagraph"/>
        <w:numPr>
          <w:ilvl w:val="0"/>
          <w:numId w:val="38"/>
        </w:numPr>
        <w:spacing w:line="240" w:lineRule="auto"/>
        <w:jc w:val="both"/>
        <w:rPr>
          <w:rFonts w:ascii="Arial" w:hAnsi="Arial" w:cs="Arial"/>
          <w:lang w:val="es-CR"/>
        </w:rPr>
      </w:pPr>
      <w:r w:rsidRPr="00735E43">
        <w:rPr>
          <w:rFonts w:ascii="Arial" w:hAnsi="Arial" w:cs="Arial"/>
          <w:lang w:val="es-CR"/>
        </w:rPr>
        <w:t>Cuadro resumen de títulos valores recibidos o entregados al portador</w:t>
      </w:r>
    </w:p>
    <w:p w:rsidR="008A5947" w:rsidRPr="00735E43" w:rsidRDefault="001E18A9" w:rsidP="00796347">
      <w:pPr>
        <w:pStyle w:val="ListParagraph"/>
        <w:numPr>
          <w:ilvl w:val="0"/>
          <w:numId w:val="38"/>
        </w:numPr>
        <w:spacing w:line="240" w:lineRule="auto"/>
        <w:jc w:val="both"/>
        <w:rPr>
          <w:rFonts w:ascii="Arial" w:hAnsi="Arial" w:cs="Arial"/>
          <w:lang w:val="es-CR"/>
        </w:rPr>
      </w:pPr>
      <w:r w:rsidRPr="00735E43">
        <w:rPr>
          <w:rFonts w:ascii="Arial" w:hAnsi="Arial" w:cs="Arial"/>
          <w:lang w:val="es-CR"/>
        </w:rPr>
        <w:t>Estados financieros no auditados mensuales</w:t>
      </w:r>
      <w:r w:rsidR="008137D3" w:rsidRPr="00735E43">
        <w:rPr>
          <w:rFonts w:ascii="Arial" w:hAnsi="Arial" w:cs="Arial"/>
          <w:lang w:val="es-CR"/>
        </w:rPr>
        <w:t>,</w:t>
      </w:r>
      <w:r w:rsidR="008A5947" w:rsidRPr="00735E43">
        <w:rPr>
          <w:rFonts w:ascii="Arial" w:hAnsi="Arial" w:cs="Arial"/>
          <w:lang w:val="es-CR"/>
        </w:rPr>
        <w:t xml:space="preserve"> de acuerdo con el siguiente detalle:</w:t>
      </w:r>
    </w:p>
    <w:p w:rsidR="00C456AA" w:rsidRPr="00735E43" w:rsidRDefault="00C456AA" w:rsidP="00A8546D">
      <w:pPr>
        <w:pStyle w:val="ListParagraph"/>
        <w:spacing w:line="240" w:lineRule="auto"/>
        <w:ind w:left="1800"/>
        <w:rPr>
          <w:rFonts w:ascii="Arial" w:hAnsi="Arial" w:cs="Arial"/>
          <w:lang w:val="es-CR"/>
        </w:rPr>
      </w:pPr>
    </w:p>
    <w:p w:rsidR="00DC0D87" w:rsidRPr="00735E43" w:rsidRDefault="00DC0D87" w:rsidP="00A8546D">
      <w:pPr>
        <w:pStyle w:val="ListParagraph"/>
        <w:spacing w:line="240" w:lineRule="auto"/>
        <w:ind w:left="1800"/>
        <w:rPr>
          <w:rFonts w:ascii="Arial" w:hAnsi="Arial" w:cs="Arial"/>
          <w:b/>
          <w:lang w:val="es-CR"/>
        </w:rPr>
      </w:pPr>
      <w:r w:rsidRPr="00735E43">
        <w:rPr>
          <w:rFonts w:ascii="Arial" w:hAnsi="Arial" w:cs="Arial"/>
          <w:lang w:val="es-CR"/>
        </w:rPr>
        <w:t xml:space="preserve"> </w:t>
      </w:r>
      <w:bookmarkStart w:id="2" w:name="_MON_1474185452"/>
      <w:bookmarkEnd w:id="2"/>
      <w:r w:rsidR="001B514A" w:rsidRPr="00735E43">
        <w:rPr>
          <w:rFonts w:ascii="Arial" w:hAnsi="Arial" w:cs="Arial"/>
          <w:b/>
          <w:lang w:val="es-CR"/>
        </w:rPr>
        <w:object w:dxaOrig="1550" w:dyaOrig="991">
          <v:shape id="_x0000_i1026" type="#_x0000_t75" style="width:77.25pt;height:49.5pt" o:ole="">
            <v:imagedata r:id="rId14" o:title=""/>
          </v:shape>
          <o:OLEObject Type="Embed" ProgID="Excel.Sheet.8" ShapeID="_x0000_i1026" DrawAspect="Icon" ObjectID="_1574154312" r:id="rId15"/>
        </w:object>
      </w:r>
      <w:bookmarkStart w:id="3" w:name="_MON_1474195813"/>
      <w:bookmarkEnd w:id="3"/>
      <w:r w:rsidR="0046049A" w:rsidRPr="00735E43">
        <w:rPr>
          <w:rFonts w:ascii="Arial" w:hAnsi="Arial" w:cs="Arial"/>
          <w:b/>
          <w:lang w:val="es-CR"/>
        </w:rPr>
        <w:object w:dxaOrig="1550" w:dyaOrig="991">
          <v:shape id="_x0000_i1027" type="#_x0000_t75" style="width:77.25pt;height:49.5pt" o:ole="">
            <v:imagedata r:id="rId16" o:title=""/>
          </v:shape>
          <o:OLEObject Type="Embed" ProgID="Excel.Sheet.8" ShapeID="_x0000_i1027" DrawAspect="Icon" ObjectID="_1574154313" r:id="rId17"/>
        </w:object>
      </w:r>
    </w:p>
    <w:p w:rsidR="008137D3" w:rsidRPr="00735E43" w:rsidRDefault="008137D3" w:rsidP="008137D3">
      <w:pPr>
        <w:pStyle w:val="ListParagraph"/>
        <w:numPr>
          <w:ilvl w:val="0"/>
          <w:numId w:val="38"/>
        </w:numPr>
        <w:rPr>
          <w:rFonts w:ascii="Arial" w:hAnsi="Arial" w:cs="Arial"/>
          <w:lang w:val="es-CR"/>
        </w:rPr>
      </w:pPr>
      <w:r w:rsidRPr="00735E43">
        <w:rPr>
          <w:rFonts w:ascii="Arial" w:hAnsi="Arial" w:cs="Arial"/>
          <w:lang w:val="es-CR"/>
        </w:rPr>
        <w:t xml:space="preserve">Reporte de inversiones propias  </w:t>
      </w:r>
    </w:p>
    <w:p w:rsidR="008137D3" w:rsidRPr="00735E43" w:rsidRDefault="008137D3" w:rsidP="008137D3">
      <w:pPr>
        <w:pStyle w:val="ListParagraph"/>
        <w:numPr>
          <w:ilvl w:val="0"/>
          <w:numId w:val="38"/>
        </w:numPr>
        <w:rPr>
          <w:rFonts w:ascii="Arial" w:hAnsi="Arial" w:cs="Arial"/>
          <w:lang w:val="es-CR"/>
        </w:rPr>
      </w:pPr>
      <w:r w:rsidRPr="00735E43">
        <w:rPr>
          <w:rFonts w:ascii="Arial" w:hAnsi="Arial" w:cs="Arial"/>
          <w:lang w:val="es-CR"/>
        </w:rPr>
        <w:t>Cuadro resumen operaciones únicas y múltiples</w:t>
      </w:r>
    </w:p>
    <w:p w:rsidR="001E18A9" w:rsidRPr="00735E43" w:rsidRDefault="001E18A9" w:rsidP="004B7A9B">
      <w:pPr>
        <w:rPr>
          <w:rFonts w:ascii="Arial" w:hAnsi="Arial" w:cs="Arial"/>
          <w:szCs w:val="22"/>
          <w:lang w:val="es-CR"/>
        </w:rPr>
      </w:pPr>
    </w:p>
    <w:p w:rsidR="00DC0D87" w:rsidRPr="00735E43" w:rsidRDefault="00DC0D87" w:rsidP="00985AF0">
      <w:pPr>
        <w:pStyle w:val="ListParagraph"/>
        <w:numPr>
          <w:ilvl w:val="0"/>
          <w:numId w:val="37"/>
        </w:numPr>
        <w:rPr>
          <w:rFonts w:ascii="Arial" w:hAnsi="Arial" w:cs="Arial"/>
          <w:b/>
          <w:lang w:val="es-CR"/>
        </w:rPr>
      </w:pPr>
      <w:r w:rsidRPr="00735E43">
        <w:rPr>
          <w:rFonts w:ascii="Arial" w:hAnsi="Arial" w:cs="Arial"/>
          <w:lang w:val="es-CR"/>
        </w:rPr>
        <w:t xml:space="preserve">   </w:t>
      </w:r>
      <w:r w:rsidRPr="00735E43">
        <w:rPr>
          <w:rFonts w:ascii="Arial" w:hAnsi="Arial" w:cs="Arial"/>
          <w:lang w:val="es-CR"/>
        </w:rPr>
        <w:tab/>
      </w:r>
      <w:r w:rsidRPr="00735E43">
        <w:rPr>
          <w:rFonts w:ascii="Arial" w:hAnsi="Arial" w:cs="Arial"/>
          <w:b/>
          <w:lang w:val="es-CR"/>
        </w:rPr>
        <w:t xml:space="preserve">Universalidades  </w:t>
      </w:r>
    </w:p>
    <w:p w:rsidR="00DC0D87" w:rsidRPr="00735E43" w:rsidRDefault="00DC0D87" w:rsidP="00985AF0">
      <w:pPr>
        <w:pStyle w:val="ListParagraph"/>
        <w:numPr>
          <w:ilvl w:val="0"/>
          <w:numId w:val="39"/>
        </w:numPr>
        <w:spacing w:line="240" w:lineRule="auto"/>
        <w:rPr>
          <w:rFonts w:ascii="Arial" w:hAnsi="Arial" w:cs="Arial"/>
          <w:lang w:val="es-CR"/>
        </w:rPr>
      </w:pPr>
      <w:r w:rsidRPr="00735E43">
        <w:rPr>
          <w:rFonts w:ascii="Arial" w:hAnsi="Arial" w:cs="Arial"/>
          <w:lang w:val="es-CR"/>
        </w:rPr>
        <w:t xml:space="preserve">Estados financieros auditados  </w:t>
      </w:r>
    </w:p>
    <w:p w:rsidR="00DC0D87" w:rsidRPr="00735E43" w:rsidRDefault="00DC0D87" w:rsidP="00985AF0">
      <w:pPr>
        <w:pStyle w:val="ListParagraph"/>
        <w:numPr>
          <w:ilvl w:val="0"/>
          <w:numId w:val="39"/>
        </w:numPr>
        <w:spacing w:line="240" w:lineRule="auto"/>
        <w:rPr>
          <w:rFonts w:ascii="Arial" w:hAnsi="Arial" w:cs="Arial"/>
          <w:lang w:val="es-CR"/>
        </w:rPr>
      </w:pPr>
      <w:r w:rsidRPr="00735E43">
        <w:rPr>
          <w:rFonts w:ascii="Arial" w:hAnsi="Arial" w:cs="Arial"/>
          <w:lang w:val="es-CR"/>
        </w:rPr>
        <w:t xml:space="preserve">Estados financieros no auditados  </w:t>
      </w:r>
    </w:p>
    <w:p w:rsidR="001E18A9" w:rsidRPr="00735E43" w:rsidRDefault="001E18A9" w:rsidP="001E18A9">
      <w:pPr>
        <w:pStyle w:val="ListParagraph"/>
        <w:numPr>
          <w:ilvl w:val="0"/>
          <w:numId w:val="39"/>
        </w:numPr>
        <w:rPr>
          <w:rFonts w:ascii="Arial" w:hAnsi="Arial" w:cs="Arial"/>
          <w:lang w:val="es-CR"/>
        </w:rPr>
      </w:pPr>
      <w:r w:rsidRPr="00735E43">
        <w:rPr>
          <w:rFonts w:ascii="Arial" w:hAnsi="Arial" w:cs="Arial"/>
          <w:lang w:val="es-CR"/>
        </w:rPr>
        <w:t>Reporte de colocaciones</w:t>
      </w:r>
    </w:p>
    <w:p w:rsidR="00587575" w:rsidRPr="00735E43" w:rsidRDefault="00DC0D87" w:rsidP="00985AF0">
      <w:pPr>
        <w:pStyle w:val="ListParagraph"/>
        <w:numPr>
          <w:ilvl w:val="0"/>
          <w:numId w:val="39"/>
        </w:numPr>
        <w:spacing w:line="240" w:lineRule="auto"/>
        <w:rPr>
          <w:rFonts w:ascii="Arial" w:hAnsi="Arial" w:cs="Arial"/>
          <w:lang w:val="es-CR"/>
        </w:rPr>
      </w:pPr>
      <w:r w:rsidRPr="00735E43">
        <w:rPr>
          <w:rFonts w:ascii="Arial" w:hAnsi="Arial" w:cs="Arial"/>
          <w:lang w:val="es-CR"/>
        </w:rPr>
        <w:t>Informe del estado sobre carteras de activos titularizados</w:t>
      </w:r>
      <w:r w:rsidR="00587575" w:rsidRPr="00735E43">
        <w:rPr>
          <w:rFonts w:ascii="Arial" w:eastAsia="Arial Unicode MS" w:hAnsi="Arial" w:cs="Arial"/>
          <w:lang w:val="es-CR"/>
        </w:rPr>
        <w:t>,</w:t>
      </w:r>
      <w:r w:rsidR="00587575" w:rsidRPr="00735E43">
        <w:rPr>
          <w:rFonts w:ascii="Arial" w:hAnsi="Arial" w:cs="Arial"/>
          <w:lang w:val="es-CR"/>
        </w:rPr>
        <w:t xml:space="preserve"> de acuerdo con el siguiente detalle</w:t>
      </w:r>
      <w:r w:rsidR="00587575" w:rsidRPr="00735E43">
        <w:rPr>
          <w:rFonts w:ascii="Arial" w:eastAsia="Arial Unicode MS" w:hAnsi="Arial" w:cs="Arial"/>
          <w:lang w:val="es-CR"/>
        </w:rPr>
        <w:t>:</w:t>
      </w:r>
    </w:p>
    <w:p w:rsidR="00DC0D87" w:rsidRPr="00735E43" w:rsidRDefault="00DC0D87" w:rsidP="00587575">
      <w:pPr>
        <w:pStyle w:val="ListParagraph"/>
        <w:spacing w:line="240" w:lineRule="auto"/>
        <w:ind w:left="1800"/>
        <w:rPr>
          <w:rFonts w:ascii="Arial" w:hAnsi="Arial" w:cs="Arial"/>
          <w:lang w:val="es-CR"/>
        </w:rPr>
      </w:pPr>
      <w:r w:rsidRPr="00735E43">
        <w:rPr>
          <w:rFonts w:ascii="Arial" w:hAnsi="Arial" w:cs="Arial"/>
          <w:lang w:val="es-CR"/>
        </w:rPr>
        <w:t xml:space="preserve"> </w:t>
      </w:r>
      <w:bookmarkStart w:id="4" w:name="_MON_1477987506"/>
      <w:bookmarkEnd w:id="4"/>
      <w:r w:rsidR="005C4984" w:rsidRPr="00735E43">
        <w:rPr>
          <w:rFonts w:ascii="Arial" w:hAnsi="Arial" w:cs="Arial"/>
          <w:lang w:val="es-CR"/>
        </w:rPr>
        <w:object w:dxaOrig="1550" w:dyaOrig="991">
          <v:shape id="_x0000_i1028" type="#_x0000_t75" style="width:77.25pt;height:49.5pt" o:ole="">
            <v:imagedata r:id="rId18" o:title=""/>
          </v:shape>
          <o:OLEObject Type="Embed" ProgID="Excel.Sheet.12" ShapeID="_x0000_i1028" DrawAspect="Icon" ObjectID="_1574154314" r:id="rId19"/>
        </w:object>
      </w:r>
    </w:p>
    <w:p w:rsidR="00587575" w:rsidRPr="00735E43" w:rsidRDefault="00DC0D87" w:rsidP="00985AF0">
      <w:pPr>
        <w:pStyle w:val="ListParagraph"/>
        <w:numPr>
          <w:ilvl w:val="0"/>
          <w:numId w:val="39"/>
        </w:numPr>
        <w:spacing w:line="240" w:lineRule="auto"/>
        <w:rPr>
          <w:rFonts w:ascii="Arial" w:hAnsi="Arial" w:cs="Arial"/>
          <w:lang w:val="es-CR"/>
        </w:rPr>
      </w:pPr>
      <w:r w:rsidRPr="00735E43">
        <w:rPr>
          <w:rFonts w:ascii="Arial" w:hAnsi="Arial" w:cs="Arial"/>
          <w:lang w:val="es-CR"/>
        </w:rPr>
        <w:t>Informe de riesgo sobre carteras titularizadas</w:t>
      </w:r>
      <w:r w:rsidR="00587575" w:rsidRPr="00735E43">
        <w:rPr>
          <w:rFonts w:ascii="Arial" w:hAnsi="Arial" w:cs="Arial"/>
          <w:lang w:val="es-CR"/>
        </w:rPr>
        <w:t>, de acuerdo con el siguiente detalle:</w:t>
      </w:r>
    </w:p>
    <w:p w:rsidR="00587575" w:rsidRPr="00735E43" w:rsidRDefault="005C4984" w:rsidP="00587575">
      <w:pPr>
        <w:pStyle w:val="ListParagraph"/>
        <w:spacing w:line="240" w:lineRule="auto"/>
        <w:ind w:left="1800"/>
        <w:rPr>
          <w:rFonts w:ascii="Arial" w:hAnsi="Arial" w:cs="Arial"/>
          <w:lang w:val="es-CR"/>
        </w:rPr>
      </w:pPr>
      <w:r w:rsidRPr="00735E43">
        <w:rPr>
          <w:rFonts w:ascii="Arial" w:hAnsi="Arial" w:cs="Arial"/>
          <w:lang w:val="es-CR"/>
        </w:rPr>
        <w:object w:dxaOrig="1550" w:dyaOrig="991">
          <v:shape id="_x0000_i1029" type="#_x0000_t75" style="width:77.25pt;height:49.5pt" o:ole="">
            <v:imagedata r:id="rId20" o:title=""/>
          </v:shape>
          <o:OLEObject Type="Embed" ProgID="Excel.Sheet.12" ShapeID="_x0000_i1029" DrawAspect="Icon" ObjectID="_1574154315" r:id="rId21"/>
        </w:object>
      </w:r>
    </w:p>
    <w:p w:rsidR="00DC0D87" w:rsidRPr="00735E43" w:rsidRDefault="00DC0D87" w:rsidP="004B7A9B">
      <w:pPr>
        <w:rPr>
          <w:rFonts w:ascii="Arial" w:hAnsi="Arial" w:cs="Arial"/>
          <w:szCs w:val="22"/>
          <w:lang w:val="es-CR"/>
        </w:rPr>
      </w:pPr>
    </w:p>
    <w:p w:rsidR="00DC0D87" w:rsidRDefault="00DC0D87" w:rsidP="00985AF0">
      <w:pPr>
        <w:pStyle w:val="ListParagraph"/>
        <w:numPr>
          <w:ilvl w:val="0"/>
          <w:numId w:val="39"/>
        </w:numPr>
        <w:spacing w:line="240" w:lineRule="auto"/>
        <w:rPr>
          <w:rFonts w:ascii="Arial" w:hAnsi="Arial" w:cs="Arial"/>
          <w:lang w:val="es-CR"/>
        </w:rPr>
      </w:pPr>
      <w:r w:rsidRPr="00735E43">
        <w:rPr>
          <w:rFonts w:ascii="Arial" w:hAnsi="Arial" w:cs="Arial"/>
          <w:lang w:val="es-CR"/>
        </w:rPr>
        <w:t xml:space="preserve">Informe del estado sobre carteras de activos titularizados distintos a carteras de crédito </w:t>
      </w:r>
    </w:p>
    <w:p w:rsidR="00C13149" w:rsidRPr="005E0AA2" w:rsidRDefault="00C13149" w:rsidP="00A8546D">
      <w:pPr>
        <w:pStyle w:val="ListParagraph"/>
        <w:spacing w:line="240" w:lineRule="auto"/>
        <w:ind w:left="0"/>
        <w:rPr>
          <w:rFonts w:ascii="Arial" w:eastAsia="Times New Roman" w:hAnsi="Arial" w:cs="Arial"/>
          <w:lang w:val="es-CR" w:eastAsia="es-ES"/>
        </w:rPr>
      </w:pPr>
    </w:p>
    <w:p w:rsidR="00780CC6" w:rsidRDefault="00735E43" w:rsidP="00735E43">
      <w:pPr>
        <w:pStyle w:val="ListParagraph"/>
        <w:spacing w:line="240" w:lineRule="auto"/>
        <w:ind w:left="0"/>
        <w:rPr>
          <w:rFonts w:ascii="Arial" w:eastAsia="Times New Roman" w:hAnsi="Arial" w:cs="Arial"/>
          <w:b/>
          <w:color w:val="000000" w:themeColor="text1"/>
          <w:lang w:val="es-CR" w:eastAsia="es-ES"/>
        </w:rPr>
      </w:pPr>
      <w:r w:rsidRPr="00735E43">
        <w:rPr>
          <w:rFonts w:ascii="Arial" w:eastAsia="Times New Roman" w:hAnsi="Arial" w:cs="Arial"/>
          <w:b/>
          <w:color w:val="000000" w:themeColor="text1"/>
          <w:lang w:val="es-CR" w:eastAsia="es-ES"/>
        </w:rPr>
        <w:t>Artículo 4.  Otras Modificaciones:</w:t>
      </w:r>
    </w:p>
    <w:p w:rsidR="00735E43" w:rsidRPr="00735E43" w:rsidRDefault="00735E43" w:rsidP="00735E43">
      <w:pPr>
        <w:pStyle w:val="ListParagraph"/>
        <w:spacing w:line="240" w:lineRule="auto"/>
        <w:ind w:left="0"/>
        <w:rPr>
          <w:rFonts w:ascii="Arial" w:hAnsi="Arial" w:cs="Arial"/>
          <w:b/>
          <w:color w:val="000000" w:themeColor="text1"/>
          <w:lang w:val="es-CR"/>
        </w:rPr>
      </w:pPr>
    </w:p>
    <w:p w:rsidR="003A1F0D" w:rsidRPr="00735E43" w:rsidRDefault="003A1F0D" w:rsidP="00735E43">
      <w:pPr>
        <w:pStyle w:val="Textodereglamento"/>
        <w:numPr>
          <w:ilvl w:val="0"/>
          <w:numId w:val="31"/>
        </w:numPr>
        <w:spacing w:before="0"/>
        <w:rPr>
          <w:rFonts w:ascii="Arial" w:eastAsia="Arial Unicode MS" w:hAnsi="Arial" w:cs="Arial"/>
          <w:b/>
          <w:szCs w:val="22"/>
          <w:lang w:val="es-CR"/>
        </w:rPr>
      </w:pPr>
      <w:r w:rsidRPr="00735E43">
        <w:rPr>
          <w:rFonts w:ascii="Arial" w:eastAsia="Arial Unicode MS" w:hAnsi="Arial" w:cs="Arial"/>
          <w:b/>
          <w:szCs w:val="22"/>
          <w:lang w:val="es-CR"/>
        </w:rPr>
        <w:t>Disposiciones relativas a Emisores</w:t>
      </w:r>
      <w:r w:rsidR="00725DB6" w:rsidRPr="00735E43">
        <w:rPr>
          <w:rFonts w:ascii="Arial" w:eastAsia="Arial Unicode MS" w:hAnsi="Arial" w:cs="Arial"/>
          <w:b/>
          <w:szCs w:val="22"/>
          <w:lang w:val="es-CR"/>
        </w:rPr>
        <w:t>:</w:t>
      </w:r>
    </w:p>
    <w:p w:rsidR="00CF4812" w:rsidRPr="00735E43" w:rsidRDefault="00CF4812" w:rsidP="00735E43">
      <w:pPr>
        <w:pStyle w:val="Textodereglamento"/>
        <w:spacing w:before="0"/>
        <w:ind w:left="720"/>
        <w:rPr>
          <w:rFonts w:ascii="Arial" w:eastAsia="Arial Unicode MS" w:hAnsi="Arial" w:cs="Arial"/>
          <w:b/>
          <w:szCs w:val="22"/>
          <w:lang w:val="es-CR"/>
        </w:rPr>
      </w:pPr>
    </w:p>
    <w:p w:rsidR="00725DB6" w:rsidRPr="00735E43" w:rsidRDefault="00725DB6" w:rsidP="00A8546D">
      <w:pPr>
        <w:pStyle w:val="Textodereglamento"/>
        <w:numPr>
          <w:ilvl w:val="1"/>
          <w:numId w:val="31"/>
        </w:numPr>
        <w:spacing w:before="0"/>
        <w:rPr>
          <w:rFonts w:ascii="Arial" w:eastAsia="Arial Unicode MS" w:hAnsi="Arial" w:cs="Arial"/>
          <w:szCs w:val="22"/>
          <w:lang w:val="es-CR"/>
        </w:rPr>
      </w:pPr>
      <w:r w:rsidRPr="00735E43">
        <w:rPr>
          <w:rFonts w:ascii="Arial" w:eastAsia="Arial Unicode MS" w:hAnsi="Arial" w:cs="Arial"/>
          <w:szCs w:val="22"/>
          <w:lang w:val="es-CR"/>
        </w:rPr>
        <w:t>Se adiciona:</w:t>
      </w:r>
    </w:p>
    <w:p w:rsidR="00725DB6" w:rsidRPr="00735E43" w:rsidRDefault="00725DB6" w:rsidP="00A8546D">
      <w:pPr>
        <w:pStyle w:val="Textodereglamento"/>
        <w:spacing w:before="0"/>
        <w:rPr>
          <w:rFonts w:ascii="Arial" w:eastAsia="Arial Unicode MS" w:hAnsi="Arial" w:cs="Arial"/>
          <w:szCs w:val="22"/>
          <w:lang w:val="es-CR"/>
        </w:rPr>
      </w:pPr>
    </w:p>
    <w:p w:rsidR="00725DB6" w:rsidRPr="00735E43" w:rsidRDefault="00725DB6" w:rsidP="00A8546D">
      <w:pPr>
        <w:pStyle w:val="Textodereglamento"/>
        <w:numPr>
          <w:ilvl w:val="2"/>
          <w:numId w:val="31"/>
        </w:numPr>
        <w:spacing w:before="0"/>
        <w:rPr>
          <w:rFonts w:ascii="Arial" w:eastAsia="Arial Unicode MS" w:hAnsi="Arial" w:cs="Arial"/>
          <w:szCs w:val="22"/>
          <w:lang w:val="es-CR"/>
        </w:rPr>
      </w:pPr>
      <w:r w:rsidRPr="00735E43">
        <w:rPr>
          <w:rFonts w:ascii="Arial" w:eastAsia="Arial Unicode MS" w:hAnsi="Arial" w:cs="Arial"/>
          <w:szCs w:val="22"/>
          <w:lang w:val="es-CR"/>
        </w:rPr>
        <w:t>La solicitud de información para los Fideicomisos de Titularización de acuerdo con el siguiente detalle:</w:t>
      </w:r>
    </w:p>
    <w:p w:rsidR="005A1DB4" w:rsidRPr="00735E43" w:rsidRDefault="005A1DB4" w:rsidP="00A8546D">
      <w:pPr>
        <w:pStyle w:val="Textodereglamento"/>
        <w:spacing w:before="0"/>
        <w:ind w:left="2160"/>
        <w:rPr>
          <w:rFonts w:ascii="Arial" w:eastAsia="Arial Unicode MS" w:hAnsi="Arial" w:cs="Arial"/>
          <w:szCs w:val="22"/>
          <w:lang w:val="es-CR"/>
        </w:rPr>
      </w:pPr>
    </w:p>
    <w:p w:rsidR="00725DB6" w:rsidRPr="00735E43" w:rsidRDefault="00725DB6" w:rsidP="00A8546D">
      <w:pPr>
        <w:pStyle w:val="Textodereglamento"/>
        <w:numPr>
          <w:ilvl w:val="3"/>
          <w:numId w:val="31"/>
        </w:numPr>
        <w:spacing w:before="0"/>
        <w:rPr>
          <w:rFonts w:ascii="Arial" w:eastAsia="Arial Unicode MS" w:hAnsi="Arial" w:cs="Arial"/>
          <w:szCs w:val="22"/>
          <w:lang w:val="es-CR"/>
        </w:rPr>
      </w:pPr>
      <w:r w:rsidRPr="00735E43">
        <w:rPr>
          <w:rFonts w:ascii="Arial" w:eastAsia="Arial Unicode MS" w:hAnsi="Arial" w:cs="Arial"/>
          <w:szCs w:val="22"/>
          <w:lang w:val="es-CR"/>
        </w:rPr>
        <w:t xml:space="preserve">Informe del estado de </w:t>
      </w:r>
      <w:r w:rsidR="00985AF0" w:rsidRPr="00735E43">
        <w:rPr>
          <w:rFonts w:ascii="Arial" w:eastAsia="Arial Unicode MS" w:hAnsi="Arial" w:cs="Arial"/>
          <w:szCs w:val="22"/>
          <w:lang w:val="es-CR"/>
        </w:rPr>
        <w:t>carteras de activos titularizados</w:t>
      </w:r>
      <w:r w:rsidR="002863DC" w:rsidRPr="00735E43">
        <w:rPr>
          <w:rFonts w:ascii="Arial" w:eastAsia="Arial Unicode MS" w:hAnsi="Arial" w:cs="Arial"/>
          <w:szCs w:val="22"/>
          <w:lang w:val="es-CR"/>
        </w:rPr>
        <w:t xml:space="preserve"> (Anexo 54).</w:t>
      </w:r>
    </w:p>
    <w:p w:rsidR="00725DB6" w:rsidRPr="00735E43" w:rsidRDefault="00725DB6" w:rsidP="00A8546D">
      <w:pPr>
        <w:pStyle w:val="Textodereglamento"/>
        <w:numPr>
          <w:ilvl w:val="3"/>
          <w:numId w:val="31"/>
        </w:numPr>
        <w:spacing w:before="0"/>
        <w:rPr>
          <w:rFonts w:ascii="Arial" w:eastAsia="Arial Unicode MS" w:hAnsi="Arial" w:cs="Arial"/>
          <w:szCs w:val="22"/>
          <w:lang w:val="es-CR"/>
        </w:rPr>
      </w:pPr>
      <w:r w:rsidRPr="00735E43">
        <w:rPr>
          <w:rFonts w:ascii="Arial" w:hAnsi="Arial" w:cs="Arial"/>
          <w:szCs w:val="22"/>
          <w:lang w:val="es-CR"/>
        </w:rPr>
        <w:t>Informe de riesgo sobre carteras titularizadas</w:t>
      </w:r>
      <w:r w:rsidR="002863DC" w:rsidRPr="00735E43">
        <w:rPr>
          <w:rFonts w:ascii="Arial" w:hAnsi="Arial" w:cs="Arial"/>
          <w:szCs w:val="22"/>
          <w:lang w:val="es-CR"/>
        </w:rPr>
        <w:t xml:space="preserve"> </w:t>
      </w:r>
      <w:r w:rsidR="002863DC" w:rsidRPr="00735E43">
        <w:rPr>
          <w:rFonts w:ascii="Arial" w:eastAsia="Arial Unicode MS" w:hAnsi="Arial" w:cs="Arial"/>
          <w:szCs w:val="22"/>
          <w:lang w:val="es-CR"/>
        </w:rPr>
        <w:t>(Anexo 55).</w:t>
      </w:r>
    </w:p>
    <w:p w:rsidR="00725DB6" w:rsidRPr="00735E43" w:rsidRDefault="00725DB6" w:rsidP="00A8546D">
      <w:pPr>
        <w:pStyle w:val="Textodereglamento"/>
        <w:numPr>
          <w:ilvl w:val="3"/>
          <w:numId w:val="31"/>
        </w:numPr>
        <w:spacing w:before="0"/>
        <w:rPr>
          <w:rFonts w:ascii="Arial" w:eastAsia="Arial Unicode MS" w:hAnsi="Arial" w:cs="Arial"/>
          <w:szCs w:val="22"/>
          <w:lang w:val="es-CR"/>
        </w:rPr>
      </w:pPr>
      <w:r w:rsidRPr="00735E43">
        <w:rPr>
          <w:rFonts w:ascii="Arial" w:hAnsi="Arial" w:cs="Arial"/>
          <w:szCs w:val="22"/>
          <w:lang w:val="es-CR"/>
        </w:rPr>
        <w:lastRenderedPageBreak/>
        <w:t>I</w:t>
      </w:r>
      <w:r w:rsidRPr="00735E43">
        <w:rPr>
          <w:rFonts w:ascii="Arial" w:eastAsia="Arial Unicode MS" w:hAnsi="Arial" w:cs="Arial"/>
          <w:szCs w:val="22"/>
          <w:lang w:val="es-CR"/>
        </w:rPr>
        <w:t>nforme del estado sobre carteras de activos titularizados distintos a carteras de crédito</w:t>
      </w:r>
    </w:p>
    <w:p w:rsidR="00725DB6" w:rsidRPr="00735E43" w:rsidRDefault="00725DB6" w:rsidP="00A8546D">
      <w:pPr>
        <w:pStyle w:val="Textodereglamento"/>
        <w:spacing w:before="0"/>
        <w:ind w:left="2880"/>
        <w:rPr>
          <w:rFonts w:ascii="Arial" w:eastAsia="Arial Unicode MS" w:hAnsi="Arial" w:cs="Arial"/>
          <w:szCs w:val="22"/>
          <w:lang w:val="es-CR"/>
        </w:rPr>
      </w:pPr>
    </w:p>
    <w:p w:rsidR="00725DB6" w:rsidRPr="00735E43" w:rsidRDefault="00EC014D" w:rsidP="00A8546D">
      <w:pPr>
        <w:pStyle w:val="Textodereglamento"/>
        <w:numPr>
          <w:ilvl w:val="2"/>
          <w:numId w:val="31"/>
        </w:numPr>
        <w:spacing w:before="0"/>
        <w:rPr>
          <w:rFonts w:ascii="Arial" w:eastAsia="Arial Unicode MS" w:hAnsi="Arial" w:cs="Arial"/>
          <w:szCs w:val="22"/>
          <w:lang w:val="es-CR"/>
        </w:rPr>
      </w:pPr>
      <w:r w:rsidRPr="00735E43">
        <w:rPr>
          <w:rFonts w:ascii="Arial" w:eastAsia="Arial Unicode MS" w:hAnsi="Arial" w:cs="Arial"/>
          <w:szCs w:val="22"/>
          <w:lang w:val="es-CR"/>
        </w:rPr>
        <w:t>Informe trimestral</w:t>
      </w:r>
      <w:r w:rsidR="00CF4812" w:rsidRPr="00735E43">
        <w:rPr>
          <w:rFonts w:ascii="Arial" w:eastAsia="Arial Unicode MS" w:hAnsi="Arial" w:cs="Arial"/>
          <w:szCs w:val="22"/>
          <w:lang w:val="es-CR"/>
        </w:rPr>
        <w:t xml:space="preserve"> sobre el </w:t>
      </w:r>
      <w:r w:rsidR="00CF4812" w:rsidRPr="00735E43">
        <w:rPr>
          <w:rFonts w:ascii="Arial" w:hAnsi="Arial" w:cs="Arial"/>
          <w:szCs w:val="22"/>
        </w:rPr>
        <w:t>avance del proyecto de infraestructura,</w:t>
      </w:r>
      <w:r w:rsidR="00CF4812" w:rsidRPr="00735E43">
        <w:rPr>
          <w:rFonts w:ascii="Arial" w:eastAsia="Arial Unicode MS" w:hAnsi="Arial" w:cs="Arial"/>
          <w:szCs w:val="22"/>
          <w:lang w:val="es-CR"/>
        </w:rPr>
        <w:t xml:space="preserve"> para los Vehículos de P</w:t>
      </w:r>
      <w:r w:rsidR="00725DB6" w:rsidRPr="00735E43">
        <w:rPr>
          <w:rFonts w:ascii="Arial" w:eastAsia="Arial Unicode MS" w:hAnsi="Arial" w:cs="Arial"/>
          <w:szCs w:val="22"/>
          <w:lang w:val="es-CR"/>
        </w:rPr>
        <w:t xml:space="preserve">ropósito </w:t>
      </w:r>
      <w:r w:rsidR="00CF4812" w:rsidRPr="00735E43">
        <w:rPr>
          <w:rFonts w:ascii="Arial" w:eastAsia="Arial Unicode MS" w:hAnsi="Arial" w:cs="Arial"/>
          <w:szCs w:val="22"/>
          <w:lang w:val="es-CR"/>
        </w:rPr>
        <w:t>E</w:t>
      </w:r>
      <w:r w:rsidR="00725DB6" w:rsidRPr="00735E43">
        <w:rPr>
          <w:rFonts w:ascii="Arial" w:eastAsia="Arial Unicode MS" w:hAnsi="Arial" w:cs="Arial"/>
          <w:szCs w:val="22"/>
          <w:lang w:val="es-CR"/>
        </w:rPr>
        <w:t>special p</w:t>
      </w:r>
      <w:r w:rsidR="00CF4812" w:rsidRPr="00735E43">
        <w:rPr>
          <w:rFonts w:ascii="Arial" w:eastAsia="Arial Unicode MS" w:hAnsi="Arial" w:cs="Arial"/>
          <w:szCs w:val="22"/>
          <w:lang w:val="es-CR"/>
        </w:rPr>
        <w:t>ara financiamiento de proyectos.</w:t>
      </w:r>
    </w:p>
    <w:p w:rsidR="00725DB6" w:rsidRPr="005E0AA2" w:rsidRDefault="00725DB6" w:rsidP="00A8546D">
      <w:pPr>
        <w:pStyle w:val="Textodereglamento"/>
        <w:spacing w:before="0"/>
        <w:ind w:left="1440"/>
        <w:rPr>
          <w:rFonts w:ascii="Arial" w:eastAsia="Arial Unicode MS" w:hAnsi="Arial" w:cs="Arial"/>
          <w:szCs w:val="22"/>
          <w:lang w:val="es-CR"/>
        </w:rPr>
      </w:pPr>
    </w:p>
    <w:p w:rsidR="002B151E" w:rsidRPr="00735E43" w:rsidRDefault="002B151E" w:rsidP="00000255">
      <w:pPr>
        <w:pStyle w:val="ListParagraph"/>
        <w:numPr>
          <w:ilvl w:val="1"/>
          <w:numId w:val="31"/>
        </w:numPr>
        <w:spacing w:line="240" w:lineRule="auto"/>
        <w:ind w:left="1434" w:hanging="357"/>
        <w:jc w:val="both"/>
        <w:rPr>
          <w:rFonts w:ascii="Arial" w:eastAsia="Times New Roman" w:hAnsi="Arial" w:cs="Arial"/>
          <w:lang w:val="es-ES" w:eastAsia="es-ES"/>
        </w:rPr>
      </w:pPr>
      <w:r w:rsidRPr="00735E43">
        <w:rPr>
          <w:rFonts w:ascii="Arial" w:eastAsia="Times New Roman" w:hAnsi="Arial" w:cs="Arial"/>
          <w:lang w:val="es-ES" w:eastAsia="es-ES"/>
        </w:rPr>
        <w:t>Se modifica el Anexo 3 Estado de Captación de emisiones estandarizadas para que en adelante se lea Reportes de Colocaciones, el cual incluye los catálogos para colocaciones de emisiones de deuda estandarizada, emisiones de acciones y colocaciones de valores de participación de fondos cerrados de acuerdo con el siguiente detalle:</w:t>
      </w:r>
    </w:p>
    <w:p w:rsidR="00725DB6" w:rsidRPr="00735E43" w:rsidRDefault="00725DB6" w:rsidP="00A8546D">
      <w:pPr>
        <w:ind w:left="720"/>
        <w:rPr>
          <w:rFonts w:ascii="Arial" w:hAnsi="Arial" w:cs="Arial"/>
          <w:szCs w:val="22"/>
        </w:rPr>
      </w:pPr>
    </w:p>
    <w:bookmarkStart w:id="5" w:name="_MON_1479729479"/>
    <w:bookmarkEnd w:id="5"/>
    <w:p w:rsidR="00725DB6" w:rsidRPr="00735E43" w:rsidRDefault="001B514A" w:rsidP="00A8546D">
      <w:pPr>
        <w:ind w:left="2160"/>
        <w:rPr>
          <w:rFonts w:ascii="Arial" w:hAnsi="Arial" w:cs="Arial"/>
          <w:szCs w:val="22"/>
        </w:rPr>
      </w:pPr>
      <w:r w:rsidRPr="00735E43">
        <w:rPr>
          <w:rFonts w:ascii="Arial" w:hAnsi="Arial" w:cs="Arial"/>
          <w:szCs w:val="22"/>
        </w:rPr>
        <w:object w:dxaOrig="1550" w:dyaOrig="991">
          <v:shape id="_x0000_i1030" type="#_x0000_t75" style="width:77.25pt;height:49.5pt" o:ole="">
            <v:imagedata r:id="rId22" o:title=""/>
          </v:shape>
          <o:OLEObject Type="Embed" ProgID="Excel.Sheet.12" ShapeID="_x0000_i1030" DrawAspect="Icon" ObjectID="_1574154316" r:id="rId23"/>
        </w:object>
      </w:r>
    </w:p>
    <w:p w:rsidR="00725DB6" w:rsidRPr="00735E43" w:rsidRDefault="00725DB6" w:rsidP="00A8546D">
      <w:pPr>
        <w:rPr>
          <w:rFonts w:ascii="Arial" w:hAnsi="Arial" w:cs="Arial"/>
          <w:szCs w:val="22"/>
        </w:rPr>
      </w:pPr>
    </w:p>
    <w:p w:rsidR="003A1F0D" w:rsidRPr="00735E43" w:rsidRDefault="00CA391D" w:rsidP="00CA391D">
      <w:pPr>
        <w:pStyle w:val="Textodereglamento"/>
        <w:numPr>
          <w:ilvl w:val="1"/>
          <w:numId w:val="31"/>
        </w:numPr>
        <w:spacing w:before="0"/>
        <w:rPr>
          <w:rFonts w:ascii="Arial" w:eastAsia="Arial Unicode MS" w:hAnsi="Arial" w:cs="Arial"/>
          <w:szCs w:val="22"/>
          <w:lang w:val="es-CR"/>
        </w:rPr>
      </w:pPr>
      <w:r w:rsidRPr="00735E43">
        <w:rPr>
          <w:rFonts w:ascii="Arial" w:eastAsia="Arial Unicode MS" w:hAnsi="Arial" w:cs="Arial"/>
          <w:szCs w:val="22"/>
          <w:lang w:val="es-CR"/>
        </w:rPr>
        <w:t>Se elimina d</w:t>
      </w:r>
      <w:r w:rsidR="003A1F0D" w:rsidRPr="00735E43">
        <w:rPr>
          <w:rFonts w:ascii="Arial" w:eastAsia="Arial Unicode MS" w:hAnsi="Arial" w:cs="Arial"/>
          <w:szCs w:val="22"/>
          <w:lang w:val="es-CR"/>
        </w:rPr>
        <w:t>el Anexo 1 “Estados Financieros Emisores del Sector Industria, Comercio, Agrícola, Servicios Y Fideicomisos” y del Anexo 2 “Estados Financieros Emisores del Sector Servicios Financieros y Bursátiles”, el catálogo ER_EMISOR y ER_EMISFB respectivamente, correspondiente a los estados financieros del trimestre que se reporta.</w:t>
      </w:r>
    </w:p>
    <w:p w:rsidR="003A1F0D" w:rsidRPr="00735E43" w:rsidRDefault="003A1F0D" w:rsidP="00CF4812">
      <w:pPr>
        <w:pStyle w:val="Textodereglamento"/>
        <w:spacing w:before="0"/>
        <w:ind w:left="2127"/>
        <w:rPr>
          <w:rFonts w:ascii="Arial" w:eastAsia="Arial Unicode MS" w:hAnsi="Arial" w:cs="Arial"/>
          <w:szCs w:val="22"/>
          <w:lang w:val="es-CR"/>
        </w:rPr>
      </w:pPr>
    </w:p>
    <w:p w:rsidR="00C456AA" w:rsidRPr="005E0AA2" w:rsidRDefault="00C456AA" w:rsidP="00A8546D">
      <w:pPr>
        <w:pStyle w:val="Textodereglamento"/>
        <w:spacing w:before="0"/>
        <w:ind w:left="1065"/>
        <w:rPr>
          <w:rFonts w:ascii="Arial" w:eastAsia="Arial Unicode MS" w:hAnsi="Arial" w:cs="Arial"/>
          <w:szCs w:val="22"/>
          <w:lang w:val="es-CR"/>
        </w:rPr>
      </w:pPr>
    </w:p>
    <w:p w:rsidR="003A1F0D" w:rsidRPr="00735E43" w:rsidRDefault="003A1F0D" w:rsidP="00A8546D">
      <w:pPr>
        <w:pStyle w:val="Textodereglamento"/>
        <w:numPr>
          <w:ilvl w:val="0"/>
          <w:numId w:val="31"/>
        </w:numPr>
        <w:spacing w:before="0"/>
        <w:rPr>
          <w:rFonts w:ascii="Arial" w:eastAsia="Arial Unicode MS" w:hAnsi="Arial" w:cs="Arial"/>
          <w:b/>
          <w:szCs w:val="22"/>
          <w:lang w:val="es-CR"/>
        </w:rPr>
      </w:pPr>
      <w:r w:rsidRPr="00735E43">
        <w:rPr>
          <w:rFonts w:ascii="Arial" w:eastAsia="Arial Unicode MS" w:hAnsi="Arial" w:cs="Arial"/>
          <w:b/>
          <w:szCs w:val="22"/>
          <w:lang w:val="es-CR"/>
        </w:rPr>
        <w:t>Disposiciones relativas a Puestos de Bolsa</w:t>
      </w:r>
      <w:r w:rsidR="005A1DB4" w:rsidRPr="00735E43">
        <w:rPr>
          <w:rFonts w:ascii="Arial" w:eastAsia="Arial Unicode MS" w:hAnsi="Arial" w:cs="Arial"/>
          <w:b/>
          <w:szCs w:val="22"/>
          <w:lang w:val="es-CR"/>
        </w:rPr>
        <w:t>:</w:t>
      </w:r>
    </w:p>
    <w:p w:rsidR="005A1DB4" w:rsidRPr="00735E43" w:rsidRDefault="005A1DB4" w:rsidP="00A8546D">
      <w:pPr>
        <w:pStyle w:val="Textodereglamento"/>
        <w:spacing w:before="0"/>
        <w:ind w:left="720"/>
        <w:rPr>
          <w:rFonts w:ascii="Arial" w:eastAsia="Arial Unicode MS" w:hAnsi="Arial" w:cs="Arial"/>
          <w:b/>
          <w:szCs w:val="22"/>
          <w:lang w:val="es-CR"/>
        </w:rPr>
      </w:pPr>
    </w:p>
    <w:p w:rsidR="00725DB6" w:rsidRPr="00735E43" w:rsidRDefault="00725DB6" w:rsidP="00827D5D">
      <w:pPr>
        <w:pStyle w:val="Textodereglamento"/>
        <w:numPr>
          <w:ilvl w:val="1"/>
          <w:numId w:val="31"/>
        </w:numPr>
        <w:spacing w:before="0"/>
        <w:rPr>
          <w:rFonts w:ascii="Arial" w:eastAsia="Arial Unicode MS" w:hAnsi="Arial" w:cs="Arial"/>
          <w:szCs w:val="22"/>
          <w:lang w:val="es-CR"/>
        </w:rPr>
      </w:pPr>
      <w:r w:rsidRPr="00735E43">
        <w:rPr>
          <w:rFonts w:ascii="Arial" w:eastAsia="Arial Unicode MS" w:hAnsi="Arial" w:cs="Arial"/>
          <w:szCs w:val="22"/>
          <w:lang w:val="es-CR"/>
        </w:rPr>
        <w:t>Se adicionan</w:t>
      </w:r>
      <w:r w:rsidR="00CF4812" w:rsidRPr="00735E43">
        <w:rPr>
          <w:rFonts w:ascii="Arial" w:eastAsia="Arial Unicode MS" w:hAnsi="Arial" w:cs="Arial"/>
          <w:szCs w:val="22"/>
          <w:lang w:val="es-CR"/>
        </w:rPr>
        <w:t xml:space="preserve"> los </w:t>
      </w:r>
      <w:r w:rsidR="00827D5D" w:rsidRPr="00735E43">
        <w:rPr>
          <w:rFonts w:ascii="Arial" w:eastAsia="Arial Unicode MS" w:hAnsi="Arial" w:cs="Arial"/>
          <w:szCs w:val="22"/>
          <w:lang w:val="es-CR"/>
        </w:rPr>
        <w:t xml:space="preserve">catálogos contables para las </w:t>
      </w:r>
      <w:r w:rsidR="00796347" w:rsidRPr="00735E43">
        <w:rPr>
          <w:rFonts w:ascii="Arial" w:eastAsia="Arial Unicode MS" w:hAnsi="Arial" w:cs="Arial"/>
          <w:szCs w:val="22"/>
          <w:lang w:val="es-CR"/>
        </w:rPr>
        <w:t>bo</w:t>
      </w:r>
      <w:r w:rsidRPr="00735E43">
        <w:rPr>
          <w:rFonts w:ascii="Arial" w:eastAsia="Arial Unicode MS" w:hAnsi="Arial" w:cs="Arial"/>
          <w:szCs w:val="22"/>
          <w:lang w:val="es-CR"/>
        </w:rPr>
        <w:t xml:space="preserve">lsas de </w:t>
      </w:r>
      <w:r w:rsidR="00796347" w:rsidRPr="00735E43">
        <w:rPr>
          <w:rFonts w:ascii="Arial" w:eastAsia="Arial Unicode MS" w:hAnsi="Arial" w:cs="Arial"/>
          <w:szCs w:val="22"/>
          <w:lang w:val="es-CR"/>
        </w:rPr>
        <w:t>v</w:t>
      </w:r>
      <w:r w:rsidRPr="00735E43">
        <w:rPr>
          <w:rFonts w:ascii="Arial" w:eastAsia="Arial Unicode MS" w:hAnsi="Arial" w:cs="Arial"/>
          <w:szCs w:val="22"/>
          <w:lang w:val="es-CR"/>
        </w:rPr>
        <w:t xml:space="preserve">alores y </w:t>
      </w:r>
      <w:r w:rsidR="00796347" w:rsidRPr="00735E43">
        <w:rPr>
          <w:rFonts w:ascii="Arial" w:eastAsia="Arial Unicode MS" w:hAnsi="Arial" w:cs="Arial"/>
          <w:szCs w:val="22"/>
          <w:lang w:val="es-CR"/>
        </w:rPr>
        <w:t>c</w:t>
      </w:r>
      <w:r w:rsidRPr="00735E43">
        <w:rPr>
          <w:rFonts w:ascii="Arial" w:eastAsia="Arial Unicode MS" w:hAnsi="Arial" w:cs="Arial"/>
          <w:szCs w:val="22"/>
          <w:lang w:val="es-CR"/>
        </w:rPr>
        <w:t xml:space="preserve">entrales de </w:t>
      </w:r>
      <w:r w:rsidR="00796347" w:rsidRPr="00735E43">
        <w:rPr>
          <w:rFonts w:ascii="Arial" w:eastAsia="Arial Unicode MS" w:hAnsi="Arial" w:cs="Arial"/>
          <w:szCs w:val="22"/>
          <w:lang w:val="es-CR"/>
        </w:rPr>
        <w:t>v</w:t>
      </w:r>
      <w:r w:rsidRPr="00735E43">
        <w:rPr>
          <w:rFonts w:ascii="Arial" w:eastAsia="Arial Unicode MS" w:hAnsi="Arial" w:cs="Arial"/>
          <w:szCs w:val="22"/>
          <w:lang w:val="es-CR"/>
        </w:rPr>
        <w:t>alores, de acuerdo con el siguiente detalle:</w:t>
      </w:r>
    </w:p>
    <w:p w:rsidR="00C61899" w:rsidRPr="00735E43" w:rsidRDefault="00C61899" w:rsidP="00A8546D">
      <w:pPr>
        <w:pStyle w:val="ListParagraph"/>
        <w:spacing w:line="240" w:lineRule="auto"/>
        <w:jc w:val="center"/>
        <w:rPr>
          <w:rFonts w:ascii="Arial" w:hAnsi="Arial" w:cs="Arial"/>
          <w:lang w:val="es-CR"/>
        </w:rPr>
      </w:pPr>
    </w:p>
    <w:p w:rsidR="00725DB6" w:rsidRPr="00735E43" w:rsidRDefault="00B00F6E" w:rsidP="00A8546D">
      <w:pPr>
        <w:pStyle w:val="ListParagraph"/>
        <w:spacing w:line="240" w:lineRule="auto"/>
        <w:jc w:val="center"/>
        <w:rPr>
          <w:rFonts w:ascii="Arial" w:eastAsia="Times New Roman" w:hAnsi="Arial" w:cs="Arial"/>
          <w:b/>
          <w:lang w:val="es-CR" w:eastAsia="es-ES"/>
        </w:rPr>
      </w:pPr>
      <w:r w:rsidRPr="00735E43">
        <w:rPr>
          <w:rFonts w:ascii="Arial" w:hAnsi="Arial" w:cs="Arial"/>
        </w:rPr>
        <w:object w:dxaOrig="1550" w:dyaOrig="991">
          <v:shape id="_x0000_i1031" type="#_x0000_t75" style="width:77.25pt;height:49.5pt" o:ole="">
            <v:imagedata r:id="rId24" o:title=""/>
          </v:shape>
          <o:OLEObject Type="Embed" ProgID="Excel.Sheet.12" ShapeID="_x0000_i1031" DrawAspect="Icon" ObjectID="_1574154317" r:id="rId25"/>
        </w:object>
      </w:r>
      <w:bookmarkStart w:id="6" w:name="_MON_1474195879"/>
      <w:bookmarkEnd w:id="6"/>
      <w:r w:rsidRPr="00735E43">
        <w:rPr>
          <w:rFonts w:ascii="Arial" w:hAnsi="Arial" w:cs="Arial"/>
        </w:rPr>
        <w:object w:dxaOrig="1550" w:dyaOrig="991">
          <v:shape id="_x0000_i1032" type="#_x0000_t75" style="width:77.25pt;height:49.5pt" o:ole="">
            <v:imagedata r:id="rId26" o:title=""/>
          </v:shape>
          <o:OLEObject Type="Embed" ProgID="Excel.Sheet.8" ShapeID="_x0000_i1032" DrawAspect="Icon" ObjectID="_1574154318" r:id="rId27"/>
        </w:object>
      </w:r>
    </w:p>
    <w:p w:rsidR="003A1F0D" w:rsidRPr="00735E43" w:rsidRDefault="003A1F0D" w:rsidP="00A8546D">
      <w:pPr>
        <w:pStyle w:val="Textodereglamento"/>
        <w:numPr>
          <w:ilvl w:val="1"/>
          <w:numId w:val="31"/>
        </w:numPr>
        <w:spacing w:before="0"/>
        <w:rPr>
          <w:rFonts w:ascii="Arial" w:eastAsia="Arial Unicode MS" w:hAnsi="Arial" w:cs="Arial"/>
          <w:szCs w:val="22"/>
          <w:lang w:val="es-CR"/>
        </w:rPr>
      </w:pPr>
      <w:r w:rsidRPr="00735E43">
        <w:rPr>
          <w:rFonts w:ascii="Arial" w:eastAsia="Arial Unicode MS" w:hAnsi="Arial" w:cs="Arial"/>
          <w:szCs w:val="22"/>
          <w:lang w:val="es-CR"/>
        </w:rPr>
        <w:t xml:space="preserve">Se modifica: </w:t>
      </w:r>
    </w:p>
    <w:p w:rsidR="005A1DB4" w:rsidRPr="00735E43" w:rsidRDefault="005A1DB4" w:rsidP="00A8546D">
      <w:pPr>
        <w:pStyle w:val="Textodereglamento"/>
        <w:spacing w:before="0"/>
        <w:ind w:left="1440"/>
        <w:rPr>
          <w:rFonts w:ascii="Arial" w:eastAsia="Arial Unicode MS" w:hAnsi="Arial" w:cs="Arial"/>
          <w:szCs w:val="22"/>
          <w:lang w:val="es-CR"/>
        </w:rPr>
      </w:pPr>
    </w:p>
    <w:p w:rsidR="00725DB6" w:rsidRPr="00735E43" w:rsidRDefault="00725DB6" w:rsidP="00A8546D">
      <w:pPr>
        <w:pStyle w:val="Textodereglamento"/>
        <w:numPr>
          <w:ilvl w:val="0"/>
          <w:numId w:val="34"/>
        </w:numPr>
        <w:spacing w:before="0"/>
        <w:rPr>
          <w:rFonts w:ascii="Arial" w:eastAsia="Arial Unicode MS" w:hAnsi="Arial" w:cs="Arial"/>
          <w:szCs w:val="22"/>
          <w:lang w:val="es-CR"/>
        </w:rPr>
      </w:pPr>
      <w:r w:rsidRPr="00735E43">
        <w:rPr>
          <w:rFonts w:ascii="Arial" w:eastAsia="Arial Unicode MS" w:hAnsi="Arial" w:cs="Arial"/>
          <w:szCs w:val="22"/>
          <w:lang w:val="es-CR"/>
        </w:rPr>
        <w:t xml:space="preserve">La periodicidad de los estados financieros no auditados de las </w:t>
      </w:r>
      <w:r w:rsidR="00796347" w:rsidRPr="00735E43">
        <w:rPr>
          <w:rFonts w:ascii="Arial" w:eastAsia="Arial Unicode MS" w:hAnsi="Arial" w:cs="Arial"/>
          <w:szCs w:val="22"/>
          <w:lang w:val="es-CR"/>
        </w:rPr>
        <w:t>b</w:t>
      </w:r>
      <w:r w:rsidRPr="00735E43">
        <w:rPr>
          <w:rFonts w:ascii="Arial" w:eastAsia="Arial Unicode MS" w:hAnsi="Arial" w:cs="Arial"/>
          <w:szCs w:val="22"/>
          <w:lang w:val="es-CR"/>
        </w:rPr>
        <w:t xml:space="preserve">olsas de </w:t>
      </w:r>
      <w:r w:rsidR="00796347" w:rsidRPr="00735E43">
        <w:rPr>
          <w:rFonts w:ascii="Arial" w:eastAsia="Arial Unicode MS" w:hAnsi="Arial" w:cs="Arial"/>
          <w:szCs w:val="22"/>
          <w:lang w:val="es-CR"/>
        </w:rPr>
        <w:t>v</w:t>
      </w:r>
      <w:r w:rsidRPr="00735E43">
        <w:rPr>
          <w:rFonts w:ascii="Arial" w:eastAsia="Arial Unicode MS" w:hAnsi="Arial" w:cs="Arial"/>
          <w:szCs w:val="22"/>
          <w:lang w:val="es-CR"/>
        </w:rPr>
        <w:t xml:space="preserve">alores y </w:t>
      </w:r>
      <w:r w:rsidR="00796347" w:rsidRPr="00735E43">
        <w:rPr>
          <w:rFonts w:ascii="Arial" w:eastAsia="Arial Unicode MS" w:hAnsi="Arial" w:cs="Arial"/>
          <w:szCs w:val="22"/>
          <w:lang w:val="es-CR"/>
        </w:rPr>
        <w:t>c</w:t>
      </w:r>
      <w:r w:rsidRPr="00735E43">
        <w:rPr>
          <w:rFonts w:ascii="Arial" w:eastAsia="Arial Unicode MS" w:hAnsi="Arial" w:cs="Arial"/>
          <w:szCs w:val="22"/>
          <w:lang w:val="es-CR"/>
        </w:rPr>
        <w:t xml:space="preserve">entrales de </w:t>
      </w:r>
      <w:r w:rsidR="00796347" w:rsidRPr="00735E43">
        <w:rPr>
          <w:rFonts w:ascii="Arial" w:eastAsia="Arial Unicode MS" w:hAnsi="Arial" w:cs="Arial"/>
          <w:szCs w:val="22"/>
          <w:lang w:val="es-CR"/>
        </w:rPr>
        <w:t>v</w:t>
      </w:r>
      <w:r w:rsidRPr="00735E43">
        <w:rPr>
          <w:rFonts w:ascii="Arial" w:eastAsia="Arial Unicode MS" w:hAnsi="Arial" w:cs="Arial"/>
          <w:szCs w:val="22"/>
          <w:lang w:val="es-CR"/>
        </w:rPr>
        <w:t>alores de trimestral a mensual</w:t>
      </w:r>
      <w:r w:rsidR="00827D5D" w:rsidRPr="00735E43">
        <w:rPr>
          <w:rFonts w:ascii="Arial" w:eastAsia="Arial Unicode MS" w:hAnsi="Arial" w:cs="Arial"/>
          <w:szCs w:val="22"/>
          <w:lang w:val="es-CR"/>
        </w:rPr>
        <w:t>, y su plazo de entrega se define en 7 días hábiles posteriores al cierre mensual.</w:t>
      </w:r>
    </w:p>
    <w:p w:rsidR="003A1F0D" w:rsidRPr="00735E43" w:rsidRDefault="003A1F0D" w:rsidP="00A8546D">
      <w:pPr>
        <w:pStyle w:val="Textodereglamento"/>
        <w:spacing w:before="0"/>
        <w:ind w:left="1065"/>
        <w:rPr>
          <w:rFonts w:ascii="Arial" w:eastAsia="Arial Unicode MS" w:hAnsi="Arial" w:cs="Arial"/>
          <w:szCs w:val="22"/>
          <w:lang w:val="es-CR"/>
        </w:rPr>
      </w:pPr>
    </w:p>
    <w:p w:rsidR="003A1F0D" w:rsidRPr="00735E43" w:rsidRDefault="003A1F0D" w:rsidP="004847D3">
      <w:pPr>
        <w:pStyle w:val="Textodereglamento"/>
        <w:numPr>
          <w:ilvl w:val="0"/>
          <w:numId w:val="34"/>
        </w:numPr>
        <w:spacing w:before="0"/>
        <w:rPr>
          <w:rFonts w:ascii="Arial" w:eastAsia="Arial Unicode MS" w:hAnsi="Arial" w:cs="Arial"/>
          <w:szCs w:val="22"/>
          <w:lang w:val="es-CR"/>
        </w:rPr>
      </w:pPr>
      <w:r w:rsidRPr="00735E43">
        <w:rPr>
          <w:rFonts w:ascii="Arial" w:eastAsia="Arial Unicode MS" w:hAnsi="Arial" w:cs="Arial"/>
          <w:szCs w:val="22"/>
          <w:lang w:val="es-CR"/>
        </w:rPr>
        <w:t xml:space="preserve">Para los reportes de “Reporte de Inversiones Propias” (Anexo 10) y  “Reporte de Posiciones Abiertas a Plazo” (Anexo 12) se modifica la cantidad máxima de dígitos que permiten actualmente los sistemas, pasando los números de operación de 10 a 12 dígitos, con el propósito de ser consistente con la estructura de los números de contratos que establece </w:t>
      </w:r>
      <w:proofErr w:type="spellStart"/>
      <w:r w:rsidRPr="00735E43">
        <w:rPr>
          <w:rFonts w:ascii="Arial" w:eastAsia="Arial Unicode MS" w:hAnsi="Arial" w:cs="Arial"/>
          <w:i/>
          <w:szCs w:val="22"/>
          <w:lang w:val="es-CR"/>
        </w:rPr>
        <w:t>Patron</w:t>
      </w:r>
      <w:proofErr w:type="spellEnd"/>
      <w:r w:rsidRPr="00735E43">
        <w:rPr>
          <w:rFonts w:ascii="Arial" w:eastAsia="Arial Unicode MS" w:hAnsi="Arial" w:cs="Arial"/>
          <w:i/>
          <w:szCs w:val="22"/>
          <w:lang w:val="es-CR"/>
        </w:rPr>
        <w:t xml:space="preserve"> Clear</w:t>
      </w:r>
      <w:r w:rsidRPr="00735E43">
        <w:rPr>
          <w:rFonts w:ascii="Arial" w:eastAsia="Arial Unicode MS" w:hAnsi="Arial" w:cs="Arial"/>
          <w:szCs w:val="22"/>
          <w:lang w:val="es-CR"/>
        </w:rPr>
        <w:t>.</w:t>
      </w:r>
      <w:r w:rsidR="004847D3" w:rsidRPr="00735E43">
        <w:rPr>
          <w:rFonts w:ascii="Arial" w:hAnsi="Arial" w:cs="Arial"/>
          <w:szCs w:val="22"/>
        </w:rPr>
        <w:t xml:space="preserve"> </w:t>
      </w:r>
    </w:p>
    <w:p w:rsidR="00EF671D" w:rsidRPr="00735E43" w:rsidRDefault="00EF671D" w:rsidP="00A8546D">
      <w:pPr>
        <w:pStyle w:val="ListParagraph"/>
        <w:spacing w:line="240" w:lineRule="auto"/>
        <w:ind w:left="0"/>
        <w:jc w:val="center"/>
        <w:rPr>
          <w:rFonts w:ascii="Arial" w:hAnsi="Arial" w:cs="Arial"/>
          <w:lang w:val="es-CR"/>
        </w:rPr>
      </w:pPr>
    </w:p>
    <w:bookmarkStart w:id="7" w:name="_MON_1479040874"/>
    <w:bookmarkEnd w:id="7"/>
    <w:p w:rsidR="003A1F0D" w:rsidRPr="00735E43" w:rsidRDefault="001B514A" w:rsidP="00A8546D">
      <w:pPr>
        <w:pStyle w:val="ListParagraph"/>
        <w:spacing w:line="240" w:lineRule="auto"/>
        <w:ind w:left="0"/>
        <w:jc w:val="center"/>
        <w:rPr>
          <w:rFonts w:ascii="Arial" w:hAnsi="Arial" w:cs="Arial"/>
        </w:rPr>
      </w:pPr>
      <w:r w:rsidRPr="00735E43">
        <w:rPr>
          <w:rFonts w:ascii="Arial" w:hAnsi="Arial" w:cs="Arial"/>
        </w:rPr>
        <w:object w:dxaOrig="1550" w:dyaOrig="991">
          <v:shape id="_x0000_i1033" type="#_x0000_t75" style="width:77.25pt;height:49.5pt" o:ole="">
            <v:imagedata r:id="rId28" o:title=""/>
          </v:shape>
          <o:OLEObject Type="Embed" ProgID="Word.Document.8" ShapeID="_x0000_i1033" DrawAspect="Icon" ObjectID="_1574154319" r:id="rId29">
            <o:FieldCodes>\s</o:FieldCodes>
          </o:OLEObject>
        </w:object>
      </w:r>
      <w:bookmarkStart w:id="8" w:name="_MON_1468071775"/>
      <w:bookmarkEnd w:id="8"/>
      <w:r w:rsidRPr="00735E43">
        <w:rPr>
          <w:rFonts w:ascii="Arial" w:hAnsi="Arial" w:cs="Arial"/>
        </w:rPr>
        <w:object w:dxaOrig="1550" w:dyaOrig="991">
          <v:shape id="_x0000_i1034" type="#_x0000_t75" style="width:78pt;height:49.5pt" o:ole="">
            <v:imagedata r:id="rId30" o:title=""/>
          </v:shape>
          <o:OLEObject Type="Embed" ProgID="Word.Document.8" ShapeID="_x0000_i1034" DrawAspect="Icon" ObjectID="_1574154320" r:id="rId31">
            <o:FieldCodes>\s</o:FieldCodes>
          </o:OLEObject>
        </w:object>
      </w:r>
    </w:p>
    <w:p w:rsidR="0017149F" w:rsidRPr="00735E43" w:rsidRDefault="0017149F" w:rsidP="0017149F">
      <w:pPr>
        <w:pStyle w:val="Textodereglamento"/>
        <w:numPr>
          <w:ilvl w:val="1"/>
          <w:numId w:val="31"/>
        </w:numPr>
        <w:spacing w:before="0"/>
        <w:rPr>
          <w:rFonts w:ascii="Arial" w:eastAsia="Arial Unicode MS" w:hAnsi="Arial" w:cs="Arial"/>
          <w:szCs w:val="22"/>
          <w:lang w:val="es-CR"/>
        </w:rPr>
      </w:pPr>
      <w:r w:rsidRPr="00735E43">
        <w:rPr>
          <w:rFonts w:ascii="Arial" w:eastAsia="Arial Unicode MS" w:hAnsi="Arial" w:cs="Arial"/>
          <w:szCs w:val="22"/>
          <w:lang w:val="es-CR"/>
        </w:rPr>
        <w:t>Se elimina el  anexo 9: Reporte de Carteras Administradas Puestos</w:t>
      </w:r>
    </w:p>
    <w:p w:rsidR="002E07CA" w:rsidRPr="00B75B2F" w:rsidRDefault="002E07CA" w:rsidP="00B75B2F">
      <w:pPr>
        <w:pStyle w:val="Textodereglamento"/>
        <w:spacing w:before="0"/>
        <w:rPr>
          <w:rFonts w:ascii="Arial" w:eastAsia="Arial Unicode MS" w:hAnsi="Arial" w:cs="Arial"/>
          <w:szCs w:val="22"/>
          <w:lang w:val="es-CR"/>
        </w:rPr>
      </w:pPr>
    </w:p>
    <w:p w:rsidR="008E365E" w:rsidRPr="00735E43" w:rsidRDefault="008E365E" w:rsidP="00A8546D">
      <w:pPr>
        <w:pStyle w:val="Textodereglamento"/>
        <w:numPr>
          <w:ilvl w:val="0"/>
          <w:numId w:val="31"/>
        </w:numPr>
        <w:spacing w:before="0"/>
        <w:rPr>
          <w:rFonts w:ascii="Arial" w:eastAsia="Arial Unicode MS" w:hAnsi="Arial" w:cs="Arial"/>
          <w:b/>
          <w:szCs w:val="22"/>
          <w:lang w:val="es-CR"/>
        </w:rPr>
      </w:pPr>
      <w:r w:rsidRPr="00735E43">
        <w:rPr>
          <w:rFonts w:ascii="Arial" w:eastAsia="Arial Unicode MS" w:hAnsi="Arial" w:cs="Arial"/>
          <w:b/>
          <w:szCs w:val="22"/>
          <w:lang w:val="es-CR"/>
        </w:rPr>
        <w:t>Disposiciones Relativas a Sociedades Administradoras y Fondos de Inversión:</w:t>
      </w:r>
    </w:p>
    <w:p w:rsidR="00ED6453" w:rsidRPr="00B75B2F" w:rsidRDefault="00ED6453" w:rsidP="00B75B2F">
      <w:pPr>
        <w:pStyle w:val="Textodereglamento"/>
        <w:spacing w:before="0"/>
        <w:rPr>
          <w:rFonts w:ascii="Arial" w:hAnsi="Arial" w:cs="Arial"/>
          <w:szCs w:val="22"/>
          <w:lang w:val="es-CR"/>
        </w:rPr>
      </w:pPr>
    </w:p>
    <w:p w:rsidR="00ED6453" w:rsidRPr="00735E43" w:rsidRDefault="00ED6453" w:rsidP="00A8546D">
      <w:pPr>
        <w:pStyle w:val="Textodereglamento"/>
        <w:numPr>
          <w:ilvl w:val="1"/>
          <w:numId w:val="31"/>
        </w:numPr>
        <w:spacing w:before="0"/>
        <w:rPr>
          <w:rFonts w:ascii="Arial" w:eastAsia="Arial Unicode MS" w:hAnsi="Arial" w:cs="Arial"/>
          <w:b/>
          <w:szCs w:val="22"/>
          <w:lang w:val="es-CR"/>
        </w:rPr>
      </w:pPr>
      <w:r w:rsidRPr="00735E43">
        <w:rPr>
          <w:rFonts w:ascii="Arial" w:eastAsia="Arial Unicode MS" w:hAnsi="Arial" w:cs="Arial"/>
          <w:b/>
          <w:szCs w:val="22"/>
          <w:lang w:val="es-CR"/>
        </w:rPr>
        <w:t>Se adicionan:</w:t>
      </w:r>
    </w:p>
    <w:p w:rsidR="00ED6453" w:rsidRPr="00735E43" w:rsidRDefault="00ED6453" w:rsidP="00B75B2F">
      <w:pPr>
        <w:pStyle w:val="Textodereglamento"/>
        <w:spacing w:before="0"/>
        <w:rPr>
          <w:rFonts w:ascii="Arial" w:hAnsi="Arial" w:cs="Arial"/>
          <w:szCs w:val="22"/>
        </w:rPr>
      </w:pPr>
    </w:p>
    <w:p w:rsidR="00FE7099" w:rsidRPr="00735E43" w:rsidRDefault="00ED6453" w:rsidP="001F4E1A">
      <w:pPr>
        <w:numPr>
          <w:ilvl w:val="2"/>
          <w:numId w:val="12"/>
        </w:numPr>
        <w:jc w:val="both"/>
        <w:rPr>
          <w:rFonts w:ascii="Arial" w:eastAsia="Arial Unicode MS" w:hAnsi="Arial" w:cs="Arial"/>
          <w:szCs w:val="22"/>
          <w:lang w:val="es-CR"/>
        </w:rPr>
      </w:pPr>
      <w:r w:rsidRPr="00735E43">
        <w:rPr>
          <w:rFonts w:ascii="Arial" w:eastAsia="Arial Unicode MS" w:hAnsi="Arial" w:cs="Arial"/>
          <w:szCs w:val="22"/>
          <w:lang w:val="es-CR"/>
        </w:rPr>
        <w:t xml:space="preserve">El Reporte de </w:t>
      </w:r>
      <w:r w:rsidR="00FC005C" w:rsidRPr="00735E43">
        <w:rPr>
          <w:rFonts w:ascii="Arial" w:eastAsia="Arial Unicode MS" w:hAnsi="Arial" w:cs="Arial"/>
          <w:szCs w:val="22"/>
          <w:lang w:val="es-CR"/>
        </w:rPr>
        <w:t>Colocaciones</w:t>
      </w:r>
      <w:r w:rsidRPr="00735E43">
        <w:rPr>
          <w:rFonts w:ascii="Arial" w:eastAsia="Arial Unicode MS" w:hAnsi="Arial" w:cs="Arial"/>
          <w:szCs w:val="22"/>
          <w:lang w:val="es-CR"/>
        </w:rPr>
        <w:t xml:space="preserve"> (RMP_</w:t>
      </w:r>
      <w:r w:rsidR="001F4E1A" w:rsidRPr="00735E43">
        <w:rPr>
          <w:rFonts w:ascii="Arial" w:eastAsia="Arial Unicode MS" w:hAnsi="Arial" w:cs="Arial"/>
          <w:szCs w:val="22"/>
          <w:lang w:val="es-CR"/>
        </w:rPr>
        <w:t>FONDOS</w:t>
      </w:r>
      <w:r w:rsidRPr="00735E43">
        <w:rPr>
          <w:rFonts w:ascii="Arial" w:eastAsia="Arial Unicode MS" w:hAnsi="Arial" w:cs="Arial"/>
          <w:szCs w:val="22"/>
          <w:lang w:val="es-CR"/>
        </w:rPr>
        <w:t>)</w:t>
      </w:r>
      <w:r w:rsidR="002863DC" w:rsidRPr="00735E43">
        <w:rPr>
          <w:rFonts w:ascii="Arial" w:eastAsia="Arial Unicode MS" w:hAnsi="Arial" w:cs="Arial"/>
          <w:szCs w:val="22"/>
          <w:lang w:val="es-CR"/>
        </w:rPr>
        <w:t>, sección C del anexo 3.</w:t>
      </w:r>
    </w:p>
    <w:p w:rsidR="00C13149" w:rsidRPr="00735E43" w:rsidRDefault="00C13149" w:rsidP="00A8546D">
      <w:pPr>
        <w:ind w:left="1080"/>
        <w:rPr>
          <w:rFonts w:ascii="Arial" w:hAnsi="Arial" w:cs="Arial"/>
          <w:szCs w:val="22"/>
          <w:lang w:val="es-CR"/>
        </w:rPr>
      </w:pPr>
    </w:p>
    <w:p w:rsidR="005A1DB4" w:rsidRPr="00735E43" w:rsidRDefault="00EF671D" w:rsidP="001F4E1A">
      <w:pPr>
        <w:numPr>
          <w:ilvl w:val="2"/>
          <w:numId w:val="12"/>
        </w:numPr>
        <w:jc w:val="both"/>
        <w:rPr>
          <w:rFonts w:ascii="Arial" w:hAnsi="Arial" w:cs="Arial"/>
          <w:szCs w:val="22"/>
        </w:rPr>
      </w:pPr>
      <w:r w:rsidRPr="00735E43">
        <w:rPr>
          <w:rFonts w:ascii="Arial" w:eastAsia="Arial Unicode MS" w:hAnsi="Arial" w:cs="Arial"/>
          <w:szCs w:val="22"/>
          <w:lang w:val="es-CR"/>
        </w:rPr>
        <w:t>Se adicionan las siguientes cuentas al Reporte de Concentración de Inversionistas (RC_</w:t>
      </w:r>
      <w:r w:rsidR="001F4E1A" w:rsidRPr="00735E43">
        <w:rPr>
          <w:rFonts w:ascii="Arial" w:eastAsia="Arial Unicode MS" w:hAnsi="Arial" w:cs="Arial"/>
          <w:szCs w:val="22"/>
          <w:lang w:val="es-CR"/>
        </w:rPr>
        <w:t>FONDOS</w:t>
      </w:r>
      <w:r w:rsidRPr="00735E43">
        <w:rPr>
          <w:rFonts w:ascii="Arial" w:eastAsia="Arial Unicode MS" w:hAnsi="Arial" w:cs="Arial"/>
          <w:szCs w:val="22"/>
          <w:lang w:val="es-CR"/>
        </w:rPr>
        <w:t>)</w:t>
      </w:r>
      <w:r w:rsidR="00827D5D" w:rsidRPr="00735E43">
        <w:rPr>
          <w:rFonts w:ascii="Arial" w:eastAsia="Arial Unicode MS" w:hAnsi="Arial" w:cs="Arial"/>
          <w:szCs w:val="22"/>
          <w:lang w:val="es-CR"/>
        </w:rPr>
        <w:t xml:space="preserve">, por lo que el </w:t>
      </w:r>
      <w:r w:rsidR="005A1DB4" w:rsidRPr="00735E43">
        <w:rPr>
          <w:rFonts w:ascii="Arial" w:hAnsi="Arial" w:cs="Arial"/>
          <w:szCs w:val="22"/>
        </w:rPr>
        <w:t>Anexo 17: Composición de Carteras</w:t>
      </w:r>
      <w:r w:rsidR="00827D5D" w:rsidRPr="00735E43">
        <w:rPr>
          <w:rFonts w:ascii="Arial" w:hAnsi="Arial" w:cs="Arial"/>
          <w:szCs w:val="22"/>
        </w:rPr>
        <w:t>, se debe leer</w:t>
      </w:r>
      <w:r w:rsidR="005A1DB4" w:rsidRPr="00735E43">
        <w:rPr>
          <w:rFonts w:ascii="Arial" w:hAnsi="Arial" w:cs="Arial"/>
          <w:szCs w:val="22"/>
        </w:rPr>
        <w:t xml:space="preserve"> de la siguiente forma:</w:t>
      </w:r>
    </w:p>
    <w:p w:rsidR="005A1DB4" w:rsidRPr="00735E43" w:rsidRDefault="005A1DB4" w:rsidP="00A8546D">
      <w:pPr>
        <w:jc w:val="both"/>
        <w:rPr>
          <w:rFonts w:ascii="Arial" w:hAnsi="Arial" w:cs="Arial"/>
          <w:szCs w:val="22"/>
        </w:rPr>
      </w:pPr>
    </w:p>
    <w:bookmarkStart w:id="9" w:name="_MON_1478416910"/>
    <w:bookmarkEnd w:id="9"/>
    <w:p w:rsidR="00C61899" w:rsidRPr="00735E43" w:rsidRDefault="001B514A" w:rsidP="00A8546D">
      <w:pPr>
        <w:jc w:val="center"/>
        <w:rPr>
          <w:rFonts w:ascii="Arial" w:hAnsi="Arial" w:cs="Arial"/>
          <w:szCs w:val="22"/>
          <w:lang w:val="es-CR"/>
        </w:rPr>
      </w:pPr>
      <w:r w:rsidRPr="00735E43">
        <w:rPr>
          <w:rFonts w:ascii="Arial" w:hAnsi="Arial" w:cs="Arial"/>
          <w:szCs w:val="22"/>
          <w:lang w:val="es-CR"/>
        </w:rPr>
        <w:object w:dxaOrig="1550" w:dyaOrig="991">
          <v:shape id="_x0000_i1035" type="#_x0000_t75" style="width:77.25pt;height:49.5pt" o:ole="">
            <v:imagedata r:id="rId32" o:title=""/>
          </v:shape>
          <o:OLEObject Type="Embed" ProgID="Excel.Sheet.12" ShapeID="_x0000_i1035" DrawAspect="Icon" ObjectID="_1574154321" r:id="rId33"/>
        </w:object>
      </w:r>
    </w:p>
    <w:p w:rsidR="00EF671D" w:rsidRPr="00735E43" w:rsidRDefault="00EF671D" w:rsidP="00E428F5">
      <w:pPr>
        <w:jc w:val="center"/>
        <w:rPr>
          <w:rFonts w:ascii="Arial" w:hAnsi="Arial" w:cs="Arial"/>
          <w:szCs w:val="22"/>
          <w:lang w:val="es-CR"/>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843"/>
        <w:gridCol w:w="5906"/>
      </w:tblGrid>
      <w:tr w:rsidR="00827D5D" w:rsidRPr="00735E43" w:rsidTr="00780CC6">
        <w:trPr>
          <w:trHeight w:val="20"/>
          <w:tblHeader/>
          <w:jc w:val="center"/>
        </w:trPr>
        <w:tc>
          <w:tcPr>
            <w:tcW w:w="1809" w:type="dxa"/>
            <w:shd w:val="clear" w:color="auto" w:fill="F2F2F2"/>
            <w:vAlign w:val="center"/>
          </w:tcPr>
          <w:p w:rsidR="00827D5D" w:rsidRPr="00735E43" w:rsidRDefault="00827D5D" w:rsidP="002822D0">
            <w:pPr>
              <w:jc w:val="center"/>
              <w:rPr>
                <w:rFonts w:ascii="Arial" w:eastAsia="Arial Unicode MS" w:hAnsi="Arial" w:cs="Arial"/>
                <w:szCs w:val="22"/>
                <w:lang w:val="es-CR"/>
              </w:rPr>
            </w:pPr>
            <w:r w:rsidRPr="00735E43">
              <w:rPr>
                <w:rFonts w:ascii="Arial" w:eastAsia="Arial Unicode MS" w:hAnsi="Arial" w:cs="Arial"/>
                <w:szCs w:val="22"/>
                <w:lang w:val="es-CR"/>
              </w:rPr>
              <w:t>Cuenta</w:t>
            </w:r>
          </w:p>
        </w:tc>
        <w:tc>
          <w:tcPr>
            <w:tcW w:w="1843" w:type="dxa"/>
            <w:shd w:val="clear" w:color="auto" w:fill="F2F2F2"/>
          </w:tcPr>
          <w:p w:rsidR="00827D5D" w:rsidRPr="00735E43" w:rsidRDefault="00827D5D" w:rsidP="002822D0">
            <w:pPr>
              <w:jc w:val="center"/>
              <w:rPr>
                <w:rFonts w:ascii="Arial" w:eastAsia="Arial Unicode MS" w:hAnsi="Arial" w:cs="Arial"/>
                <w:szCs w:val="22"/>
                <w:lang w:val="es-CR"/>
              </w:rPr>
            </w:pPr>
            <w:r w:rsidRPr="00735E43">
              <w:rPr>
                <w:rFonts w:ascii="Arial" w:eastAsia="Arial Unicode MS" w:hAnsi="Arial" w:cs="Arial"/>
                <w:szCs w:val="22"/>
                <w:lang w:val="es-CR"/>
              </w:rPr>
              <w:t>Cuenta madre</w:t>
            </w:r>
          </w:p>
        </w:tc>
        <w:tc>
          <w:tcPr>
            <w:tcW w:w="5906" w:type="dxa"/>
            <w:shd w:val="clear" w:color="auto" w:fill="F2F2F2"/>
            <w:vAlign w:val="center"/>
          </w:tcPr>
          <w:p w:rsidR="00827D5D" w:rsidRPr="00735E43" w:rsidRDefault="00827D5D" w:rsidP="002822D0">
            <w:pPr>
              <w:jc w:val="center"/>
              <w:rPr>
                <w:rFonts w:ascii="Arial" w:eastAsia="Arial Unicode MS" w:hAnsi="Arial" w:cs="Arial"/>
                <w:szCs w:val="22"/>
                <w:lang w:val="es-CR"/>
              </w:rPr>
            </w:pPr>
            <w:r w:rsidRPr="00735E43">
              <w:rPr>
                <w:rFonts w:ascii="Arial" w:eastAsia="Arial Unicode MS" w:hAnsi="Arial" w:cs="Arial"/>
                <w:szCs w:val="22"/>
                <w:lang w:val="es-CR"/>
              </w:rPr>
              <w:t>Descripción</w:t>
            </w:r>
          </w:p>
        </w:tc>
      </w:tr>
      <w:tr w:rsidR="003A5910" w:rsidRPr="00735E43" w:rsidTr="00780CC6">
        <w:trPr>
          <w:trHeight w:val="245"/>
          <w:jc w:val="center"/>
        </w:trPr>
        <w:tc>
          <w:tcPr>
            <w:tcW w:w="1809" w:type="dxa"/>
            <w:shd w:val="clear" w:color="auto" w:fill="auto"/>
            <w:vAlign w:val="bottom"/>
          </w:tcPr>
          <w:p w:rsidR="003A5910" w:rsidRPr="00735E43" w:rsidRDefault="003A5910">
            <w:pPr>
              <w:rPr>
                <w:rFonts w:ascii="Arial" w:hAnsi="Arial" w:cs="Arial"/>
                <w:szCs w:val="22"/>
              </w:rPr>
            </w:pPr>
            <w:r w:rsidRPr="00735E43">
              <w:rPr>
                <w:rFonts w:ascii="Arial" w:hAnsi="Arial" w:cs="Arial"/>
                <w:szCs w:val="22"/>
              </w:rPr>
              <w:t>115000000000</w:t>
            </w:r>
          </w:p>
        </w:tc>
        <w:tc>
          <w:tcPr>
            <w:tcW w:w="1843" w:type="dxa"/>
            <w:shd w:val="clear" w:color="auto" w:fill="auto"/>
            <w:vAlign w:val="bottom"/>
          </w:tcPr>
          <w:p w:rsidR="003A5910" w:rsidRPr="00735E43" w:rsidRDefault="003A5910">
            <w:pPr>
              <w:rPr>
                <w:rFonts w:ascii="Arial" w:hAnsi="Arial" w:cs="Arial"/>
                <w:szCs w:val="22"/>
              </w:rPr>
            </w:pPr>
            <w:r w:rsidRPr="00735E43">
              <w:rPr>
                <w:rFonts w:ascii="Arial" w:hAnsi="Arial" w:cs="Arial"/>
                <w:szCs w:val="22"/>
              </w:rPr>
              <w:t>0</w:t>
            </w:r>
          </w:p>
        </w:tc>
        <w:tc>
          <w:tcPr>
            <w:tcW w:w="5906" w:type="dxa"/>
            <w:shd w:val="clear" w:color="auto" w:fill="auto"/>
            <w:noWrap/>
            <w:vAlign w:val="bottom"/>
          </w:tcPr>
          <w:p w:rsidR="003A5910" w:rsidRPr="00735E43" w:rsidRDefault="003A5910">
            <w:pPr>
              <w:rPr>
                <w:rFonts w:ascii="Arial" w:hAnsi="Arial" w:cs="Arial"/>
                <w:szCs w:val="22"/>
              </w:rPr>
            </w:pPr>
            <w:r w:rsidRPr="00735E43">
              <w:rPr>
                <w:rFonts w:ascii="Arial" w:hAnsi="Arial" w:cs="Arial"/>
                <w:szCs w:val="22"/>
              </w:rPr>
              <w:t>Concentración cinco clientes con mayor participación  (monto)</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 xml:space="preserve">123000000000   </w:t>
            </w:r>
          </w:p>
        </w:tc>
        <w:tc>
          <w:tcPr>
            <w:tcW w:w="5906" w:type="dxa"/>
            <w:shd w:val="clear" w:color="auto" w:fill="auto"/>
            <w:noWrap/>
            <w:vAlign w:val="bottom"/>
          </w:tcPr>
          <w:p w:rsidR="004701AC" w:rsidRPr="00735E43" w:rsidRDefault="004701AC">
            <w:pPr>
              <w:rPr>
                <w:rFonts w:ascii="Arial" w:hAnsi="Arial" w:cs="Arial"/>
                <w:b/>
                <w:bCs/>
                <w:szCs w:val="22"/>
              </w:rPr>
            </w:pPr>
            <w:r w:rsidRPr="00735E43">
              <w:rPr>
                <w:rFonts w:ascii="Arial" w:hAnsi="Arial" w:cs="Arial"/>
                <w:b/>
                <w:bCs/>
                <w:szCs w:val="22"/>
              </w:rPr>
              <w:t>Inversionistas Físicos (colones)</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Hasta ₡10.000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 a ₡25.000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₡25.000 a ₡50.000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123101130000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₡50.000 a ₡100.000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 a ₡250.000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123101150000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₡250.000 a ₡500.000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123101160000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₡500.000 a ₡1.000.000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123101170000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₡1.000.000 a ₡2.000.000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123101180000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₡2.000.000 a ₡5.000.000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123101190000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₡5.000.000 a ₡10.000.000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123101200000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₡10.000.000 a ₡20.000.000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123101210000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₡20.000.000 a ₡40.000.000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123101220000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₡40.000.000 a ₡80.000.000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123101230000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₡80.000.000 a ₡100.000.000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123101240000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 xml:space="preserve">123000000000   </w:t>
            </w:r>
          </w:p>
        </w:tc>
        <w:tc>
          <w:tcPr>
            <w:tcW w:w="5906" w:type="dxa"/>
            <w:shd w:val="clear" w:color="auto" w:fill="auto"/>
            <w:noWrap/>
            <w:vAlign w:val="bottom"/>
          </w:tcPr>
          <w:p w:rsidR="004701AC" w:rsidRPr="00735E43" w:rsidRDefault="004701AC">
            <w:pPr>
              <w:rPr>
                <w:rFonts w:ascii="Arial" w:hAnsi="Arial" w:cs="Arial"/>
                <w:b/>
                <w:bCs/>
                <w:szCs w:val="22"/>
              </w:rPr>
            </w:pPr>
            <w:r w:rsidRPr="00735E43">
              <w:rPr>
                <w:rFonts w:ascii="Arial" w:hAnsi="Arial" w:cs="Arial"/>
                <w:b/>
                <w:bCs/>
                <w:szCs w:val="22"/>
              </w:rPr>
              <w:t>Inversionistas Jurídicos (colones)</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 xml:space="preserve">123000000000   </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Hasta ₡10.000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 a ₡25.000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₡25.000 a ₡50.000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123102130000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₡50.000 a ₡100.000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 a ₡250.000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123102150000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₡250.000 a ₡500.000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lastRenderedPageBreak/>
              <w:t>123102160000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₡500.000 a ₡1.000.000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123102170000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₡1.000.000 a ₡2.000.000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123102180000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₡2.000.000 a ₡5.000.000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123102190000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₡5.000.000 a ₡10.000.000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123102200000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₡10.000.000 a ₡20.000.000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123102210000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₡20.000.000 a ₡40.000.000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123102220000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₡40.000.000 a ₡80.000.000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123102230000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₡80.000.000 a ₡100.000.000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123102240000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123102000000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124000000000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 xml:space="preserve">120000000000   </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Cantidad de  Inversionistas para fondos en dólares</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 xml:space="preserve">124000000000   </w:t>
            </w:r>
          </w:p>
        </w:tc>
        <w:tc>
          <w:tcPr>
            <w:tcW w:w="5906" w:type="dxa"/>
            <w:shd w:val="clear" w:color="auto" w:fill="auto"/>
            <w:noWrap/>
            <w:vAlign w:val="bottom"/>
          </w:tcPr>
          <w:p w:rsidR="004701AC" w:rsidRPr="00735E43" w:rsidRDefault="004701AC">
            <w:pPr>
              <w:rPr>
                <w:rFonts w:ascii="Arial" w:hAnsi="Arial" w:cs="Arial"/>
                <w:b/>
                <w:bCs/>
                <w:szCs w:val="22"/>
              </w:rPr>
            </w:pPr>
            <w:r w:rsidRPr="00735E43">
              <w:rPr>
                <w:rFonts w:ascii="Arial" w:hAnsi="Arial" w:cs="Arial"/>
                <w:b/>
                <w:bCs/>
                <w:szCs w:val="22"/>
              </w:rPr>
              <w:t>Inversionistas Físicos (otras monedas)</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Hasta $15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$15 a $50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 a $100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124101130000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 a $200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 a $500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124101150000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 a $1.000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124101160000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 a $2.000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124101170000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 a $4.000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124101180000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$4.000 a $10.000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124101190000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 a $20.000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124101200000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 a $40.000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124101210000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$40.000 a $80.000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124101220000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$80.000 a $160.000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124101240000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$160.000 a $200.000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124101240000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124101000000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 xml:space="preserve">124000000000   </w:t>
            </w:r>
          </w:p>
        </w:tc>
        <w:tc>
          <w:tcPr>
            <w:tcW w:w="5906" w:type="dxa"/>
            <w:shd w:val="clear" w:color="auto" w:fill="auto"/>
            <w:noWrap/>
            <w:vAlign w:val="bottom"/>
          </w:tcPr>
          <w:p w:rsidR="004701AC" w:rsidRPr="00735E43" w:rsidRDefault="004701AC">
            <w:pPr>
              <w:rPr>
                <w:rFonts w:ascii="Arial" w:hAnsi="Arial" w:cs="Arial"/>
                <w:b/>
                <w:bCs/>
                <w:szCs w:val="22"/>
              </w:rPr>
            </w:pPr>
            <w:r w:rsidRPr="00735E43">
              <w:rPr>
                <w:rFonts w:ascii="Arial" w:hAnsi="Arial" w:cs="Arial"/>
                <w:b/>
                <w:bCs/>
                <w:szCs w:val="22"/>
              </w:rPr>
              <w:t>Inversionistas Jurídicos (otras monedas)</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 xml:space="preserve">124000000000   </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Hasta $15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$15 a $50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 a $100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124102130000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 a $200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 a $500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124102150000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$500 a $1.000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124102160000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 a $2.000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124102170000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 a $4.000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124102180000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$4.000 a $10.000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124102190000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$10.000 a $20.000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124102200000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 a $40.000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124102210000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$40.000 a $80.000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124102220000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$80.000 a $160.000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124102230000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$160.000 a $200.000 </w:t>
            </w:r>
          </w:p>
        </w:tc>
      </w:tr>
      <w:tr w:rsidR="004701AC" w:rsidRPr="00735E43" w:rsidTr="00780CC6">
        <w:trPr>
          <w:trHeight w:val="245"/>
          <w:jc w:val="center"/>
        </w:trPr>
        <w:tc>
          <w:tcPr>
            <w:tcW w:w="1809"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124102240000</w:t>
            </w:r>
          </w:p>
        </w:tc>
        <w:tc>
          <w:tcPr>
            <w:tcW w:w="1843" w:type="dxa"/>
            <w:shd w:val="clear" w:color="auto" w:fill="auto"/>
            <w:vAlign w:val="bottom"/>
          </w:tcPr>
          <w:p w:rsidR="004701AC" w:rsidRPr="00735E43" w:rsidRDefault="004701AC">
            <w:pPr>
              <w:rPr>
                <w:rFonts w:ascii="Arial" w:hAnsi="Arial" w:cs="Arial"/>
                <w:szCs w:val="22"/>
              </w:rPr>
            </w:pPr>
            <w:r w:rsidRPr="00735E43">
              <w:rPr>
                <w:rFonts w:ascii="Arial" w:hAnsi="Arial" w:cs="Arial"/>
                <w:szCs w:val="22"/>
              </w:rPr>
              <w:t>124102000000</w:t>
            </w:r>
          </w:p>
        </w:tc>
        <w:tc>
          <w:tcPr>
            <w:tcW w:w="5906" w:type="dxa"/>
            <w:shd w:val="clear" w:color="auto" w:fill="auto"/>
            <w:noWrap/>
            <w:vAlign w:val="bottom"/>
          </w:tcPr>
          <w:p w:rsidR="004701AC" w:rsidRPr="00735E43" w:rsidRDefault="004701AC">
            <w:pPr>
              <w:rPr>
                <w:rFonts w:ascii="Arial" w:hAnsi="Arial" w:cs="Arial"/>
                <w:szCs w:val="22"/>
              </w:rPr>
            </w:pPr>
            <w:r w:rsidRPr="00735E43">
              <w:rPr>
                <w:rFonts w:ascii="Arial" w:hAnsi="Arial" w:cs="Arial"/>
                <w:szCs w:val="22"/>
              </w:rPr>
              <w:t xml:space="preserve"> más de $200.000 </w:t>
            </w:r>
          </w:p>
        </w:tc>
      </w:tr>
      <w:tr w:rsidR="004701AC" w:rsidRPr="00735E43" w:rsidTr="00780CC6">
        <w:trPr>
          <w:trHeight w:val="245"/>
          <w:jc w:val="center"/>
        </w:trPr>
        <w:tc>
          <w:tcPr>
            <w:tcW w:w="1809" w:type="dxa"/>
            <w:shd w:val="clear" w:color="auto" w:fill="auto"/>
            <w:vAlign w:val="bottom"/>
          </w:tcPr>
          <w:p w:rsidR="004701AC" w:rsidRPr="00735E43" w:rsidRDefault="004701AC" w:rsidP="002822D0">
            <w:pPr>
              <w:rPr>
                <w:rFonts w:ascii="Arial" w:hAnsi="Arial" w:cs="Arial"/>
                <w:szCs w:val="22"/>
              </w:rPr>
            </w:pPr>
          </w:p>
        </w:tc>
        <w:tc>
          <w:tcPr>
            <w:tcW w:w="1843" w:type="dxa"/>
            <w:shd w:val="clear" w:color="auto" w:fill="auto"/>
            <w:vAlign w:val="bottom"/>
          </w:tcPr>
          <w:p w:rsidR="004701AC" w:rsidRPr="00735E43" w:rsidRDefault="004701AC" w:rsidP="002822D0">
            <w:pPr>
              <w:rPr>
                <w:rFonts w:ascii="Arial" w:hAnsi="Arial" w:cs="Arial"/>
                <w:szCs w:val="22"/>
              </w:rPr>
            </w:pPr>
          </w:p>
        </w:tc>
        <w:tc>
          <w:tcPr>
            <w:tcW w:w="5906" w:type="dxa"/>
            <w:shd w:val="clear" w:color="auto" w:fill="auto"/>
            <w:noWrap/>
            <w:vAlign w:val="bottom"/>
          </w:tcPr>
          <w:p w:rsidR="004701AC" w:rsidRPr="00735E43" w:rsidRDefault="004701AC" w:rsidP="002822D0">
            <w:pPr>
              <w:rPr>
                <w:rFonts w:ascii="Arial" w:hAnsi="Arial" w:cs="Arial"/>
                <w:szCs w:val="22"/>
              </w:rPr>
            </w:pPr>
          </w:p>
        </w:tc>
      </w:tr>
      <w:tr w:rsidR="004642D7" w:rsidRPr="00735E43" w:rsidTr="00780CC6">
        <w:trPr>
          <w:trHeight w:val="251"/>
          <w:jc w:val="center"/>
        </w:trPr>
        <w:tc>
          <w:tcPr>
            <w:tcW w:w="1809"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302020100000</w:t>
            </w:r>
          </w:p>
        </w:tc>
        <w:tc>
          <w:tcPr>
            <w:tcW w:w="1843"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302020000000</w:t>
            </w:r>
          </w:p>
        </w:tc>
        <w:tc>
          <w:tcPr>
            <w:tcW w:w="5906" w:type="dxa"/>
            <w:shd w:val="clear" w:color="auto" w:fill="auto"/>
            <w:noWrap/>
            <w:vAlign w:val="bottom"/>
          </w:tcPr>
          <w:p w:rsidR="004642D7" w:rsidRPr="00735E43" w:rsidRDefault="004642D7">
            <w:pPr>
              <w:rPr>
                <w:rFonts w:ascii="Arial" w:hAnsi="Arial" w:cs="Arial"/>
                <w:szCs w:val="22"/>
              </w:rPr>
            </w:pPr>
            <w:r w:rsidRPr="00735E43">
              <w:rPr>
                <w:rFonts w:ascii="Arial" w:hAnsi="Arial" w:cs="Arial"/>
                <w:szCs w:val="22"/>
              </w:rPr>
              <w:t xml:space="preserve"> Instituto Costarricense de Electricidad</w:t>
            </w:r>
          </w:p>
        </w:tc>
      </w:tr>
      <w:tr w:rsidR="004642D7" w:rsidRPr="00735E43" w:rsidTr="00780CC6">
        <w:trPr>
          <w:trHeight w:val="251"/>
          <w:jc w:val="center"/>
        </w:trPr>
        <w:tc>
          <w:tcPr>
            <w:tcW w:w="1809"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302020110000</w:t>
            </w:r>
          </w:p>
        </w:tc>
        <w:tc>
          <w:tcPr>
            <w:tcW w:w="1843"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302020000000</w:t>
            </w:r>
          </w:p>
        </w:tc>
        <w:tc>
          <w:tcPr>
            <w:tcW w:w="5906" w:type="dxa"/>
            <w:shd w:val="clear" w:color="auto" w:fill="auto"/>
            <w:noWrap/>
            <w:vAlign w:val="bottom"/>
          </w:tcPr>
          <w:p w:rsidR="004642D7" w:rsidRPr="00735E43" w:rsidRDefault="004642D7">
            <w:pPr>
              <w:rPr>
                <w:rFonts w:ascii="Arial" w:hAnsi="Arial" w:cs="Arial"/>
                <w:szCs w:val="22"/>
              </w:rPr>
            </w:pPr>
            <w:r w:rsidRPr="00735E43">
              <w:rPr>
                <w:rFonts w:ascii="Arial" w:hAnsi="Arial" w:cs="Arial"/>
                <w:szCs w:val="22"/>
              </w:rPr>
              <w:t xml:space="preserve"> Refinadora Costarricense de Petróleo</w:t>
            </w:r>
          </w:p>
        </w:tc>
      </w:tr>
      <w:tr w:rsidR="004642D7" w:rsidRPr="00735E43" w:rsidTr="00780CC6">
        <w:trPr>
          <w:trHeight w:val="251"/>
          <w:jc w:val="center"/>
        </w:trPr>
        <w:tc>
          <w:tcPr>
            <w:tcW w:w="1809"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302020120000</w:t>
            </w:r>
          </w:p>
        </w:tc>
        <w:tc>
          <w:tcPr>
            <w:tcW w:w="1843"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302020000000</w:t>
            </w:r>
          </w:p>
        </w:tc>
        <w:tc>
          <w:tcPr>
            <w:tcW w:w="5906" w:type="dxa"/>
            <w:shd w:val="clear" w:color="auto" w:fill="auto"/>
            <w:noWrap/>
            <w:vAlign w:val="bottom"/>
          </w:tcPr>
          <w:p w:rsidR="004642D7" w:rsidRPr="00735E43" w:rsidRDefault="00E428F5">
            <w:pPr>
              <w:rPr>
                <w:rFonts w:ascii="Arial" w:hAnsi="Arial" w:cs="Arial"/>
                <w:szCs w:val="22"/>
              </w:rPr>
            </w:pPr>
            <w:r w:rsidRPr="00735E43">
              <w:rPr>
                <w:rFonts w:ascii="Arial" w:hAnsi="Arial" w:cs="Arial"/>
                <w:szCs w:val="22"/>
              </w:rPr>
              <w:t xml:space="preserve"> </w:t>
            </w:r>
            <w:r w:rsidR="004642D7" w:rsidRPr="00735E43">
              <w:rPr>
                <w:rFonts w:ascii="Arial" w:hAnsi="Arial" w:cs="Arial"/>
                <w:szCs w:val="22"/>
              </w:rPr>
              <w:t>Caja Costarricense de Seguro Social</w:t>
            </w:r>
          </w:p>
        </w:tc>
      </w:tr>
      <w:tr w:rsidR="004642D7" w:rsidRPr="00735E43" w:rsidTr="00780CC6">
        <w:trPr>
          <w:trHeight w:val="251"/>
          <w:jc w:val="center"/>
        </w:trPr>
        <w:tc>
          <w:tcPr>
            <w:tcW w:w="1809"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302020990000</w:t>
            </w:r>
          </w:p>
        </w:tc>
        <w:tc>
          <w:tcPr>
            <w:tcW w:w="1843" w:type="dxa"/>
            <w:shd w:val="clear" w:color="auto" w:fill="auto"/>
            <w:vAlign w:val="bottom"/>
          </w:tcPr>
          <w:p w:rsidR="004642D7" w:rsidRPr="00735E43" w:rsidRDefault="004642D7">
            <w:pPr>
              <w:rPr>
                <w:rFonts w:ascii="Arial" w:hAnsi="Arial" w:cs="Arial"/>
                <w:szCs w:val="22"/>
              </w:rPr>
            </w:pPr>
            <w:r w:rsidRPr="00735E43">
              <w:rPr>
                <w:rFonts w:ascii="Arial" w:hAnsi="Arial" w:cs="Arial"/>
                <w:szCs w:val="22"/>
              </w:rPr>
              <w:t>302020000000</w:t>
            </w:r>
          </w:p>
        </w:tc>
        <w:tc>
          <w:tcPr>
            <w:tcW w:w="5906" w:type="dxa"/>
            <w:shd w:val="clear" w:color="auto" w:fill="auto"/>
            <w:noWrap/>
            <w:vAlign w:val="bottom"/>
          </w:tcPr>
          <w:p w:rsidR="004642D7" w:rsidRPr="00735E43" w:rsidRDefault="004642D7" w:rsidP="00E428F5">
            <w:pPr>
              <w:rPr>
                <w:rFonts w:ascii="Arial" w:hAnsi="Arial" w:cs="Arial"/>
                <w:szCs w:val="22"/>
              </w:rPr>
            </w:pPr>
            <w:r w:rsidRPr="00735E43">
              <w:rPr>
                <w:rFonts w:ascii="Arial" w:hAnsi="Arial" w:cs="Arial"/>
                <w:szCs w:val="22"/>
              </w:rPr>
              <w:t xml:space="preserve"> Otras sociedades públicas no financieras</w:t>
            </w:r>
          </w:p>
        </w:tc>
      </w:tr>
      <w:tr w:rsidR="004642D7" w:rsidRPr="00735E43" w:rsidTr="00780CC6">
        <w:trPr>
          <w:trHeight w:val="251"/>
          <w:jc w:val="center"/>
        </w:trPr>
        <w:tc>
          <w:tcPr>
            <w:tcW w:w="1809" w:type="dxa"/>
            <w:shd w:val="clear" w:color="auto" w:fill="auto"/>
            <w:vAlign w:val="bottom"/>
          </w:tcPr>
          <w:p w:rsidR="004642D7" w:rsidRPr="00735E43" w:rsidRDefault="004642D7" w:rsidP="002822D0">
            <w:pPr>
              <w:rPr>
                <w:rFonts w:ascii="Arial" w:hAnsi="Arial" w:cs="Arial"/>
                <w:szCs w:val="22"/>
              </w:rPr>
            </w:pPr>
          </w:p>
        </w:tc>
        <w:tc>
          <w:tcPr>
            <w:tcW w:w="1843" w:type="dxa"/>
            <w:shd w:val="clear" w:color="auto" w:fill="auto"/>
            <w:vAlign w:val="bottom"/>
          </w:tcPr>
          <w:p w:rsidR="004642D7" w:rsidRPr="00735E43" w:rsidRDefault="004642D7" w:rsidP="002822D0">
            <w:pPr>
              <w:jc w:val="center"/>
              <w:rPr>
                <w:rFonts w:ascii="Arial" w:hAnsi="Arial" w:cs="Arial"/>
                <w:szCs w:val="22"/>
              </w:rPr>
            </w:pPr>
          </w:p>
        </w:tc>
        <w:tc>
          <w:tcPr>
            <w:tcW w:w="5906" w:type="dxa"/>
            <w:shd w:val="clear" w:color="auto" w:fill="auto"/>
            <w:noWrap/>
            <w:vAlign w:val="bottom"/>
          </w:tcPr>
          <w:p w:rsidR="004642D7" w:rsidRPr="00735E43" w:rsidRDefault="004642D7" w:rsidP="002822D0">
            <w:pPr>
              <w:jc w:val="both"/>
              <w:rPr>
                <w:rFonts w:ascii="Arial" w:hAnsi="Arial" w:cs="Arial"/>
                <w:szCs w:val="22"/>
              </w:rPr>
            </w:pP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303010201011</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Crédito Agrícola de Cartago</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303010201012</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de Costa Rica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303010201013</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Nacional de Costa Rica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303010201014</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Hipotecario de la Vivienda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303010201015</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Popular y de Desarrollo Comunal</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p>
        </w:tc>
        <w:tc>
          <w:tcPr>
            <w:tcW w:w="1843" w:type="dxa"/>
            <w:shd w:val="clear" w:color="auto" w:fill="auto"/>
            <w:vAlign w:val="bottom"/>
          </w:tcPr>
          <w:p w:rsidR="00827D5D" w:rsidRPr="00735E43" w:rsidRDefault="00827D5D" w:rsidP="002822D0">
            <w:pPr>
              <w:jc w:val="center"/>
              <w:rPr>
                <w:rFonts w:ascii="Arial" w:hAnsi="Arial" w:cs="Arial"/>
                <w:szCs w:val="22"/>
              </w:rPr>
            </w:pPr>
          </w:p>
        </w:tc>
        <w:tc>
          <w:tcPr>
            <w:tcW w:w="5906" w:type="dxa"/>
            <w:shd w:val="clear" w:color="auto" w:fill="auto"/>
            <w:noWrap/>
            <w:vAlign w:val="bottom"/>
          </w:tcPr>
          <w:p w:rsidR="00827D5D" w:rsidRPr="00735E43" w:rsidRDefault="00827D5D" w:rsidP="002822D0">
            <w:pPr>
              <w:rPr>
                <w:rFonts w:ascii="Arial" w:hAnsi="Arial" w:cs="Arial"/>
                <w:szCs w:val="22"/>
              </w:rPr>
            </w:pP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303010201021</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BAC San José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303010201022</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BCT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303010201023</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Cathay</w:t>
            </w:r>
            <w:proofErr w:type="spellEnd"/>
            <w:r w:rsidRPr="00735E43">
              <w:rPr>
                <w:rFonts w:ascii="Arial" w:hAnsi="Arial" w:cs="Arial"/>
                <w:szCs w:val="22"/>
              </w:rPr>
              <w:t xml:space="preserve"> de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303010201024</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Citibank de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303010201025</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Davivienda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303010201026</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de Soluciones </w:t>
            </w:r>
            <w:proofErr w:type="spellStart"/>
            <w:r w:rsidRPr="00735E43">
              <w:rPr>
                <w:rFonts w:ascii="Arial" w:hAnsi="Arial" w:cs="Arial"/>
                <w:szCs w:val="22"/>
              </w:rPr>
              <w:t>Bansol</w:t>
            </w:r>
            <w:proofErr w:type="spellEnd"/>
            <w:r w:rsidRPr="00735E43">
              <w:rPr>
                <w:rFonts w:ascii="Arial" w:hAnsi="Arial" w:cs="Arial"/>
                <w:szCs w:val="22"/>
              </w:rPr>
              <w:t xml:space="preserve"> de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303010201027</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General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303010201028</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Improsa</w:t>
            </w:r>
            <w:proofErr w:type="spellEnd"/>
            <w:r w:rsidRPr="00735E43">
              <w:rPr>
                <w:rFonts w:ascii="Arial" w:hAnsi="Arial" w:cs="Arial"/>
                <w:szCs w:val="22"/>
              </w:rPr>
              <w:t xml:space="preserve">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303010201029</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Lafise</w:t>
            </w:r>
            <w:proofErr w:type="spellEnd"/>
            <w:r w:rsidRPr="00735E43">
              <w:rPr>
                <w:rFonts w:ascii="Arial" w:hAnsi="Arial" w:cs="Arial"/>
                <w:szCs w:val="22"/>
              </w:rPr>
              <w:t xml:space="preserve">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303010201031</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303010201020</w:t>
            </w:r>
          </w:p>
        </w:tc>
        <w:tc>
          <w:tcPr>
            <w:tcW w:w="5906" w:type="dxa"/>
            <w:shd w:val="clear" w:color="auto" w:fill="auto"/>
            <w:noWrap/>
            <w:vAlign w:val="bottom"/>
          </w:tcPr>
          <w:p w:rsidR="00827D5D" w:rsidRPr="00735E43" w:rsidRDefault="00827D5D" w:rsidP="002822D0">
            <w:pPr>
              <w:rPr>
                <w:rFonts w:ascii="Arial" w:hAnsi="Arial" w:cs="Arial"/>
                <w:szCs w:val="22"/>
              </w:rPr>
            </w:pPr>
            <w:proofErr w:type="spellStart"/>
            <w:r w:rsidRPr="00735E43">
              <w:rPr>
                <w:rFonts w:ascii="Arial" w:hAnsi="Arial" w:cs="Arial"/>
                <w:szCs w:val="22"/>
              </w:rPr>
              <w:t>Scotiabank</w:t>
            </w:r>
            <w:proofErr w:type="spellEnd"/>
            <w:r w:rsidRPr="00735E43">
              <w:rPr>
                <w:rFonts w:ascii="Arial" w:hAnsi="Arial" w:cs="Arial"/>
                <w:szCs w:val="22"/>
              </w:rPr>
              <w:t xml:space="preserve"> de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p>
        </w:tc>
        <w:tc>
          <w:tcPr>
            <w:tcW w:w="1843" w:type="dxa"/>
            <w:shd w:val="clear" w:color="auto" w:fill="auto"/>
            <w:vAlign w:val="bottom"/>
          </w:tcPr>
          <w:p w:rsidR="00827D5D" w:rsidRPr="00735E43" w:rsidRDefault="00827D5D" w:rsidP="002822D0">
            <w:pPr>
              <w:rPr>
                <w:rFonts w:ascii="Arial" w:hAnsi="Arial" w:cs="Arial"/>
                <w:szCs w:val="22"/>
              </w:rPr>
            </w:pPr>
          </w:p>
        </w:tc>
        <w:tc>
          <w:tcPr>
            <w:tcW w:w="5906" w:type="dxa"/>
            <w:shd w:val="clear" w:color="auto" w:fill="auto"/>
            <w:noWrap/>
            <w:vAlign w:val="bottom"/>
          </w:tcPr>
          <w:p w:rsidR="00827D5D" w:rsidRPr="00735E43" w:rsidRDefault="00827D5D" w:rsidP="002822D0">
            <w:pPr>
              <w:rPr>
                <w:rFonts w:ascii="Arial" w:hAnsi="Arial" w:cs="Arial"/>
                <w:szCs w:val="22"/>
              </w:rPr>
            </w:pP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303010201035</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301010201000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Bancos extraterritoriales</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p>
        </w:tc>
        <w:tc>
          <w:tcPr>
            <w:tcW w:w="1843" w:type="dxa"/>
            <w:shd w:val="clear" w:color="auto" w:fill="auto"/>
            <w:vAlign w:val="bottom"/>
          </w:tcPr>
          <w:p w:rsidR="00827D5D" w:rsidRPr="00735E43" w:rsidRDefault="00827D5D" w:rsidP="002822D0">
            <w:pPr>
              <w:jc w:val="center"/>
              <w:rPr>
                <w:rFonts w:ascii="Arial" w:hAnsi="Arial" w:cs="Arial"/>
                <w:szCs w:val="22"/>
              </w:rPr>
            </w:pPr>
          </w:p>
        </w:tc>
        <w:tc>
          <w:tcPr>
            <w:tcW w:w="5906" w:type="dxa"/>
            <w:shd w:val="clear" w:color="auto" w:fill="auto"/>
            <w:noWrap/>
            <w:vAlign w:val="bottom"/>
          </w:tcPr>
          <w:p w:rsidR="00827D5D" w:rsidRPr="00735E43" w:rsidRDefault="00827D5D" w:rsidP="002822D0">
            <w:pPr>
              <w:jc w:val="both"/>
              <w:rPr>
                <w:rFonts w:ascii="Arial" w:hAnsi="Arial" w:cs="Arial"/>
                <w:szCs w:val="22"/>
              </w:rPr>
            </w:pP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303010202011</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Crédito Agrícola de Cartago</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303010202012</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de Costa Rica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303010202013</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Nacional de Costa Rica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303010202014</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Hipotecario de la Vivienda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303010202015</w:t>
            </w:r>
          </w:p>
        </w:tc>
        <w:tc>
          <w:tcPr>
            <w:tcW w:w="1843" w:type="dxa"/>
            <w:shd w:val="clear" w:color="auto" w:fill="auto"/>
            <w:vAlign w:val="bottom"/>
          </w:tcPr>
          <w:p w:rsidR="00827D5D" w:rsidRPr="00735E43" w:rsidRDefault="00827D5D" w:rsidP="002822D0">
            <w:pPr>
              <w:jc w:val="center"/>
              <w:rPr>
                <w:rFonts w:ascii="Arial" w:hAnsi="Arial" w:cs="Arial"/>
                <w:szCs w:val="22"/>
              </w:rPr>
            </w:pPr>
            <w:r w:rsidRPr="00735E43">
              <w:rPr>
                <w:rFonts w:ascii="Arial" w:hAnsi="Arial" w:cs="Arial"/>
                <w:szCs w:val="22"/>
              </w:rPr>
              <w:t>303010201010</w:t>
            </w:r>
          </w:p>
        </w:tc>
        <w:tc>
          <w:tcPr>
            <w:tcW w:w="5906" w:type="dxa"/>
            <w:shd w:val="clear" w:color="auto" w:fill="auto"/>
            <w:noWrap/>
            <w:vAlign w:val="bottom"/>
          </w:tcPr>
          <w:p w:rsidR="00827D5D" w:rsidRPr="00735E43" w:rsidRDefault="00827D5D" w:rsidP="002822D0">
            <w:pPr>
              <w:jc w:val="both"/>
              <w:rPr>
                <w:rFonts w:ascii="Arial" w:hAnsi="Arial" w:cs="Arial"/>
                <w:szCs w:val="22"/>
              </w:rPr>
            </w:pPr>
            <w:r w:rsidRPr="00735E43">
              <w:rPr>
                <w:rFonts w:ascii="Arial" w:hAnsi="Arial" w:cs="Arial"/>
                <w:szCs w:val="22"/>
              </w:rPr>
              <w:t>Banco Popular y de Desarrollo Comunal</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p>
        </w:tc>
        <w:tc>
          <w:tcPr>
            <w:tcW w:w="1843" w:type="dxa"/>
            <w:shd w:val="clear" w:color="auto" w:fill="auto"/>
            <w:vAlign w:val="bottom"/>
          </w:tcPr>
          <w:p w:rsidR="00827D5D" w:rsidRPr="00735E43" w:rsidRDefault="00827D5D" w:rsidP="002822D0">
            <w:pPr>
              <w:jc w:val="center"/>
              <w:rPr>
                <w:rFonts w:ascii="Arial" w:hAnsi="Arial" w:cs="Arial"/>
                <w:szCs w:val="22"/>
              </w:rPr>
            </w:pPr>
          </w:p>
        </w:tc>
        <w:tc>
          <w:tcPr>
            <w:tcW w:w="5906" w:type="dxa"/>
            <w:shd w:val="clear" w:color="auto" w:fill="auto"/>
            <w:noWrap/>
            <w:vAlign w:val="bottom"/>
          </w:tcPr>
          <w:p w:rsidR="00827D5D" w:rsidRPr="00735E43" w:rsidRDefault="00827D5D" w:rsidP="002822D0">
            <w:pPr>
              <w:rPr>
                <w:rFonts w:ascii="Arial" w:hAnsi="Arial" w:cs="Arial"/>
                <w:szCs w:val="22"/>
              </w:rPr>
            </w:pP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303010202021</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BAC San José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303010202022</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BCT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303010202023</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Cathay</w:t>
            </w:r>
            <w:proofErr w:type="spellEnd"/>
            <w:r w:rsidRPr="00735E43">
              <w:rPr>
                <w:rFonts w:ascii="Arial" w:hAnsi="Arial" w:cs="Arial"/>
                <w:szCs w:val="22"/>
              </w:rPr>
              <w:t xml:space="preserve"> de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303010202024</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Citibank de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303010202025</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Davivienda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303010202026</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de Soluciones </w:t>
            </w:r>
            <w:proofErr w:type="spellStart"/>
            <w:r w:rsidRPr="00735E43">
              <w:rPr>
                <w:rFonts w:ascii="Arial" w:hAnsi="Arial" w:cs="Arial"/>
                <w:szCs w:val="22"/>
              </w:rPr>
              <w:t>Bansol</w:t>
            </w:r>
            <w:proofErr w:type="spellEnd"/>
            <w:r w:rsidRPr="00735E43">
              <w:rPr>
                <w:rFonts w:ascii="Arial" w:hAnsi="Arial" w:cs="Arial"/>
                <w:szCs w:val="22"/>
              </w:rPr>
              <w:t xml:space="preserve"> de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303010202027</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 General (Costa Rica)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303010202028</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Improsa</w:t>
            </w:r>
            <w:proofErr w:type="spellEnd"/>
            <w:r w:rsidRPr="00735E43">
              <w:rPr>
                <w:rFonts w:ascii="Arial" w:hAnsi="Arial" w:cs="Arial"/>
                <w:szCs w:val="22"/>
              </w:rPr>
              <w:t xml:space="preserve">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303010202029</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Lafise</w:t>
            </w:r>
            <w:proofErr w:type="spellEnd"/>
            <w:r w:rsidRPr="00735E43">
              <w:rPr>
                <w:rFonts w:ascii="Arial" w:hAnsi="Arial" w:cs="Arial"/>
                <w:szCs w:val="22"/>
              </w:rPr>
              <w:t xml:space="preserve"> S.A.</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303010202031</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303010202020</w:t>
            </w:r>
          </w:p>
        </w:tc>
        <w:tc>
          <w:tcPr>
            <w:tcW w:w="5906" w:type="dxa"/>
            <w:shd w:val="clear" w:color="auto" w:fill="auto"/>
            <w:noWrap/>
            <w:vAlign w:val="bottom"/>
          </w:tcPr>
          <w:p w:rsidR="00827D5D" w:rsidRPr="00735E43" w:rsidRDefault="00827D5D" w:rsidP="002822D0">
            <w:pPr>
              <w:rPr>
                <w:rFonts w:ascii="Arial" w:hAnsi="Arial" w:cs="Arial"/>
                <w:szCs w:val="22"/>
              </w:rPr>
            </w:pPr>
            <w:proofErr w:type="spellStart"/>
            <w:r w:rsidRPr="00735E43">
              <w:rPr>
                <w:rFonts w:ascii="Arial" w:hAnsi="Arial" w:cs="Arial"/>
                <w:szCs w:val="22"/>
              </w:rPr>
              <w:t>Scotiabank</w:t>
            </w:r>
            <w:proofErr w:type="spellEnd"/>
            <w:r w:rsidRPr="00735E43">
              <w:rPr>
                <w:rFonts w:ascii="Arial" w:hAnsi="Arial" w:cs="Arial"/>
                <w:szCs w:val="22"/>
              </w:rPr>
              <w:t xml:space="preserve"> de Costa Rica S.A.</w:t>
            </w:r>
          </w:p>
        </w:tc>
      </w:tr>
      <w:tr w:rsidR="002215BF" w:rsidRPr="00735E43" w:rsidTr="00780CC6">
        <w:trPr>
          <w:trHeight w:val="251"/>
          <w:jc w:val="center"/>
        </w:trPr>
        <w:tc>
          <w:tcPr>
            <w:tcW w:w="1809" w:type="dxa"/>
            <w:shd w:val="clear" w:color="auto" w:fill="auto"/>
            <w:vAlign w:val="bottom"/>
          </w:tcPr>
          <w:p w:rsidR="002215BF" w:rsidRPr="00735E43" w:rsidRDefault="002215BF">
            <w:pPr>
              <w:rPr>
                <w:rFonts w:ascii="Arial" w:hAnsi="Arial" w:cs="Arial"/>
                <w:szCs w:val="22"/>
              </w:rPr>
            </w:pPr>
          </w:p>
        </w:tc>
        <w:tc>
          <w:tcPr>
            <w:tcW w:w="1843" w:type="dxa"/>
            <w:shd w:val="clear" w:color="auto" w:fill="auto"/>
            <w:vAlign w:val="bottom"/>
          </w:tcPr>
          <w:p w:rsidR="002215BF" w:rsidRPr="00735E43" w:rsidRDefault="002215BF">
            <w:pPr>
              <w:rPr>
                <w:rFonts w:ascii="Arial" w:hAnsi="Arial" w:cs="Arial"/>
                <w:szCs w:val="22"/>
              </w:rPr>
            </w:pPr>
          </w:p>
        </w:tc>
        <w:tc>
          <w:tcPr>
            <w:tcW w:w="5906" w:type="dxa"/>
            <w:shd w:val="clear" w:color="auto" w:fill="auto"/>
            <w:noWrap/>
            <w:vAlign w:val="bottom"/>
          </w:tcPr>
          <w:p w:rsidR="002215BF" w:rsidRPr="00735E43" w:rsidRDefault="002215BF">
            <w:pPr>
              <w:rPr>
                <w:rFonts w:ascii="Arial" w:hAnsi="Arial" w:cs="Arial"/>
                <w:szCs w:val="22"/>
              </w:rPr>
            </w:pP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303010202035</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301010202000</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Bancos extraterritoriales</w:t>
            </w:r>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303010201075</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 xml:space="preserve">301010201000   </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Asociaciones </w:t>
            </w:r>
            <w:proofErr w:type="spellStart"/>
            <w:r w:rsidRPr="00735E43">
              <w:rPr>
                <w:rFonts w:ascii="Arial" w:hAnsi="Arial" w:cs="Arial"/>
                <w:szCs w:val="22"/>
              </w:rPr>
              <w:t>Solidaristas</w:t>
            </w:r>
            <w:proofErr w:type="spellEnd"/>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303010202075</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 xml:space="preserve">303010202000   </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Asociaciones </w:t>
            </w:r>
            <w:proofErr w:type="spellStart"/>
            <w:r w:rsidRPr="00735E43">
              <w:rPr>
                <w:rFonts w:ascii="Arial" w:hAnsi="Arial" w:cs="Arial"/>
                <w:szCs w:val="22"/>
              </w:rPr>
              <w:t>Solidaristas</w:t>
            </w:r>
            <w:proofErr w:type="spellEnd"/>
          </w:p>
        </w:tc>
      </w:tr>
      <w:tr w:rsidR="00827D5D" w:rsidRPr="00735E43" w:rsidTr="00780CC6">
        <w:trPr>
          <w:trHeight w:val="251"/>
          <w:jc w:val="center"/>
        </w:trPr>
        <w:tc>
          <w:tcPr>
            <w:tcW w:w="1809"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303020108000</w:t>
            </w:r>
          </w:p>
        </w:tc>
        <w:tc>
          <w:tcPr>
            <w:tcW w:w="1843" w:type="dxa"/>
            <w:shd w:val="clear" w:color="auto" w:fill="auto"/>
            <w:vAlign w:val="bottom"/>
          </w:tcPr>
          <w:p w:rsidR="00827D5D" w:rsidRPr="00735E43" w:rsidRDefault="00827D5D" w:rsidP="002822D0">
            <w:pPr>
              <w:rPr>
                <w:rFonts w:ascii="Arial" w:hAnsi="Arial" w:cs="Arial"/>
                <w:szCs w:val="22"/>
              </w:rPr>
            </w:pPr>
            <w:r w:rsidRPr="00735E43">
              <w:rPr>
                <w:rFonts w:ascii="Arial" w:hAnsi="Arial" w:cs="Arial"/>
                <w:szCs w:val="22"/>
              </w:rPr>
              <w:t xml:space="preserve">303020100000   </w:t>
            </w:r>
          </w:p>
        </w:tc>
        <w:tc>
          <w:tcPr>
            <w:tcW w:w="5906" w:type="dxa"/>
            <w:shd w:val="clear" w:color="auto" w:fill="auto"/>
            <w:noWrap/>
            <w:vAlign w:val="bottom"/>
          </w:tcPr>
          <w:p w:rsidR="00827D5D" w:rsidRPr="00735E43" w:rsidRDefault="00827D5D" w:rsidP="002822D0">
            <w:pPr>
              <w:rPr>
                <w:rFonts w:ascii="Arial" w:hAnsi="Arial" w:cs="Arial"/>
                <w:szCs w:val="22"/>
              </w:rPr>
            </w:pPr>
            <w:r w:rsidRPr="00735E43">
              <w:rPr>
                <w:rFonts w:ascii="Arial" w:hAnsi="Arial" w:cs="Arial"/>
                <w:szCs w:val="22"/>
              </w:rPr>
              <w:t xml:space="preserve">Sociedades de seguros </w:t>
            </w:r>
            <w:r w:rsidR="00875D7C" w:rsidRPr="00735E43">
              <w:rPr>
                <w:rFonts w:ascii="Arial" w:hAnsi="Arial" w:cs="Arial"/>
                <w:szCs w:val="22"/>
              </w:rPr>
              <w:t>y reaseguradoras</w:t>
            </w:r>
          </w:p>
        </w:tc>
      </w:tr>
      <w:tr w:rsidR="002215BF" w:rsidRPr="00735E43" w:rsidTr="00780CC6">
        <w:trPr>
          <w:trHeight w:val="251"/>
          <w:jc w:val="center"/>
        </w:trPr>
        <w:tc>
          <w:tcPr>
            <w:tcW w:w="1809" w:type="dxa"/>
            <w:shd w:val="clear" w:color="auto" w:fill="auto"/>
            <w:vAlign w:val="bottom"/>
          </w:tcPr>
          <w:p w:rsidR="002215BF" w:rsidRPr="00735E43" w:rsidRDefault="002215BF" w:rsidP="00000255">
            <w:pPr>
              <w:rPr>
                <w:rFonts w:ascii="Arial" w:hAnsi="Arial" w:cs="Arial"/>
                <w:szCs w:val="22"/>
              </w:rPr>
            </w:pPr>
            <w:r w:rsidRPr="00735E43">
              <w:rPr>
                <w:rFonts w:ascii="Arial" w:hAnsi="Arial" w:cs="Arial"/>
                <w:szCs w:val="22"/>
              </w:rPr>
              <w:t>303020108010</w:t>
            </w:r>
          </w:p>
        </w:tc>
        <w:tc>
          <w:tcPr>
            <w:tcW w:w="1843" w:type="dxa"/>
            <w:shd w:val="clear" w:color="auto" w:fill="auto"/>
            <w:vAlign w:val="bottom"/>
          </w:tcPr>
          <w:p w:rsidR="002215BF" w:rsidRPr="00735E43" w:rsidRDefault="002215BF" w:rsidP="00000255">
            <w:pPr>
              <w:rPr>
                <w:rFonts w:ascii="Arial" w:hAnsi="Arial" w:cs="Arial"/>
                <w:szCs w:val="22"/>
              </w:rPr>
            </w:pPr>
            <w:r w:rsidRPr="00735E43">
              <w:rPr>
                <w:rFonts w:ascii="Arial" w:hAnsi="Arial" w:cs="Arial"/>
                <w:szCs w:val="22"/>
              </w:rPr>
              <w:t>303020108000</w:t>
            </w:r>
          </w:p>
        </w:tc>
        <w:tc>
          <w:tcPr>
            <w:tcW w:w="5906" w:type="dxa"/>
            <w:shd w:val="clear" w:color="auto" w:fill="auto"/>
            <w:noWrap/>
            <w:vAlign w:val="bottom"/>
          </w:tcPr>
          <w:p w:rsidR="002215BF" w:rsidRPr="00735E43" w:rsidRDefault="002215BF" w:rsidP="00000255">
            <w:pPr>
              <w:rPr>
                <w:rFonts w:ascii="Arial" w:hAnsi="Arial" w:cs="Arial"/>
                <w:szCs w:val="22"/>
              </w:rPr>
            </w:pPr>
            <w:r w:rsidRPr="00735E43">
              <w:rPr>
                <w:rFonts w:ascii="Arial" w:hAnsi="Arial" w:cs="Arial"/>
                <w:szCs w:val="22"/>
              </w:rPr>
              <w:t xml:space="preserve">  Instituto Nacional de Seguros</w:t>
            </w:r>
          </w:p>
        </w:tc>
      </w:tr>
      <w:tr w:rsidR="002215BF" w:rsidRPr="00735E43" w:rsidTr="00780CC6">
        <w:trPr>
          <w:trHeight w:val="251"/>
          <w:jc w:val="center"/>
        </w:trPr>
        <w:tc>
          <w:tcPr>
            <w:tcW w:w="1809" w:type="dxa"/>
            <w:shd w:val="clear" w:color="auto" w:fill="auto"/>
            <w:vAlign w:val="bottom"/>
          </w:tcPr>
          <w:p w:rsidR="002215BF" w:rsidRPr="00735E43" w:rsidRDefault="002215BF" w:rsidP="002822D0">
            <w:pPr>
              <w:rPr>
                <w:rFonts w:ascii="Arial" w:hAnsi="Arial" w:cs="Arial"/>
                <w:szCs w:val="22"/>
              </w:rPr>
            </w:pPr>
            <w:r w:rsidRPr="00735E43">
              <w:rPr>
                <w:rFonts w:ascii="Arial" w:hAnsi="Arial" w:cs="Arial"/>
                <w:szCs w:val="22"/>
              </w:rPr>
              <w:t>303020208000</w:t>
            </w:r>
          </w:p>
        </w:tc>
        <w:tc>
          <w:tcPr>
            <w:tcW w:w="1843" w:type="dxa"/>
            <w:shd w:val="clear" w:color="auto" w:fill="auto"/>
            <w:vAlign w:val="bottom"/>
          </w:tcPr>
          <w:p w:rsidR="002215BF" w:rsidRPr="00735E43" w:rsidRDefault="002215BF" w:rsidP="002822D0">
            <w:pPr>
              <w:rPr>
                <w:rFonts w:ascii="Arial" w:hAnsi="Arial" w:cs="Arial"/>
                <w:szCs w:val="22"/>
              </w:rPr>
            </w:pPr>
            <w:r w:rsidRPr="00735E43">
              <w:rPr>
                <w:rFonts w:ascii="Arial" w:hAnsi="Arial" w:cs="Arial"/>
                <w:szCs w:val="22"/>
              </w:rPr>
              <w:t xml:space="preserve">303020200000   </w:t>
            </w:r>
          </w:p>
        </w:tc>
        <w:tc>
          <w:tcPr>
            <w:tcW w:w="5906" w:type="dxa"/>
            <w:shd w:val="clear" w:color="auto" w:fill="auto"/>
            <w:noWrap/>
            <w:vAlign w:val="bottom"/>
          </w:tcPr>
          <w:p w:rsidR="002215BF" w:rsidRPr="00735E43" w:rsidRDefault="002215BF" w:rsidP="002822D0">
            <w:pPr>
              <w:rPr>
                <w:rFonts w:ascii="Arial" w:hAnsi="Arial" w:cs="Arial"/>
                <w:szCs w:val="22"/>
              </w:rPr>
            </w:pPr>
            <w:r w:rsidRPr="00735E43">
              <w:rPr>
                <w:rFonts w:ascii="Arial" w:hAnsi="Arial" w:cs="Arial"/>
                <w:szCs w:val="22"/>
              </w:rPr>
              <w:t>Sociedades de seguros y reaseguradoras</w:t>
            </w:r>
          </w:p>
        </w:tc>
      </w:tr>
      <w:tr w:rsidR="002215BF" w:rsidRPr="00735E43" w:rsidTr="00780CC6">
        <w:trPr>
          <w:trHeight w:val="251"/>
          <w:jc w:val="center"/>
        </w:trPr>
        <w:tc>
          <w:tcPr>
            <w:tcW w:w="1809" w:type="dxa"/>
            <w:shd w:val="clear" w:color="auto" w:fill="auto"/>
            <w:vAlign w:val="bottom"/>
          </w:tcPr>
          <w:p w:rsidR="002215BF" w:rsidRPr="00735E43" w:rsidRDefault="002215BF">
            <w:pPr>
              <w:rPr>
                <w:rFonts w:ascii="Arial" w:hAnsi="Arial" w:cs="Arial"/>
                <w:szCs w:val="22"/>
              </w:rPr>
            </w:pPr>
            <w:r w:rsidRPr="00735E43">
              <w:rPr>
                <w:rFonts w:ascii="Arial" w:hAnsi="Arial" w:cs="Arial"/>
                <w:szCs w:val="22"/>
              </w:rPr>
              <w:t>303020208010</w:t>
            </w:r>
          </w:p>
        </w:tc>
        <w:tc>
          <w:tcPr>
            <w:tcW w:w="1843" w:type="dxa"/>
            <w:shd w:val="clear" w:color="auto" w:fill="auto"/>
            <w:vAlign w:val="bottom"/>
          </w:tcPr>
          <w:p w:rsidR="002215BF" w:rsidRPr="00735E43" w:rsidRDefault="002215BF">
            <w:pPr>
              <w:rPr>
                <w:rFonts w:ascii="Arial" w:hAnsi="Arial" w:cs="Arial"/>
                <w:szCs w:val="22"/>
              </w:rPr>
            </w:pPr>
            <w:r w:rsidRPr="00735E43">
              <w:rPr>
                <w:rFonts w:ascii="Arial" w:hAnsi="Arial" w:cs="Arial"/>
                <w:szCs w:val="22"/>
              </w:rPr>
              <w:t>303020208000</w:t>
            </w:r>
          </w:p>
        </w:tc>
        <w:tc>
          <w:tcPr>
            <w:tcW w:w="5906" w:type="dxa"/>
            <w:shd w:val="clear" w:color="auto" w:fill="auto"/>
            <w:noWrap/>
            <w:vAlign w:val="bottom"/>
          </w:tcPr>
          <w:p w:rsidR="002215BF" w:rsidRPr="00735E43" w:rsidRDefault="002215BF">
            <w:pPr>
              <w:rPr>
                <w:rFonts w:ascii="Arial" w:hAnsi="Arial" w:cs="Arial"/>
                <w:szCs w:val="22"/>
              </w:rPr>
            </w:pPr>
            <w:r w:rsidRPr="00735E43">
              <w:rPr>
                <w:rFonts w:ascii="Arial" w:hAnsi="Arial" w:cs="Arial"/>
                <w:szCs w:val="22"/>
              </w:rPr>
              <w:t xml:space="preserve">  Instituto Nacional de Seguros</w:t>
            </w:r>
          </w:p>
        </w:tc>
      </w:tr>
      <w:tr w:rsidR="002215BF" w:rsidRPr="00735E43" w:rsidTr="00780CC6">
        <w:trPr>
          <w:trHeight w:val="251"/>
          <w:jc w:val="center"/>
        </w:trPr>
        <w:tc>
          <w:tcPr>
            <w:tcW w:w="1809" w:type="dxa"/>
            <w:shd w:val="clear" w:color="auto" w:fill="auto"/>
            <w:vAlign w:val="bottom"/>
          </w:tcPr>
          <w:p w:rsidR="002215BF" w:rsidRPr="00735E43" w:rsidRDefault="002215BF" w:rsidP="002822D0">
            <w:pPr>
              <w:rPr>
                <w:rFonts w:ascii="Arial" w:hAnsi="Arial" w:cs="Arial"/>
                <w:szCs w:val="22"/>
              </w:rPr>
            </w:pPr>
          </w:p>
        </w:tc>
        <w:tc>
          <w:tcPr>
            <w:tcW w:w="1843" w:type="dxa"/>
            <w:shd w:val="clear" w:color="auto" w:fill="auto"/>
            <w:vAlign w:val="bottom"/>
          </w:tcPr>
          <w:p w:rsidR="002215BF" w:rsidRPr="00735E43" w:rsidRDefault="002215BF" w:rsidP="002822D0">
            <w:pPr>
              <w:rPr>
                <w:rFonts w:ascii="Arial" w:hAnsi="Arial" w:cs="Arial"/>
                <w:szCs w:val="22"/>
              </w:rPr>
            </w:pPr>
          </w:p>
        </w:tc>
        <w:tc>
          <w:tcPr>
            <w:tcW w:w="5906" w:type="dxa"/>
            <w:shd w:val="clear" w:color="auto" w:fill="auto"/>
            <w:noWrap/>
            <w:vAlign w:val="bottom"/>
          </w:tcPr>
          <w:p w:rsidR="002215BF" w:rsidRPr="00735E43" w:rsidRDefault="002215BF" w:rsidP="002822D0">
            <w:pPr>
              <w:rPr>
                <w:rFonts w:ascii="Arial" w:hAnsi="Arial" w:cs="Arial"/>
                <w:szCs w:val="22"/>
              </w:rPr>
            </w:pPr>
          </w:p>
        </w:tc>
      </w:tr>
    </w:tbl>
    <w:p w:rsidR="00827D5D" w:rsidRPr="00735E43" w:rsidRDefault="00827D5D" w:rsidP="00A8546D">
      <w:pPr>
        <w:jc w:val="center"/>
        <w:rPr>
          <w:rFonts w:ascii="Arial" w:hAnsi="Arial" w:cs="Arial"/>
          <w:szCs w:val="22"/>
          <w:lang w:val="es-CR"/>
        </w:rPr>
      </w:pPr>
    </w:p>
    <w:p w:rsidR="00EF671D" w:rsidRPr="00735E43" w:rsidRDefault="00EF671D" w:rsidP="00875D7C">
      <w:pPr>
        <w:numPr>
          <w:ilvl w:val="2"/>
          <w:numId w:val="12"/>
        </w:numPr>
        <w:jc w:val="both"/>
        <w:rPr>
          <w:rFonts w:ascii="Arial" w:eastAsia="Arial Unicode MS" w:hAnsi="Arial" w:cs="Arial"/>
          <w:szCs w:val="22"/>
          <w:lang w:val="es-CR"/>
        </w:rPr>
      </w:pPr>
      <w:r w:rsidRPr="00735E43">
        <w:rPr>
          <w:rFonts w:ascii="Arial" w:eastAsia="Arial Unicode MS" w:hAnsi="Arial" w:cs="Arial"/>
          <w:szCs w:val="22"/>
          <w:lang w:val="es-CR"/>
        </w:rPr>
        <w:lastRenderedPageBreak/>
        <w:t>Se incluye en el anexo 15</w:t>
      </w:r>
      <w:r w:rsidR="005A1DB4" w:rsidRPr="00735E43">
        <w:rPr>
          <w:rFonts w:ascii="Arial" w:eastAsia="Arial Unicode MS" w:hAnsi="Arial" w:cs="Arial"/>
          <w:szCs w:val="22"/>
          <w:lang w:val="es-CR"/>
        </w:rPr>
        <w:t>:</w:t>
      </w:r>
      <w:r w:rsidRPr="00735E43">
        <w:rPr>
          <w:rFonts w:ascii="Arial" w:eastAsia="Arial Unicode MS" w:hAnsi="Arial" w:cs="Arial"/>
          <w:szCs w:val="22"/>
          <w:lang w:val="es-CR"/>
        </w:rPr>
        <w:t xml:space="preserve"> Estados Financieros de Fondos de Inversión</w:t>
      </w:r>
      <w:r w:rsidR="005A1DB4" w:rsidRPr="00735E43">
        <w:rPr>
          <w:rFonts w:ascii="Arial" w:eastAsia="Arial Unicode MS" w:hAnsi="Arial" w:cs="Arial"/>
          <w:szCs w:val="22"/>
          <w:lang w:val="es-CR"/>
        </w:rPr>
        <w:t>,</w:t>
      </w:r>
      <w:r w:rsidRPr="00735E43">
        <w:rPr>
          <w:rFonts w:ascii="Arial" w:eastAsia="Arial Unicode MS" w:hAnsi="Arial" w:cs="Arial"/>
          <w:szCs w:val="22"/>
          <w:lang w:val="es-CR"/>
        </w:rPr>
        <w:t xml:space="preserve"> el Flujo de Caja Real solamente para los Fondos de </w:t>
      </w:r>
      <w:r w:rsidR="00875D7C" w:rsidRPr="00735E43">
        <w:rPr>
          <w:rFonts w:ascii="Arial" w:eastAsia="Arial Unicode MS" w:hAnsi="Arial" w:cs="Arial"/>
          <w:szCs w:val="22"/>
          <w:lang w:val="es-CR"/>
        </w:rPr>
        <w:t>procesos de t</w:t>
      </w:r>
      <w:r w:rsidRPr="00735E43">
        <w:rPr>
          <w:rFonts w:ascii="Arial" w:eastAsia="Arial Unicode MS" w:hAnsi="Arial" w:cs="Arial"/>
          <w:szCs w:val="22"/>
          <w:lang w:val="es-CR"/>
        </w:rPr>
        <w:t>itularización</w:t>
      </w:r>
      <w:r w:rsidR="00875D7C" w:rsidRPr="00735E43">
        <w:rPr>
          <w:rFonts w:ascii="Arial" w:eastAsia="Arial Unicode MS" w:hAnsi="Arial" w:cs="Arial"/>
          <w:szCs w:val="22"/>
          <w:lang w:val="es-CR"/>
        </w:rPr>
        <w:t>, además se incluye:</w:t>
      </w:r>
    </w:p>
    <w:p w:rsidR="00875D7C" w:rsidRPr="00735E43" w:rsidRDefault="00875D7C" w:rsidP="00A8546D">
      <w:pPr>
        <w:rPr>
          <w:rFonts w:ascii="Arial" w:eastAsia="Arial Unicode MS" w:hAnsi="Arial" w:cs="Arial"/>
          <w:szCs w:val="22"/>
          <w:lang w:val="es-CR"/>
        </w:rPr>
      </w:pPr>
    </w:p>
    <w:p w:rsidR="00875D7C" w:rsidRPr="00735E43" w:rsidRDefault="00875D7C" w:rsidP="00875D7C">
      <w:pPr>
        <w:pStyle w:val="Textodereglamento"/>
        <w:numPr>
          <w:ilvl w:val="3"/>
          <w:numId w:val="31"/>
        </w:numPr>
        <w:spacing w:before="0"/>
        <w:ind w:left="2484"/>
        <w:rPr>
          <w:rFonts w:ascii="Arial" w:eastAsia="Arial Unicode MS" w:hAnsi="Arial" w:cs="Arial"/>
          <w:szCs w:val="22"/>
          <w:lang w:val="es-CR"/>
        </w:rPr>
      </w:pPr>
      <w:r w:rsidRPr="00735E43">
        <w:rPr>
          <w:rFonts w:ascii="Arial" w:eastAsia="Arial Unicode MS" w:hAnsi="Arial" w:cs="Arial"/>
          <w:szCs w:val="22"/>
          <w:lang w:val="es-CR"/>
        </w:rPr>
        <w:t>Informe del estado de carteras de activos titularizados (Anexo 54).</w:t>
      </w:r>
    </w:p>
    <w:p w:rsidR="00875D7C" w:rsidRPr="00735E43" w:rsidRDefault="00875D7C" w:rsidP="00875D7C">
      <w:pPr>
        <w:pStyle w:val="Textodereglamento"/>
        <w:spacing w:before="0"/>
        <w:jc w:val="center"/>
        <w:rPr>
          <w:rFonts w:ascii="Arial" w:hAnsi="Arial" w:cs="Arial"/>
          <w:b/>
          <w:szCs w:val="22"/>
          <w:lang w:val="es-CR"/>
        </w:rPr>
      </w:pPr>
    </w:p>
    <w:p w:rsidR="00875D7C" w:rsidRPr="00735E43" w:rsidRDefault="00875D7C" w:rsidP="00875D7C">
      <w:pPr>
        <w:pStyle w:val="Textodereglamento"/>
        <w:numPr>
          <w:ilvl w:val="3"/>
          <w:numId w:val="31"/>
        </w:numPr>
        <w:spacing w:before="0"/>
        <w:ind w:left="2484"/>
        <w:rPr>
          <w:rFonts w:ascii="Arial" w:eastAsia="Arial Unicode MS" w:hAnsi="Arial" w:cs="Arial"/>
          <w:szCs w:val="22"/>
          <w:lang w:val="es-CR"/>
        </w:rPr>
      </w:pPr>
      <w:r w:rsidRPr="00735E43">
        <w:rPr>
          <w:rFonts w:ascii="Arial" w:hAnsi="Arial" w:cs="Arial"/>
          <w:szCs w:val="22"/>
          <w:lang w:val="es-CR"/>
        </w:rPr>
        <w:t xml:space="preserve">Informe de riesgo sobre carteras </w:t>
      </w:r>
      <w:r w:rsidR="00331A8E" w:rsidRPr="00735E43">
        <w:rPr>
          <w:rFonts w:ascii="Arial" w:hAnsi="Arial" w:cs="Arial"/>
          <w:szCs w:val="22"/>
          <w:lang w:val="es-CR"/>
        </w:rPr>
        <w:t xml:space="preserve">de activos </w:t>
      </w:r>
      <w:r w:rsidRPr="00735E43">
        <w:rPr>
          <w:rFonts w:ascii="Arial" w:hAnsi="Arial" w:cs="Arial"/>
          <w:szCs w:val="22"/>
          <w:lang w:val="es-CR"/>
        </w:rPr>
        <w:t>titularizadas (Anexo 55).</w:t>
      </w:r>
    </w:p>
    <w:p w:rsidR="00875D7C" w:rsidRPr="00735E43" w:rsidRDefault="00875D7C" w:rsidP="00875D7C">
      <w:pPr>
        <w:pStyle w:val="Textodereglamento"/>
        <w:spacing w:before="0"/>
        <w:jc w:val="center"/>
        <w:rPr>
          <w:rFonts w:ascii="Arial" w:hAnsi="Arial" w:cs="Arial"/>
          <w:b/>
          <w:szCs w:val="22"/>
          <w:lang w:val="es-CR"/>
        </w:rPr>
      </w:pPr>
    </w:p>
    <w:p w:rsidR="00875D7C" w:rsidRPr="00735E43" w:rsidRDefault="00875D7C" w:rsidP="00875D7C">
      <w:pPr>
        <w:pStyle w:val="Textodereglamento"/>
        <w:numPr>
          <w:ilvl w:val="3"/>
          <w:numId w:val="31"/>
        </w:numPr>
        <w:spacing w:before="0"/>
        <w:ind w:left="2484"/>
        <w:rPr>
          <w:rFonts w:ascii="Arial" w:eastAsia="Arial Unicode MS" w:hAnsi="Arial" w:cs="Arial"/>
          <w:szCs w:val="22"/>
          <w:lang w:val="es-CR"/>
        </w:rPr>
      </w:pPr>
      <w:r w:rsidRPr="00735E43">
        <w:rPr>
          <w:rFonts w:ascii="Arial" w:hAnsi="Arial" w:cs="Arial"/>
          <w:szCs w:val="22"/>
          <w:lang w:val="es-CR"/>
        </w:rPr>
        <w:t>I</w:t>
      </w:r>
      <w:r w:rsidRPr="00735E43">
        <w:rPr>
          <w:rFonts w:ascii="Arial" w:eastAsia="Arial Unicode MS" w:hAnsi="Arial" w:cs="Arial"/>
          <w:szCs w:val="22"/>
          <w:lang w:val="es-CR"/>
        </w:rPr>
        <w:t>nforme del estado sobre carteras de activos titularizados distintos a carteras de crédito</w:t>
      </w:r>
    </w:p>
    <w:p w:rsidR="002E07CA" w:rsidRPr="00735E43" w:rsidRDefault="002E07CA" w:rsidP="00253485">
      <w:pPr>
        <w:tabs>
          <w:tab w:val="left" w:pos="6031"/>
        </w:tabs>
        <w:rPr>
          <w:rFonts w:ascii="Arial" w:eastAsia="Arial Unicode MS" w:hAnsi="Arial" w:cs="Arial"/>
          <w:szCs w:val="22"/>
          <w:lang w:val="es-CR"/>
        </w:rPr>
      </w:pPr>
    </w:p>
    <w:p w:rsidR="009304AA" w:rsidRPr="00735E43" w:rsidRDefault="008E365E" w:rsidP="00875D7C">
      <w:pPr>
        <w:pStyle w:val="Textodereglamento"/>
        <w:numPr>
          <w:ilvl w:val="1"/>
          <w:numId w:val="31"/>
        </w:numPr>
        <w:spacing w:before="0"/>
        <w:rPr>
          <w:rFonts w:ascii="Arial" w:eastAsia="Arial Unicode MS" w:hAnsi="Arial" w:cs="Arial"/>
          <w:b/>
          <w:szCs w:val="22"/>
          <w:lang w:val="es-CR"/>
        </w:rPr>
      </w:pPr>
      <w:r w:rsidRPr="00735E43">
        <w:rPr>
          <w:rFonts w:ascii="Arial" w:eastAsia="Arial Unicode MS" w:hAnsi="Arial" w:cs="Arial"/>
          <w:szCs w:val="22"/>
          <w:lang w:val="es-CR"/>
        </w:rPr>
        <w:t>Se modifica:</w:t>
      </w:r>
      <w:r w:rsidR="00875D7C" w:rsidRPr="00735E43">
        <w:rPr>
          <w:rFonts w:ascii="Arial" w:eastAsia="Arial Unicode MS" w:hAnsi="Arial" w:cs="Arial"/>
          <w:szCs w:val="22"/>
          <w:lang w:val="es-CR"/>
        </w:rPr>
        <w:t xml:space="preserve"> </w:t>
      </w:r>
    </w:p>
    <w:p w:rsidR="005C4984" w:rsidRPr="008F1449" w:rsidRDefault="005C4984" w:rsidP="005C4984">
      <w:pPr>
        <w:pStyle w:val="Textodereglamento"/>
        <w:spacing w:before="0"/>
        <w:rPr>
          <w:rFonts w:ascii="Arial" w:eastAsia="Arial Unicode MS" w:hAnsi="Arial" w:cs="Arial"/>
          <w:szCs w:val="22"/>
          <w:lang w:val="es-CR"/>
        </w:rPr>
      </w:pPr>
    </w:p>
    <w:p w:rsidR="008E365E" w:rsidRPr="00735E43" w:rsidRDefault="00875D7C" w:rsidP="009304AA">
      <w:pPr>
        <w:pStyle w:val="Textodereglamento"/>
        <w:numPr>
          <w:ilvl w:val="2"/>
          <w:numId w:val="31"/>
        </w:numPr>
        <w:spacing w:before="0"/>
        <w:rPr>
          <w:rFonts w:ascii="Arial" w:eastAsia="Arial Unicode MS" w:hAnsi="Arial" w:cs="Arial"/>
          <w:b/>
          <w:szCs w:val="22"/>
          <w:lang w:val="es-CR"/>
        </w:rPr>
      </w:pPr>
      <w:r w:rsidRPr="00735E43">
        <w:rPr>
          <w:rFonts w:ascii="Arial" w:eastAsia="Arial Unicode MS" w:hAnsi="Arial" w:cs="Arial"/>
          <w:szCs w:val="22"/>
          <w:lang w:val="es-CR"/>
        </w:rPr>
        <w:t>l</w:t>
      </w:r>
      <w:r w:rsidR="008E365E" w:rsidRPr="00735E43">
        <w:rPr>
          <w:rFonts w:ascii="Arial" w:hAnsi="Arial" w:cs="Arial"/>
          <w:szCs w:val="22"/>
          <w:lang w:val="es-CR"/>
        </w:rPr>
        <w:t>a descripción de las siguientes cuentas del Reporte de Concentración de Inversionistas (RC_</w:t>
      </w:r>
      <w:r w:rsidR="001F4E1A" w:rsidRPr="00735E43">
        <w:rPr>
          <w:rFonts w:ascii="Arial" w:hAnsi="Arial" w:cs="Arial"/>
          <w:szCs w:val="22"/>
          <w:lang w:val="es-CR"/>
        </w:rPr>
        <w:t>FONDOS</w:t>
      </w:r>
      <w:r w:rsidR="008E365E" w:rsidRPr="00735E43">
        <w:rPr>
          <w:rFonts w:ascii="Arial" w:hAnsi="Arial" w:cs="Arial"/>
          <w:szCs w:val="22"/>
          <w:lang w:val="es-CR"/>
        </w:rPr>
        <w:t>) para que en adelante se lea de la siguiente forma:</w:t>
      </w:r>
    </w:p>
    <w:p w:rsidR="008E365E" w:rsidRPr="00735E43" w:rsidRDefault="008E365E" w:rsidP="008F1449">
      <w:pPr>
        <w:pStyle w:val="incisos"/>
        <w:numPr>
          <w:ilvl w:val="0"/>
          <w:numId w:val="0"/>
        </w:numPr>
        <w:spacing w:before="0"/>
        <w:ind w:left="609" w:hanging="339"/>
        <w:rPr>
          <w:rFonts w:ascii="Arial" w:hAnsi="Arial" w:cs="Arial"/>
          <w:szCs w:val="22"/>
          <w:lang w:val="es-CR"/>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789"/>
        <w:gridCol w:w="3960"/>
      </w:tblGrid>
      <w:tr w:rsidR="008E365E" w:rsidRPr="00735E43" w:rsidTr="00780CC6">
        <w:trPr>
          <w:trHeight w:val="20"/>
          <w:jc w:val="center"/>
        </w:trPr>
        <w:tc>
          <w:tcPr>
            <w:tcW w:w="1809" w:type="dxa"/>
            <w:shd w:val="clear" w:color="auto" w:fill="F2F2F2"/>
          </w:tcPr>
          <w:p w:rsidR="008E365E" w:rsidRPr="00735E43" w:rsidRDefault="008E365E" w:rsidP="00A8546D">
            <w:pPr>
              <w:pStyle w:val="Textodereglamento"/>
              <w:spacing w:before="0"/>
              <w:jc w:val="center"/>
              <w:rPr>
                <w:rFonts w:ascii="Arial" w:eastAsia="Arial Unicode MS" w:hAnsi="Arial" w:cs="Arial"/>
                <w:b/>
                <w:szCs w:val="22"/>
                <w:lang w:val="es-CR"/>
              </w:rPr>
            </w:pPr>
            <w:r w:rsidRPr="00735E43">
              <w:rPr>
                <w:rFonts w:ascii="Arial" w:eastAsia="Arial Unicode MS" w:hAnsi="Arial" w:cs="Arial"/>
                <w:b/>
                <w:szCs w:val="22"/>
                <w:lang w:val="es-CR"/>
              </w:rPr>
              <w:t xml:space="preserve">Cuenta </w:t>
            </w:r>
          </w:p>
        </w:tc>
        <w:tc>
          <w:tcPr>
            <w:tcW w:w="3789" w:type="dxa"/>
            <w:shd w:val="clear" w:color="auto" w:fill="F2F2F2"/>
          </w:tcPr>
          <w:p w:rsidR="008E365E" w:rsidRPr="00735E43" w:rsidRDefault="008E365E" w:rsidP="00A8546D">
            <w:pPr>
              <w:pStyle w:val="Textodereglamento"/>
              <w:spacing w:before="0"/>
              <w:jc w:val="center"/>
              <w:rPr>
                <w:rFonts w:ascii="Arial" w:eastAsia="Arial Unicode MS" w:hAnsi="Arial" w:cs="Arial"/>
                <w:b/>
                <w:szCs w:val="22"/>
                <w:lang w:val="es-CR"/>
              </w:rPr>
            </w:pPr>
            <w:r w:rsidRPr="00735E43">
              <w:rPr>
                <w:rFonts w:ascii="Arial" w:eastAsia="Arial Unicode MS" w:hAnsi="Arial" w:cs="Arial"/>
                <w:b/>
                <w:szCs w:val="22"/>
                <w:lang w:val="es-CR"/>
              </w:rPr>
              <w:t>Descripción anterior</w:t>
            </w:r>
          </w:p>
        </w:tc>
        <w:tc>
          <w:tcPr>
            <w:tcW w:w="3960" w:type="dxa"/>
            <w:shd w:val="clear" w:color="auto" w:fill="F2F2F2"/>
          </w:tcPr>
          <w:p w:rsidR="008E365E" w:rsidRPr="00735E43" w:rsidRDefault="008E365E" w:rsidP="00A8546D">
            <w:pPr>
              <w:pStyle w:val="Textodereglamento"/>
              <w:spacing w:before="0"/>
              <w:jc w:val="center"/>
              <w:rPr>
                <w:rFonts w:ascii="Arial" w:eastAsia="Arial Unicode MS" w:hAnsi="Arial" w:cs="Arial"/>
                <w:b/>
                <w:szCs w:val="22"/>
                <w:lang w:val="es-CR"/>
              </w:rPr>
            </w:pPr>
            <w:r w:rsidRPr="00735E43">
              <w:rPr>
                <w:rFonts w:ascii="Arial" w:eastAsia="Arial Unicode MS" w:hAnsi="Arial" w:cs="Arial"/>
                <w:b/>
                <w:szCs w:val="22"/>
                <w:lang w:val="es-CR"/>
              </w:rPr>
              <w:t>Descripción actual</w:t>
            </w:r>
          </w:p>
        </w:tc>
      </w:tr>
      <w:tr w:rsidR="008E365E" w:rsidRPr="00735E43" w:rsidTr="00780CC6">
        <w:trPr>
          <w:trHeight w:val="20"/>
          <w:jc w:val="center"/>
        </w:trPr>
        <w:tc>
          <w:tcPr>
            <w:tcW w:w="1809" w:type="dxa"/>
            <w:shd w:val="clear" w:color="auto" w:fill="auto"/>
            <w:vAlign w:val="center"/>
          </w:tcPr>
          <w:p w:rsidR="008E365E" w:rsidRPr="00735E43" w:rsidRDefault="008E365E" w:rsidP="00875D7C">
            <w:pPr>
              <w:jc w:val="center"/>
              <w:rPr>
                <w:rFonts w:ascii="Arial" w:hAnsi="Arial" w:cs="Arial"/>
                <w:szCs w:val="22"/>
              </w:rPr>
            </w:pPr>
            <w:r w:rsidRPr="00735E43">
              <w:rPr>
                <w:rFonts w:ascii="Arial" w:hAnsi="Arial" w:cs="Arial"/>
                <w:szCs w:val="22"/>
              </w:rPr>
              <w:t>181000000000</w:t>
            </w:r>
          </w:p>
          <w:p w:rsidR="008E365E" w:rsidRPr="00735E43" w:rsidRDefault="008E365E" w:rsidP="00875D7C">
            <w:pPr>
              <w:jc w:val="center"/>
              <w:rPr>
                <w:rFonts w:ascii="Arial" w:hAnsi="Arial" w:cs="Arial"/>
                <w:b/>
                <w:szCs w:val="22"/>
              </w:rPr>
            </w:pP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Monto de suscripciones (todas las series)</w:t>
            </w:r>
          </w:p>
        </w:tc>
        <w:tc>
          <w:tcPr>
            <w:tcW w:w="3960" w:type="dxa"/>
            <w:shd w:val="clear" w:color="auto" w:fill="auto"/>
            <w:noWrap/>
            <w:vAlign w:val="center"/>
          </w:tcPr>
          <w:p w:rsidR="008E365E" w:rsidRPr="00735E43" w:rsidRDefault="008E365E" w:rsidP="00875D7C">
            <w:pPr>
              <w:rPr>
                <w:rFonts w:ascii="Arial" w:hAnsi="Arial" w:cs="Arial"/>
                <w:szCs w:val="22"/>
              </w:rPr>
            </w:pPr>
            <w:r w:rsidRPr="00735E43">
              <w:rPr>
                <w:rFonts w:ascii="Arial" w:hAnsi="Arial" w:cs="Arial"/>
                <w:szCs w:val="22"/>
              </w:rPr>
              <w:t>Monto de suscripciones (todas las series  en moneda del fondo)</w:t>
            </w:r>
          </w:p>
          <w:p w:rsidR="008E365E" w:rsidRPr="00735E43" w:rsidRDefault="008E365E" w:rsidP="00875D7C">
            <w:pPr>
              <w:rPr>
                <w:rFonts w:ascii="Arial" w:hAnsi="Arial" w:cs="Arial"/>
                <w:b/>
                <w:szCs w:val="22"/>
              </w:rPr>
            </w:pPr>
          </w:p>
        </w:tc>
      </w:tr>
      <w:tr w:rsidR="008E365E" w:rsidRPr="00735E43" w:rsidTr="00780CC6">
        <w:trPr>
          <w:trHeight w:val="20"/>
          <w:jc w:val="center"/>
        </w:trPr>
        <w:tc>
          <w:tcPr>
            <w:tcW w:w="1809" w:type="dxa"/>
            <w:shd w:val="clear" w:color="auto" w:fill="auto"/>
            <w:vAlign w:val="center"/>
          </w:tcPr>
          <w:p w:rsidR="008E365E" w:rsidRPr="00735E43" w:rsidRDefault="008E365E" w:rsidP="00875D7C">
            <w:pPr>
              <w:jc w:val="center"/>
              <w:rPr>
                <w:rFonts w:ascii="Arial" w:hAnsi="Arial" w:cs="Arial"/>
                <w:szCs w:val="22"/>
              </w:rPr>
            </w:pPr>
            <w:r w:rsidRPr="00735E43">
              <w:rPr>
                <w:rFonts w:ascii="Arial" w:hAnsi="Arial" w:cs="Arial"/>
                <w:szCs w:val="22"/>
              </w:rPr>
              <w:t>182000000000</w:t>
            </w:r>
          </w:p>
          <w:p w:rsidR="008E365E" w:rsidRPr="00735E43" w:rsidRDefault="008E365E" w:rsidP="00875D7C">
            <w:pPr>
              <w:jc w:val="center"/>
              <w:rPr>
                <w:rFonts w:ascii="Arial" w:hAnsi="Arial" w:cs="Arial"/>
                <w:b/>
                <w:szCs w:val="22"/>
              </w:rPr>
            </w:pP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Monto de liquidaciones (todas las series)</w:t>
            </w:r>
          </w:p>
        </w:tc>
        <w:tc>
          <w:tcPr>
            <w:tcW w:w="3960" w:type="dxa"/>
            <w:shd w:val="clear" w:color="auto" w:fill="auto"/>
            <w:noWrap/>
            <w:vAlign w:val="center"/>
          </w:tcPr>
          <w:p w:rsidR="008E365E" w:rsidRPr="00735E43" w:rsidRDefault="008E365E" w:rsidP="00875D7C">
            <w:pPr>
              <w:rPr>
                <w:rFonts w:ascii="Arial" w:hAnsi="Arial" w:cs="Arial"/>
                <w:szCs w:val="22"/>
              </w:rPr>
            </w:pPr>
            <w:r w:rsidRPr="00735E43">
              <w:rPr>
                <w:rFonts w:ascii="Arial" w:hAnsi="Arial" w:cs="Arial"/>
                <w:szCs w:val="22"/>
              </w:rPr>
              <w:t>Monto de liquidaciones (todas las series en moneda del fondo)</w:t>
            </w:r>
          </w:p>
        </w:tc>
      </w:tr>
      <w:tr w:rsidR="008E365E" w:rsidRPr="00735E43" w:rsidTr="00780CC6">
        <w:trPr>
          <w:trHeight w:val="499"/>
          <w:jc w:val="center"/>
        </w:trPr>
        <w:tc>
          <w:tcPr>
            <w:tcW w:w="1809" w:type="dxa"/>
            <w:shd w:val="clear" w:color="auto" w:fill="auto"/>
            <w:vAlign w:val="center"/>
          </w:tcPr>
          <w:p w:rsidR="008E365E" w:rsidRPr="00735E43" w:rsidRDefault="008E365E" w:rsidP="00875D7C">
            <w:pPr>
              <w:jc w:val="center"/>
              <w:rPr>
                <w:rFonts w:ascii="Arial" w:hAnsi="Arial" w:cs="Arial"/>
                <w:szCs w:val="22"/>
              </w:rPr>
            </w:pPr>
            <w:r w:rsidRPr="00735E43">
              <w:rPr>
                <w:rFonts w:ascii="Arial" w:hAnsi="Arial" w:cs="Arial"/>
                <w:szCs w:val="22"/>
              </w:rPr>
              <w:t>303010201030</w:t>
            </w: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Bancos extraterritoriales</w:t>
            </w:r>
          </w:p>
        </w:tc>
        <w:tc>
          <w:tcPr>
            <w:tcW w:w="3960" w:type="dxa"/>
            <w:shd w:val="clear" w:color="auto" w:fill="auto"/>
            <w:noWrap/>
            <w:vAlign w:val="center"/>
          </w:tcPr>
          <w:p w:rsidR="008E365E" w:rsidRPr="00735E43" w:rsidRDefault="008E365E" w:rsidP="00875D7C">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Promérica</w:t>
            </w:r>
            <w:proofErr w:type="spellEnd"/>
            <w:r w:rsidRPr="00735E43">
              <w:rPr>
                <w:rFonts w:ascii="Arial" w:hAnsi="Arial" w:cs="Arial"/>
                <w:szCs w:val="22"/>
              </w:rPr>
              <w:t xml:space="preserve"> de Costa Rica S.A.</w:t>
            </w:r>
          </w:p>
        </w:tc>
      </w:tr>
      <w:tr w:rsidR="008E365E" w:rsidRPr="00735E43" w:rsidTr="00780CC6">
        <w:trPr>
          <w:trHeight w:val="382"/>
          <w:jc w:val="center"/>
        </w:trPr>
        <w:tc>
          <w:tcPr>
            <w:tcW w:w="1809" w:type="dxa"/>
            <w:shd w:val="clear" w:color="auto" w:fill="auto"/>
            <w:vAlign w:val="center"/>
          </w:tcPr>
          <w:p w:rsidR="008E365E" w:rsidRPr="00735E43" w:rsidRDefault="008E365E" w:rsidP="00875D7C">
            <w:pPr>
              <w:jc w:val="center"/>
              <w:rPr>
                <w:rFonts w:ascii="Arial" w:hAnsi="Arial" w:cs="Arial"/>
                <w:szCs w:val="22"/>
              </w:rPr>
            </w:pPr>
            <w:r w:rsidRPr="00735E43">
              <w:rPr>
                <w:rFonts w:ascii="Arial" w:hAnsi="Arial" w:cs="Arial"/>
                <w:szCs w:val="22"/>
              </w:rPr>
              <w:t>303010202030</w:t>
            </w: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Bancos extraterritoriales</w:t>
            </w:r>
          </w:p>
        </w:tc>
        <w:tc>
          <w:tcPr>
            <w:tcW w:w="3960" w:type="dxa"/>
            <w:shd w:val="clear" w:color="auto" w:fill="auto"/>
            <w:noWrap/>
            <w:vAlign w:val="center"/>
          </w:tcPr>
          <w:p w:rsidR="008E365E" w:rsidRPr="00735E43" w:rsidRDefault="008E365E" w:rsidP="00875D7C">
            <w:pPr>
              <w:rPr>
                <w:rFonts w:ascii="Arial" w:hAnsi="Arial" w:cs="Arial"/>
                <w:szCs w:val="22"/>
              </w:rPr>
            </w:pPr>
            <w:r w:rsidRPr="00735E43">
              <w:rPr>
                <w:rFonts w:ascii="Arial" w:hAnsi="Arial" w:cs="Arial"/>
                <w:szCs w:val="22"/>
              </w:rPr>
              <w:t xml:space="preserve">Banco </w:t>
            </w:r>
            <w:proofErr w:type="spellStart"/>
            <w:r w:rsidRPr="00735E43">
              <w:rPr>
                <w:rFonts w:ascii="Arial" w:hAnsi="Arial" w:cs="Arial"/>
                <w:szCs w:val="22"/>
              </w:rPr>
              <w:t>Promérica</w:t>
            </w:r>
            <w:proofErr w:type="spellEnd"/>
            <w:r w:rsidRPr="00735E43">
              <w:rPr>
                <w:rFonts w:ascii="Arial" w:hAnsi="Arial" w:cs="Arial"/>
                <w:szCs w:val="22"/>
              </w:rPr>
              <w:t xml:space="preserve"> de Costa Rica S.A.</w:t>
            </w:r>
          </w:p>
        </w:tc>
      </w:tr>
      <w:tr w:rsidR="008E365E" w:rsidRPr="00735E43" w:rsidTr="00780CC6">
        <w:trPr>
          <w:trHeight w:val="20"/>
          <w:jc w:val="center"/>
        </w:trPr>
        <w:tc>
          <w:tcPr>
            <w:tcW w:w="1809" w:type="dxa"/>
            <w:shd w:val="clear" w:color="auto" w:fill="auto"/>
            <w:vAlign w:val="center"/>
          </w:tcPr>
          <w:p w:rsidR="008E365E" w:rsidRPr="00735E43" w:rsidRDefault="008E365E" w:rsidP="00875D7C">
            <w:pPr>
              <w:jc w:val="center"/>
              <w:rPr>
                <w:rFonts w:ascii="Arial" w:hAnsi="Arial" w:cs="Arial"/>
                <w:b/>
                <w:szCs w:val="22"/>
              </w:rPr>
            </w:pPr>
            <w:r w:rsidRPr="00735E43">
              <w:rPr>
                <w:rFonts w:ascii="Arial" w:hAnsi="Arial" w:cs="Arial"/>
                <w:szCs w:val="22"/>
              </w:rPr>
              <w:t>303010201080</w:t>
            </w: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 xml:space="preserve">Resto (incluye Caja de Ande, asociaciones </w:t>
            </w:r>
            <w:proofErr w:type="spellStart"/>
            <w:r w:rsidRPr="00735E43">
              <w:rPr>
                <w:rFonts w:ascii="Arial" w:hAnsi="Arial" w:cs="Arial"/>
                <w:szCs w:val="22"/>
              </w:rPr>
              <w:t>solidaristas</w:t>
            </w:r>
            <w:proofErr w:type="spellEnd"/>
            <w:r w:rsidRPr="00735E43">
              <w:rPr>
                <w:rFonts w:ascii="Arial" w:hAnsi="Arial" w:cs="Arial"/>
                <w:szCs w:val="22"/>
              </w:rPr>
              <w:t>)</w:t>
            </w:r>
          </w:p>
        </w:tc>
        <w:tc>
          <w:tcPr>
            <w:tcW w:w="3960" w:type="dxa"/>
            <w:shd w:val="clear" w:color="auto" w:fill="auto"/>
            <w:noWrap/>
            <w:vAlign w:val="center"/>
          </w:tcPr>
          <w:p w:rsidR="008E365E" w:rsidRPr="00735E43" w:rsidRDefault="008E365E" w:rsidP="00875D7C">
            <w:pPr>
              <w:rPr>
                <w:rFonts w:ascii="Arial" w:hAnsi="Arial" w:cs="Arial"/>
                <w:szCs w:val="22"/>
              </w:rPr>
            </w:pPr>
            <w:r w:rsidRPr="00735E43">
              <w:rPr>
                <w:rFonts w:ascii="Arial" w:hAnsi="Arial" w:cs="Arial"/>
                <w:szCs w:val="22"/>
              </w:rPr>
              <w:t>Resto (incluye Caja de Ande)</w:t>
            </w:r>
          </w:p>
        </w:tc>
      </w:tr>
      <w:tr w:rsidR="008E365E" w:rsidRPr="00735E43" w:rsidTr="00780CC6">
        <w:trPr>
          <w:trHeight w:val="20"/>
          <w:jc w:val="center"/>
        </w:trPr>
        <w:tc>
          <w:tcPr>
            <w:tcW w:w="1809" w:type="dxa"/>
            <w:shd w:val="clear" w:color="auto" w:fill="auto"/>
            <w:vAlign w:val="center"/>
          </w:tcPr>
          <w:p w:rsidR="008E365E" w:rsidRPr="00735E43" w:rsidRDefault="008E365E" w:rsidP="00875D7C">
            <w:pPr>
              <w:jc w:val="center"/>
              <w:rPr>
                <w:rFonts w:ascii="Arial" w:hAnsi="Arial" w:cs="Arial"/>
                <w:szCs w:val="22"/>
              </w:rPr>
            </w:pPr>
          </w:p>
          <w:p w:rsidR="008E365E" w:rsidRPr="00735E43" w:rsidRDefault="008E365E" w:rsidP="00875D7C">
            <w:pPr>
              <w:jc w:val="center"/>
              <w:rPr>
                <w:rFonts w:ascii="Arial" w:hAnsi="Arial" w:cs="Arial"/>
                <w:szCs w:val="22"/>
              </w:rPr>
            </w:pPr>
            <w:r w:rsidRPr="00735E43">
              <w:rPr>
                <w:rFonts w:ascii="Arial" w:hAnsi="Arial" w:cs="Arial"/>
                <w:szCs w:val="22"/>
              </w:rPr>
              <w:t>303010202080</w:t>
            </w:r>
          </w:p>
          <w:p w:rsidR="008E365E" w:rsidRPr="00735E43" w:rsidRDefault="008E365E" w:rsidP="00875D7C">
            <w:pPr>
              <w:jc w:val="center"/>
              <w:rPr>
                <w:rFonts w:ascii="Arial" w:hAnsi="Arial" w:cs="Arial"/>
                <w:szCs w:val="22"/>
              </w:rPr>
            </w:pP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 xml:space="preserve">Resto (incluye Caja de Ande, asociaciones </w:t>
            </w:r>
            <w:proofErr w:type="spellStart"/>
            <w:r w:rsidRPr="00735E43">
              <w:rPr>
                <w:rFonts w:ascii="Arial" w:hAnsi="Arial" w:cs="Arial"/>
                <w:szCs w:val="22"/>
              </w:rPr>
              <w:t>solidaristas</w:t>
            </w:r>
            <w:proofErr w:type="spellEnd"/>
            <w:r w:rsidRPr="00735E43">
              <w:rPr>
                <w:rFonts w:ascii="Arial" w:hAnsi="Arial" w:cs="Arial"/>
                <w:szCs w:val="22"/>
              </w:rPr>
              <w:t>)</w:t>
            </w:r>
          </w:p>
        </w:tc>
        <w:tc>
          <w:tcPr>
            <w:tcW w:w="3960" w:type="dxa"/>
            <w:shd w:val="clear" w:color="auto" w:fill="auto"/>
            <w:noWrap/>
            <w:vAlign w:val="center"/>
          </w:tcPr>
          <w:p w:rsidR="008E365E" w:rsidRPr="00735E43" w:rsidRDefault="008E365E" w:rsidP="00875D7C">
            <w:pPr>
              <w:rPr>
                <w:rFonts w:ascii="Arial" w:hAnsi="Arial" w:cs="Arial"/>
                <w:szCs w:val="22"/>
              </w:rPr>
            </w:pPr>
            <w:r w:rsidRPr="00735E43">
              <w:rPr>
                <w:rFonts w:ascii="Arial" w:hAnsi="Arial" w:cs="Arial"/>
                <w:szCs w:val="22"/>
              </w:rPr>
              <w:t>Resto (incluye Caja de Ande)</w:t>
            </w:r>
          </w:p>
        </w:tc>
      </w:tr>
      <w:tr w:rsidR="008E365E" w:rsidRPr="00735E43" w:rsidTr="00780CC6">
        <w:trPr>
          <w:trHeight w:val="20"/>
          <w:jc w:val="center"/>
        </w:trPr>
        <w:tc>
          <w:tcPr>
            <w:tcW w:w="1809" w:type="dxa"/>
            <w:shd w:val="clear" w:color="auto" w:fill="auto"/>
            <w:vAlign w:val="center"/>
          </w:tcPr>
          <w:p w:rsidR="008E365E" w:rsidRPr="00735E43" w:rsidRDefault="008E365E" w:rsidP="00875D7C">
            <w:pPr>
              <w:jc w:val="center"/>
              <w:rPr>
                <w:rFonts w:ascii="Arial" w:hAnsi="Arial" w:cs="Arial"/>
                <w:b/>
                <w:szCs w:val="22"/>
                <w:highlight w:val="yellow"/>
                <w:lang w:val="es-CR" w:eastAsia="es-CR"/>
              </w:rPr>
            </w:pPr>
            <w:r w:rsidRPr="00735E43">
              <w:rPr>
                <w:rFonts w:ascii="Arial" w:hAnsi="Arial" w:cs="Arial"/>
                <w:szCs w:val="22"/>
              </w:rPr>
              <w:t>303020101000</w:t>
            </w: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Sociedades de seguros y fondos de pensiones</w:t>
            </w:r>
          </w:p>
        </w:tc>
        <w:tc>
          <w:tcPr>
            <w:tcW w:w="3960" w:type="dxa"/>
            <w:shd w:val="clear" w:color="auto" w:fill="auto"/>
            <w:noWrap/>
            <w:vAlign w:val="center"/>
          </w:tcPr>
          <w:p w:rsidR="008E365E" w:rsidRPr="00735E43" w:rsidRDefault="008E365E" w:rsidP="00875D7C">
            <w:pPr>
              <w:rPr>
                <w:rFonts w:ascii="Arial" w:hAnsi="Arial" w:cs="Arial"/>
                <w:b/>
                <w:szCs w:val="22"/>
                <w:highlight w:val="yellow"/>
                <w:lang w:val="es-CR" w:eastAsia="es-CR"/>
              </w:rPr>
            </w:pPr>
            <w:r w:rsidRPr="00735E43">
              <w:rPr>
                <w:rFonts w:ascii="Arial" w:hAnsi="Arial" w:cs="Arial"/>
                <w:szCs w:val="22"/>
              </w:rPr>
              <w:t>Fondos de pensiones (regímenes básicos, complementarios y capitalización individual)</w:t>
            </w:r>
          </w:p>
        </w:tc>
      </w:tr>
      <w:tr w:rsidR="008E365E" w:rsidRPr="00735E43" w:rsidTr="00780CC6">
        <w:trPr>
          <w:trHeight w:val="20"/>
          <w:jc w:val="center"/>
        </w:trPr>
        <w:tc>
          <w:tcPr>
            <w:tcW w:w="1809" w:type="dxa"/>
            <w:shd w:val="clear" w:color="auto" w:fill="auto"/>
            <w:vAlign w:val="center"/>
          </w:tcPr>
          <w:p w:rsidR="008E365E" w:rsidRPr="00735E43" w:rsidRDefault="008E365E" w:rsidP="00875D7C">
            <w:pPr>
              <w:jc w:val="center"/>
              <w:rPr>
                <w:rFonts w:ascii="Arial" w:hAnsi="Arial" w:cs="Arial"/>
                <w:szCs w:val="22"/>
              </w:rPr>
            </w:pPr>
          </w:p>
          <w:p w:rsidR="008E365E" w:rsidRPr="00735E43" w:rsidRDefault="008E365E" w:rsidP="00875D7C">
            <w:pPr>
              <w:jc w:val="center"/>
              <w:rPr>
                <w:rFonts w:ascii="Arial" w:hAnsi="Arial" w:cs="Arial"/>
                <w:szCs w:val="22"/>
              </w:rPr>
            </w:pPr>
            <w:r w:rsidRPr="00735E43">
              <w:rPr>
                <w:rFonts w:ascii="Arial" w:hAnsi="Arial" w:cs="Arial"/>
                <w:szCs w:val="22"/>
              </w:rPr>
              <w:t>303020201000</w:t>
            </w:r>
          </w:p>
          <w:p w:rsidR="008E365E" w:rsidRPr="00735E43" w:rsidRDefault="008E365E" w:rsidP="00875D7C">
            <w:pPr>
              <w:jc w:val="center"/>
              <w:rPr>
                <w:rFonts w:ascii="Arial" w:hAnsi="Arial" w:cs="Arial"/>
                <w:szCs w:val="22"/>
              </w:rPr>
            </w:pPr>
          </w:p>
        </w:tc>
        <w:tc>
          <w:tcPr>
            <w:tcW w:w="3789" w:type="dxa"/>
            <w:shd w:val="clear" w:color="auto" w:fill="auto"/>
            <w:vAlign w:val="center"/>
          </w:tcPr>
          <w:p w:rsidR="008E365E" w:rsidRPr="00735E43" w:rsidRDefault="008E365E" w:rsidP="00875D7C">
            <w:pPr>
              <w:rPr>
                <w:rFonts w:ascii="Arial" w:hAnsi="Arial" w:cs="Arial"/>
                <w:szCs w:val="22"/>
              </w:rPr>
            </w:pPr>
            <w:r w:rsidRPr="00735E43">
              <w:rPr>
                <w:rFonts w:ascii="Arial" w:hAnsi="Arial" w:cs="Arial"/>
                <w:szCs w:val="22"/>
              </w:rPr>
              <w:t>Sociedades de seguros y fondos de pensiones</w:t>
            </w:r>
          </w:p>
        </w:tc>
        <w:tc>
          <w:tcPr>
            <w:tcW w:w="3960" w:type="dxa"/>
            <w:shd w:val="clear" w:color="auto" w:fill="auto"/>
            <w:noWrap/>
            <w:vAlign w:val="center"/>
          </w:tcPr>
          <w:p w:rsidR="008E365E" w:rsidRPr="00735E43" w:rsidRDefault="008E365E" w:rsidP="00875D7C">
            <w:pPr>
              <w:rPr>
                <w:rFonts w:ascii="Arial" w:hAnsi="Arial" w:cs="Arial"/>
                <w:szCs w:val="22"/>
              </w:rPr>
            </w:pPr>
            <w:r w:rsidRPr="00735E43">
              <w:rPr>
                <w:rFonts w:ascii="Arial" w:hAnsi="Arial" w:cs="Arial"/>
                <w:szCs w:val="22"/>
              </w:rPr>
              <w:t>Fondos de pensiones (regímenes básicos, complementarios y capitalización individual)</w:t>
            </w:r>
          </w:p>
        </w:tc>
      </w:tr>
    </w:tbl>
    <w:p w:rsidR="008E365E" w:rsidRPr="00B75B2F" w:rsidRDefault="008E365E" w:rsidP="00780CC6">
      <w:pPr>
        <w:pStyle w:val="Textodereglamento"/>
        <w:spacing w:before="0"/>
        <w:rPr>
          <w:rFonts w:ascii="Arial" w:hAnsi="Arial" w:cs="Arial"/>
          <w:szCs w:val="22"/>
          <w:lang w:val="es-CR"/>
        </w:rPr>
      </w:pPr>
    </w:p>
    <w:p w:rsidR="00F0752D" w:rsidRPr="00735E43" w:rsidRDefault="00ED6453" w:rsidP="00A8546D">
      <w:pPr>
        <w:pStyle w:val="Textodereglamento"/>
        <w:numPr>
          <w:ilvl w:val="1"/>
          <w:numId w:val="31"/>
        </w:numPr>
        <w:spacing w:before="0"/>
        <w:rPr>
          <w:rFonts w:ascii="Arial" w:eastAsia="Arial Unicode MS" w:hAnsi="Arial" w:cs="Arial"/>
          <w:szCs w:val="22"/>
          <w:lang w:val="es-CR"/>
        </w:rPr>
      </w:pPr>
      <w:r w:rsidRPr="00735E43">
        <w:rPr>
          <w:rFonts w:ascii="Arial" w:eastAsia="Arial Unicode MS" w:hAnsi="Arial" w:cs="Arial"/>
          <w:szCs w:val="22"/>
          <w:lang w:val="es-CR"/>
        </w:rPr>
        <w:t>Se elimina:</w:t>
      </w:r>
    </w:p>
    <w:p w:rsidR="00ED6453" w:rsidRPr="00735E43" w:rsidRDefault="00ED6453" w:rsidP="00A8546D">
      <w:pPr>
        <w:pStyle w:val="Textodereglamento"/>
        <w:spacing w:before="0"/>
        <w:rPr>
          <w:rFonts w:ascii="Arial" w:eastAsia="Arial Unicode MS" w:hAnsi="Arial" w:cs="Arial"/>
          <w:b/>
          <w:szCs w:val="22"/>
          <w:lang w:val="es-CR"/>
        </w:rPr>
      </w:pPr>
    </w:p>
    <w:p w:rsidR="00ED6453" w:rsidRPr="00735E43" w:rsidRDefault="00875D7C" w:rsidP="00A8546D">
      <w:pPr>
        <w:numPr>
          <w:ilvl w:val="2"/>
          <w:numId w:val="35"/>
        </w:numPr>
        <w:jc w:val="both"/>
        <w:rPr>
          <w:rFonts w:ascii="Arial" w:hAnsi="Arial" w:cs="Arial"/>
          <w:szCs w:val="22"/>
        </w:rPr>
      </w:pPr>
      <w:r w:rsidRPr="00735E43">
        <w:rPr>
          <w:rFonts w:ascii="Arial" w:hAnsi="Arial" w:cs="Arial"/>
          <w:szCs w:val="22"/>
        </w:rPr>
        <w:t>Los siguientes anexos del C</w:t>
      </w:r>
      <w:r w:rsidR="00ED6453" w:rsidRPr="00735E43">
        <w:rPr>
          <w:rFonts w:ascii="Arial" w:hAnsi="Arial" w:cs="Arial"/>
          <w:szCs w:val="22"/>
        </w:rPr>
        <w:t xml:space="preserve">uadro de </w:t>
      </w:r>
      <w:r w:rsidRPr="00735E43">
        <w:rPr>
          <w:rFonts w:ascii="Arial" w:hAnsi="Arial" w:cs="Arial"/>
          <w:szCs w:val="22"/>
        </w:rPr>
        <w:t>I</w:t>
      </w:r>
      <w:r w:rsidR="00ED6453" w:rsidRPr="00735E43">
        <w:rPr>
          <w:rFonts w:ascii="Arial" w:hAnsi="Arial" w:cs="Arial"/>
          <w:szCs w:val="22"/>
        </w:rPr>
        <w:t xml:space="preserve">nformación </w:t>
      </w:r>
      <w:r w:rsidRPr="00735E43">
        <w:rPr>
          <w:rFonts w:ascii="Arial" w:hAnsi="Arial" w:cs="Arial"/>
          <w:szCs w:val="22"/>
        </w:rPr>
        <w:t>P</w:t>
      </w:r>
      <w:r w:rsidR="00ED6453" w:rsidRPr="00735E43">
        <w:rPr>
          <w:rFonts w:ascii="Arial" w:hAnsi="Arial" w:cs="Arial"/>
          <w:szCs w:val="22"/>
        </w:rPr>
        <w:t>eriódica:</w:t>
      </w:r>
    </w:p>
    <w:p w:rsidR="00ED6453" w:rsidRPr="00735E43" w:rsidRDefault="00ED6453" w:rsidP="00A8546D">
      <w:pPr>
        <w:pStyle w:val="Textodereglamento"/>
        <w:spacing w:before="0"/>
        <w:ind w:left="1080"/>
        <w:rPr>
          <w:rFonts w:ascii="Arial" w:hAnsi="Arial" w:cs="Arial"/>
          <w:szCs w:val="22"/>
        </w:rPr>
      </w:pPr>
    </w:p>
    <w:p w:rsidR="00ED6453" w:rsidRPr="00735E43" w:rsidRDefault="00ED6453" w:rsidP="00A8546D">
      <w:pPr>
        <w:pStyle w:val="Textodereglamento"/>
        <w:numPr>
          <w:ilvl w:val="4"/>
          <w:numId w:val="7"/>
        </w:numPr>
        <w:spacing w:before="0"/>
        <w:rPr>
          <w:rFonts w:ascii="Arial" w:hAnsi="Arial" w:cs="Arial"/>
          <w:szCs w:val="22"/>
        </w:rPr>
      </w:pPr>
      <w:r w:rsidRPr="00735E43">
        <w:rPr>
          <w:rFonts w:ascii="Arial" w:hAnsi="Arial" w:cs="Arial"/>
          <w:szCs w:val="22"/>
        </w:rPr>
        <w:t>Anexo 20</w:t>
      </w:r>
      <w:r w:rsidR="001751B2" w:rsidRPr="00735E43">
        <w:rPr>
          <w:rFonts w:ascii="Arial" w:hAnsi="Arial" w:cs="Arial"/>
          <w:szCs w:val="22"/>
        </w:rPr>
        <w:t>: Estados</w:t>
      </w:r>
      <w:r w:rsidRPr="00735E43">
        <w:rPr>
          <w:rFonts w:ascii="Arial" w:hAnsi="Arial" w:cs="Arial"/>
          <w:szCs w:val="22"/>
        </w:rPr>
        <w:t xml:space="preserve"> Financieros Fondos de Titularización (</w:t>
      </w:r>
      <w:r w:rsidR="00875D7C" w:rsidRPr="00735E43">
        <w:rPr>
          <w:rFonts w:ascii="Arial" w:hAnsi="Arial" w:cs="Arial"/>
          <w:szCs w:val="22"/>
        </w:rPr>
        <w:t xml:space="preserve">IC_ FOTI </w:t>
      </w:r>
      <w:r w:rsidRPr="00735E43">
        <w:rPr>
          <w:rFonts w:ascii="Arial" w:hAnsi="Arial" w:cs="Arial"/>
          <w:szCs w:val="22"/>
        </w:rPr>
        <w:t xml:space="preserve">información complementaria y </w:t>
      </w:r>
      <w:r w:rsidR="00875D7C" w:rsidRPr="00735E43">
        <w:rPr>
          <w:rFonts w:ascii="Arial" w:hAnsi="Arial" w:cs="Arial"/>
          <w:szCs w:val="22"/>
        </w:rPr>
        <w:t xml:space="preserve">AC_FOTI </w:t>
      </w:r>
      <w:r w:rsidRPr="00735E43">
        <w:rPr>
          <w:rFonts w:ascii="Arial" w:hAnsi="Arial" w:cs="Arial"/>
          <w:szCs w:val="22"/>
        </w:rPr>
        <w:t>antigüedad de saldos)</w:t>
      </w:r>
      <w:r w:rsidR="00F41482" w:rsidRPr="00735E43">
        <w:rPr>
          <w:rFonts w:ascii="Arial" w:hAnsi="Arial" w:cs="Arial"/>
          <w:szCs w:val="22"/>
        </w:rPr>
        <w:t>.</w:t>
      </w:r>
    </w:p>
    <w:p w:rsidR="00ED6453" w:rsidRPr="00735E43" w:rsidRDefault="00ED6453" w:rsidP="00A8546D">
      <w:pPr>
        <w:pStyle w:val="Textodereglamento"/>
        <w:spacing w:before="0"/>
        <w:ind w:left="1080"/>
        <w:rPr>
          <w:rFonts w:ascii="Arial" w:hAnsi="Arial" w:cs="Arial"/>
          <w:szCs w:val="22"/>
        </w:rPr>
      </w:pPr>
    </w:p>
    <w:p w:rsidR="00ED6453" w:rsidRPr="00735E43" w:rsidRDefault="00ED6453" w:rsidP="00A8546D">
      <w:pPr>
        <w:pStyle w:val="Textodereglamento"/>
        <w:numPr>
          <w:ilvl w:val="4"/>
          <w:numId w:val="7"/>
        </w:numPr>
        <w:spacing w:before="0"/>
        <w:rPr>
          <w:rFonts w:ascii="Arial" w:hAnsi="Arial" w:cs="Arial"/>
          <w:szCs w:val="22"/>
        </w:rPr>
      </w:pPr>
      <w:r w:rsidRPr="00735E43">
        <w:rPr>
          <w:rFonts w:ascii="Arial" w:hAnsi="Arial" w:cs="Arial"/>
          <w:szCs w:val="22"/>
        </w:rPr>
        <w:lastRenderedPageBreak/>
        <w:t>Anexo 21: Reporte mensual de composición de las carteras de los fondos de procesos de titularización.</w:t>
      </w:r>
    </w:p>
    <w:p w:rsidR="00ED6453" w:rsidRPr="00735E43" w:rsidRDefault="00ED6453" w:rsidP="00A8546D">
      <w:pPr>
        <w:pStyle w:val="Textodereglamento"/>
        <w:spacing w:before="0"/>
        <w:ind w:left="1440"/>
        <w:jc w:val="left"/>
        <w:rPr>
          <w:rFonts w:ascii="Arial" w:hAnsi="Arial" w:cs="Arial"/>
          <w:szCs w:val="22"/>
        </w:rPr>
      </w:pPr>
    </w:p>
    <w:p w:rsidR="00ED6453" w:rsidRPr="00735E43" w:rsidRDefault="00ED6453" w:rsidP="00A8546D">
      <w:pPr>
        <w:pStyle w:val="Textodereglamento"/>
        <w:numPr>
          <w:ilvl w:val="4"/>
          <w:numId w:val="7"/>
        </w:numPr>
        <w:spacing w:before="0"/>
        <w:rPr>
          <w:rFonts w:ascii="Arial" w:hAnsi="Arial" w:cs="Arial"/>
          <w:szCs w:val="22"/>
        </w:rPr>
      </w:pPr>
      <w:r w:rsidRPr="00735E43">
        <w:rPr>
          <w:rFonts w:ascii="Arial" w:hAnsi="Arial" w:cs="Arial"/>
          <w:szCs w:val="22"/>
        </w:rPr>
        <w:t>Anexo 25: Manual de Cuentas Fondos de Inversión.</w:t>
      </w:r>
    </w:p>
    <w:p w:rsidR="00ED6453" w:rsidRPr="00735E43" w:rsidRDefault="00ED6453" w:rsidP="00A8546D">
      <w:pPr>
        <w:pStyle w:val="Textodereglamento"/>
        <w:spacing w:before="0"/>
        <w:rPr>
          <w:rFonts w:ascii="Arial" w:hAnsi="Arial" w:cs="Arial"/>
          <w:szCs w:val="22"/>
          <w:lang w:val="es-CR"/>
        </w:rPr>
      </w:pPr>
    </w:p>
    <w:p w:rsidR="00ED6453" w:rsidRPr="00735E43" w:rsidRDefault="00ED6453" w:rsidP="00A8546D">
      <w:pPr>
        <w:pStyle w:val="Textodereglamento"/>
        <w:numPr>
          <w:ilvl w:val="4"/>
          <w:numId w:val="7"/>
        </w:numPr>
        <w:spacing w:before="0"/>
        <w:rPr>
          <w:rFonts w:ascii="Arial" w:hAnsi="Arial" w:cs="Arial"/>
          <w:szCs w:val="22"/>
        </w:rPr>
      </w:pPr>
      <w:r w:rsidRPr="00735E43">
        <w:rPr>
          <w:rFonts w:ascii="Arial" w:hAnsi="Arial" w:cs="Arial"/>
          <w:szCs w:val="22"/>
        </w:rPr>
        <w:t>Anexo 35: Tabla de Sectorización</w:t>
      </w:r>
      <w:r w:rsidR="00F41482" w:rsidRPr="00735E43">
        <w:rPr>
          <w:rFonts w:ascii="Arial" w:hAnsi="Arial" w:cs="Arial"/>
          <w:szCs w:val="22"/>
        </w:rPr>
        <w:t>.</w:t>
      </w:r>
    </w:p>
    <w:p w:rsidR="001D2C90" w:rsidRPr="00735E43" w:rsidRDefault="001D2C90" w:rsidP="001D2C90">
      <w:pPr>
        <w:pStyle w:val="Textodereglamento"/>
        <w:spacing w:before="0"/>
        <w:ind w:left="2508"/>
        <w:rPr>
          <w:rFonts w:ascii="Arial" w:hAnsi="Arial" w:cs="Arial"/>
          <w:szCs w:val="22"/>
        </w:rPr>
      </w:pPr>
    </w:p>
    <w:p w:rsidR="005A1DB4" w:rsidRPr="00735E43" w:rsidRDefault="005A1DB4" w:rsidP="00A8546D">
      <w:pPr>
        <w:pStyle w:val="Textodereglamento"/>
        <w:numPr>
          <w:ilvl w:val="4"/>
          <w:numId w:val="7"/>
        </w:numPr>
        <w:spacing w:before="0"/>
        <w:rPr>
          <w:rFonts w:ascii="Arial" w:hAnsi="Arial" w:cs="Arial"/>
          <w:szCs w:val="22"/>
        </w:rPr>
      </w:pPr>
      <w:r w:rsidRPr="00735E43">
        <w:rPr>
          <w:rFonts w:ascii="Arial" w:hAnsi="Arial" w:cs="Arial"/>
          <w:szCs w:val="22"/>
        </w:rPr>
        <w:t>Anexo 39:</w:t>
      </w:r>
      <w:r w:rsidRPr="00735E43">
        <w:rPr>
          <w:rFonts w:ascii="Arial" w:hAnsi="Arial" w:cs="Arial"/>
          <w:szCs w:val="22"/>
        </w:rPr>
        <w:tab/>
        <w:t>Estados Financieros de Entidades Comercializadoras</w:t>
      </w:r>
      <w:r w:rsidR="00F41482" w:rsidRPr="00735E43">
        <w:rPr>
          <w:rFonts w:ascii="Arial" w:hAnsi="Arial" w:cs="Arial"/>
          <w:szCs w:val="22"/>
        </w:rPr>
        <w:t>.</w:t>
      </w:r>
    </w:p>
    <w:p w:rsidR="00201E3F" w:rsidRPr="00735E43" w:rsidRDefault="00201E3F" w:rsidP="00201E3F">
      <w:pPr>
        <w:pStyle w:val="Textodereglamento"/>
        <w:spacing w:before="0"/>
        <w:rPr>
          <w:rFonts w:ascii="Arial" w:hAnsi="Arial" w:cs="Arial"/>
          <w:szCs w:val="22"/>
        </w:rPr>
      </w:pPr>
    </w:p>
    <w:p w:rsidR="001B1D05" w:rsidRPr="00735E43" w:rsidRDefault="001B1D05" w:rsidP="001B1D05">
      <w:pPr>
        <w:numPr>
          <w:ilvl w:val="2"/>
          <w:numId w:val="35"/>
        </w:numPr>
        <w:jc w:val="both"/>
        <w:rPr>
          <w:rFonts w:ascii="Arial" w:hAnsi="Arial" w:cs="Arial"/>
          <w:szCs w:val="22"/>
        </w:rPr>
      </w:pPr>
      <w:r w:rsidRPr="00735E43">
        <w:rPr>
          <w:rFonts w:ascii="Arial" w:hAnsi="Arial" w:cs="Arial"/>
          <w:szCs w:val="22"/>
          <w:lang w:val="es-CR"/>
        </w:rPr>
        <w:t xml:space="preserve">El </w:t>
      </w:r>
      <w:r w:rsidRPr="00735E43">
        <w:rPr>
          <w:rFonts w:ascii="Arial" w:hAnsi="Arial" w:cs="Arial"/>
          <w:szCs w:val="22"/>
        </w:rPr>
        <w:t>reporte de Indicadores de Riesgo (RI_</w:t>
      </w:r>
      <w:r w:rsidR="001F4E1A" w:rsidRPr="00735E43">
        <w:rPr>
          <w:rFonts w:ascii="Arial" w:hAnsi="Arial" w:cs="Arial"/>
          <w:szCs w:val="22"/>
        </w:rPr>
        <w:t>FONDOS</w:t>
      </w:r>
      <w:r w:rsidRPr="00735E43">
        <w:rPr>
          <w:rFonts w:ascii="Arial" w:hAnsi="Arial" w:cs="Arial"/>
          <w:szCs w:val="22"/>
        </w:rPr>
        <w:t>) para los fondos no financieros.</w:t>
      </w:r>
    </w:p>
    <w:p w:rsidR="001B1D05" w:rsidRPr="00735E43" w:rsidRDefault="001B1D05" w:rsidP="001B1D05">
      <w:pPr>
        <w:ind w:left="1788"/>
        <w:jc w:val="both"/>
        <w:rPr>
          <w:rFonts w:ascii="Arial" w:hAnsi="Arial" w:cs="Arial"/>
          <w:szCs w:val="22"/>
          <w:lang w:val="es-CR"/>
        </w:rPr>
      </w:pPr>
    </w:p>
    <w:p w:rsidR="00ED6453" w:rsidRPr="00735E43" w:rsidRDefault="00ED6453" w:rsidP="00A8546D">
      <w:pPr>
        <w:numPr>
          <w:ilvl w:val="2"/>
          <w:numId w:val="35"/>
        </w:numPr>
        <w:jc w:val="both"/>
        <w:rPr>
          <w:rFonts w:ascii="Arial" w:hAnsi="Arial" w:cs="Arial"/>
          <w:szCs w:val="22"/>
          <w:lang w:val="es-CR"/>
        </w:rPr>
      </w:pPr>
      <w:r w:rsidRPr="00735E43">
        <w:rPr>
          <w:rFonts w:ascii="Arial" w:hAnsi="Arial" w:cs="Arial"/>
          <w:szCs w:val="22"/>
          <w:lang w:val="es-CR"/>
        </w:rPr>
        <w:t>La remisión de las condiciones de las notas estructuradas, línea 26 del cuadro de información periódica.</w:t>
      </w:r>
    </w:p>
    <w:p w:rsidR="00ED6453" w:rsidRPr="00735E43" w:rsidRDefault="00ED6453" w:rsidP="00A8546D">
      <w:pPr>
        <w:pStyle w:val="Textodereglamento"/>
        <w:spacing w:before="0"/>
        <w:ind w:left="1080"/>
        <w:rPr>
          <w:rFonts w:ascii="Arial" w:hAnsi="Arial" w:cs="Arial"/>
          <w:szCs w:val="22"/>
        </w:rPr>
      </w:pPr>
    </w:p>
    <w:p w:rsidR="00ED6453" w:rsidRPr="00735E43" w:rsidRDefault="00ED6453" w:rsidP="00A8546D">
      <w:pPr>
        <w:numPr>
          <w:ilvl w:val="2"/>
          <w:numId w:val="35"/>
        </w:numPr>
        <w:jc w:val="both"/>
        <w:rPr>
          <w:rFonts w:ascii="Arial" w:eastAsia="Arial Unicode MS" w:hAnsi="Arial" w:cs="Arial"/>
          <w:szCs w:val="22"/>
          <w:lang w:val="es-CR"/>
        </w:rPr>
      </w:pPr>
      <w:r w:rsidRPr="00735E43">
        <w:rPr>
          <w:rFonts w:ascii="Arial" w:eastAsia="Arial Unicode MS" w:hAnsi="Arial" w:cs="Arial"/>
          <w:szCs w:val="22"/>
          <w:lang w:val="es-CR"/>
        </w:rPr>
        <w:t>Se eliminan las siguientes cuentas:</w:t>
      </w:r>
    </w:p>
    <w:p w:rsidR="005C4984" w:rsidRPr="00735E43" w:rsidRDefault="005C4984" w:rsidP="005C4984">
      <w:pPr>
        <w:jc w:val="both"/>
        <w:rPr>
          <w:rFonts w:ascii="Arial" w:eastAsia="Arial Unicode MS" w:hAnsi="Arial" w:cs="Arial"/>
          <w:szCs w:val="22"/>
          <w:lang w:val="es-CR"/>
        </w:rPr>
      </w:pPr>
    </w:p>
    <w:p w:rsidR="00ED6453" w:rsidRPr="00735E43" w:rsidRDefault="00ED6453" w:rsidP="00A8546D">
      <w:pPr>
        <w:pStyle w:val="Textodereglamento"/>
        <w:spacing w:before="0"/>
        <w:ind w:left="1080"/>
        <w:rPr>
          <w:rFonts w:ascii="Arial" w:eastAsia="Arial Unicode MS" w:hAnsi="Arial" w:cs="Arial"/>
          <w:szCs w:val="22"/>
          <w:lang w:val="es-CR"/>
        </w:rPr>
      </w:pPr>
    </w:p>
    <w:p w:rsidR="00ED6453" w:rsidRPr="00735E43" w:rsidRDefault="001B1D05" w:rsidP="00A8546D">
      <w:pPr>
        <w:numPr>
          <w:ilvl w:val="3"/>
          <w:numId w:val="35"/>
        </w:numPr>
        <w:jc w:val="both"/>
        <w:rPr>
          <w:rFonts w:ascii="Arial" w:eastAsia="Arial Unicode MS" w:hAnsi="Arial" w:cs="Arial"/>
          <w:szCs w:val="22"/>
          <w:lang w:val="es-CR"/>
        </w:rPr>
      </w:pPr>
      <w:r w:rsidRPr="00735E43">
        <w:rPr>
          <w:rFonts w:ascii="Arial" w:eastAsia="Arial Unicode MS" w:hAnsi="Arial" w:cs="Arial"/>
          <w:szCs w:val="22"/>
          <w:lang w:val="es-CR"/>
        </w:rPr>
        <w:t>D</w:t>
      </w:r>
      <w:r w:rsidR="00ED6453" w:rsidRPr="00735E43">
        <w:rPr>
          <w:rFonts w:ascii="Arial" w:eastAsia="Arial Unicode MS" w:hAnsi="Arial" w:cs="Arial"/>
          <w:szCs w:val="22"/>
          <w:lang w:val="es-CR"/>
        </w:rPr>
        <w:t xml:space="preserve">el Reporte de Concentración de Inversionistas </w:t>
      </w:r>
      <w:r w:rsidRPr="00735E43">
        <w:rPr>
          <w:rFonts w:ascii="Arial" w:eastAsia="Arial Unicode MS" w:hAnsi="Arial" w:cs="Arial"/>
          <w:szCs w:val="22"/>
          <w:lang w:val="es-CR"/>
        </w:rPr>
        <w:t>(</w:t>
      </w:r>
      <w:r w:rsidR="00ED6453" w:rsidRPr="00735E43">
        <w:rPr>
          <w:rFonts w:ascii="Arial" w:eastAsia="Arial Unicode MS" w:hAnsi="Arial" w:cs="Arial"/>
          <w:szCs w:val="22"/>
          <w:lang w:val="es-CR"/>
        </w:rPr>
        <w:t>RC_</w:t>
      </w:r>
      <w:r w:rsidRPr="00735E43">
        <w:rPr>
          <w:rFonts w:ascii="Arial" w:eastAsia="Arial Unicode MS" w:hAnsi="Arial" w:cs="Arial"/>
          <w:szCs w:val="22"/>
          <w:lang w:val="es-CR"/>
        </w:rPr>
        <w:t>FONDOS):</w:t>
      </w:r>
    </w:p>
    <w:p w:rsidR="005C4984" w:rsidRPr="00735E43" w:rsidRDefault="005C4984" w:rsidP="005C4984">
      <w:pPr>
        <w:jc w:val="both"/>
        <w:rPr>
          <w:rFonts w:ascii="Arial" w:eastAsia="Arial Unicode MS" w:hAnsi="Arial" w:cs="Arial"/>
          <w:szCs w:val="22"/>
          <w:lang w:val="es-CR"/>
        </w:rPr>
      </w:pPr>
    </w:p>
    <w:tbl>
      <w:tblPr>
        <w:tblW w:w="7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8"/>
        <w:gridCol w:w="5192"/>
      </w:tblGrid>
      <w:tr w:rsidR="001B1D05" w:rsidRPr="00735E43" w:rsidTr="001B1D05">
        <w:trPr>
          <w:trHeight w:val="20"/>
          <w:jc w:val="center"/>
        </w:trPr>
        <w:tc>
          <w:tcPr>
            <w:tcW w:w="2238" w:type="dxa"/>
            <w:shd w:val="clear" w:color="auto" w:fill="F2F2F2"/>
          </w:tcPr>
          <w:p w:rsidR="001B1D05" w:rsidRPr="00735E43" w:rsidRDefault="001B1D05" w:rsidP="001B1D05">
            <w:pPr>
              <w:pStyle w:val="Textodereglamento"/>
              <w:spacing w:before="0"/>
              <w:jc w:val="center"/>
              <w:rPr>
                <w:rFonts w:ascii="Arial" w:eastAsia="Arial Unicode MS" w:hAnsi="Arial" w:cs="Arial"/>
                <w:b/>
                <w:szCs w:val="22"/>
                <w:lang w:val="es-CR"/>
              </w:rPr>
            </w:pPr>
            <w:r w:rsidRPr="00735E43">
              <w:rPr>
                <w:rFonts w:ascii="Arial" w:eastAsia="Arial Unicode MS" w:hAnsi="Arial" w:cs="Arial"/>
                <w:b/>
                <w:szCs w:val="22"/>
                <w:lang w:val="es-CR"/>
              </w:rPr>
              <w:t>Cuenta</w:t>
            </w:r>
          </w:p>
        </w:tc>
        <w:tc>
          <w:tcPr>
            <w:tcW w:w="5192" w:type="dxa"/>
            <w:shd w:val="clear" w:color="auto" w:fill="F2F2F2"/>
          </w:tcPr>
          <w:p w:rsidR="001B1D05" w:rsidRPr="00735E43" w:rsidRDefault="001B1D05" w:rsidP="001B1D05">
            <w:pPr>
              <w:pStyle w:val="Textodereglamento"/>
              <w:spacing w:before="0"/>
              <w:jc w:val="center"/>
              <w:rPr>
                <w:rFonts w:ascii="Arial" w:eastAsia="Arial Unicode MS" w:hAnsi="Arial" w:cs="Arial"/>
                <w:b/>
                <w:szCs w:val="22"/>
                <w:lang w:val="es-CR"/>
              </w:rPr>
            </w:pPr>
            <w:r w:rsidRPr="00735E43">
              <w:rPr>
                <w:rFonts w:ascii="Arial" w:eastAsia="Arial Unicode MS" w:hAnsi="Arial" w:cs="Arial"/>
                <w:b/>
                <w:szCs w:val="22"/>
                <w:lang w:val="es-CR"/>
              </w:rPr>
              <w:t>Descripción</w:t>
            </w:r>
          </w:p>
        </w:tc>
      </w:tr>
      <w:tr w:rsidR="00A85450" w:rsidRPr="00735E43" w:rsidTr="00780CC6">
        <w:trPr>
          <w:trHeight w:val="20"/>
          <w:jc w:val="center"/>
        </w:trPr>
        <w:tc>
          <w:tcPr>
            <w:tcW w:w="2238" w:type="dxa"/>
            <w:shd w:val="clear" w:color="auto" w:fill="auto"/>
            <w:vAlign w:val="bottom"/>
          </w:tcPr>
          <w:p w:rsidR="00A85450" w:rsidRPr="00735E43" w:rsidRDefault="00A85450" w:rsidP="00A85450">
            <w:pPr>
              <w:jc w:val="center"/>
              <w:rPr>
                <w:rFonts w:ascii="Arial" w:hAnsi="Arial" w:cs="Arial"/>
                <w:szCs w:val="22"/>
                <w:lang w:val="es-CR" w:eastAsia="es-CR"/>
              </w:rPr>
            </w:pPr>
            <w:r w:rsidRPr="00735E43">
              <w:rPr>
                <w:rFonts w:ascii="Arial" w:hAnsi="Arial" w:cs="Arial"/>
                <w:szCs w:val="22"/>
                <w:lang w:val="es-CR" w:eastAsia="es-CR"/>
              </w:rPr>
              <w:t>100000000000</w:t>
            </w:r>
          </w:p>
        </w:tc>
        <w:tc>
          <w:tcPr>
            <w:tcW w:w="5192" w:type="dxa"/>
            <w:shd w:val="clear" w:color="auto" w:fill="auto"/>
            <w:noWrap/>
            <w:vAlign w:val="bottom"/>
          </w:tcPr>
          <w:p w:rsidR="00A85450" w:rsidRPr="00735E43" w:rsidRDefault="00A85450" w:rsidP="00780CC6">
            <w:pPr>
              <w:rPr>
                <w:rFonts w:ascii="Arial" w:hAnsi="Arial" w:cs="Arial"/>
                <w:szCs w:val="22"/>
                <w:lang w:val="es-CR" w:eastAsia="es-CR"/>
              </w:rPr>
            </w:pPr>
            <w:r w:rsidRPr="00735E43">
              <w:rPr>
                <w:rFonts w:ascii="Arial" w:hAnsi="Arial" w:cs="Arial"/>
                <w:szCs w:val="22"/>
                <w:lang w:val="es-CR" w:eastAsia="es-CR"/>
              </w:rPr>
              <w:t>Concentración en Empresas Relacionadas a la Sociedad (Monto)</w:t>
            </w:r>
          </w:p>
        </w:tc>
      </w:tr>
      <w:tr w:rsidR="00A85450" w:rsidRPr="00735E43" w:rsidTr="00780CC6">
        <w:trPr>
          <w:trHeight w:val="20"/>
          <w:jc w:val="center"/>
        </w:trPr>
        <w:tc>
          <w:tcPr>
            <w:tcW w:w="2238" w:type="dxa"/>
            <w:shd w:val="clear" w:color="auto" w:fill="auto"/>
            <w:vAlign w:val="bottom"/>
          </w:tcPr>
          <w:p w:rsidR="00A85450" w:rsidRPr="00735E43" w:rsidRDefault="00A85450" w:rsidP="00A85450">
            <w:pPr>
              <w:jc w:val="center"/>
              <w:rPr>
                <w:rFonts w:ascii="Arial" w:hAnsi="Arial" w:cs="Arial"/>
                <w:szCs w:val="22"/>
                <w:lang w:val="es-CR" w:eastAsia="es-CR"/>
              </w:rPr>
            </w:pPr>
            <w:r w:rsidRPr="00735E43">
              <w:rPr>
                <w:rFonts w:ascii="Arial" w:hAnsi="Arial" w:cs="Arial"/>
                <w:szCs w:val="22"/>
                <w:lang w:val="es-CR" w:eastAsia="es-CR"/>
              </w:rPr>
              <w:t>130000000000</w:t>
            </w:r>
          </w:p>
        </w:tc>
        <w:tc>
          <w:tcPr>
            <w:tcW w:w="5192" w:type="dxa"/>
            <w:shd w:val="clear" w:color="auto" w:fill="auto"/>
            <w:noWrap/>
            <w:vAlign w:val="bottom"/>
          </w:tcPr>
          <w:p w:rsidR="00A85450" w:rsidRPr="00735E43" w:rsidRDefault="00A85450" w:rsidP="00780CC6">
            <w:pPr>
              <w:rPr>
                <w:rFonts w:ascii="Arial" w:hAnsi="Arial" w:cs="Arial"/>
                <w:szCs w:val="22"/>
                <w:lang w:val="es-CR" w:eastAsia="es-CR"/>
              </w:rPr>
            </w:pPr>
            <w:r w:rsidRPr="00735E43">
              <w:rPr>
                <w:rFonts w:ascii="Arial" w:hAnsi="Arial" w:cs="Arial"/>
                <w:szCs w:val="22"/>
                <w:lang w:val="es-CR" w:eastAsia="es-CR"/>
              </w:rPr>
              <w:t>Valor Transado total del mes</w:t>
            </w:r>
          </w:p>
        </w:tc>
      </w:tr>
      <w:tr w:rsidR="00A85450" w:rsidRPr="00735E43" w:rsidTr="00780CC6">
        <w:trPr>
          <w:trHeight w:val="20"/>
          <w:jc w:val="center"/>
        </w:trPr>
        <w:tc>
          <w:tcPr>
            <w:tcW w:w="2238" w:type="dxa"/>
            <w:shd w:val="clear" w:color="auto" w:fill="auto"/>
            <w:vAlign w:val="bottom"/>
          </w:tcPr>
          <w:p w:rsidR="00A85450" w:rsidRPr="00735E43" w:rsidRDefault="00A85450" w:rsidP="00A85450">
            <w:pPr>
              <w:jc w:val="center"/>
              <w:rPr>
                <w:rFonts w:ascii="Arial" w:hAnsi="Arial" w:cs="Arial"/>
                <w:szCs w:val="22"/>
                <w:lang w:val="es-CR" w:eastAsia="es-CR"/>
              </w:rPr>
            </w:pPr>
            <w:r w:rsidRPr="00735E43">
              <w:rPr>
                <w:rFonts w:ascii="Arial" w:hAnsi="Arial" w:cs="Arial"/>
                <w:szCs w:val="22"/>
                <w:lang w:val="es-CR" w:eastAsia="es-CR"/>
              </w:rPr>
              <w:t>140000000000</w:t>
            </w:r>
          </w:p>
        </w:tc>
        <w:tc>
          <w:tcPr>
            <w:tcW w:w="5192" w:type="dxa"/>
            <w:shd w:val="clear" w:color="auto" w:fill="auto"/>
            <w:noWrap/>
            <w:vAlign w:val="bottom"/>
          </w:tcPr>
          <w:p w:rsidR="00A85450" w:rsidRPr="00735E43" w:rsidRDefault="00A85450" w:rsidP="00780CC6">
            <w:pPr>
              <w:rPr>
                <w:rFonts w:ascii="Arial" w:hAnsi="Arial" w:cs="Arial"/>
                <w:szCs w:val="22"/>
                <w:lang w:val="es-CR" w:eastAsia="es-CR"/>
              </w:rPr>
            </w:pPr>
            <w:r w:rsidRPr="00735E43">
              <w:rPr>
                <w:rFonts w:ascii="Arial" w:hAnsi="Arial" w:cs="Arial"/>
                <w:szCs w:val="22"/>
                <w:lang w:val="es-CR" w:eastAsia="es-CR"/>
              </w:rPr>
              <w:t>Volumen promedio de activos administrados durante el mes</w:t>
            </w:r>
          </w:p>
        </w:tc>
      </w:tr>
      <w:tr w:rsidR="00A85450" w:rsidRPr="00735E43" w:rsidTr="00780CC6">
        <w:trPr>
          <w:trHeight w:val="20"/>
          <w:jc w:val="center"/>
        </w:trPr>
        <w:tc>
          <w:tcPr>
            <w:tcW w:w="2238" w:type="dxa"/>
            <w:shd w:val="clear" w:color="auto" w:fill="auto"/>
            <w:vAlign w:val="bottom"/>
          </w:tcPr>
          <w:p w:rsidR="00A85450" w:rsidRPr="00735E43" w:rsidRDefault="00A85450" w:rsidP="00A85450">
            <w:pPr>
              <w:jc w:val="center"/>
              <w:rPr>
                <w:rFonts w:ascii="Arial" w:hAnsi="Arial" w:cs="Arial"/>
                <w:szCs w:val="22"/>
                <w:lang w:val="es-CR" w:eastAsia="es-CR"/>
              </w:rPr>
            </w:pPr>
            <w:r w:rsidRPr="00735E43">
              <w:rPr>
                <w:rFonts w:ascii="Arial" w:hAnsi="Arial" w:cs="Arial"/>
                <w:szCs w:val="22"/>
                <w:lang w:val="es-CR" w:eastAsia="es-CR"/>
              </w:rPr>
              <w:t>150000000000</w:t>
            </w:r>
          </w:p>
        </w:tc>
        <w:tc>
          <w:tcPr>
            <w:tcW w:w="5192" w:type="dxa"/>
            <w:shd w:val="clear" w:color="auto" w:fill="auto"/>
            <w:noWrap/>
            <w:vAlign w:val="bottom"/>
          </w:tcPr>
          <w:p w:rsidR="00A85450" w:rsidRPr="00735E43" w:rsidRDefault="00A85450" w:rsidP="00780CC6">
            <w:pPr>
              <w:rPr>
                <w:rFonts w:ascii="Arial" w:hAnsi="Arial" w:cs="Arial"/>
                <w:szCs w:val="22"/>
                <w:lang w:val="es-CR" w:eastAsia="es-CR"/>
              </w:rPr>
            </w:pPr>
            <w:r w:rsidRPr="00735E43">
              <w:rPr>
                <w:rFonts w:ascii="Arial" w:hAnsi="Arial" w:cs="Arial"/>
                <w:szCs w:val="22"/>
                <w:lang w:val="es-CR" w:eastAsia="es-CR"/>
              </w:rPr>
              <w:t>Monto total de las comisiones pagadas durante el mes</w:t>
            </w:r>
          </w:p>
        </w:tc>
      </w:tr>
      <w:tr w:rsidR="00A85450" w:rsidRPr="00735E43" w:rsidTr="00780CC6">
        <w:trPr>
          <w:trHeight w:val="20"/>
          <w:jc w:val="center"/>
        </w:trPr>
        <w:tc>
          <w:tcPr>
            <w:tcW w:w="2238" w:type="dxa"/>
            <w:shd w:val="clear" w:color="auto" w:fill="auto"/>
            <w:vAlign w:val="bottom"/>
          </w:tcPr>
          <w:p w:rsidR="00A85450" w:rsidRPr="00735E43" w:rsidRDefault="00A85450" w:rsidP="00A85450">
            <w:pPr>
              <w:jc w:val="center"/>
              <w:rPr>
                <w:rFonts w:ascii="Arial" w:hAnsi="Arial" w:cs="Arial"/>
                <w:szCs w:val="22"/>
                <w:lang w:val="es-CR" w:eastAsia="es-CR"/>
              </w:rPr>
            </w:pPr>
            <w:r w:rsidRPr="00735E43">
              <w:rPr>
                <w:rFonts w:ascii="Arial" w:hAnsi="Arial" w:cs="Arial"/>
                <w:szCs w:val="22"/>
                <w:lang w:val="es-CR" w:eastAsia="es-CR"/>
              </w:rPr>
              <w:t>160000000000</w:t>
            </w:r>
          </w:p>
        </w:tc>
        <w:tc>
          <w:tcPr>
            <w:tcW w:w="5192" w:type="dxa"/>
            <w:shd w:val="clear" w:color="auto" w:fill="auto"/>
            <w:noWrap/>
            <w:vAlign w:val="bottom"/>
          </w:tcPr>
          <w:p w:rsidR="00A85450" w:rsidRPr="00735E43" w:rsidRDefault="00A85450" w:rsidP="00780CC6">
            <w:pPr>
              <w:rPr>
                <w:rFonts w:ascii="Arial" w:hAnsi="Arial" w:cs="Arial"/>
                <w:szCs w:val="22"/>
                <w:lang w:val="es-CR" w:eastAsia="es-CR"/>
              </w:rPr>
            </w:pPr>
            <w:r w:rsidRPr="00735E43">
              <w:rPr>
                <w:rFonts w:ascii="Arial" w:hAnsi="Arial" w:cs="Arial"/>
                <w:szCs w:val="22"/>
                <w:lang w:val="es-CR" w:eastAsia="es-CR"/>
              </w:rPr>
              <w:t>Porcentaje de comisión bursátil sobre el valor transado</w:t>
            </w:r>
          </w:p>
        </w:tc>
      </w:tr>
      <w:tr w:rsidR="00A85450" w:rsidRPr="00735E43" w:rsidTr="00780CC6">
        <w:trPr>
          <w:trHeight w:val="20"/>
          <w:jc w:val="center"/>
        </w:trPr>
        <w:tc>
          <w:tcPr>
            <w:tcW w:w="2238" w:type="dxa"/>
            <w:shd w:val="clear" w:color="auto" w:fill="auto"/>
            <w:vAlign w:val="bottom"/>
          </w:tcPr>
          <w:p w:rsidR="00A85450" w:rsidRPr="00735E43" w:rsidRDefault="00A85450" w:rsidP="00A85450">
            <w:pPr>
              <w:jc w:val="center"/>
              <w:rPr>
                <w:rFonts w:ascii="Arial" w:hAnsi="Arial" w:cs="Arial"/>
                <w:szCs w:val="22"/>
                <w:lang w:val="es-CR" w:eastAsia="es-CR"/>
              </w:rPr>
            </w:pPr>
            <w:r w:rsidRPr="00735E43">
              <w:rPr>
                <w:rFonts w:ascii="Arial" w:hAnsi="Arial" w:cs="Arial"/>
                <w:szCs w:val="22"/>
                <w:lang w:val="es-CR" w:eastAsia="es-CR"/>
              </w:rPr>
              <w:t>170000000000</w:t>
            </w:r>
          </w:p>
        </w:tc>
        <w:tc>
          <w:tcPr>
            <w:tcW w:w="5192" w:type="dxa"/>
            <w:shd w:val="clear" w:color="auto" w:fill="auto"/>
            <w:noWrap/>
            <w:vAlign w:val="bottom"/>
          </w:tcPr>
          <w:p w:rsidR="00A85450" w:rsidRPr="00735E43" w:rsidRDefault="00A85450" w:rsidP="00780CC6">
            <w:pPr>
              <w:rPr>
                <w:rFonts w:ascii="Arial" w:hAnsi="Arial" w:cs="Arial"/>
                <w:szCs w:val="22"/>
                <w:lang w:val="es-CR" w:eastAsia="es-CR"/>
              </w:rPr>
            </w:pPr>
            <w:r w:rsidRPr="00735E43">
              <w:rPr>
                <w:rFonts w:ascii="Arial" w:hAnsi="Arial" w:cs="Arial"/>
                <w:szCs w:val="22"/>
                <w:lang w:val="es-CR" w:eastAsia="es-CR"/>
              </w:rPr>
              <w:t>Porcentaje de comisión bursátil sobre el volumen de activos administrados</w:t>
            </w:r>
          </w:p>
        </w:tc>
      </w:tr>
      <w:tr w:rsidR="00176565" w:rsidRPr="00735E43" w:rsidTr="00780CC6">
        <w:trPr>
          <w:trHeight w:val="20"/>
          <w:jc w:val="center"/>
        </w:trPr>
        <w:tc>
          <w:tcPr>
            <w:tcW w:w="2238" w:type="dxa"/>
            <w:shd w:val="clear" w:color="auto" w:fill="auto"/>
            <w:vAlign w:val="center"/>
          </w:tcPr>
          <w:p w:rsidR="00176565" w:rsidRPr="00735E43" w:rsidRDefault="00176565" w:rsidP="00780CC6">
            <w:pPr>
              <w:jc w:val="center"/>
              <w:rPr>
                <w:rFonts w:ascii="Arial" w:hAnsi="Arial" w:cs="Arial"/>
                <w:szCs w:val="22"/>
              </w:rPr>
            </w:pPr>
            <w:r w:rsidRPr="00735E43">
              <w:rPr>
                <w:rFonts w:ascii="Arial" w:hAnsi="Arial" w:cs="Arial"/>
                <w:szCs w:val="22"/>
              </w:rPr>
              <w:t>302010300000</w:t>
            </w:r>
          </w:p>
        </w:tc>
        <w:tc>
          <w:tcPr>
            <w:tcW w:w="5192" w:type="dxa"/>
            <w:shd w:val="clear" w:color="auto" w:fill="auto"/>
            <w:noWrap/>
            <w:vAlign w:val="center"/>
          </w:tcPr>
          <w:p w:rsidR="00176565" w:rsidRPr="00735E43" w:rsidRDefault="00176565" w:rsidP="00780CC6">
            <w:pPr>
              <w:jc w:val="center"/>
              <w:rPr>
                <w:rFonts w:ascii="Arial" w:hAnsi="Arial" w:cs="Arial"/>
                <w:szCs w:val="22"/>
              </w:rPr>
            </w:pPr>
            <w:r w:rsidRPr="00735E43">
              <w:rPr>
                <w:rFonts w:ascii="Arial" w:hAnsi="Arial" w:cs="Arial"/>
                <w:szCs w:val="22"/>
              </w:rPr>
              <w:t>Código sin utilizar</w:t>
            </w:r>
          </w:p>
        </w:tc>
      </w:tr>
    </w:tbl>
    <w:p w:rsidR="00ED6453" w:rsidRPr="00735E43" w:rsidRDefault="00ED6453" w:rsidP="008F1449">
      <w:pPr>
        <w:pStyle w:val="Textodereglamento"/>
        <w:spacing w:before="0"/>
        <w:rPr>
          <w:rFonts w:ascii="Arial" w:eastAsia="Arial Unicode MS" w:hAnsi="Arial" w:cs="Arial"/>
          <w:szCs w:val="22"/>
          <w:lang w:val="es-CR"/>
        </w:rPr>
      </w:pPr>
    </w:p>
    <w:p w:rsidR="00A85450" w:rsidRPr="00735E43" w:rsidRDefault="001B1D05" w:rsidP="001B1D05">
      <w:pPr>
        <w:numPr>
          <w:ilvl w:val="3"/>
          <w:numId w:val="35"/>
        </w:numPr>
        <w:jc w:val="both"/>
        <w:rPr>
          <w:rFonts w:ascii="Arial" w:eastAsia="Arial Unicode MS" w:hAnsi="Arial" w:cs="Arial"/>
          <w:szCs w:val="22"/>
          <w:lang w:val="es-CR"/>
        </w:rPr>
      </w:pPr>
      <w:r w:rsidRPr="00735E43">
        <w:rPr>
          <w:rFonts w:ascii="Arial" w:eastAsia="Arial Unicode MS" w:hAnsi="Arial" w:cs="Arial"/>
          <w:szCs w:val="22"/>
          <w:lang w:val="es-CR"/>
        </w:rPr>
        <w:t>D</w:t>
      </w:r>
      <w:r w:rsidR="00ED6453" w:rsidRPr="00735E43">
        <w:rPr>
          <w:rFonts w:ascii="Arial" w:eastAsia="Arial Unicode MS" w:hAnsi="Arial" w:cs="Arial"/>
          <w:szCs w:val="22"/>
          <w:lang w:val="es-CR"/>
        </w:rPr>
        <w:t>el Reporte Diario de Fondos de Inversión (RD_</w:t>
      </w:r>
      <w:r w:rsidRPr="00735E43">
        <w:rPr>
          <w:rFonts w:ascii="Arial" w:eastAsia="Arial Unicode MS" w:hAnsi="Arial" w:cs="Arial"/>
          <w:szCs w:val="22"/>
          <w:lang w:val="es-CR"/>
        </w:rPr>
        <w:t>FONDOS</w:t>
      </w:r>
      <w:r w:rsidR="00ED6453" w:rsidRPr="00735E43">
        <w:rPr>
          <w:rFonts w:ascii="Arial" w:eastAsia="Arial Unicode MS" w:hAnsi="Arial" w:cs="Arial"/>
          <w:szCs w:val="22"/>
          <w:lang w:val="es-CR"/>
        </w:rPr>
        <w:t>)</w:t>
      </w:r>
      <w:r w:rsidR="00A85450" w:rsidRPr="00735E43">
        <w:rPr>
          <w:rFonts w:ascii="Arial" w:eastAsia="Arial Unicode MS" w:hAnsi="Arial" w:cs="Arial"/>
          <w:szCs w:val="22"/>
          <w:lang w:val="es-CR"/>
        </w:rPr>
        <w:t>:</w:t>
      </w:r>
      <w:r w:rsidRPr="00735E43">
        <w:rPr>
          <w:rFonts w:ascii="Arial" w:eastAsia="Arial Unicode MS" w:hAnsi="Arial" w:cs="Arial"/>
          <w:szCs w:val="22"/>
          <w:lang w:val="es-CR"/>
        </w:rPr>
        <w:t xml:space="preserve"> </w:t>
      </w:r>
    </w:p>
    <w:p w:rsidR="00A85450" w:rsidRPr="00735E43" w:rsidRDefault="00A85450" w:rsidP="008F1449">
      <w:pPr>
        <w:jc w:val="both"/>
        <w:rPr>
          <w:rFonts w:ascii="Arial" w:eastAsia="Arial Unicode MS" w:hAnsi="Arial" w:cs="Arial"/>
          <w:szCs w:val="22"/>
          <w:lang w:val="es-CR"/>
        </w:rPr>
      </w:pPr>
    </w:p>
    <w:tbl>
      <w:tblPr>
        <w:tblW w:w="7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7"/>
        <w:gridCol w:w="5103"/>
      </w:tblGrid>
      <w:tr w:rsidR="00A85450" w:rsidRPr="00735E43" w:rsidTr="00780CC6">
        <w:trPr>
          <w:trHeight w:val="20"/>
          <w:jc w:val="center"/>
        </w:trPr>
        <w:tc>
          <w:tcPr>
            <w:tcW w:w="2387" w:type="dxa"/>
            <w:shd w:val="clear" w:color="auto" w:fill="F2F2F2"/>
          </w:tcPr>
          <w:p w:rsidR="00A85450" w:rsidRPr="00735E43" w:rsidRDefault="00A85450" w:rsidP="00780CC6">
            <w:pPr>
              <w:pStyle w:val="Textodereglamento"/>
              <w:spacing w:before="0"/>
              <w:jc w:val="center"/>
              <w:rPr>
                <w:rFonts w:ascii="Arial" w:eastAsia="Arial Unicode MS" w:hAnsi="Arial" w:cs="Arial"/>
                <w:b/>
                <w:szCs w:val="22"/>
                <w:lang w:val="es-CR"/>
              </w:rPr>
            </w:pPr>
            <w:r w:rsidRPr="00735E43">
              <w:rPr>
                <w:rFonts w:ascii="Arial" w:eastAsia="Arial Unicode MS" w:hAnsi="Arial" w:cs="Arial"/>
                <w:b/>
                <w:szCs w:val="22"/>
                <w:lang w:val="es-CR"/>
              </w:rPr>
              <w:t>Cuenta</w:t>
            </w:r>
          </w:p>
        </w:tc>
        <w:tc>
          <w:tcPr>
            <w:tcW w:w="5103" w:type="dxa"/>
            <w:shd w:val="clear" w:color="auto" w:fill="F2F2F2"/>
          </w:tcPr>
          <w:p w:rsidR="00A85450" w:rsidRPr="00735E43" w:rsidRDefault="00A85450" w:rsidP="00780CC6">
            <w:pPr>
              <w:pStyle w:val="Textodereglamento"/>
              <w:spacing w:before="0"/>
              <w:jc w:val="center"/>
              <w:rPr>
                <w:rFonts w:ascii="Arial" w:eastAsia="Arial Unicode MS" w:hAnsi="Arial" w:cs="Arial"/>
                <w:b/>
                <w:szCs w:val="22"/>
                <w:lang w:val="es-CR"/>
              </w:rPr>
            </w:pPr>
            <w:r w:rsidRPr="00735E43">
              <w:rPr>
                <w:rFonts w:ascii="Arial" w:eastAsia="Arial Unicode MS" w:hAnsi="Arial" w:cs="Arial"/>
                <w:b/>
                <w:szCs w:val="22"/>
                <w:lang w:val="es-CR"/>
              </w:rPr>
              <w:t>Descripción</w:t>
            </w:r>
          </w:p>
        </w:tc>
      </w:tr>
      <w:tr w:rsidR="00A85450" w:rsidRPr="00735E43" w:rsidTr="00780CC6">
        <w:trPr>
          <w:trHeight w:val="20"/>
          <w:jc w:val="center"/>
        </w:trPr>
        <w:tc>
          <w:tcPr>
            <w:tcW w:w="2387" w:type="dxa"/>
            <w:shd w:val="clear" w:color="auto" w:fill="auto"/>
            <w:vAlign w:val="bottom"/>
          </w:tcPr>
          <w:p w:rsidR="00A85450" w:rsidRPr="00735E43" w:rsidRDefault="00A85450" w:rsidP="00780CC6">
            <w:pPr>
              <w:rPr>
                <w:rFonts w:ascii="Arial" w:hAnsi="Arial" w:cs="Arial"/>
                <w:szCs w:val="22"/>
              </w:rPr>
            </w:pPr>
          </w:p>
        </w:tc>
        <w:tc>
          <w:tcPr>
            <w:tcW w:w="5103" w:type="dxa"/>
            <w:shd w:val="clear" w:color="auto" w:fill="auto"/>
            <w:noWrap/>
            <w:vAlign w:val="center"/>
          </w:tcPr>
          <w:p w:rsidR="00A85450" w:rsidRPr="00735E43" w:rsidRDefault="00A85450" w:rsidP="00780CC6">
            <w:pPr>
              <w:rPr>
                <w:rFonts w:ascii="Arial" w:hAnsi="Arial" w:cs="Arial"/>
                <w:b/>
                <w:szCs w:val="22"/>
              </w:rPr>
            </w:pPr>
            <w:r w:rsidRPr="00735E43">
              <w:rPr>
                <w:rFonts w:ascii="Arial" w:hAnsi="Arial" w:cs="Arial"/>
                <w:b/>
                <w:szCs w:val="22"/>
              </w:rPr>
              <w:t>Activos Netos del Fondo</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r w:rsidRPr="00735E43">
              <w:rPr>
                <w:rFonts w:ascii="Arial" w:hAnsi="Arial" w:cs="Arial"/>
                <w:szCs w:val="22"/>
              </w:rPr>
              <w:t>410250000000   a la</w:t>
            </w:r>
          </w:p>
          <w:p w:rsidR="00A85450" w:rsidRPr="00735E43" w:rsidRDefault="00A85450" w:rsidP="00780CC6">
            <w:pPr>
              <w:jc w:val="center"/>
              <w:rPr>
                <w:rFonts w:ascii="Arial" w:hAnsi="Arial" w:cs="Arial"/>
                <w:szCs w:val="22"/>
              </w:rPr>
            </w:pPr>
            <w:r w:rsidRPr="00735E43">
              <w:rPr>
                <w:rFonts w:ascii="Arial" w:hAnsi="Arial" w:cs="Arial"/>
                <w:szCs w:val="22"/>
              </w:rPr>
              <w:t>410600000000</w:t>
            </w:r>
          </w:p>
        </w:tc>
        <w:tc>
          <w:tcPr>
            <w:tcW w:w="5103" w:type="dxa"/>
            <w:shd w:val="clear" w:color="auto" w:fill="auto"/>
            <w:noWrap/>
            <w:vAlign w:val="center"/>
          </w:tcPr>
          <w:p w:rsidR="00A85450" w:rsidRPr="00735E43" w:rsidRDefault="00A85450" w:rsidP="00780CC6">
            <w:pPr>
              <w:rPr>
                <w:rFonts w:ascii="Arial" w:hAnsi="Arial" w:cs="Arial"/>
                <w:szCs w:val="22"/>
              </w:rPr>
            </w:pPr>
            <w:r w:rsidRPr="00735E43">
              <w:rPr>
                <w:rFonts w:ascii="Arial" w:hAnsi="Arial" w:cs="Arial"/>
                <w:szCs w:val="22"/>
              </w:rPr>
              <w:t>Serie C, … Serie J</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p>
        </w:tc>
        <w:tc>
          <w:tcPr>
            <w:tcW w:w="5103" w:type="dxa"/>
            <w:shd w:val="clear" w:color="auto" w:fill="auto"/>
            <w:noWrap/>
            <w:vAlign w:val="center"/>
          </w:tcPr>
          <w:p w:rsidR="00A85450" w:rsidRPr="00735E43" w:rsidRDefault="00A85450" w:rsidP="00780CC6">
            <w:pPr>
              <w:rPr>
                <w:rFonts w:ascii="Arial" w:hAnsi="Arial" w:cs="Arial"/>
                <w:b/>
                <w:szCs w:val="22"/>
              </w:rPr>
            </w:pPr>
            <w:r w:rsidRPr="00735E43">
              <w:rPr>
                <w:rFonts w:ascii="Arial" w:hAnsi="Arial" w:cs="Arial"/>
                <w:b/>
                <w:szCs w:val="22"/>
              </w:rPr>
              <w:t>Total número de Participaciones</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r w:rsidRPr="00735E43">
              <w:rPr>
                <w:rFonts w:ascii="Arial" w:hAnsi="Arial" w:cs="Arial"/>
                <w:szCs w:val="22"/>
              </w:rPr>
              <w:t>510250000000 a la 510600000000</w:t>
            </w:r>
          </w:p>
        </w:tc>
        <w:tc>
          <w:tcPr>
            <w:tcW w:w="5103" w:type="dxa"/>
            <w:shd w:val="clear" w:color="auto" w:fill="auto"/>
            <w:noWrap/>
            <w:vAlign w:val="center"/>
          </w:tcPr>
          <w:p w:rsidR="00A85450" w:rsidRPr="00735E43" w:rsidRDefault="00A85450" w:rsidP="00780CC6">
            <w:pPr>
              <w:rPr>
                <w:rFonts w:ascii="Arial" w:hAnsi="Arial" w:cs="Arial"/>
                <w:szCs w:val="22"/>
              </w:rPr>
            </w:pPr>
            <w:r w:rsidRPr="00735E43">
              <w:rPr>
                <w:rFonts w:ascii="Arial" w:hAnsi="Arial" w:cs="Arial"/>
                <w:szCs w:val="22"/>
              </w:rPr>
              <w:t>Serie C, … Serie J</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p>
        </w:tc>
        <w:tc>
          <w:tcPr>
            <w:tcW w:w="5103" w:type="dxa"/>
            <w:shd w:val="clear" w:color="auto" w:fill="auto"/>
            <w:noWrap/>
            <w:vAlign w:val="center"/>
          </w:tcPr>
          <w:p w:rsidR="00A85450" w:rsidRPr="00735E43" w:rsidRDefault="00A85450" w:rsidP="00780CC6">
            <w:pPr>
              <w:rPr>
                <w:rFonts w:ascii="Arial" w:hAnsi="Arial" w:cs="Arial"/>
                <w:b/>
                <w:szCs w:val="22"/>
              </w:rPr>
            </w:pPr>
            <w:r w:rsidRPr="00735E43">
              <w:rPr>
                <w:rFonts w:ascii="Arial" w:hAnsi="Arial" w:cs="Arial"/>
                <w:b/>
                <w:szCs w:val="22"/>
              </w:rPr>
              <w:t>Rendimiento del Fondo Últimos 12 meses</w:t>
            </w:r>
          </w:p>
        </w:tc>
      </w:tr>
      <w:tr w:rsidR="00A85450" w:rsidRPr="00735E43" w:rsidTr="00780CC6">
        <w:trPr>
          <w:trHeight w:val="20"/>
          <w:jc w:val="center"/>
        </w:trPr>
        <w:tc>
          <w:tcPr>
            <w:tcW w:w="2387" w:type="dxa"/>
            <w:shd w:val="clear" w:color="auto" w:fill="auto"/>
            <w:vAlign w:val="center"/>
          </w:tcPr>
          <w:p w:rsidR="00A85450" w:rsidRPr="00735E43" w:rsidRDefault="00780CC6" w:rsidP="00780CC6">
            <w:pPr>
              <w:jc w:val="center"/>
              <w:rPr>
                <w:rFonts w:ascii="Arial" w:hAnsi="Arial" w:cs="Arial"/>
                <w:szCs w:val="22"/>
              </w:rPr>
            </w:pPr>
            <w:r w:rsidRPr="00735E43">
              <w:rPr>
                <w:rFonts w:ascii="Arial" w:hAnsi="Arial" w:cs="Arial"/>
                <w:szCs w:val="22"/>
              </w:rPr>
              <w:t xml:space="preserve">610302500000 </w:t>
            </w:r>
            <w:r w:rsidR="00A85450" w:rsidRPr="00735E43">
              <w:rPr>
                <w:rFonts w:ascii="Arial" w:hAnsi="Arial" w:cs="Arial"/>
                <w:szCs w:val="22"/>
              </w:rPr>
              <w:t>a la 610306000000</w:t>
            </w:r>
          </w:p>
        </w:tc>
        <w:tc>
          <w:tcPr>
            <w:tcW w:w="5103" w:type="dxa"/>
            <w:shd w:val="clear" w:color="auto" w:fill="auto"/>
            <w:noWrap/>
            <w:vAlign w:val="center"/>
          </w:tcPr>
          <w:p w:rsidR="00A85450" w:rsidRPr="00735E43" w:rsidRDefault="00A85450" w:rsidP="00780CC6">
            <w:pPr>
              <w:rPr>
                <w:rFonts w:ascii="Arial" w:hAnsi="Arial" w:cs="Arial"/>
                <w:szCs w:val="22"/>
              </w:rPr>
            </w:pPr>
            <w:r w:rsidRPr="00735E43">
              <w:rPr>
                <w:rFonts w:ascii="Arial" w:hAnsi="Arial" w:cs="Arial"/>
                <w:szCs w:val="22"/>
              </w:rPr>
              <w:t>Serie C, … Serie J</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p>
        </w:tc>
        <w:tc>
          <w:tcPr>
            <w:tcW w:w="5103" w:type="dxa"/>
            <w:shd w:val="clear" w:color="auto" w:fill="auto"/>
            <w:noWrap/>
            <w:vAlign w:val="center"/>
          </w:tcPr>
          <w:p w:rsidR="00A85450" w:rsidRPr="00735E43" w:rsidRDefault="00A85450" w:rsidP="00780CC6">
            <w:pPr>
              <w:rPr>
                <w:rFonts w:ascii="Arial" w:hAnsi="Arial" w:cs="Arial"/>
                <w:b/>
                <w:szCs w:val="22"/>
              </w:rPr>
            </w:pPr>
            <w:r w:rsidRPr="00735E43">
              <w:rPr>
                <w:rFonts w:ascii="Arial" w:hAnsi="Arial" w:cs="Arial"/>
                <w:b/>
                <w:szCs w:val="22"/>
              </w:rPr>
              <w:t>Rendimiento del Fondo Últimos 30 días</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r w:rsidRPr="00735E43">
              <w:rPr>
                <w:rFonts w:ascii="Arial" w:hAnsi="Arial" w:cs="Arial"/>
                <w:szCs w:val="22"/>
              </w:rPr>
              <w:lastRenderedPageBreak/>
              <w:t>630302500000 a la 630306000000</w:t>
            </w:r>
          </w:p>
        </w:tc>
        <w:tc>
          <w:tcPr>
            <w:tcW w:w="5103" w:type="dxa"/>
            <w:shd w:val="clear" w:color="auto" w:fill="auto"/>
            <w:noWrap/>
            <w:vAlign w:val="center"/>
          </w:tcPr>
          <w:p w:rsidR="00A85450" w:rsidRPr="00735E43" w:rsidRDefault="00A85450" w:rsidP="00780CC6">
            <w:pPr>
              <w:rPr>
                <w:rFonts w:ascii="Arial" w:hAnsi="Arial" w:cs="Arial"/>
                <w:szCs w:val="22"/>
              </w:rPr>
            </w:pPr>
            <w:r w:rsidRPr="00735E43">
              <w:rPr>
                <w:rFonts w:ascii="Arial" w:hAnsi="Arial" w:cs="Arial"/>
                <w:szCs w:val="22"/>
              </w:rPr>
              <w:t>Serie C, … Serie J</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p>
        </w:tc>
        <w:tc>
          <w:tcPr>
            <w:tcW w:w="5103" w:type="dxa"/>
            <w:shd w:val="clear" w:color="auto" w:fill="auto"/>
            <w:noWrap/>
            <w:vAlign w:val="center"/>
          </w:tcPr>
          <w:p w:rsidR="00A85450" w:rsidRPr="00735E43" w:rsidRDefault="00A85450" w:rsidP="00780CC6">
            <w:pPr>
              <w:rPr>
                <w:rFonts w:ascii="Arial" w:hAnsi="Arial" w:cs="Arial"/>
                <w:b/>
                <w:szCs w:val="22"/>
              </w:rPr>
            </w:pPr>
            <w:r w:rsidRPr="00735E43">
              <w:rPr>
                <w:rFonts w:ascii="Arial" w:hAnsi="Arial" w:cs="Arial"/>
                <w:b/>
                <w:szCs w:val="22"/>
              </w:rPr>
              <w:t>Comisión de Administración sobre activo neto seriados</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r w:rsidRPr="00735E43">
              <w:rPr>
                <w:rFonts w:ascii="Arial" w:hAnsi="Arial" w:cs="Arial"/>
                <w:szCs w:val="22"/>
              </w:rPr>
              <w:t>710012500000 a la 710016000000</w:t>
            </w:r>
          </w:p>
        </w:tc>
        <w:tc>
          <w:tcPr>
            <w:tcW w:w="5103" w:type="dxa"/>
            <w:shd w:val="clear" w:color="auto" w:fill="auto"/>
            <w:noWrap/>
            <w:vAlign w:val="center"/>
          </w:tcPr>
          <w:p w:rsidR="00A85450" w:rsidRPr="00735E43" w:rsidRDefault="00A85450" w:rsidP="00780CC6">
            <w:pPr>
              <w:rPr>
                <w:rFonts w:ascii="Arial" w:hAnsi="Arial" w:cs="Arial"/>
                <w:szCs w:val="22"/>
              </w:rPr>
            </w:pPr>
            <w:r w:rsidRPr="00735E43">
              <w:rPr>
                <w:rFonts w:ascii="Arial" w:hAnsi="Arial" w:cs="Arial"/>
                <w:szCs w:val="22"/>
              </w:rPr>
              <w:t>Serie C, … Serie J</w:t>
            </w:r>
          </w:p>
        </w:tc>
      </w:tr>
      <w:tr w:rsidR="00A85450" w:rsidRPr="00735E43" w:rsidTr="00780CC6">
        <w:trPr>
          <w:trHeight w:val="20"/>
          <w:jc w:val="center"/>
        </w:trPr>
        <w:tc>
          <w:tcPr>
            <w:tcW w:w="2387" w:type="dxa"/>
            <w:shd w:val="clear" w:color="auto" w:fill="auto"/>
            <w:vAlign w:val="center"/>
          </w:tcPr>
          <w:p w:rsidR="00A85450" w:rsidRPr="00735E43" w:rsidRDefault="00A85450" w:rsidP="00780CC6">
            <w:pPr>
              <w:jc w:val="center"/>
              <w:rPr>
                <w:rFonts w:ascii="Arial" w:hAnsi="Arial" w:cs="Arial"/>
                <w:szCs w:val="22"/>
              </w:rPr>
            </w:pPr>
          </w:p>
        </w:tc>
        <w:tc>
          <w:tcPr>
            <w:tcW w:w="5103" w:type="dxa"/>
            <w:shd w:val="clear" w:color="auto" w:fill="auto"/>
            <w:noWrap/>
            <w:vAlign w:val="center"/>
          </w:tcPr>
          <w:p w:rsidR="00A85450" w:rsidRPr="00735E43" w:rsidRDefault="00A85450" w:rsidP="00780CC6">
            <w:pPr>
              <w:rPr>
                <w:rFonts w:ascii="Arial" w:hAnsi="Arial" w:cs="Arial"/>
                <w:b/>
                <w:szCs w:val="22"/>
              </w:rPr>
            </w:pPr>
            <w:r w:rsidRPr="00735E43">
              <w:rPr>
                <w:rFonts w:ascii="Arial" w:hAnsi="Arial" w:cs="Arial"/>
                <w:b/>
                <w:szCs w:val="22"/>
              </w:rPr>
              <w:t>Comisión de Administración sobre rendimiento seriados</w:t>
            </w:r>
          </w:p>
        </w:tc>
      </w:tr>
      <w:tr w:rsidR="00A85450" w:rsidRPr="00735E43" w:rsidTr="00780CC6">
        <w:trPr>
          <w:trHeight w:val="20"/>
          <w:jc w:val="center"/>
        </w:trPr>
        <w:tc>
          <w:tcPr>
            <w:tcW w:w="2387" w:type="dxa"/>
            <w:shd w:val="clear" w:color="auto" w:fill="auto"/>
            <w:vAlign w:val="center"/>
          </w:tcPr>
          <w:p w:rsidR="00A85450" w:rsidRPr="00735E43" w:rsidRDefault="00780CC6" w:rsidP="00780CC6">
            <w:pPr>
              <w:jc w:val="center"/>
              <w:rPr>
                <w:rFonts w:ascii="Arial" w:hAnsi="Arial" w:cs="Arial"/>
                <w:szCs w:val="22"/>
              </w:rPr>
            </w:pPr>
            <w:r w:rsidRPr="00735E43">
              <w:rPr>
                <w:rFonts w:ascii="Arial" w:hAnsi="Arial" w:cs="Arial"/>
                <w:szCs w:val="22"/>
              </w:rPr>
              <w:t xml:space="preserve">710022500000 </w:t>
            </w:r>
            <w:r w:rsidR="00A85450" w:rsidRPr="00735E43">
              <w:rPr>
                <w:rFonts w:ascii="Arial" w:hAnsi="Arial" w:cs="Arial"/>
                <w:szCs w:val="22"/>
              </w:rPr>
              <w:t>a la 710026000000</w:t>
            </w:r>
          </w:p>
        </w:tc>
        <w:tc>
          <w:tcPr>
            <w:tcW w:w="5103" w:type="dxa"/>
            <w:shd w:val="clear" w:color="auto" w:fill="auto"/>
            <w:noWrap/>
            <w:vAlign w:val="center"/>
          </w:tcPr>
          <w:p w:rsidR="00A85450" w:rsidRPr="00735E43" w:rsidRDefault="00A85450" w:rsidP="00780CC6">
            <w:pPr>
              <w:rPr>
                <w:rFonts w:ascii="Arial" w:hAnsi="Arial" w:cs="Arial"/>
                <w:szCs w:val="22"/>
              </w:rPr>
            </w:pPr>
            <w:r w:rsidRPr="00735E43">
              <w:rPr>
                <w:rFonts w:ascii="Arial" w:hAnsi="Arial" w:cs="Arial"/>
                <w:szCs w:val="22"/>
              </w:rPr>
              <w:t>Serie C, … Serie J</w:t>
            </w:r>
          </w:p>
        </w:tc>
      </w:tr>
    </w:tbl>
    <w:p w:rsidR="00A85450" w:rsidRPr="00735E43" w:rsidRDefault="00A85450" w:rsidP="004B7A9B">
      <w:pPr>
        <w:jc w:val="both"/>
        <w:rPr>
          <w:rFonts w:ascii="Arial" w:eastAsia="Arial Unicode MS" w:hAnsi="Arial" w:cs="Arial"/>
          <w:szCs w:val="22"/>
          <w:lang w:val="es-CR"/>
        </w:rPr>
      </w:pPr>
    </w:p>
    <w:p w:rsidR="00ED6453" w:rsidRPr="00735E43" w:rsidRDefault="00A85450" w:rsidP="00A85450">
      <w:pPr>
        <w:ind w:left="2148"/>
        <w:jc w:val="both"/>
        <w:rPr>
          <w:rFonts w:ascii="Arial" w:eastAsia="Arial Unicode MS" w:hAnsi="Arial" w:cs="Arial"/>
          <w:szCs w:val="22"/>
          <w:lang w:val="es-CR"/>
        </w:rPr>
      </w:pPr>
      <w:r w:rsidRPr="00735E43">
        <w:rPr>
          <w:rFonts w:ascii="Arial" w:eastAsia="Arial Unicode MS" w:hAnsi="Arial" w:cs="Arial"/>
          <w:szCs w:val="22"/>
          <w:lang w:val="es-CR"/>
        </w:rPr>
        <w:t>P</w:t>
      </w:r>
      <w:r w:rsidR="001B1D05" w:rsidRPr="00735E43">
        <w:rPr>
          <w:rFonts w:ascii="Arial" w:eastAsia="Arial Unicode MS" w:hAnsi="Arial" w:cs="Arial"/>
          <w:szCs w:val="22"/>
          <w:lang w:val="es-CR"/>
        </w:rPr>
        <w:t xml:space="preserve">or lo </w:t>
      </w:r>
      <w:r w:rsidRPr="00735E43">
        <w:rPr>
          <w:rFonts w:ascii="Arial" w:eastAsia="Arial Unicode MS" w:hAnsi="Arial" w:cs="Arial"/>
          <w:szCs w:val="22"/>
          <w:lang w:val="es-CR"/>
        </w:rPr>
        <w:t>anterior, e</w:t>
      </w:r>
      <w:r w:rsidR="001B1D05" w:rsidRPr="00735E43">
        <w:rPr>
          <w:rFonts w:ascii="Arial" w:eastAsia="Arial Unicode MS" w:hAnsi="Arial" w:cs="Arial"/>
          <w:szCs w:val="22"/>
          <w:lang w:val="es-CR"/>
        </w:rPr>
        <w:t>l Anexo 13: Reporte Diario de Fondos de Inversión, se debe leer de la siguiente forma:</w:t>
      </w:r>
    </w:p>
    <w:p w:rsidR="001B1D05" w:rsidRPr="00735E43" w:rsidRDefault="001B1D05" w:rsidP="004B7A9B">
      <w:pPr>
        <w:jc w:val="both"/>
        <w:rPr>
          <w:rFonts w:ascii="Arial" w:eastAsia="Arial Unicode MS" w:hAnsi="Arial" w:cs="Arial"/>
          <w:szCs w:val="22"/>
          <w:lang w:val="es-CR"/>
        </w:rPr>
      </w:pPr>
    </w:p>
    <w:bookmarkStart w:id="10" w:name="_MON_1473762866"/>
    <w:bookmarkEnd w:id="10"/>
    <w:p w:rsidR="004B7A9B" w:rsidRPr="00735E43" w:rsidRDefault="001B514A" w:rsidP="004B7A9B">
      <w:pPr>
        <w:pStyle w:val="Textodereglamento"/>
        <w:spacing w:before="0"/>
        <w:jc w:val="center"/>
        <w:rPr>
          <w:rFonts w:ascii="Arial" w:eastAsia="Arial Unicode MS" w:hAnsi="Arial" w:cs="Arial"/>
          <w:b/>
          <w:szCs w:val="22"/>
          <w:lang w:val="es-CR"/>
        </w:rPr>
      </w:pPr>
      <w:r w:rsidRPr="00735E43">
        <w:rPr>
          <w:rFonts w:ascii="Arial" w:hAnsi="Arial" w:cs="Arial"/>
          <w:szCs w:val="22"/>
          <w:lang w:val="es-CR"/>
        </w:rPr>
        <w:object w:dxaOrig="1550" w:dyaOrig="991">
          <v:shape id="_x0000_i1036" type="#_x0000_t75" style="width:77.25pt;height:49.5pt" o:ole="">
            <v:imagedata r:id="rId34" o:title=""/>
          </v:shape>
          <o:OLEObject Type="Embed" ProgID="Excel.Sheet.8" ShapeID="_x0000_i1036" DrawAspect="Icon" ObjectID="_1574154322" r:id="rId35"/>
        </w:object>
      </w:r>
    </w:p>
    <w:p w:rsidR="006D4348" w:rsidRPr="008F1449" w:rsidRDefault="006D4348" w:rsidP="006D4348">
      <w:pPr>
        <w:pStyle w:val="Textodereglamento"/>
        <w:spacing w:before="0"/>
        <w:rPr>
          <w:rFonts w:ascii="Arial" w:eastAsia="Arial Unicode MS" w:hAnsi="Arial" w:cs="Arial"/>
          <w:szCs w:val="22"/>
          <w:lang w:val="es-CR"/>
        </w:rPr>
      </w:pPr>
    </w:p>
    <w:p w:rsidR="006D4348" w:rsidRPr="00735E43" w:rsidRDefault="006D4348" w:rsidP="006D4348">
      <w:pPr>
        <w:pStyle w:val="Textodereglamento"/>
        <w:spacing w:before="0"/>
        <w:rPr>
          <w:rFonts w:ascii="Arial" w:eastAsia="Arial Unicode MS" w:hAnsi="Arial" w:cs="Arial"/>
          <w:b/>
          <w:color w:val="000000" w:themeColor="text1"/>
          <w:szCs w:val="22"/>
          <w:lang w:val="es-CR"/>
        </w:rPr>
      </w:pPr>
      <w:r w:rsidRPr="00735E43">
        <w:rPr>
          <w:rFonts w:ascii="Arial" w:eastAsia="Arial Unicode MS" w:hAnsi="Arial" w:cs="Arial"/>
          <w:b/>
          <w:color w:val="000000" w:themeColor="text1"/>
          <w:szCs w:val="22"/>
          <w:lang w:val="es-CR"/>
        </w:rPr>
        <w:t>Artículo 5.</w:t>
      </w:r>
      <w:r w:rsidRPr="00735E43">
        <w:rPr>
          <w:rFonts w:ascii="Arial" w:eastAsia="Arial Unicode MS" w:hAnsi="Arial" w:cs="Arial"/>
          <w:b/>
          <w:color w:val="000000" w:themeColor="text1"/>
          <w:szCs w:val="22"/>
          <w:lang w:val="es-CR"/>
        </w:rPr>
        <w:tab/>
        <w:t>Disposiciones relativas a Sociedades Administradoras de Fondos de Inversión, Puestos de Bolsa, Proveedores de Precios y Grupos Financieros supervisados por SUGEVAL</w:t>
      </w:r>
    </w:p>
    <w:p w:rsidR="00780CC6" w:rsidRPr="008F1449" w:rsidRDefault="00780CC6" w:rsidP="00A8546D">
      <w:pPr>
        <w:pStyle w:val="Textodereglamento"/>
        <w:spacing w:before="0"/>
        <w:rPr>
          <w:rFonts w:ascii="Arial" w:eastAsia="Arial Unicode MS" w:hAnsi="Arial" w:cs="Arial"/>
          <w:szCs w:val="22"/>
          <w:lang w:val="es-CR"/>
        </w:rPr>
      </w:pPr>
    </w:p>
    <w:p w:rsidR="00A8546D" w:rsidRPr="00735E43" w:rsidRDefault="00A8546D" w:rsidP="00A8546D">
      <w:pPr>
        <w:pStyle w:val="ListParagraph"/>
        <w:numPr>
          <w:ilvl w:val="0"/>
          <w:numId w:val="6"/>
        </w:numPr>
        <w:spacing w:line="240" w:lineRule="auto"/>
        <w:jc w:val="both"/>
        <w:rPr>
          <w:rFonts w:ascii="Arial" w:hAnsi="Arial" w:cs="Arial"/>
          <w:lang w:val="es-CR"/>
        </w:rPr>
      </w:pPr>
      <w:r w:rsidRPr="00735E43">
        <w:rPr>
          <w:rFonts w:ascii="Arial" w:hAnsi="Arial" w:cs="Arial"/>
          <w:lang w:val="es-CR"/>
        </w:rPr>
        <w:t>Se adiciona:</w:t>
      </w:r>
    </w:p>
    <w:p w:rsidR="005C4984" w:rsidRPr="00735E43" w:rsidRDefault="00A8546D" w:rsidP="004B7A9B">
      <w:pPr>
        <w:keepNext/>
        <w:numPr>
          <w:ilvl w:val="2"/>
          <w:numId w:val="6"/>
        </w:numPr>
        <w:jc w:val="both"/>
        <w:rPr>
          <w:rFonts w:ascii="Arial" w:hAnsi="Arial" w:cs="Arial"/>
          <w:szCs w:val="22"/>
          <w:lang w:val="es-CR"/>
        </w:rPr>
      </w:pPr>
      <w:r w:rsidRPr="00735E43">
        <w:rPr>
          <w:rFonts w:ascii="Arial" w:hAnsi="Arial" w:cs="Arial"/>
          <w:szCs w:val="22"/>
          <w:lang w:val="es-CR"/>
        </w:rPr>
        <w:t xml:space="preserve"> Las siguientes cuentas, de los Anexos 8, 14 y 34 Estados Financieros de Puestos de Bolsa, Sociedades Administradoras de Fondos de Inversión y Grupos Financieros:</w:t>
      </w:r>
    </w:p>
    <w:p w:rsidR="004B7A9B" w:rsidRPr="00735E43" w:rsidRDefault="004B7A9B" w:rsidP="004B7A9B">
      <w:pPr>
        <w:keepNext/>
        <w:ind w:left="2160"/>
        <w:jc w:val="both"/>
        <w:rPr>
          <w:rFonts w:ascii="Arial" w:hAnsi="Arial" w:cs="Arial"/>
          <w:szCs w:val="22"/>
          <w:lang w:val="es-CR"/>
        </w:rPr>
      </w:pPr>
    </w:p>
    <w:tbl>
      <w:tblPr>
        <w:tblW w:w="9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7"/>
        <w:gridCol w:w="1275"/>
        <w:gridCol w:w="1276"/>
        <w:gridCol w:w="4820"/>
      </w:tblGrid>
      <w:tr w:rsidR="00A8546D" w:rsidRPr="00735E43" w:rsidTr="00250C1D">
        <w:trPr>
          <w:trHeight w:val="20"/>
          <w:jc w:val="center"/>
        </w:trPr>
        <w:tc>
          <w:tcPr>
            <w:tcW w:w="1927" w:type="dxa"/>
            <w:shd w:val="clear" w:color="auto" w:fill="F2F2F2"/>
          </w:tcPr>
          <w:p w:rsidR="00A8546D" w:rsidRPr="00735E43" w:rsidRDefault="00A8546D" w:rsidP="00B55E65">
            <w:pPr>
              <w:jc w:val="center"/>
              <w:rPr>
                <w:rFonts w:ascii="Arial" w:eastAsia="Arial Unicode MS" w:hAnsi="Arial" w:cs="Arial"/>
                <w:szCs w:val="22"/>
                <w:lang w:val="es-CR"/>
              </w:rPr>
            </w:pPr>
            <w:r w:rsidRPr="00735E43">
              <w:rPr>
                <w:rFonts w:ascii="Arial" w:eastAsia="Arial Unicode MS" w:hAnsi="Arial" w:cs="Arial"/>
                <w:szCs w:val="22"/>
                <w:lang w:val="es-CR"/>
              </w:rPr>
              <w:t>Código de Catálogo</w:t>
            </w:r>
          </w:p>
        </w:tc>
        <w:tc>
          <w:tcPr>
            <w:tcW w:w="1275" w:type="dxa"/>
            <w:shd w:val="clear" w:color="auto" w:fill="F2F2F2"/>
          </w:tcPr>
          <w:p w:rsidR="00A8546D" w:rsidRPr="00735E43" w:rsidRDefault="00A8546D" w:rsidP="00B55E65">
            <w:pPr>
              <w:jc w:val="center"/>
              <w:rPr>
                <w:rFonts w:ascii="Arial" w:eastAsia="Arial Unicode MS" w:hAnsi="Arial" w:cs="Arial"/>
                <w:szCs w:val="22"/>
                <w:lang w:val="es-CR"/>
              </w:rPr>
            </w:pPr>
            <w:r w:rsidRPr="00735E43">
              <w:rPr>
                <w:rFonts w:ascii="Arial" w:eastAsia="Arial Unicode MS" w:hAnsi="Arial" w:cs="Arial"/>
                <w:szCs w:val="22"/>
                <w:lang w:val="es-CR"/>
              </w:rPr>
              <w:t xml:space="preserve">Cuenta </w:t>
            </w:r>
          </w:p>
        </w:tc>
        <w:tc>
          <w:tcPr>
            <w:tcW w:w="1276" w:type="dxa"/>
            <w:shd w:val="clear" w:color="auto" w:fill="F2F2F2"/>
          </w:tcPr>
          <w:p w:rsidR="00A8546D" w:rsidRPr="00735E43" w:rsidRDefault="00A8546D" w:rsidP="00B55E65">
            <w:pPr>
              <w:jc w:val="center"/>
              <w:rPr>
                <w:rFonts w:ascii="Arial" w:eastAsia="Arial Unicode MS" w:hAnsi="Arial" w:cs="Arial"/>
                <w:szCs w:val="22"/>
                <w:lang w:val="es-CR"/>
              </w:rPr>
            </w:pPr>
            <w:r w:rsidRPr="00735E43">
              <w:rPr>
                <w:rFonts w:ascii="Arial" w:eastAsia="Arial Unicode MS" w:hAnsi="Arial" w:cs="Arial"/>
                <w:szCs w:val="22"/>
                <w:lang w:val="es-CR"/>
              </w:rPr>
              <w:t>Cuenta madre</w:t>
            </w:r>
          </w:p>
        </w:tc>
        <w:tc>
          <w:tcPr>
            <w:tcW w:w="4820" w:type="dxa"/>
            <w:shd w:val="clear" w:color="auto" w:fill="F2F2F2"/>
          </w:tcPr>
          <w:p w:rsidR="00A8546D" w:rsidRPr="00735E43" w:rsidRDefault="00A8546D" w:rsidP="00B55E65">
            <w:pPr>
              <w:jc w:val="center"/>
              <w:rPr>
                <w:rFonts w:ascii="Arial" w:eastAsia="Arial Unicode MS" w:hAnsi="Arial" w:cs="Arial"/>
                <w:szCs w:val="22"/>
                <w:lang w:val="es-CR"/>
              </w:rPr>
            </w:pPr>
            <w:r w:rsidRPr="00735E43">
              <w:rPr>
                <w:rFonts w:ascii="Arial" w:eastAsia="Arial Unicode MS" w:hAnsi="Arial" w:cs="Arial"/>
                <w:szCs w:val="22"/>
                <w:lang w:val="es-CR"/>
              </w:rPr>
              <w:t>Descripción</w:t>
            </w:r>
          </w:p>
        </w:tc>
      </w:tr>
      <w:tr w:rsidR="00A8546D" w:rsidRPr="00735E43" w:rsidTr="00250C1D">
        <w:trPr>
          <w:trHeight w:val="20"/>
          <w:jc w:val="center"/>
        </w:trPr>
        <w:tc>
          <w:tcPr>
            <w:tcW w:w="1927" w:type="dxa"/>
            <w:shd w:val="clear" w:color="auto" w:fill="auto"/>
            <w:noWrap/>
          </w:tcPr>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BG_SAFI</w:t>
            </w:r>
          </w:p>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BG_GF</w:t>
            </w:r>
          </w:p>
        </w:tc>
        <w:tc>
          <w:tcPr>
            <w:tcW w:w="1275" w:type="dxa"/>
            <w:shd w:val="clear" w:color="auto" w:fill="auto"/>
            <w:vAlign w:val="center"/>
          </w:tcPr>
          <w:p w:rsidR="00A8546D" w:rsidRPr="00735E43" w:rsidRDefault="00A8546D" w:rsidP="00780CC6">
            <w:pPr>
              <w:rPr>
                <w:rFonts w:ascii="Arial" w:hAnsi="Arial" w:cs="Arial"/>
                <w:szCs w:val="22"/>
                <w:lang w:val="es-CR" w:eastAsia="es-CR"/>
              </w:rPr>
            </w:pPr>
            <w:r w:rsidRPr="00735E43">
              <w:rPr>
                <w:rFonts w:ascii="Arial" w:hAnsi="Arial" w:cs="Arial"/>
                <w:szCs w:val="22"/>
                <w:lang w:val="es-CR" w:eastAsia="es-CR"/>
              </w:rPr>
              <w:t>14602200</w:t>
            </w:r>
          </w:p>
        </w:tc>
        <w:tc>
          <w:tcPr>
            <w:tcW w:w="1276" w:type="dxa"/>
            <w:shd w:val="clear" w:color="auto" w:fill="auto"/>
            <w:vAlign w:val="center"/>
          </w:tcPr>
          <w:p w:rsidR="00A8546D" w:rsidRPr="00735E43" w:rsidRDefault="00A8546D" w:rsidP="00780CC6">
            <w:pPr>
              <w:rPr>
                <w:rFonts w:ascii="Arial" w:hAnsi="Arial" w:cs="Arial"/>
                <w:szCs w:val="22"/>
                <w:lang w:val="es-CR" w:eastAsia="es-CR"/>
              </w:rPr>
            </w:pPr>
            <w:r w:rsidRPr="00735E43">
              <w:rPr>
                <w:rFonts w:ascii="Arial" w:hAnsi="Arial" w:cs="Arial"/>
                <w:szCs w:val="22"/>
                <w:lang w:val="es-CR" w:eastAsia="es-CR"/>
              </w:rPr>
              <w:t xml:space="preserve">14602000 </w:t>
            </w:r>
          </w:p>
        </w:tc>
        <w:tc>
          <w:tcPr>
            <w:tcW w:w="4820" w:type="dxa"/>
            <w:shd w:val="clear" w:color="auto" w:fill="auto"/>
            <w:noWrap/>
            <w:vAlign w:val="center"/>
          </w:tcPr>
          <w:p w:rsidR="00A8546D" w:rsidRPr="00735E43" w:rsidRDefault="00A8546D" w:rsidP="001B1D05">
            <w:pPr>
              <w:rPr>
                <w:rFonts w:ascii="Arial" w:hAnsi="Arial" w:cs="Arial"/>
                <w:szCs w:val="22"/>
                <w:lang w:val="es-CR" w:eastAsia="es-CR"/>
              </w:rPr>
            </w:pPr>
            <w:r w:rsidRPr="00735E43">
              <w:rPr>
                <w:rFonts w:ascii="Arial" w:hAnsi="Arial" w:cs="Arial"/>
                <w:szCs w:val="22"/>
                <w:lang w:val="es-CR" w:eastAsia="es-CR"/>
              </w:rPr>
              <w:t>Impuesto sobre la renta diferido-Moneda Extranjera</w:t>
            </w:r>
          </w:p>
        </w:tc>
      </w:tr>
      <w:tr w:rsidR="00A8546D" w:rsidRPr="00735E43" w:rsidTr="00250C1D">
        <w:trPr>
          <w:trHeight w:val="20"/>
          <w:jc w:val="center"/>
        </w:trPr>
        <w:tc>
          <w:tcPr>
            <w:tcW w:w="1927" w:type="dxa"/>
            <w:shd w:val="clear" w:color="auto" w:fill="auto"/>
            <w:noWrap/>
          </w:tcPr>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BG_SAFI</w:t>
            </w:r>
          </w:p>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BG_PUESTO</w:t>
            </w:r>
          </w:p>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BG_GF</w:t>
            </w:r>
          </w:p>
        </w:tc>
        <w:tc>
          <w:tcPr>
            <w:tcW w:w="1275" w:type="dxa"/>
            <w:shd w:val="clear" w:color="auto" w:fill="auto"/>
            <w:vAlign w:val="center"/>
          </w:tcPr>
          <w:p w:rsidR="00A8546D" w:rsidRPr="00735E43" w:rsidRDefault="00A8546D" w:rsidP="00780CC6">
            <w:pPr>
              <w:rPr>
                <w:rFonts w:ascii="Arial" w:hAnsi="Arial" w:cs="Arial"/>
                <w:szCs w:val="22"/>
                <w:lang w:val="es-CR" w:eastAsia="es-CR"/>
              </w:rPr>
            </w:pPr>
            <w:r w:rsidRPr="00735E43">
              <w:rPr>
                <w:rFonts w:ascii="Arial" w:hAnsi="Arial" w:cs="Arial"/>
                <w:szCs w:val="22"/>
                <w:lang w:val="es-CR" w:eastAsia="es-CR"/>
              </w:rPr>
              <w:t>24602200</w:t>
            </w:r>
          </w:p>
        </w:tc>
        <w:tc>
          <w:tcPr>
            <w:tcW w:w="1276" w:type="dxa"/>
            <w:shd w:val="clear" w:color="auto" w:fill="auto"/>
            <w:vAlign w:val="center"/>
          </w:tcPr>
          <w:p w:rsidR="00A8546D" w:rsidRPr="00735E43" w:rsidRDefault="00A8546D" w:rsidP="00780CC6">
            <w:pPr>
              <w:rPr>
                <w:rFonts w:ascii="Arial" w:hAnsi="Arial" w:cs="Arial"/>
                <w:szCs w:val="22"/>
                <w:lang w:val="es-CR" w:eastAsia="es-CR"/>
              </w:rPr>
            </w:pPr>
            <w:r w:rsidRPr="00735E43">
              <w:rPr>
                <w:rFonts w:ascii="Arial" w:hAnsi="Arial" w:cs="Arial"/>
                <w:szCs w:val="22"/>
                <w:lang w:val="es-CR" w:eastAsia="es-CR"/>
              </w:rPr>
              <w:t xml:space="preserve">24602000 </w:t>
            </w:r>
          </w:p>
        </w:tc>
        <w:tc>
          <w:tcPr>
            <w:tcW w:w="4820" w:type="dxa"/>
            <w:shd w:val="clear" w:color="auto" w:fill="auto"/>
            <w:noWrap/>
            <w:vAlign w:val="center"/>
          </w:tcPr>
          <w:p w:rsidR="00A8546D" w:rsidRPr="00735E43" w:rsidRDefault="00A8546D" w:rsidP="001B1D05">
            <w:pPr>
              <w:rPr>
                <w:rFonts w:ascii="Arial" w:hAnsi="Arial" w:cs="Arial"/>
                <w:szCs w:val="22"/>
                <w:lang w:val="es-CR" w:eastAsia="es-CR"/>
              </w:rPr>
            </w:pPr>
            <w:r w:rsidRPr="00735E43">
              <w:rPr>
                <w:rFonts w:ascii="Arial" w:hAnsi="Arial" w:cs="Arial"/>
                <w:szCs w:val="22"/>
                <w:lang w:val="es-CR" w:eastAsia="es-CR"/>
              </w:rPr>
              <w:t>Impuesto sobre la renta diferido-Moneda Extranjera</w:t>
            </w:r>
          </w:p>
        </w:tc>
      </w:tr>
      <w:tr w:rsidR="00A8546D" w:rsidRPr="00735E43" w:rsidTr="00250C1D">
        <w:trPr>
          <w:trHeight w:val="20"/>
          <w:jc w:val="center"/>
        </w:trPr>
        <w:tc>
          <w:tcPr>
            <w:tcW w:w="1927" w:type="dxa"/>
            <w:shd w:val="clear" w:color="auto" w:fill="auto"/>
            <w:noWrap/>
          </w:tcPr>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ER_SAFI</w:t>
            </w:r>
          </w:p>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RA_SAFI</w:t>
            </w:r>
          </w:p>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ER_PUESTO</w:t>
            </w:r>
          </w:p>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RA_PUESTO</w:t>
            </w:r>
          </w:p>
          <w:p w:rsidR="00A8546D" w:rsidRPr="00735E43" w:rsidRDefault="00A8546D" w:rsidP="00B55E65">
            <w:pPr>
              <w:rPr>
                <w:rFonts w:ascii="Arial" w:hAnsi="Arial" w:cs="Arial"/>
                <w:szCs w:val="22"/>
                <w:lang w:val="es-CR" w:eastAsia="es-CR"/>
              </w:rPr>
            </w:pPr>
            <w:r w:rsidRPr="00735E43">
              <w:rPr>
                <w:rFonts w:ascii="Arial" w:hAnsi="Arial" w:cs="Arial"/>
                <w:szCs w:val="22"/>
                <w:lang w:val="es-CR" w:eastAsia="es-CR"/>
              </w:rPr>
              <w:t>RA_GF</w:t>
            </w:r>
          </w:p>
        </w:tc>
        <w:tc>
          <w:tcPr>
            <w:tcW w:w="1275" w:type="dxa"/>
            <w:shd w:val="clear" w:color="auto" w:fill="auto"/>
            <w:vAlign w:val="center"/>
          </w:tcPr>
          <w:p w:rsidR="00A8546D" w:rsidRPr="00735E43" w:rsidRDefault="00A8546D" w:rsidP="001B1D05">
            <w:pPr>
              <w:rPr>
                <w:rFonts w:ascii="Arial" w:hAnsi="Arial" w:cs="Arial"/>
                <w:szCs w:val="22"/>
                <w:lang w:val="es-CR" w:eastAsia="es-CR"/>
              </w:rPr>
            </w:pPr>
            <w:r w:rsidRPr="00735E43">
              <w:rPr>
                <w:rFonts w:ascii="Arial" w:hAnsi="Arial" w:cs="Arial"/>
                <w:szCs w:val="22"/>
                <w:lang w:val="es-CR" w:eastAsia="es-CR"/>
              </w:rPr>
              <w:t>44111000</w:t>
            </w:r>
          </w:p>
        </w:tc>
        <w:tc>
          <w:tcPr>
            <w:tcW w:w="1276" w:type="dxa"/>
            <w:shd w:val="clear" w:color="auto" w:fill="auto"/>
            <w:vAlign w:val="center"/>
          </w:tcPr>
          <w:p w:rsidR="00A8546D" w:rsidRPr="00735E43" w:rsidRDefault="00A8546D" w:rsidP="001B1D05">
            <w:pPr>
              <w:rPr>
                <w:rFonts w:ascii="Arial" w:hAnsi="Arial" w:cs="Arial"/>
                <w:szCs w:val="22"/>
                <w:lang w:val="es-CR" w:eastAsia="es-CR"/>
              </w:rPr>
            </w:pPr>
            <w:r w:rsidRPr="00735E43">
              <w:rPr>
                <w:rFonts w:ascii="Arial" w:hAnsi="Arial" w:cs="Arial"/>
                <w:szCs w:val="22"/>
                <w:lang w:val="es-CR" w:eastAsia="es-CR"/>
              </w:rPr>
              <w:t xml:space="preserve">44100000  </w:t>
            </w:r>
          </w:p>
        </w:tc>
        <w:tc>
          <w:tcPr>
            <w:tcW w:w="4820" w:type="dxa"/>
            <w:shd w:val="clear" w:color="auto" w:fill="auto"/>
            <w:noWrap/>
            <w:vAlign w:val="center"/>
          </w:tcPr>
          <w:p w:rsidR="00A8546D" w:rsidRPr="00735E43" w:rsidRDefault="00A8546D" w:rsidP="001B1D05">
            <w:pPr>
              <w:rPr>
                <w:rFonts w:ascii="Arial" w:hAnsi="Arial" w:cs="Arial"/>
                <w:szCs w:val="22"/>
                <w:lang w:val="es-CR" w:eastAsia="es-CR"/>
              </w:rPr>
            </w:pPr>
            <w:r w:rsidRPr="00735E43">
              <w:rPr>
                <w:rFonts w:ascii="Arial" w:hAnsi="Arial" w:cs="Arial"/>
                <w:szCs w:val="22"/>
                <w:lang w:val="es-CR" w:eastAsia="es-CR"/>
              </w:rPr>
              <w:t>Gasto por aporte al Auxilio de Cesantía</w:t>
            </w:r>
          </w:p>
        </w:tc>
      </w:tr>
    </w:tbl>
    <w:p w:rsidR="00A8546D" w:rsidRPr="00735E43" w:rsidRDefault="00A8546D" w:rsidP="00A8546D">
      <w:pPr>
        <w:pStyle w:val="Textodereglamento"/>
        <w:spacing w:before="0"/>
        <w:rPr>
          <w:rFonts w:ascii="Arial" w:eastAsia="Arial Unicode MS" w:hAnsi="Arial" w:cs="Arial"/>
          <w:szCs w:val="22"/>
          <w:lang w:val="es-CR"/>
        </w:rPr>
      </w:pPr>
    </w:p>
    <w:p w:rsidR="00A8546D" w:rsidRPr="00735E43" w:rsidRDefault="00A8546D" w:rsidP="00BF7713">
      <w:pPr>
        <w:keepNext/>
        <w:numPr>
          <w:ilvl w:val="2"/>
          <w:numId w:val="6"/>
        </w:numPr>
        <w:jc w:val="both"/>
        <w:rPr>
          <w:rFonts w:ascii="Arial" w:hAnsi="Arial" w:cs="Arial"/>
          <w:szCs w:val="22"/>
        </w:rPr>
      </w:pPr>
      <w:r w:rsidRPr="00735E43">
        <w:rPr>
          <w:rFonts w:ascii="Arial" w:hAnsi="Arial" w:cs="Arial"/>
          <w:szCs w:val="22"/>
        </w:rPr>
        <w:t>En relación con la información sobre legitimación de capitales y financiamiento al terrorismo</w:t>
      </w:r>
      <w:r w:rsidR="00BF7713" w:rsidRPr="00735E43">
        <w:rPr>
          <w:rFonts w:ascii="Arial" w:hAnsi="Arial" w:cs="Arial"/>
          <w:szCs w:val="22"/>
        </w:rPr>
        <w:t>, solamente para Puestos de Bolsa y Sociedades Administradoras de Fondos de Inversión,</w:t>
      </w:r>
      <w:r w:rsidRPr="00735E43">
        <w:rPr>
          <w:rFonts w:ascii="Arial" w:hAnsi="Arial" w:cs="Arial"/>
          <w:szCs w:val="22"/>
        </w:rPr>
        <w:t xml:space="preserve"> se adiciona</w:t>
      </w:r>
      <w:r w:rsidR="001B1D05" w:rsidRPr="00735E43">
        <w:rPr>
          <w:rFonts w:ascii="Arial" w:hAnsi="Arial" w:cs="Arial"/>
          <w:szCs w:val="22"/>
        </w:rPr>
        <w:t xml:space="preserve"> </w:t>
      </w:r>
      <w:r w:rsidR="00BF7713" w:rsidRPr="00735E43">
        <w:rPr>
          <w:rFonts w:ascii="Arial" w:hAnsi="Arial" w:cs="Arial"/>
          <w:szCs w:val="22"/>
        </w:rPr>
        <w:t>la remisión anual del informe del auditor externo y la remisión de la información d</w:t>
      </w:r>
      <w:r w:rsidR="001B1D05" w:rsidRPr="00735E43">
        <w:rPr>
          <w:rFonts w:ascii="Arial" w:hAnsi="Arial" w:cs="Arial"/>
          <w:szCs w:val="22"/>
        </w:rPr>
        <w:t>el Anexo 49</w:t>
      </w:r>
      <w:r w:rsidR="006A245C" w:rsidRPr="00735E43">
        <w:rPr>
          <w:rFonts w:ascii="Arial" w:hAnsi="Arial" w:cs="Arial"/>
          <w:szCs w:val="22"/>
        </w:rPr>
        <w:t>, de acuerdo con e</w:t>
      </w:r>
      <w:r w:rsidRPr="00735E43">
        <w:rPr>
          <w:rFonts w:ascii="Arial" w:hAnsi="Arial" w:cs="Arial"/>
          <w:szCs w:val="22"/>
        </w:rPr>
        <w:t>l siguiente detalle:</w:t>
      </w:r>
    </w:p>
    <w:p w:rsidR="00A8546D" w:rsidRPr="00735E43" w:rsidRDefault="00A8546D" w:rsidP="00A8546D">
      <w:pPr>
        <w:pStyle w:val="Textodereglamento"/>
        <w:spacing w:before="0"/>
        <w:ind w:left="1416"/>
        <w:rPr>
          <w:rFonts w:ascii="Arial" w:hAnsi="Arial" w:cs="Arial"/>
          <w:szCs w:val="22"/>
        </w:rPr>
      </w:pPr>
    </w:p>
    <w:bookmarkStart w:id="11" w:name="_MON_1468061803"/>
    <w:bookmarkEnd w:id="11"/>
    <w:p w:rsidR="00302355" w:rsidRPr="00735E43" w:rsidRDefault="001751B2" w:rsidP="006A245C">
      <w:pPr>
        <w:jc w:val="center"/>
        <w:rPr>
          <w:rFonts w:ascii="Arial" w:eastAsia="Arial Unicode MS" w:hAnsi="Arial" w:cs="Arial"/>
          <w:szCs w:val="22"/>
        </w:rPr>
      </w:pPr>
      <w:r w:rsidRPr="00735E43">
        <w:rPr>
          <w:rFonts w:ascii="Arial" w:eastAsia="Arial Unicode MS" w:hAnsi="Arial" w:cs="Arial"/>
          <w:szCs w:val="22"/>
        </w:rPr>
        <w:object w:dxaOrig="1550" w:dyaOrig="991">
          <v:shape id="_x0000_i1037" type="#_x0000_t75" style="width:77.25pt;height:49.5pt" o:ole="">
            <v:imagedata r:id="rId36" o:title=""/>
          </v:shape>
          <o:OLEObject Type="Embed" ProgID="Excel.Sheet.12" ShapeID="_x0000_i1037" DrawAspect="Icon" ObjectID="_1574154323" r:id="rId37"/>
        </w:object>
      </w:r>
    </w:p>
    <w:p w:rsidR="004701AC" w:rsidRPr="00735E43" w:rsidRDefault="004701AC" w:rsidP="004B7A9B">
      <w:pPr>
        <w:rPr>
          <w:rFonts w:ascii="Arial" w:hAnsi="Arial" w:cs="Arial"/>
          <w:szCs w:val="22"/>
          <w:lang w:val="es-CR"/>
        </w:rPr>
      </w:pPr>
    </w:p>
    <w:p w:rsidR="004701AC" w:rsidRPr="00735E43" w:rsidRDefault="004701AC" w:rsidP="002E07CA">
      <w:pPr>
        <w:pStyle w:val="ListParagraph"/>
        <w:numPr>
          <w:ilvl w:val="0"/>
          <w:numId w:val="6"/>
        </w:numPr>
        <w:spacing w:line="240" w:lineRule="auto"/>
        <w:jc w:val="both"/>
        <w:rPr>
          <w:rFonts w:ascii="Arial" w:hAnsi="Arial" w:cs="Arial"/>
          <w:lang w:val="es-CR"/>
        </w:rPr>
      </w:pPr>
      <w:r w:rsidRPr="00735E43">
        <w:rPr>
          <w:rFonts w:ascii="Arial" w:hAnsi="Arial" w:cs="Arial"/>
          <w:lang w:val="es-CR"/>
        </w:rPr>
        <w:t>Se modifica el campo 3 denominado como “Cuenta de valores del cliente en el depositario local o custodio extranjero” del Anexo 45 para estandarizar la variable con el uso actual de la industria y con ello mejorar la capacidad de explotación de esa información, de acuerdo con el siguiente detalle:</w:t>
      </w:r>
    </w:p>
    <w:p w:rsidR="004701AC" w:rsidRPr="00735E43" w:rsidRDefault="004701AC" w:rsidP="004701AC">
      <w:pPr>
        <w:jc w:val="center"/>
        <w:rPr>
          <w:rFonts w:ascii="Arial" w:hAnsi="Arial" w:cs="Arial"/>
          <w:szCs w:val="22"/>
          <w:lang w:val="es-CR"/>
        </w:rPr>
      </w:pPr>
    </w:p>
    <w:bookmarkStart w:id="12" w:name="_MON_1478424026"/>
    <w:bookmarkEnd w:id="12"/>
    <w:p w:rsidR="004701AC" w:rsidRPr="00735E43" w:rsidRDefault="009621BD" w:rsidP="004701AC">
      <w:pPr>
        <w:jc w:val="center"/>
        <w:rPr>
          <w:rFonts w:ascii="Arial" w:hAnsi="Arial" w:cs="Arial"/>
          <w:szCs w:val="22"/>
          <w:lang w:val="es-CR"/>
        </w:rPr>
      </w:pPr>
      <w:r w:rsidRPr="00735E43">
        <w:rPr>
          <w:rFonts w:ascii="Arial" w:hAnsi="Arial" w:cs="Arial"/>
          <w:szCs w:val="22"/>
        </w:rPr>
        <w:object w:dxaOrig="1550" w:dyaOrig="991">
          <v:shape id="_x0000_i1038" type="#_x0000_t75" style="width:77.25pt;height:49.5pt" o:ole="">
            <v:imagedata r:id="rId38" o:title=""/>
          </v:shape>
          <o:OLEObject Type="Embed" ProgID="Word.Document.8" ShapeID="_x0000_i1038" DrawAspect="Icon" ObjectID="_1574154324" r:id="rId39">
            <o:FieldCodes>\s</o:FieldCodes>
          </o:OLEObject>
        </w:object>
      </w:r>
    </w:p>
    <w:p w:rsidR="004701AC" w:rsidRPr="00735E43" w:rsidRDefault="004701AC" w:rsidP="004B7A9B">
      <w:pPr>
        <w:rPr>
          <w:rFonts w:ascii="Arial" w:hAnsi="Arial" w:cs="Arial"/>
          <w:szCs w:val="22"/>
          <w:lang w:val="es-CR"/>
        </w:rPr>
      </w:pPr>
    </w:p>
    <w:p w:rsidR="004701AC" w:rsidRPr="00735E43" w:rsidRDefault="004701AC" w:rsidP="002E07CA">
      <w:pPr>
        <w:pStyle w:val="ListParagraph"/>
        <w:numPr>
          <w:ilvl w:val="0"/>
          <w:numId w:val="6"/>
        </w:numPr>
        <w:spacing w:line="240" w:lineRule="auto"/>
        <w:jc w:val="both"/>
        <w:rPr>
          <w:rFonts w:ascii="Arial" w:hAnsi="Arial" w:cs="Arial"/>
          <w:lang w:val="es-CR"/>
        </w:rPr>
      </w:pPr>
      <w:r w:rsidRPr="00735E43">
        <w:rPr>
          <w:rFonts w:ascii="Arial" w:hAnsi="Arial" w:cs="Arial"/>
          <w:lang w:val="es-CR"/>
        </w:rPr>
        <w:t>Se elimina el Anexo 5 referente a la remisión de los Reportes de Operaciones Sospechosas.</w:t>
      </w:r>
    </w:p>
    <w:p w:rsidR="002E07CA" w:rsidRPr="00735E43" w:rsidRDefault="002E07CA" w:rsidP="004B7A9B">
      <w:pPr>
        <w:jc w:val="both"/>
        <w:rPr>
          <w:rFonts w:ascii="Arial" w:hAnsi="Arial" w:cs="Arial"/>
          <w:szCs w:val="22"/>
          <w:lang w:val="es-CR"/>
        </w:rPr>
      </w:pPr>
    </w:p>
    <w:p w:rsidR="004701AC" w:rsidRPr="00735E43" w:rsidRDefault="004701AC" w:rsidP="002E07CA">
      <w:pPr>
        <w:pStyle w:val="ListParagraph"/>
        <w:numPr>
          <w:ilvl w:val="0"/>
          <w:numId w:val="6"/>
        </w:numPr>
        <w:spacing w:line="240" w:lineRule="auto"/>
        <w:jc w:val="both"/>
        <w:rPr>
          <w:rFonts w:ascii="Arial" w:hAnsi="Arial" w:cs="Arial"/>
          <w:lang w:val="es-CR"/>
        </w:rPr>
      </w:pPr>
      <w:r w:rsidRPr="00735E43">
        <w:rPr>
          <w:rFonts w:ascii="Arial" w:hAnsi="Arial" w:cs="Arial"/>
          <w:lang w:val="es-CR"/>
        </w:rPr>
        <w:t>Se elimina el Anexo 47 referente al esquema XSD para los vectores de precios, curvas de rendimientos utilizadas en metodologías de valoración e impugnaciones.</w:t>
      </w:r>
    </w:p>
    <w:p w:rsidR="004701AC" w:rsidRPr="00735E43" w:rsidRDefault="004701AC" w:rsidP="004701AC">
      <w:pPr>
        <w:jc w:val="both"/>
        <w:rPr>
          <w:rFonts w:ascii="Arial" w:hAnsi="Arial" w:cs="Arial"/>
          <w:szCs w:val="22"/>
          <w:lang w:val="es-CR"/>
        </w:rPr>
      </w:pPr>
    </w:p>
    <w:p w:rsidR="004701AC" w:rsidRPr="00735E43" w:rsidRDefault="004701AC" w:rsidP="002E07CA">
      <w:pPr>
        <w:pStyle w:val="ListParagraph"/>
        <w:numPr>
          <w:ilvl w:val="0"/>
          <w:numId w:val="6"/>
        </w:numPr>
        <w:spacing w:line="240" w:lineRule="auto"/>
        <w:jc w:val="both"/>
        <w:rPr>
          <w:rFonts w:ascii="Arial" w:hAnsi="Arial" w:cs="Arial"/>
          <w:lang w:val="es-CR"/>
        </w:rPr>
      </w:pPr>
      <w:r w:rsidRPr="00735E43">
        <w:rPr>
          <w:rFonts w:ascii="Arial" w:hAnsi="Arial" w:cs="Arial"/>
          <w:lang w:val="es-CR"/>
        </w:rPr>
        <w:t>Se elimina el Anexo 29: Nombramiento de Auditores Externos.</w:t>
      </w:r>
    </w:p>
    <w:p w:rsidR="00250C1D" w:rsidRPr="008F1449" w:rsidRDefault="00250C1D" w:rsidP="00A8546D">
      <w:pPr>
        <w:pStyle w:val="incisos"/>
        <w:numPr>
          <w:ilvl w:val="0"/>
          <w:numId w:val="0"/>
        </w:numPr>
        <w:spacing w:before="0"/>
        <w:rPr>
          <w:rFonts w:ascii="Arial" w:eastAsia="Arial Unicode MS" w:hAnsi="Arial" w:cs="Arial"/>
          <w:szCs w:val="22"/>
          <w:lang w:val="es-CR"/>
        </w:rPr>
      </w:pPr>
    </w:p>
    <w:p w:rsidR="006D4348" w:rsidRPr="006D4348" w:rsidRDefault="006D4348" w:rsidP="006D4348">
      <w:pPr>
        <w:pStyle w:val="incisos"/>
        <w:numPr>
          <w:ilvl w:val="0"/>
          <w:numId w:val="0"/>
        </w:numPr>
        <w:spacing w:before="0"/>
        <w:rPr>
          <w:rFonts w:ascii="Arial" w:hAnsi="Arial" w:cs="Arial"/>
          <w:b/>
          <w:color w:val="000000" w:themeColor="text1"/>
          <w:lang w:val="es-CR"/>
        </w:rPr>
      </w:pPr>
      <w:r w:rsidRPr="006D4348">
        <w:rPr>
          <w:rFonts w:ascii="Arial" w:eastAsia="Arial Unicode MS" w:hAnsi="Arial" w:cs="Arial"/>
          <w:b/>
          <w:color w:val="000000" w:themeColor="text1"/>
          <w:szCs w:val="22"/>
        </w:rPr>
        <w:t>Artículo 6.</w:t>
      </w:r>
      <w:r w:rsidRPr="006D4348">
        <w:rPr>
          <w:rFonts w:ascii="Arial" w:eastAsia="Arial Unicode MS" w:hAnsi="Arial" w:cs="Arial"/>
          <w:b/>
          <w:color w:val="000000" w:themeColor="text1"/>
          <w:szCs w:val="22"/>
        </w:rPr>
        <w:tab/>
        <w:t>Otras Modificaciones</w:t>
      </w:r>
    </w:p>
    <w:p w:rsidR="00780CC6" w:rsidRPr="008F1449" w:rsidRDefault="00780CC6" w:rsidP="00886F92">
      <w:pPr>
        <w:pStyle w:val="incisos"/>
        <w:numPr>
          <w:ilvl w:val="0"/>
          <w:numId w:val="0"/>
        </w:numPr>
        <w:spacing w:before="0"/>
        <w:rPr>
          <w:rFonts w:ascii="Arial" w:eastAsia="Arial Unicode MS" w:hAnsi="Arial" w:cs="Arial"/>
          <w:szCs w:val="22"/>
        </w:rPr>
      </w:pPr>
    </w:p>
    <w:p w:rsidR="00886F92" w:rsidRPr="00735E43" w:rsidRDefault="00886F92" w:rsidP="00886F92">
      <w:pPr>
        <w:pStyle w:val="incisos"/>
        <w:numPr>
          <w:ilvl w:val="0"/>
          <w:numId w:val="45"/>
        </w:numPr>
        <w:spacing w:before="0"/>
        <w:rPr>
          <w:rFonts w:ascii="Arial" w:eastAsia="Arial Unicode MS" w:hAnsi="Arial" w:cs="Arial"/>
          <w:szCs w:val="22"/>
        </w:rPr>
      </w:pPr>
      <w:r w:rsidRPr="00735E43">
        <w:rPr>
          <w:rFonts w:ascii="Arial" w:eastAsia="Arial Unicode MS" w:hAnsi="Arial" w:cs="Arial"/>
          <w:szCs w:val="22"/>
        </w:rPr>
        <w:t xml:space="preserve">Se modifica el cuadro y último párrafo del artículo 3 del Acuerdo SGV-A-188: </w:t>
      </w:r>
      <w:r w:rsidRPr="00735E43">
        <w:rPr>
          <w:rFonts w:ascii="Arial" w:eastAsia="Arial Unicode MS" w:hAnsi="Arial" w:cs="Arial"/>
          <w:i/>
          <w:szCs w:val="22"/>
        </w:rPr>
        <w:t xml:space="preserve">Directriz para la implementación del sistema de mensajería de documentos electrónicos (MENDOCEL) </w:t>
      </w:r>
      <w:r w:rsidRPr="00735E43">
        <w:rPr>
          <w:rFonts w:ascii="Arial" w:eastAsia="Arial Unicode MS" w:hAnsi="Arial" w:cs="Arial"/>
          <w:szCs w:val="22"/>
        </w:rPr>
        <w:t>para que se lean de la siguiente manera:</w:t>
      </w:r>
    </w:p>
    <w:p w:rsidR="00886F92" w:rsidRPr="00735E43" w:rsidRDefault="00886F92" w:rsidP="00886F92">
      <w:pPr>
        <w:jc w:val="both"/>
        <w:rPr>
          <w:rFonts w:ascii="Arial" w:hAnsi="Arial" w:cs="Arial"/>
          <w:szCs w:val="22"/>
        </w:rPr>
      </w:pPr>
      <w:r w:rsidRPr="00735E43">
        <w:rPr>
          <w:rFonts w:ascii="Arial" w:hAnsi="Arial" w:cs="Arial"/>
          <w:szCs w:val="22"/>
        </w:rPr>
        <w:t>“</w:t>
      </w:r>
    </w:p>
    <w:tbl>
      <w:tblPr>
        <w:tblW w:w="6946" w:type="dxa"/>
        <w:jc w:val="center"/>
        <w:tblCellMar>
          <w:left w:w="0" w:type="dxa"/>
          <w:right w:w="0" w:type="dxa"/>
        </w:tblCellMar>
        <w:tblLook w:val="04A0" w:firstRow="1" w:lastRow="0" w:firstColumn="1" w:lastColumn="0" w:noHBand="0" w:noVBand="1"/>
      </w:tblPr>
      <w:tblGrid>
        <w:gridCol w:w="1985"/>
        <w:gridCol w:w="2551"/>
        <w:gridCol w:w="2410"/>
      </w:tblGrid>
      <w:tr w:rsidR="00886F92" w:rsidRPr="00735E43" w:rsidTr="00000255">
        <w:trPr>
          <w:trHeight w:val="472"/>
          <w:jc w:val="center"/>
        </w:trPr>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both"/>
              <w:rPr>
                <w:rFonts w:ascii="Arial" w:eastAsiaTheme="minorHAnsi" w:hAnsi="Arial" w:cs="Arial"/>
                <w:szCs w:val="22"/>
                <w:lang w:val="en-US" w:eastAsia="en-US"/>
              </w:rPr>
            </w:pPr>
            <w:r w:rsidRPr="00735E43">
              <w:rPr>
                <w:rFonts w:ascii="Arial" w:hAnsi="Arial" w:cs="Arial"/>
                <w:szCs w:val="22"/>
              </w:rPr>
              <w:t>Formato del archivo</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center"/>
              <w:rPr>
                <w:rFonts w:ascii="Arial" w:eastAsiaTheme="minorHAnsi" w:hAnsi="Arial" w:cs="Arial"/>
                <w:szCs w:val="22"/>
              </w:rPr>
            </w:pPr>
            <w:r w:rsidRPr="00735E43">
              <w:rPr>
                <w:rFonts w:ascii="Arial" w:hAnsi="Arial" w:cs="Arial"/>
                <w:szCs w:val="22"/>
              </w:rPr>
              <w:t>Nivel del formato actual</w:t>
            </w:r>
          </w:p>
          <w:p w:rsidR="00886F92" w:rsidRPr="00735E43" w:rsidRDefault="00886F92" w:rsidP="00000255">
            <w:pPr>
              <w:jc w:val="center"/>
              <w:rPr>
                <w:rFonts w:ascii="Arial" w:eastAsiaTheme="minorHAnsi" w:hAnsi="Arial" w:cs="Arial"/>
                <w:szCs w:val="22"/>
                <w:lang w:eastAsia="en-US"/>
              </w:rPr>
            </w:pPr>
            <w:r w:rsidRPr="00735E43">
              <w:rPr>
                <w:rFonts w:ascii="Arial" w:hAnsi="Arial" w:cs="Arial"/>
                <w:szCs w:val="22"/>
              </w:rPr>
              <w:t>(Circular 2013-285)</w:t>
            </w:r>
          </w:p>
        </w:tc>
        <w:tc>
          <w:tcPr>
            <w:tcW w:w="24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both"/>
              <w:rPr>
                <w:rFonts w:ascii="Arial" w:eastAsiaTheme="minorHAnsi" w:hAnsi="Arial" w:cs="Arial"/>
                <w:szCs w:val="22"/>
                <w:lang w:val="en-US" w:eastAsia="en-US"/>
              </w:rPr>
            </w:pPr>
            <w:r w:rsidRPr="00735E43">
              <w:rPr>
                <w:rFonts w:ascii="Arial" w:hAnsi="Arial" w:cs="Arial"/>
                <w:szCs w:val="22"/>
              </w:rPr>
              <w:t xml:space="preserve">Nivel del formato requerido </w:t>
            </w:r>
          </w:p>
        </w:tc>
      </w:tr>
      <w:tr w:rsidR="00886F92" w:rsidRPr="00735E43" w:rsidTr="00000255">
        <w:trPr>
          <w:trHeight w:val="236"/>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center"/>
              <w:rPr>
                <w:rFonts w:ascii="Arial" w:eastAsiaTheme="minorHAnsi" w:hAnsi="Arial" w:cs="Arial"/>
                <w:szCs w:val="22"/>
                <w:lang w:val="en-US" w:eastAsia="en-US"/>
              </w:rPr>
            </w:pPr>
            <w:r w:rsidRPr="00735E43">
              <w:rPr>
                <w:rFonts w:ascii="Arial" w:hAnsi="Arial" w:cs="Arial"/>
                <w:szCs w:val="22"/>
              </w:rPr>
              <w:t xml:space="preserve">MS </w:t>
            </w:r>
            <w:r w:rsidRPr="00735E43">
              <w:rPr>
                <w:rFonts w:ascii="Arial" w:hAnsi="Arial" w:cs="Arial"/>
                <w:b/>
                <w:szCs w:val="22"/>
              </w:rPr>
              <w:t>Office</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center"/>
              <w:rPr>
                <w:rFonts w:ascii="Arial" w:eastAsiaTheme="minorHAnsi" w:hAnsi="Arial" w:cs="Arial"/>
                <w:szCs w:val="22"/>
                <w:lang w:val="en-US" w:eastAsia="en-US"/>
              </w:rPr>
            </w:pPr>
            <w:proofErr w:type="spellStart"/>
            <w:r w:rsidRPr="00735E43">
              <w:rPr>
                <w:rFonts w:ascii="Arial" w:hAnsi="Arial" w:cs="Arial"/>
                <w:szCs w:val="22"/>
              </w:rPr>
              <w:t>XAdES</w:t>
            </w:r>
            <w:proofErr w:type="spellEnd"/>
            <w:r w:rsidRPr="00735E43">
              <w:rPr>
                <w:rFonts w:ascii="Arial" w:hAnsi="Arial" w:cs="Arial"/>
                <w:szCs w:val="22"/>
              </w:rPr>
              <w:t>-BES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center"/>
              <w:rPr>
                <w:rFonts w:ascii="Arial" w:eastAsiaTheme="minorHAnsi" w:hAnsi="Arial" w:cs="Arial"/>
                <w:szCs w:val="22"/>
                <w:lang w:val="en-US" w:eastAsia="en-US"/>
              </w:rPr>
            </w:pPr>
            <w:proofErr w:type="spellStart"/>
            <w:r w:rsidRPr="00735E43">
              <w:rPr>
                <w:rFonts w:ascii="Arial" w:hAnsi="Arial" w:cs="Arial"/>
                <w:szCs w:val="22"/>
              </w:rPr>
              <w:t>XAdES</w:t>
            </w:r>
            <w:proofErr w:type="spellEnd"/>
            <w:r w:rsidRPr="00735E43">
              <w:rPr>
                <w:rFonts w:ascii="Arial" w:hAnsi="Arial" w:cs="Arial"/>
                <w:szCs w:val="22"/>
              </w:rPr>
              <w:t>-XL</w:t>
            </w:r>
          </w:p>
        </w:tc>
      </w:tr>
      <w:tr w:rsidR="00886F92" w:rsidRPr="00735E43" w:rsidTr="00000255">
        <w:trPr>
          <w:trHeight w:val="236"/>
          <w:jc w:val="center"/>
        </w:trPr>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center"/>
              <w:rPr>
                <w:rFonts w:ascii="Arial" w:eastAsiaTheme="minorHAnsi" w:hAnsi="Arial" w:cs="Arial"/>
                <w:szCs w:val="22"/>
                <w:lang w:val="en-US" w:eastAsia="en-US"/>
              </w:rPr>
            </w:pPr>
            <w:r w:rsidRPr="00735E43">
              <w:rPr>
                <w:rFonts w:ascii="Arial" w:hAnsi="Arial" w:cs="Arial"/>
                <w:szCs w:val="22"/>
              </w:rPr>
              <w:t>PDF</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center"/>
              <w:rPr>
                <w:rFonts w:ascii="Arial" w:eastAsiaTheme="minorHAnsi" w:hAnsi="Arial" w:cs="Arial"/>
                <w:szCs w:val="22"/>
                <w:lang w:val="en-US" w:eastAsia="en-US"/>
              </w:rPr>
            </w:pPr>
            <w:proofErr w:type="spellStart"/>
            <w:r w:rsidRPr="00735E43">
              <w:rPr>
                <w:rFonts w:ascii="Arial" w:hAnsi="Arial" w:cs="Arial"/>
                <w:szCs w:val="22"/>
              </w:rPr>
              <w:t>PAdES</w:t>
            </w:r>
            <w:proofErr w:type="spellEnd"/>
            <w:r w:rsidRPr="00735E43">
              <w:rPr>
                <w:rFonts w:ascii="Arial" w:hAnsi="Arial" w:cs="Arial"/>
                <w:szCs w:val="22"/>
              </w:rPr>
              <w:t>-BES</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rsidR="00886F92" w:rsidRPr="00735E43" w:rsidRDefault="00886F92" w:rsidP="00000255">
            <w:pPr>
              <w:jc w:val="center"/>
              <w:rPr>
                <w:rFonts w:ascii="Arial" w:eastAsiaTheme="minorHAnsi" w:hAnsi="Arial" w:cs="Arial"/>
                <w:szCs w:val="22"/>
                <w:lang w:val="en-US" w:eastAsia="en-US"/>
              </w:rPr>
            </w:pPr>
            <w:proofErr w:type="spellStart"/>
            <w:r w:rsidRPr="00735E43">
              <w:rPr>
                <w:rFonts w:ascii="Arial" w:hAnsi="Arial" w:cs="Arial"/>
                <w:szCs w:val="22"/>
              </w:rPr>
              <w:t>PAdES</w:t>
            </w:r>
            <w:proofErr w:type="spellEnd"/>
            <w:r w:rsidRPr="00735E43">
              <w:rPr>
                <w:rFonts w:ascii="Arial" w:hAnsi="Arial" w:cs="Arial"/>
                <w:szCs w:val="22"/>
              </w:rPr>
              <w:t>-LTV</w:t>
            </w:r>
          </w:p>
        </w:tc>
      </w:tr>
    </w:tbl>
    <w:p w:rsidR="001751B2" w:rsidRPr="00735E43" w:rsidRDefault="001751B2" w:rsidP="00886F92">
      <w:pPr>
        <w:pStyle w:val="incisos"/>
        <w:numPr>
          <w:ilvl w:val="0"/>
          <w:numId w:val="0"/>
        </w:numPr>
        <w:spacing w:before="0"/>
        <w:ind w:left="708"/>
        <w:rPr>
          <w:rFonts w:ascii="Arial" w:eastAsia="Arial Unicode MS" w:hAnsi="Arial" w:cs="Arial"/>
          <w:i/>
          <w:szCs w:val="22"/>
        </w:rPr>
      </w:pPr>
    </w:p>
    <w:p w:rsidR="00886F92" w:rsidRPr="00735E43" w:rsidRDefault="001751B2" w:rsidP="00886F92">
      <w:pPr>
        <w:pStyle w:val="incisos"/>
        <w:numPr>
          <w:ilvl w:val="0"/>
          <w:numId w:val="0"/>
        </w:numPr>
        <w:spacing w:before="0"/>
        <w:ind w:left="708"/>
        <w:rPr>
          <w:rFonts w:ascii="Arial" w:eastAsia="Arial Unicode MS" w:hAnsi="Arial" w:cs="Arial"/>
          <w:i/>
          <w:szCs w:val="22"/>
        </w:rPr>
      </w:pPr>
      <w:r w:rsidRPr="00735E43">
        <w:rPr>
          <w:rFonts w:ascii="Arial" w:eastAsia="Arial Unicode MS" w:hAnsi="Arial" w:cs="Arial"/>
          <w:i/>
          <w:szCs w:val="22"/>
        </w:rPr>
        <w:t xml:space="preserve"> </w:t>
      </w:r>
      <w:r w:rsidR="00886F92" w:rsidRPr="00735E43">
        <w:rPr>
          <w:rFonts w:ascii="Arial" w:eastAsia="Arial Unicode MS" w:hAnsi="Arial" w:cs="Arial"/>
          <w:i/>
          <w:szCs w:val="22"/>
        </w:rPr>
        <w:t>“…</w:t>
      </w:r>
    </w:p>
    <w:p w:rsidR="00886F92" w:rsidRPr="00735E43" w:rsidRDefault="00886F92" w:rsidP="00886F92">
      <w:pPr>
        <w:pStyle w:val="incisos"/>
        <w:numPr>
          <w:ilvl w:val="0"/>
          <w:numId w:val="0"/>
        </w:numPr>
        <w:spacing w:before="0"/>
        <w:ind w:left="708"/>
        <w:rPr>
          <w:rFonts w:ascii="Arial" w:eastAsia="Arial Unicode MS" w:hAnsi="Arial" w:cs="Arial"/>
          <w:i/>
          <w:szCs w:val="22"/>
        </w:rPr>
      </w:pPr>
      <w:r w:rsidRPr="00735E43">
        <w:rPr>
          <w:rFonts w:ascii="Arial" w:eastAsia="Arial Unicode MS" w:hAnsi="Arial" w:cs="Arial"/>
          <w:i/>
          <w:szCs w:val="22"/>
        </w:rPr>
        <w:t xml:space="preserve">Para simplificar el proceso de firma de los documentos con los formatos y niveles requeridos, el MENDOCEL permitirá el envío de archivos generados en Microsoft </w:t>
      </w:r>
      <w:r w:rsidRPr="00735E43">
        <w:rPr>
          <w:rFonts w:ascii="Arial" w:eastAsia="Arial Unicode MS" w:hAnsi="Arial" w:cs="Arial"/>
          <w:b/>
          <w:i/>
          <w:szCs w:val="22"/>
        </w:rPr>
        <w:t>Office</w:t>
      </w:r>
      <w:r w:rsidRPr="00735E43">
        <w:rPr>
          <w:rFonts w:ascii="Arial" w:eastAsia="Arial Unicode MS" w:hAnsi="Arial" w:cs="Arial"/>
          <w:i/>
          <w:szCs w:val="22"/>
        </w:rPr>
        <w:t xml:space="preserve"> y en formato PDF, a escoger por el usuario.  Se encuentra disponible información técnica de referencia en el sitio web de SUGEVAL que puede ser utilizada como base para la configuración de la firma digital avanzada, la cual se ubica en: </w:t>
      </w:r>
      <w:hyperlink r:id="rId40" w:history="1">
        <w:r w:rsidRPr="00735E43">
          <w:rPr>
            <w:rFonts w:ascii="Arial" w:eastAsia="Arial Unicode MS" w:hAnsi="Arial" w:cs="Arial"/>
            <w:i/>
            <w:szCs w:val="22"/>
          </w:rPr>
          <w:t>http://www.sugeval.fi.cr/serviciosytramites/paginas/ServiciosMensajeriaDocumentos.aspx</w:t>
        </w:r>
      </w:hyperlink>
      <w:r w:rsidRPr="00735E43">
        <w:rPr>
          <w:rFonts w:ascii="Arial" w:eastAsia="Arial Unicode MS" w:hAnsi="Arial" w:cs="Arial"/>
          <w:i/>
          <w:szCs w:val="22"/>
        </w:rPr>
        <w:t>”</w:t>
      </w:r>
    </w:p>
    <w:p w:rsidR="00886F92" w:rsidRPr="00735E43" w:rsidRDefault="00886F92" w:rsidP="00886F92">
      <w:pPr>
        <w:pStyle w:val="incisos"/>
        <w:numPr>
          <w:ilvl w:val="0"/>
          <w:numId w:val="0"/>
        </w:numPr>
        <w:spacing w:before="0"/>
        <w:rPr>
          <w:rFonts w:ascii="Arial" w:eastAsia="Arial Unicode MS" w:hAnsi="Arial" w:cs="Arial"/>
          <w:szCs w:val="22"/>
        </w:rPr>
      </w:pPr>
    </w:p>
    <w:p w:rsidR="0046049A" w:rsidRPr="00735E43" w:rsidRDefault="0046049A" w:rsidP="001751B2">
      <w:pPr>
        <w:pStyle w:val="incisos"/>
        <w:numPr>
          <w:ilvl w:val="0"/>
          <w:numId w:val="45"/>
        </w:numPr>
        <w:spacing w:before="0"/>
        <w:rPr>
          <w:rFonts w:ascii="Arial" w:eastAsia="Arial Unicode MS" w:hAnsi="Arial" w:cs="Arial"/>
          <w:szCs w:val="22"/>
        </w:rPr>
      </w:pPr>
      <w:r w:rsidRPr="00735E43">
        <w:rPr>
          <w:rFonts w:ascii="Arial" w:eastAsia="Arial Unicode MS" w:hAnsi="Arial" w:cs="Arial"/>
          <w:szCs w:val="22"/>
        </w:rPr>
        <w:lastRenderedPageBreak/>
        <w:t>Se modifica el artículo 13 del Acuerdo SGV-A-188: Directriz para la implementación del sistema de mensajería de documentos electrónicos (MENDOCEL) para que se lea de la siguiente manera:</w:t>
      </w:r>
    </w:p>
    <w:p w:rsidR="0046049A" w:rsidRPr="00735E43" w:rsidRDefault="0046049A" w:rsidP="001751B2">
      <w:pPr>
        <w:pStyle w:val="incisos"/>
        <w:numPr>
          <w:ilvl w:val="0"/>
          <w:numId w:val="0"/>
        </w:numPr>
        <w:ind w:left="270"/>
        <w:rPr>
          <w:rFonts w:ascii="Arial" w:eastAsia="Arial Unicode MS" w:hAnsi="Arial" w:cs="Arial"/>
          <w:szCs w:val="22"/>
        </w:rPr>
      </w:pPr>
    </w:p>
    <w:p w:rsidR="004C0DD2" w:rsidRPr="00735E43" w:rsidRDefault="0046049A" w:rsidP="002E07CA">
      <w:pPr>
        <w:pStyle w:val="incisos"/>
        <w:numPr>
          <w:ilvl w:val="0"/>
          <w:numId w:val="0"/>
        </w:numPr>
        <w:spacing w:before="0"/>
        <w:ind w:left="709"/>
        <w:rPr>
          <w:rFonts w:ascii="Arial" w:eastAsia="Arial Unicode MS" w:hAnsi="Arial" w:cs="Arial"/>
          <w:i/>
          <w:szCs w:val="22"/>
        </w:rPr>
      </w:pPr>
      <w:r w:rsidRPr="00735E43">
        <w:rPr>
          <w:rFonts w:ascii="Arial" w:eastAsia="Arial Unicode MS" w:hAnsi="Arial" w:cs="Arial"/>
          <w:i/>
          <w:szCs w:val="22"/>
        </w:rPr>
        <w:t xml:space="preserve">“El MENDOCEL no sustituye la Ventanilla Virtual del Sistema </w:t>
      </w:r>
      <w:proofErr w:type="spellStart"/>
      <w:r w:rsidRPr="00735E43">
        <w:rPr>
          <w:rFonts w:ascii="Arial" w:eastAsia="Arial Unicode MS" w:hAnsi="Arial" w:cs="Arial"/>
          <w:i/>
          <w:szCs w:val="22"/>
        </w:rPr>
        <w:t>Ingresador</w:t>
      </w:r>
      <w:proofErr w:type="spellEnd"/>
      <w:r w:rsidRPr="00735E43">
        <w:rPr>
          <w:rFonts w:ascii="Arial" w:eastAsia="Arial Unicode MS" w:hAnsi="Arial" w:cs="Arial"/>
          <w:i/>
          <w:szCs w:val="22"/>
        </w:rPr>
        <w:t xml:space="preserve">, que las entidades reguladas utilizan actualmente para cumplir con lo establecido en el Acuerdo de Suministro de Información Periódica y Normativa relacionada, ni lo referente a los trámites de Oferta Pública relacionados con la presentación de prospectos de fondos de inversión y emisores.  Este Sistema es exclusivo para el trasiego, entre las entidades reguladas y SUGEVAL, de otros documentos que no correspondan ni a información periódica para la que no se haya expresamente autorizado su uso en </w:t>
      </w:r>
      <w:proofErr w:type="spellStart"/>
      <w:r w:rsidRPr="00735E43">
        <w:rPr>
          <w:rFonts w:ascii="Arial" w:eastAsia="Arial Unicode MS" w:hAnsi="Arial" w:cs="Arial"/>
          <w:i/>
          <w:szCs w:val="22"/>
        </w:rPr>
        <w:t>Mendocel</w:t>
      </w:r>
      <w:proofErr w:type="spellEnd"/>
      <w:r w:rsidRPr="00735E43">
        <w:rPr>
          <w:rFonts w:ascii="Arial" w:eastAsia="Arial Unicode MS" w:hAnsi="Arial" w:cs="Arial"/>
          <w:i/>
          <w:szCs w:val="22"/>
        </w:rPr>
        <w:t>, ni a prospectos ni documentos relacionados con los trámites de autorización.</w:t>
      </w:r>
      <w:r w:rsidR="00A85450" w:rsidRPr="00735E43">
        <w:rPr>
          <w:rFonts w:ascii="Arial" w:eastAsia="Arial Unicode MS" w:hAnsi="Arial" w:cs="Arial"/>
          <w:i/>
          <w:szCs w:val="22"/>
        </w:rPr>
        <w:t>”</w:t>
      </w:r>
    </w:p>
    <w:p w:rsidR="0046049A" w:rsidRPr="00735E43" w:rsidRDefault="0046049A" w:rsidP="0046049A">
      <w:pPr>
        <w:pStyle w:val="incisos"/>
        <w:numPr>
          <w:ilvl w:val="0"/>
          <w:numId w:val="0"/>
        </w:numPr>
        <w:spacing w:before="0"/>
        <w:rPr>
          <w:rFonts w:ascii="Arial" w:eastAsia="Arial Unicode MS" w:hAnsi="Arial" w:cs="Arial"/>
          <w:b/>
          <w:szCs w:val="22"/>
        </w:rPr>
      </w:pPr>
    </w:p>
    <w:p w:rsidR="006D4348" w:rsidRPr="006D4348" w:rsidRDefault="006D4348" w:rsidP="006D4348">
      <w:pPr>
        <w:pStyle w:val="incisos"/>
        <w:numPr>
          <w:ilvl w:val="0"/>
          <w:numId w:val="0"/>
        </w:numPr>
        <w:spacing w:before="0"/>
        <w:rPr>
          <w:rFonts w:ascii="Arial" w:hAnsi="Arial" w:cs="Arial"/>
          <w:b/>
          <w:color w:val="000000" w:themeColor="text1"/>
          <w:lang w:val="es-CR"/>
        </w:rPr>
      </w:pPr>
      <w:r w:rsidRPr="006D4348">
        <w:rPr>
          <w:rFonts w:ascii="Arial" w:eastAsia="Arial Unicode MS" w:hAnsi="Arial" w:cs="Arial"/>
          <w:b/>
          <w:color w:val="000000" w:themeColor="text1"/>
          <w:szCs w:val="22"/>
        </w:rPr>
        <w:t>Artículo 7.</w:t>
      </w:r>
      <w:r w:rsidRPr="006D4348">
        <w:rPr>
          <w:rFonts w:ascii="Arial" w:eastAsia="Arial Unicode MS" w:hAnsi="Arial" w:cs="Arial"/>
          <w:b/>
          <w:color w:val="000000" w:themeColor="text1"/>
          <w:szCs w:val="22"/>
        </w:rPr>
        <w:tab/>
        <w:t>Vigencia</w:t>
      </w:r>
    </w:p>
    <w:p w:rsidR="00BF7713" w:rsidRPr="00735E43" w:rsidRDefault="00BF7713" w:rsidP="00780CC6">
      <w:pPr>
        <w:pStyle w:val="incisos"/>
        <w:numPr>
          <w:ilvl w:val="0"/>
          <w:numId w:val="0"/>
        </w:numPr>
        <w:spacing w:before="0"/>
        <w:rPr>
          <w:rFonts w:ascii="Arial" w:hAnsi="Arial" w:cs="Arial"/>
          <w:szCs w:val="22"/>
        </w:rPr>
      </w:pPr>
    </w:p>
    <w:p w:rsidR="009562F3" w:rsidRPr="00735E43" w:rsidRDefault="009562F3" w:rsidP="00BF7713">
      <w:pPr>
        <w:pStyle w:val="Textodereglamento"/>
        <w:spacing w:before="0"/>
        <w:rPr>
          <w:rFonts w:ascii="Arial" w:hAnsi="Arial" w:cs="Arial"/>
          <w:szCs w:val="22"/>
        </w:rPr>
      </w:pPr>
      <w:r w:rsidRPr="00735E43">
        <w:rPr>
          <w:rFonts w:ascii="Arial" w:hAnsi="Arial" w:cs="Arial"/>
          <w:szCs w:val="22"/>
        </w:rPr>
        <w:t>Rige a partir del 2 de enero de</w:t>
      </w:r>
      <w:r w:rsidR="00331A8E" w:rsidRPr="00735E43">
        <w:rPr>
          <w:rFonts w:ascii="Arial" w:hAnsi="Arial" w:cs="Arial"/>
          <w:szCs w:val="22"/>
        </w:rPr>
        <w:t>l</w:t>
      </w:r>
      <w:r w:rsidRPr="00735E43">
        <w:rPr>
          <w:rFonts w:ascii="Arial" w:hAnsi="Arial" w:cs="Arial"/>
          <w:szCs w:val="22"/>
        </w:rPr>
        <w:t xml:space="preserve"> 2015.</w:t>
      </w:r>
    </w:p>
    <w:p w:rsidR="009562F3" w:rsidRPr="00735E43" w:rsidRDefault="009562F3" w:rsidP="00BF7713">
      <w:pPr>
        <w:pStyle w:val="Textodereglamento"/>
        <w:spacing w:before="0"/>
        <w:rPr>
          <w:rFonts w:ascii="Arial" w:hAnsi="Arial" w:cs="Arial"/>
          <w:szCs w:val="22"/>
        </w:rPr>
      </w:pPr>
    </w:p>
    <w:p w:rsidR="002E07CA" w:rsidRPr="00735E43" w:rsidRDefault="002E07CA" w:rsidP="006D4348">
      <w:pPr>
        <w:pStyle w:val="Heading1"/>
        <w:keepNext/>
        <w:spacing w:after="0"/>
        <w:jc w:val="both"/>
        <w:rPr>
          <w:rFonts w:ascii="Arial" w:hAnsi="Arial" w:cs="Arial"/>
          <w:sz w:val="22"/>
          <w:szCs w:val="22"/>
        </w:rPr>
      </w:pPr>
      <w:r w:rsidRPr="00735E43">
        <w:rPr>
          <w:rFonts w:ascii="Arial" w:hAnsi="Arial" w:cs="Arial"/>
          <w:sz w:val="22"/>
          <w:szCs w:val="22"/>
        </w:rPr>
        <w:t>Transitorio I.</w:t>
      </w:r>
    </w:p>
    <w:p w:rsidR="002E07CA" w:rsidRPr="00735E43" w:rsidRDefault="002E07CA" w:rsidP="002E07CA">
      <w:pPr>
        <w:pStyle w:val="Textodereglamento"/>
        <w:rPr>
          <w:rFonts w:ascii="Arial" w:hAnsi="Arial" w:cs="Arial"/>
          <w:szCs w:val="22"/>
        </w:rPr>
      </w:pPr>
      <w:r w:rsidRPr="00735E43">
        <w:rPr>
          <w:rFonts w:ascii="Arial" w:hAnsi="Arial" w:cs="Arial"/>
          <w:szCs w:val="22"/>
        </w:rPr>
        <w:t xml:space="preserve">El envío de la información a través de los catálogos del Anexo 3 Reportes de Colocaciones, que se menciona en los artículos 4.a.2 y 4.c.1.i, rige a partir del 2 de marzo de 2015. </w:t>
      </w:r>
    </w:p>
    <w:p w:rsidR="002E07CA" w:rsidRPr="00735E43" w:rsidRDefault="002E07CA" w:rsidP="00031905">
      <w:pPr>
        <w:pStyle w:val="Textodereglamento"/>
        <w:rPr>
          <w:rFonts w:ascii="Arial" w:hAnsi="Arial" w:cs="Arial"/>
          <w:b/>
          <w:szCs w:val="22"/>
        </w:rPr>
      </w:pPr>
    </w:p>
    <w:p w:rsidR="00031905" w:rsidRPr="00735E43" w:rsidRDefault="00031905" w:rsidP="006D4348">
      <w:pPr>
        <w:pStyle w:val="Heading1"/>
        <w:keepNext/>
        <w:spacing w:after="0"/>
        <w:jc w:val="both"/>
        <w:rPr>
          <w:rFonts w:ascii="Arial" w:hAnsi="Arial" w:cs="Arial"/>
          <w:sz w:val="22"/>
          <w:szCs w:val="22"/>
        </w:rPr>
      </w:pPr>
      <w:r w:rsidRPr="00735E43">
        <w:rPr>
          <w:rFonts w:ascii="Arial" w:hAnsi="Arial" w:cs="Arial"/>
          <w:sz w:val="22"/>
          <w:szCs w:val="22"/>
        </w:rPr>
        <w:t>Transitorio I</w:t>
      </w:r>
      <w:r w:rsidR="002E07CA" w:rsidRPr="00735E43">
        <w:rPr>
          <w:rFonts w:ascii="Arial" w:hAnsi="Arial" w:cs="Arial"/>
          <w:sz w:val="22"/>
          <w:szCs w:val="22"/>
        </w:rPr>
        <w:t>I</w:t>
      </w:r>
      <w:r w:rsidRPr="00735E43">
        <w:rPr>
          <w:rFonts w:ascii="Arial" w:hAnsi="Arial" w:cs="Arial"/>
          <w:sz w:val="22"/>
          <w:szCs w:val="22"/>
        </w:rPr>
        <w:t>.</w:t>
      </w:r>
    </w:p>
    <w:p w:rsidR="00031905" w:rsidRPr="00735E43" w:rsidRDefault="00031905" w:rsidP="00031905">
      <w:pPr>
        <w:pStyle w:val="Textodereglamento"/>
        <w:rPr>
          <w:rFonts w:ascii="Arial" w:hAnsi="Arial" w:cs="Arial"/>
          <w:szCs w:val="22"/>
        </w:rPr>
      </w:pPr>
      <w:r w:rsidRPr="00735E43">
        <w:rPr>
          <w:rFonts w:ascii="Arial" w:hAnsi="Arial" w:cs="Arial"/>
          <w:szCs w:val="22"/>
        </w:rPr>
        <w:t xml:space="preserve">La información periódica que deben remitir las sociedades fiduciarias, las sociedades </w:t>
      </w:r>
      <w:proofErr w:type="spellStart"/>
      <w:r w:rsidRPr="00735E43">
        <w:rPr>
          <w:rFonts w:ascii="Arial" w:hAnsi="Arial" w:cs="Arial"/>
          <w:szCs w:val="22"/>
        </w:rPr>
        <w:t>titularizadoras</w:t>
      </w:r>
      <w:proofErr w:type="spellEnd"/>
      <w:r w:rsidRPr="00735E43">
        <w:rPr>
          <w:rFonts w:ascii="Arial" w:hAnsi="Arial" w:cs="Arial"/>
          <w:szCs w:val="22"/>
        </w:rPr>
        <w:t xml:space="preserve"> y las universalidades, así como la nueva información que se requiere a los vehículos de procesos de titularización, se detallan en el artículo 3.a. (sociedades </w:t>
      </w:r>
      <w:proofErr w:type="spellStart"/>
      <w:r w:rsidRPr="00735E43">
        <w:rPr>
          <w:rFonts w:ascii="Arial" w:hAnsi="Arial" w:cs="Arial"/>
          <w:szCs w:val="22"/>
        </w:rPr>
        <w:t>titularizadoras</w:t>
      </w:r>
      <w:proofErr w:type="spellEnd"/>
      <w:r w:rsidRPr="00735E43">
        <w:rPr>
          <w:rFonts w:ascii="Arial" w:hAnsi="Arial" w:cs="Arial"/>
          <w:szCs w:val="22"/>
        </w:rPr>
        <w:t xml:space="preserve"> y fiduciarias) y 3.b.iv. </w:t>
      </w:r>
      <w:proofErr w:type="gramStart"/>
      <w:r w:rsidRPr="00735E43">
        <w:rPr>
          <w:rFonts w:ascii="Arial" w:hAnsi="Arial" w:cs="Arial"/>
          <w:szCs w:val="22"/>
        </w:rPr>
        <w:t>al</w:t>
      </w:r>
      <w:proofErr w:type="gramEnd"/>
      <w:r w:rsidRPr="00735E43">
        <w:rPr>
          <w:rFonts w:ascii="Arial" w:hAnsi="Arial" w:cs="Arial"/>
          <w:szCs w:val="22"/>
        </w:rPr>
        <w:t xml:space="preserve"> 3.b.vi. (Universalidades); artículo 4.a.1 (fideicomisos de procesos de titularización) y artículo 4.c.1.iii (fondos de procesos de titularización), se debe remitir mediante el sistema de mensajería de documentos electrónicos (MENDOCEL) hasta la información con fecha de corte al 31 de marzo del 2015, posteriormente se remitirá de acuerdo con los medios de suministro de información dispuestos en la hoja “Tipo de entidad: “</w:t>
      </w:r>
      <w:proofErr w:type="spellStart"/>
      <w:r w:rsidRPr="00735E43">
        <w:rPr>
          <w:rFonts w:ascii="Arial" w:hAnsi="Arial" w:cs="Arial"/>
          <w:szCs w:val="22"/>
        </w:rPr>
        <w:t>Titularizadoras</w:t>
      </w:r>
      <w:proofErr w:type="spellEnd"/>
      <w:r w:rsidRPr="00735E43">
        <w:rPr>
          <w:rFonts w:ascii="Arial" w:hAnsi="Arial" w:cs="Arial"/>
          <w:szCs w:val="22"/>
        </w:rPr>
        <w:t>, Universalidades y Fiduciarias” del Cuadro de Información Periódica.</w:t>
      </w:r>
    </w:p>
    <w:p w:rsidR="002E07CA" w:rsidRPr="00735E43" w:rsidRDefault="002E07CA" w:rsidP="00031905">
      <w:pPr>
        <w:pStyle w:val="Textodereglamento"/>
        <w:rPr>
          <w:rFonts w:ascii="Arial" w:hAnsi="Arial" w:cs="Arial"/>
          <w:szCs w:val="22"/>
        </w:rPr>
      </w:pPr>
    </w:p>
    <w:p w:rsidR="00031905" w:rsidRPr="00735E43" w:rsidRDefault="00031905" w:rsidP="006D4348">
      <w:pPr>
        <w:pStyle w:val="Heading1"/>
        <w:keepNext/>
        <w:spacing w:after="0"/>
        <w:jc w:val="both"/>
        <w:rPr>
          <w:rFonts w:ascii="Arial" w:hAnsi="Arial" w:cs="Arial"/>
          <w:sz w:val="22"/>
          <w:szCs w:val="22"/>
        </w:rPr>
      </w:pPr>
      <w:r w:rsidRPr="00735E43">
        <w:rPr>
          <w:rFonts w:ascii="Arial" w:hAnsi="Arial" w:cs="Arial"/>
          <w:sz w:val="22"/>
          <w:szCs w:val="22"/>
        </w:rPr>
        <w:t>Transitorio III.</w:t>
      </w:r>
    </w:p>
    <w:p w:rsidR="00031905" w:rsidRPr="00735E43" w:rsidRDefault="00031905" w:rsidP="00031905">
      <w:pPr>
        <w:pStyle w:val="Textodereglamento"/>
        <w:rPr>
          <w:rFonts w:ascii="Arial" w:hAnsi="Arial" w:cs="Arial"/>
          <w:szCs w:val="22"/>
        </w:rPr>
      </w:pPr>
      <w:r w:rsidRPr="00735E43">
        <w:rPr>
          <w:rFonts w:ascii="Arial" w:hAnsi="Arial" w:cs="Arial"/>
          <w:szCs w:val="22"/>
        </w:rPr>
        <w:t xml:space="preserve">Las modificaciones señaladas en los artículos 4.a.3 (reportes de Emisores de Valores), 4.b (reportes de Bolsas de Valores y Centrales de Valores), 4.c.1.ii y 4.c.2 (reporte de Concentración de inversionistas de Fondos de Inversión), rigen a partir de la información con fecha de corte al </w:t>
      </w:r>
      <w:r w:rsidR="001B514A" w:rsidRPr="00735E43">
        <w:rPr>
          <w:rFonts w:ascii="Arial" w:hAnsi="Arial" w:cs="Arial"/>
          <w:szCs w:val="22"/>
        </w:rPr>
        <w:t>31 de marzo</w:t>
      </w:r>
      <w:r w:rsidRPr="00735E43">
        <w:rPr>
          <w:rFonts w:ascii="Arial" w:hAnsi="Arial" w:cs="Arial"/>
          <w:szCs w:val="22"/>
        </w:rPr>
        <w:t xml:space="preserve"> del 2015.</w:t>
      </w:r>
    </w:p>
    <w:p w:rsidR="008962A3" w:rsidRPr="00735E43" w:rsidRDefault="008962A3" w:rsidP="00BF7713">
      <w:pPr>
        <w:pStyle w:val="Textodereglamento"/>
        <w:spacing w:before="0"/>
        <w:rPr>
          <w:rFonts w:ascii="Arial" w:hAnsi="Arial" w:cs="Arial"/>
          <w:szCs w:val="22"/>
        </w:rPr>
      </w:pPr>
    </w:p>
    <w:p w:rsidR="00B92DCA" w:rsidRPr="00735E43" w:rsidRDefault="00B92DCA" w:rsidP="00BF7713">
      <w:pPr>
        <w:pStyle w:val="Textodereglamento"/>
        <w:spacing w:before="0"/>
        <w:rPr>
          <w:rFonts w:ascii="Arial" w:hAnsi="Arial" w:cs="Arial"/>
          <w:szCs w:val="22"/>
        </w:rPr>
      </w:pPr>
      <w:r w:rsidRPr="00735E43">
        <w:rPr>
          <w:rFonts w:ascii="Arial" w:eastAsia="Calibri" w:hAnsi="Arial" w:cs="Arial"/>
          <w:noProof/>
          <w:szCs w:val="22"/>
          <w:lang w:val="es-CR" w:eastAsia="es-CR"/>
        </w:rPr>
        <w:drawing>
          <wp:inline distT="0" distB="0" distL="0" distR="0" wp14:anchorId="47B1594F" wp14:editId="79BBF56D">
            <wp:extent cx="2733675" cy="333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733675" cy="333375"/>
                    </a:xfrm>
                    <a:prstGeom prst="rect">
                      <a:avLst/>
                    </a:prstGeom>
                    <a:noFill/>
                    <a:ln>
                      <a:noFill/>
                    </a:ln>
                  </pic:spPr>
                </pic:pic>
              </a:graphicData>
            </a:graphic>
          </wp:inline>
        </w:drawing>
      </w:r>
    </w:p>
    <w:sectPr w:rsidR="00B92DCA" w:rsidRPr="00735E43" w:rsidSect="00046E2D">
      <w:headerReference w:type="default" r:id="rId42"/>
      <w:footerReference w:type="even" r:id="rId43"/>
      <w:footerReference w:type="default" r:id="rId44"/>
      <w:type w:val="continuous"/>
      <w:pgSz w:w="12242" w:h="15842" w:code="1"/>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AA2" w:rsidRDefault="005E0AA2">
      <w:r>
        <w:separator/>
      </w:r>
    </w:p>
  </w:endnote>
  <w:endnote w:type="continuationSeparator" w:id="0">
    <w:p w:rsidR="005E0AA2" w:rsidRDefault="005E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A2" w:rsidRDefault="005E0A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5E0AA2" w:rsidRDefault="005E0A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987635"/>
      <w:docPartObj>
        <w:docPartGallery w:val="Page Numbers (Bottom of Page)"/>
        <w:docPartUnique/>
      </w:docPartObj>
    </w:sdtPr>
    <w:sdtEndPr>
      <w:rPr>
        <w:rFonts w:ascii="Arial" w:hAnsi="Arial" w:cs="Arial"/>
        <w:color w:val="1B75BB"/>
        <w:spacing w:val="60"/>
      </w:rPr>
    </w:sdtEndPr>
    <w:sdtContent>
      <w:p w:rsidR="005E0AA2" w:rsidRPr="006D4348" w:rsidRDefault="005E0AA2">
        <w:pPr>
          <w:pStyle w:val="Footer"/>
          <w:pBdr>
            <w:top w:val="single" w:sz="4" w:space="1" w:color="D9D9D9" w:themeColor="background1" w:themeShade="D9"/>
          </w:pBdr>
          <w:rPr>
            <w:rFonts w:ascii="Arial" w:hAnsi="Arial" w:cs="Arial"/>
            <w:b/>
            <w:bCs/>
            <w:color w:val="1B75BB"/>
          </w:rPr>
        </w:pPr>
        <w:r w:rsidRPr="006D4348">
          <w:rPr>
            <w:rFonts w:ascii="Arial" w:hAnsi="Arial" w:cs="Arial"/>
            <w:color w:val="1B75BB"/>
          </w:rPr>
          <w:fldChar w:fldCharType="begin"/>
        </w:r>
        <w:r w:rsidRPr="006D4348">
          <w:rPr>
            <w:rFonts w:ascii="Arial" w:hAnsi="Arial" w:cs="Arial"/>
            <w:color w:val="1B75BB"/>
          </w:rPr>
          <w:instrText xml:space="preserve"> PAGE   \* MERGEFORMAT </w:instrText>
        </w:r>
        <w:r w:rsidRPr="006D4348">
          <w:rPr>
            <w:rFonts w:ascii="Arial" w:hAnsi="Arial" w:cs="Arial"/>
            <w:color w:val="1B75BB"/>
          </w:rPr>
          <w:fldChar w:fldCharType="separate"/>
        </w:r>
        <w:r w:rsidR="008F1449" w:rsidRPr="008F1449">
          <w:rPr>
            <w:rFonts w:ascii="Arial" w:hAnsi="Arial" w:cs="Arial"/>
            <w:b/>
            <w:bCs/>
            <w:noProof/>
            <w:color w:val="1B75BB"/>
          </w:rPr>
          <w:t>2</w:t>
        </w:r>
        <w:r w:rsidRPr="006D4348">
          <w:rPr>
            <w:rFonts w:ascii="Arial" w:hAnsi="Arial" w:cs="Arial"/>
            <w:b/>
            <w:bCs/>
            <w:noProof/>
            <w:color w:val="1B75BB"/>
          </w:rPr>
          <w:fldChar w:fldCharType="end"/>
        </w:r>
        <w:r w:rsidRPr="006D4348">
          <w:rPr>
            <w:rFonts w:ascii="Arial" w:hAnsi="Arial" w:cs="Arial"/>
            <w:b/>
            <w:bCs/>
            <w:color w:val="1B75BB"/>
          </w:rPr>
          <w:t xml:space="preserve"> | </w:t>
        </w:r>
      </w:p>
    </w:sdtContent>
  </w:sdt>
  <w:p w:rsidR="005E0AA2" w:rsidRDefault="005E0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AA2" w:rsidRDefault="005E0AA2">
      <w:r>
        <w:separator/>
      </w:r>
    </w:p>
  </w:footnote>
  <w:footnote w:type="continuationSeparator" w:id="0">
    <w:p w:rsidR="005E0AA2" w:rsidRDefault="005E0AA2">
      <w:r>
        <w:continuationSeparator/>
      </w:r>
    </w:p>
  </w:footnote>
  <w:footnote w:id="1">
    <w:p w:rsidR="005E0AA2" w:rsidRPr="00DF52FF" w:rsidRDefault="005E0AA2" w:rsidP="00046E2D">
      <w:pPr>
        <w:widowControl w:val="0"/>
        <w:tabs>
          <w:tab w:val="left" w:pos="2835"/>
        </w:tabs>
        <w:jc w:val="both"/>
        <w:outlineLvl w:val="0"/>
        <w:rPr>
          <w:rFonts w:ascii="Arial" w:hAnsi="Arial" w:cs="Arial"/>
          <w:lang w:val="es-ES_tradnl"/>
        </w:rPr>
      </w:pPr>
      <w:r w:rsidRPr="00735E43">
        <w:rPr>
          <w:rStyle w:val="FootnoteReference"/>
          <w:rFonts w:ascii="Arial" w:hAnsi="Arial" w:cs="Arial"/>
        </w:rPr>
        <w:footnoteRef/>
      </w:r>
      <w:r w:rsidRPr="00735E43">
        <w:rPr>
          <w:rFonts w:ascii="Arial" w:hAnsi="Arial" w:cs="Arial"/>
        </w:rPr>
        <w:t xml:space="preserve"> </w:t>
      </w:r>
      <w:r w:rsidRPr="00735E43">
        <w:rPr>
          <w:rFonts w:ascii="Arial" w:hAnsi="Arial" w:cs="Arial"/>
          <w:bCs/>
          <w:iCs/>
          <w:noProof/>
          <w:szCs w:val="22"/>
          <w:lang w:val="es-ES_tradnl" w:eastAsia="en-US"/>
        </w:rPr>
        <w:t>Superintendencia General de Valores.  Despacho del Superintendente. A las doce horas del dieciocho de diciembre del dos mil catorce.</w:t>
      </w:r>
      <w:r>
        <w:rPr>
          <w:rFonts w:ascii="Arial" w:hAnsi="Arial" w:cs="Arial"/>
          <w:bCs/>
          <w:iCs/>
          <w:noProof/>
          <w:szCs w:val="22"/>
          <w:lang w:val="es-ES_tradnl" w:eastAsia="en-US"/>
        </w:rPr>
        <w:t xml:space="preserve"> Publicado en el Diario Oficial La Gaceta No. </w:t>
      </w:r>
      <w:r w:rsidRPr="00046E2D">
        <w:rPr>
          <w:rFonts w:ascii="Arial" w:hAnsi="Arial" w:cs="Arial"/>
          <w:bCs/>
          <w:iCs/>
          <w:noProof/>
          <w:szCs w:val="22"/>
          <w:lang w:val="es-ES_tradnl" w:eastAsia="en-US"/>
        </w:rPr>
        <w:t>116 17</w:t>
      </w:r>
      <w:r>
        <w:rPr>
          <w:rFonts w:ascii="Arial" w:hAnsi="Arial" w:cs="Arial"/>
          <w:bCs/>
          <w:iCs/>
          <w:noProof/>
          <w:szCs w:val="22"/>
          <w:lang w:val="es-ES_tradnl" w:eastAsia="en-US"/>
        </w:rPr>
        <w:t xml:space="preserve"> de junio del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AA2" w:rsidRDefault="005E0AA2" w:rsidP="00735E43">
    <w:pPr>
      <w:pStyle w:val="Header"/>
      <w:jc w:val="right"/>
    </w:pPr>
    <w:r>
      <w:rPr>
        <w:rFonts w:ascii="Calibri" w:hAnsi="Calibri" w:cs="Arial"/>
        <w:bCs/>
        <w:i/>
        <w:noProof/>
        <w:sz w:val="20"/>
        <w:szCs w:val="20"/>
        <w:lang w:val="es-CR" w:eastAsia="es-CR"/>
      </w:rPr>
      <w:drawing>
        <wp:inline distT="0" distB="0" distL="0" distR="0" wp14:anchorId="3A71FDF3" wp14:editId="422815E4">
          <wp:extent cx="1581150" cy="390525"/>
          <wp:effectExtent l="0" t="0" r="0" b="9525"/>
          <wp:docPr id="47" name="Picture 47"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geval-Pequeñ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rsidR="005E0AA2" w:rsidRDefault="005E0AA2" w:rsidP="00735E43">
    <w:pPr>
      <w:pStyle w:val="Header"/>
      <w:jc w:val="right"/>
    </w:pPr>
    <w:r>
      <w:rPr>
        <w:noProof/>
        <w:lang w:val="es-CR" w:eastAsia="es-CR"/>
      </w:rPr>
      <mc:AlternateContent>
        <mc:Choice Requires="wps">
          <w:drawing>
            <wp:anchor distT="4294967293" distB="4294967293" distL="114300" distR="114300" simplePos="0" relativeHeight="251659264" behindDoc="0" locked="0" layoutInCell="1" allowOverlap="1" wp14:anchorId="3CB86BE8" wp14:editId="0A107721">
              <wp:simplePos x="0" y="0"/>
              <wp:positionH relativeFrom="margin">
                <wp:posOffset>0</wp:posOffset>
              </wp:positionH>
              <wp:positionV relativeFrom="paragraph">
                <wp:posOffset>-635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E140" id="Straight Connector 4" o:spid="_x0000_s1026" style="position:absolute;flip:y;z-index:251659264;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from="0,-.05pt" to="42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" strokecolor="#1b75bb" strokeweight="1.5pt">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0295"/>
    <w:multiLevelType w:val="hybridMultilevel"/>
    <w:tmpl w:val="9440DC7E"/>
    <w:lvl w:ilvl="0" w:tplc="140A0001">
      <w:start w:val="1"/>
      <w:numFmt w:val="bullet"/>
      <w:lvlText w:val=""/>
      <w:lvlJc w:val="left"/>
      <w:pPr>
        <w:ind w:left="1800" w:hanging="360"/>
      </w:pPr>
      <w:rPr>
        <w:rFonts w:ascii="Symbol" w:hAnsi="Symbol"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 w15:restartNumberingAfterBreak="0">
    <w:nsid w:val="04E32A0C"/>
    <w:multiLevelType w:val="hybridMultilevel"/>
    <w:tmpl w:val="6C4AF00C"/>
    <w:lvl w:ilvl="0" w:tplc="819CD3D2">
      <w:start w:val="1"/>
      <w:numFmt w:val="decimal"/>
      <w:pStyle w:val="Numeracin"/>
      <w:lvlText w:val="%1."/>
      <w:lvlJc w:val="left"/>
      <w:pPr>
        <w:ind w:left="720" w:hanging="360"/>
      </w:pPr>
      <w:rPr>
        <w:b w:val="0"/>
        <w:lang w:val="es-CR"/>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1C71"/>
    <w:multiLevelType w:val="hybridMultilevel"/>
    <w:tmpl w:val="A55E7CC0"/>
    <w:lvl w:ilvl="0" w:tplc="140A001B">
      <w:start w:val="1"/>
      <w:numFmt w:val="lowerRoman"/>
      <w:lvlText w:val="%1."/>
      <w:lvlJc w:val="right"/>
      <w:pPr>
        <w:ind w:left="1800" w:hanging="360"/>
      </w:pPr>
      <w:rPr>
        <w:rFonts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3" w15:restartNumberingAfterBreak="0">
    <w:nsid w:val="18D1494D"/>
    <w:multiLevelType w:val="hybridMultilevel"/>
    <w:tmpl w:val="92AC5706"/>
    <w:lvl w:ilvl="0" w:tplc="140A001B">
      <w:start w:val="1"/>
      <w:numFmt w:val="lowerRoman"/>
      <w:lvlText w:val="%1."/>
      <w:lvlJc w:val="right"/>
      <w:pPr>
        <w:ind w:left="2340" w:hanging="360"/>
      </w:pPr>
    </w:lvl>
    <w:lvl w:ilvl="1" w:tplc="140A0019" w:tentative="1">
      <w:start w:val="1"/>
      <w:numFmt w:val="lowerLetter"/>
      <w:lvlText w:val="%2."/>
      <w:lvlJc w:val="left"/>
      <w:pPr>
        <w:ind w:left="3060" w:hanging="360"/>
      </w:pPr>
    </w:lvl>
    <w:lvl w:ilvl="2" w:tplc="140A001B" w:tentative="1">
      <w:start w:val="1"/>
      <w:numFmt w:val="lowerRoman"/>
      <w:lvlText w:val="%3."/>
      <w:lvlJc w:val="right"/>
      <w:pPr>
        <w:ind w:left="3780" w:hanging="180"/>
      </w:pPr>
    </w:lvl>
    <w:lvl w:ilvl="3" w:tplc="140A000F" w:tentative="1">
      <w:start w:val="1"/>
      <w:numFmt w:val="decimal"/>
      <w:lvlText w:val="%4."/>
      <w:lvlJc w:val="left"/>
      <w:pPr>
        <w:ind w:left="4500" w:hanging="360"/>
      </w:pPr>
    </w:lvl>
    <w:lvl w:ilvl="4" w:tplc="140A0019" w:tentative="1">
      <w:start w:val="1"/>
      <w:numFmt w:val="lowerLetter"/>
      <w:lvlText w:val="%5."/>
      <w:lvlJc w:val="left"/>
      <w:pPr>
        <w:ind w:left="5220" w:hanging="360"/>
      </w:pPr>
    </w:lvl>
    <w:lvl w:ilvl="5" w:tplc="140A001B" w:tentative="1">
      <w:start w:val="1"/>
      <w:numFmt w:val="lowerRoman"/>
      <w:lvlText w:val="%6."/>
      <w:lvlJc w:val="right"/>
      <w:pPr>
        <w:ind w:left="5940" w:hanging="180"/>
      </w:pPr>
    </w:lvl>
    <w:lvl w:ilvl="6" w:tplc="140A000F" w:tentative="1">
      <w:start w:val="1"/>
      <w:numFmt w:val="decimal"/>
      <w:lvlText w:val="%7."/>
      <w:lvlJc w:val="left"/>
      <w:pPr>
        <w:ind w:left="6660" w:hanging="360"/>
      </w:pPr>
    </w:lvl>
    <w:lvl w:ilvl="7" w:tplc="140A0019" w:tentative="1">
      <w:start w:val="1"/>
      <w:numFmt w:val="lowerLetter"/>
      <w:lvlText w:val="%8."/>
      <w:lvlJc w:val="left"/>
      <w:pPr>
        <w:ind w:left="7380" w:hanging="360"/>
      </w:pPr>
    </w:lvl>
    <w:lvl w:ilvl="8" w:tplc="140A001B" w:tentative="1">
      <w:start w:val="1"/>
      <w:numFmt w:val="lowerRoman"/>
      <w:lvlText w:val="%9."/>
      <w:lvlJc w:val="right"/>
      <w:pPr>
        <w:ind w:left="8100" w:hanging="180"/>
      </w:pPr>
    </w:lvl>
  </w:abstractNum>
  <w:abstractNum w:abstractNumId="4" w15:restartNumberingAfterBreak="0">
    <w:nsid w:val="1C7B5673"/>
    <w:multiLevelType w:val="hybridMultilevel"/>
    <w:tmpl w:val="D4EC0AEC"/>
    <w:lvl w:ilvl="0" w:tplc="0409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D4F0D75"/>
    <w:multiLevelType w:val="multilevel"/>
    <w:tmpl w:val="D9A8AF14"/>
    <w:lvl w:ilvl="0">
      <w:start w:val="1"/>
      <w:numFmt w:val="decimal"/>
      <w:lvlText w:val="%1)"/>
      <w:lvlJc w:val="left"/>
      <w:pPr>
        <w:ind w:left="1068" w:hanging="360"/>
      </w:pPr>
      <w:rPr>
        <w:rFonts w:hint="default"/>
      </w:rPr>
    </w:lvl>
    <w:lvl w:ilvl="1">
      <w:start w:val="1"/>
      <w:numFmt w:val="lowerLetter"/>
      <w:lvlText w:val="%2)"/>
      <w:lvlJc w:val="left"/>
      <w:pPr>
        <w:ind w:left="1428" w:hanging="360"/>
      </w:pPr>
      <w:rPr>
        <w:b/>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6" w15:restartNumberingAfterBreak="0">
    <w:nsid w:val="1E0F6894"/>
    <w:multiLevelType w:val="hybridMultilevel"/>
    <w:tmpl w:val="841A7ACE"/>
    <w:lvl w:ilvl="0" w:tplc="140A0019">
      <w:start w:val="1"/>
      <w:numFmt w:val="lowerLetter"/>
      <w:lvlText w:val="%1."/>
      <w:lvlJc w:val="left"/>
      <w:pPr>
        <w:ind w:left="720" w:hanging="360"/>
      </w:pPr>
    </w:lvl>
    <w:lvl w:ilvl="1" w:tplc="140A000F">
      <w:start w:val="1"/>
      <w:numFmt w:val="decimal"/>
      <w:lvlText w:val="%2."/>
      <w:lvlJc w:val="left"/>
      <w:pPr>
        <w:ind w:left="1440" w:hanging="360"/>
      </w:pPr>
      <w:rPr>
        <w:b/>
      </w:r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F066FE8"/>
    <w:multiLevelType w:val="hybridMultilevel"/>
    <w:tmpl w:val="C0146E68"/>
    <w:lvl w:ilvl="0" w:tplc="83A012CA">
      <w:start w:val="1"/>
      <w:numFmt w:val="lowerLetter"/>
      <w:lvlText w:val="%1)"/>
      <w:lvlJc w:val="left"/>
      <w:pPr>
        <w:ind w:left="1065" w:hanging="705"/>
      </w:pPr>
      <w:rPr>
        <w:rFonts w:hint="default"/>
        <w:b/>
      </w:rPr>
    </w:lvl>
    <w:lvl w:ilvl="1" w:tplc="140A0019">
      <w:start w:val="1"/>
      <w:numFmt w:val="lowerLetter"/>
      <w:lvlText w:val="%2."/>
      <w:lvlJc w:val="left"/>
      <w:pPr>
        <w:ind w:left="171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8627CC8"/>
    <w:multiLevelType w:val="multilevel"/>
    <w:tmpl w:val="51FA57EC"/>
    <w:lvl w:ilvl="0">
      <w:start w:val="1"/>
      <w:numFmt w:val="decimal"/>
      <w:lvlText w:val="%1)"/>
      <w:lvlJc w:val="left"/>
      <w:pPr>
        <w:ind w:left="1068" w:hanging="360"/>
      </w:pPr>
      <w:rPr>
        <w:rFonts w:hint="default"/>
      </w:rPr>
    </w:lvl>
    <w:lvl w:ilvl="1">
      <w:start w:val="1"/>
      <w:numFmt w:val="lowerLetter"/>
      <w:lvlText w:val="%2)"/>
      <w:lvlJc w:val="left"/>
      <w:pPr>
        <w:ind w:left="1428" w:hanging="360"/>
      </w:pPr>
      <w:rPr>
        <w:b/>
      </w:rPr>
    </w:lvl>
    <w:lvl w:ilvl="2">
      <w:start w:val="1"/>
      <w:numFmt w:val="lowerRoman"/>
      <w:lvlText w:val="%3)"/>
      <w:lvlJc w:val="left"/>
      <w:pPr>
        <w:ind w:left="1788" w:hanging="360"/>
      </w:pPr>
    </w:lvl>
    <w:lvl w:ilvl="3">
      <w:start w:val="1"/>
      <w:numFmt w:val="decimal"/>
      <w:lvlText w:val="(%4)"/>
      <w:lvlJc w:val="left"/>
      <w:pPr>
        <w:ind w:left="2148" w:hanging="360"/>
      </w:pPr>
      <w:rPr>
        <w:b w:val="0"/>
      </w:r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 w15:restartNumberingAfterBreak="0">
    <w:nsid w:val="34EF640B"/>
    <w:multiLevelType w:val="multilevel"/>
    <w:tmpl w:val="D21E48BA"/>
    <w:lvl w:ilvl="0">
      <w:start w:val="1"/>
      <w:numFmt w:val="decimal"/>
      <w:lvlText w:val="%1)"/>
      <w:lvlJc w:val="left"/>
      <w:pPr>
        <w:ind w:left="1776" w:hanging="360"/>
      </w:pPr>
      <w:rPr>
        <w:rFonts w:hint="default"/>
      </w:rPr>
    </w:lvl>
    <w:lvl w:ilvl="1">
      <w:start w:val="1"/>
      <w:numFmt w:val="lowerLetter"/>
      <w:lvlText w:val="%2)"/>
      <w:lvlJc w:val="left"/>
      <w:pPr>
        <w:ind w:left="2136" w:hanging="360"/>
      </w:pPr>
      <w:rPr>
        <w:rFonts w:hint="default"/>
        <w:b/>
      </w:rPr>
    </w:lvl>
    <w:lvl w:ilvl="2">
      <w:start w:val="1"/>
      <w:numFmt w:val="lowerRoman"/>
      <w:lvlText w:val="%3)"/>
      <w:lvlJc w:val="left"/>
      <w:pPr>
        <w:ind w:left="2496" w:hanging="360"/>
      </w:pPr>
      <w:rPr>
        <w:rFonts w:hint="default"/>
      </w:rPr>
    </w:lvl>
    <w:lvl w:ilvl="3">
      <w:start w:val="1"/>
      <w:numFmt w:val="decimal"/>
      <w:lvlText w:val="(%4)"/>
      <w:lvlJc w:val="left"/>
      <w:pPr>
        <w:ind w:left="2856" w:hanging="360"/>
      </w:pPr>
      <w:rPr>
        <w:rFonts w:hint="default"/>
      </w:rPr>
    </w:lvl>
    <w:lvl w:ilvl="4">
      <w:start w:val="1"/>
      <w:numFmt w:val="lowerLetter"/>
      <w:lvlText w:val="(%5)"/>
      <w:lvlJc w:val="left"/>
      <w:pPr>
        <w:ind w:left="3216" w:hanging="360"/>
      </w:pPr>
      <w:rPr>
        <w:rFonts w:hint="default"/>
      </w:rPr>
    </w:lvl>
    <w:lvl w:ilvl="5">
      <w:start w:val="1"/>
      <w:numFmt w:val="lowerRoman"/>
      <w:lvlText w:val="(%6)"/>
      <w:lvlJc w:val="left"/>
      <w:pPr>
        <w:ind w:left="3576" w:hanging="360"/>
      </w:pPr>
      <w:rPr>
        <w:rFonts w:hint="default"/>
      </w:rPr>
    </w:lvl>
    <w:lvl w:ilvl="6">
      <w:start w:val="1"/>
      <w:numFmt w:val="decimal"/>
      <w:lvlText w:val="%7."/>
      <w:lvlJc w:val="left"/>
      <w:pPr>
        <w:ind w:left="3936" w:hanging="360"/>
      </w:pPr>
      <w:rPr>
        <w:rFonts w:hint="default"/>
      </w:rPr>
    </w:lvl>
    <w:lvl w:ilvl="7">
      <w:start w:val="1"/>
      <w:numFmt w:val="lowerLetter"/>
      <w:lvlText w:val="%8."/>
      <w:lvlJc w:val="left"/>
      <w:pPr>
        <w:ind w:left="4296" w:hanging="360"/>
      </w:pPr>
      <w:rPr>
        <w:rFonts w:hint="default"/>
      </w:rPr>
    </w:lvl>
    <w:lvl w:ilvl="8">
      <w:start w:val="1"/>
      <w:numFmt w:val="lowerRoman"/>
      <w:lvlText w:val="%9."/>
      <w:lvlJc w:val="left"/>
      <w:pPr>
        <w:ind w:left="4656" w:hanging="360"/>
      </w:pPr>
      <w:rPr>
        <w:rFonts w:hint="default"/>
      </w:rPr>
    </w:lvl>
  </w:abstractNum>
  <w:abstractNum w:abstractNumId="10" w15:restartNumberingAfterBreak="0">
    <w:nsid w:val="38EB5F95"/>
    <w:multiLevelType w:val="hybridMultilevel"/>
    <w:tmpl w:val="2744C4A0"/>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1" w15:restartNumberingAfterBreak="0">
    <w:nsid w:val="3EE47B10"/>
    <w:multiLevelType w:val="hybridMultilevel"/>
    <w:tmpl w:val="E722A46A"/>
    <w:lvl w:ilvl="0" w:tplc="140A001B">
      <w:start w:val="1"/>
      <w:numFmt w:val="lowerRoman"/>
      <w:lvlText w:val="%1."/>
      <w:lvlJc w:val="right"/>
      <w:pPr>
        <w:ind w:left="1800" w:hanging="360"/>
      </w:pPr>
      <w:rPr>
        <w:rFonts w:hint="default"/>
      </w:rPr>
    </w:lvl>
    <w:lvl w:ilvl="1" w:tplc="140A0003" w:tentative="1">
      <w:start w:val="1"/>
      <w:numFmt w:val="bullet"/>
      <w:lvlText w:val="o"/>
      <w:lvlJc w:val="left"/>
      <w:pPr>
        <w:ind w:left="2520" w:hanging="360"/>
      </w:pPr>
      <w:rPr>
        <w:rFonts w:ascii="Courier New" w:hAnsi="Courier New" w:cs="Courier New" w:hint="default"/>
      </w:rPr>
    </w:lvl>
    <w:lvl w:ilvl="2" w:tplc="140A0005" w:tentative="1">
      <w:start w:val="1"/>
      <w:numFmt w:val="bullet"/>
      <w:lvlText w:val=""/>
      <w:lvlJc w:val="left"/>
      <w:pPr>
        <w:ind w:left="3240" w:hanging="360"/>
      </w:pPr>
      <w:rPr>
        <w:rFonts w:ascii="Wingdings" w:hAnsi="Wingdings" w:hint="default"/>
      </w:rPr>
    </w:lvl>
    <w:lvl w:ilvl="3" w:tplc="140A0001" w:tentative="1">
      <w:start w:val="1"/>
      <w:numFmt w:val="bullet"/>
      <w:lvlText w:val=""/>
      <w:lvlJc w:val="left"/>
      <w:pPr>
        <w:ind w:left="3960" w:hanging="360"/>
      </w:pPr>
      <w:rPr>
        <w:rFonts w:ascii="Symbol" w:hAnsi="Symbol" w:hint="default"/>
      </w:rPr>
    </w:lvl>
    <w:lvl w:ilvl="4" w:tplc="140A0003" w:tentative="1">
      <w:start w:val="1"/>
      <w:numFmt w:val="bullet"/>
      <w:lvlText w:val="o"/>
      <w:lvlJc w:val="left"/>
      <w:pPr>
        <w:ind w:left="4680" w:hanging="360"/>
      </w:pPr>
      <w:rPr>
        <w:rFonts w:ascii="Courier New" w:hAnsi="Courier New" w:cs="Courier New" w:hint="default"/>
      </w:rPr>
    </w:lvl>
    <w:lvl w:ilvl="5" w:tplc="140A0005" w:tentative="1">
      <w:start w:val="1"/>
      <w:numFmt w:val="bullet"/>
      <w:lvlText w:val=""/>
      <w:lvlJc w:val="left"/>
      <w:pPr>
        <w:ind w:left="5400" w:hanging="360"/>
      </w:pPr>
      <w:rPr>
        <w:rFonts w:ascii="Wingdings" w:hAnsi="Wingdings" w:hint="default"/>
      </w:rPr>
    </w:lvl>
    <w:lvl w:ilvl="6" w:tplc="140A0001" w:tentative="1">
      <w:start w:val="1"/>
      <w:numFmt w:val="bullet"/>
      <w:lvlText w:val=""/>
      <w:lvlJc w:val="left"/>
      <w:pPr>
        <w:ind w:left="6120" w:hanging="360"/>
      </w:pPr>
      <w:rPr>
        <w:rFonts w:ascii="Symbol" w:hAnsi="Symbol" w:hint="default"/>
      </w:rPr>
    </w:lvl>
    <w:lvl w:ilvl="7" w:tplc="140A0003" w:tentative="1">
      <w:start w:val="1"/>
      <w:numFmt w:val="bullet"/>
      <w:lvlText w:val="o"/>
      <w:lvlJc w:val="left"/>
      <w:pPr>
        <w:ind w:left="6840" w:hanging="360"/>
      </w:pPr>
      <w:rPr>
        <w:rFonts w:ascii="Courier New" w:hAnsi="Courier New" w:cs="Courier New" w:hint="default"/>
      </w:rPr>
    </w:lvl>
    <w:lvl w:ilvl="8" w:tplc="140A0005" w:tentative="1">
      <w:start w:val="1"/>
      <w:numFmt w:val="bullet"/>
      <w:lvlText w:val=""/>
      <w:lvlJc w:val="left"/>
      <w:pPr>
        <w:ind w:left="7560" w:hanging="360"/>
      </w:pPr>
      <w:rPr>
        <w:rFonts w:ascii="Wingdings" w:hAnsi="Wingdings" w:hint="default"/>
      </w:rPr>
    </w:lvl>
  </w:abstractNum>
  <w:abstractNum w:abstractNumId="12" w15:restartNumberingAfterBreak="0">
    <w:nsid w:val="3F346C2E"/>
    <w:multiLevelType w:val="hybridMultilevel"/>
    <w:tmpl w:val="34448716"/>
    <w:lvl w:ilvl="0" w:tplc="31A0341A">
      <w:start w:val="1"/>
      <w:numFmt w:val="lowerLetter"/>
      <w:pStyle w:val="incisos"/>
      <w:lvlText w:val="%1)"/>
      <w:lvlJc w:val="left"/>
      <w:pPr>
        <w:tabs>
          <w:tab w:val="num" w:pos="609"/>
        </w:tabs>
        <w:ind w:left="609" w:hanging="339"/>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AD3E5D"/>
    <w:multiLevelType w:val="hybridMultilevel"/>
    <w:tmpl w:val="76146F78"/>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4A7E17A5"/>
    <w:multiLevelType w:val="hybridMultilevel"/>
    <w:tmpl w:val="3FE20D5C"/>
    <w:lvl w:ilvl="0" w:tplc="0400C644">
      <w:start w:val="1"/>
      <w:numFmt w:val="decimal"/>
      <w:pStyle w:val="ANEXONumeraci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4303B7"/>
    <w:multiLevelType w:val="multilevel"/>
    <w:tmpl w:val="D9A8AF14"/>
    <w:lvl w:ilvl="0">
      <w:start w:val="1"/>
      <w:numFmt w:val="decimal"/>
      <w:lvlText w:val="%1)"/>
      <w:lvlJc w:val="left"/>
      <w:pPr>
        <w:ind w:left="1068" w:hanging="360"/>
      </w:pPr>
      <w:rPr>
        <w:rFonts w:hint="default"/>
      </w:rPr>
    </w:lvl>
    <w:lvl w:ilvl="1">
      <w:start w:val="1"/>
      <w:numFmt w:val="lowerLetter"/>
      <w:lvlText w:val="%2)"/>
      <w:lvlJc w:val="left"/>
      <w:pPr>
        <w:ind w:left="1428" w:hanging="360"/>
      </w:pPr>
      <w:rPr>
        <w:b/>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16" w15:restartNumberingAfterBreak="0">
    <w:nsid w:val="4ED50A52"/>
    <w:multiLevelType w:val="hybridMultilevel"/>
    <w:tmpl w:val="B85E8EB4"/>
    <w:lvl w:ilvl="0" w:tplc="D4CC4FE6">
      <w:start w:val="1"/>
      <w:numFmt w:val="upperLetter"/>
      <w:pStyle w:val="Heading5"/>
      <w:lvlText w:val="%1."/>
      <w:lvlJc w:val="left"/>
      <w:pPr>
        <w:ind w:left="71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0008DF"/>
    <w:multiLevelType w:val="hybridMultilevel"/>
    <w:tmpl w:val="2230D30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542718A4"/>
    <w:multiLevelType w:val="multilevel"/>
    <w:tmpl w:val="616CD10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815CA7"/>
    <w:multiLevelType w:val="hybridMultilevel"/>
    <w:tmpl w:val="593E13A2"/>
    <w:lvl w:ilvl="0" w:tplc="6C78AF38">
      <w:start w:val="1"/>
      <w:numFmt w:val="lowerLetter"/>
      <w:lvlText w:val="%1)"/>
      <w:lvlJc w:val="left"/>
      <w:pPr>
        <w:ind w:left="1065" w:hanging="705"/>
      </w:pPr>
      <w:rPr>
        <w:rFonts w:hint="default"/>
        <w:b/>
        <w:lang w:val="es-CR"/>
      </w:rPr>
    </w:lvl>
    <w:lvl w:ilvl="1" w:tplc="0409001B">
      <w:start w:val="1"/>
      <w:numFmt w:val="lowerRoman"/>
      <w:lvlText w:val="%2."/>
      <w:lvlJc w:val="righ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8C37EDD"/>
    <w:multiLevelType w:val="hybridMultilevel"/>
    <w:tmpl w:val="32E2929E"/>
    <w:lvl w:ilvl="0" w:tplc="55D40CF2">
      <w:start w:val="1"/>
      <w:numFmt w:val="decimal"/>
      <w:pStyle w:val="Artculo"/>
      <w:lvlText w:val="Artículo %1."/>
      <w:lvlJc w:val="left"/>
      <w:pPr>
        <w:ind w:left="36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55635E"/>
    <w:multiLevelType w:val="hybridMultilevel"/>
    <w:tmpl w:val="EECEE8B8"/>
    <w:lvl w:ilvl="0" w:tplc="5C4EA4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65DE4814"/>
    <w:multiLevelType w:val="multilevel"/>
    <w:tmpl w:val="D9A8AF14"/>
    <w:lvl w:ilvl="0">
      <w:start w:val="1"/>
      <w:numFmt w:val="decimal"/>
      <w:lvlText w:val="%1)"/>
      <w:lvlJc w:val="left"/>
      <w:pPr>
        <w:ind w:left="1068" w:hanging="360"/>
      </w:pPr>
      <w:rPr>
        <w:rFonts w:hint="default"/>
      </w:rPr>
    </w:lvl>
    <w:lvl w:ilvl="1">
      <w:start w:val="1"/>
      <w:numFmt w:val="lowerLetter"/>
      <w:lvlText w:val="%2)"/>
      <w:lvlJc w:val="left"/>
      <w:pPr>
        <w:ind w:left="1428" w:hanging="360"/>
      </w:pPr>
      <w:rPr>
        <w:b/>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3" w15:restartNumberingAfterBreak="0">
    <w:nsid w:val="690539E3"/>
    <w:multiLevelType w:val="hybridMultilevel"/>
    <w:tmpl w:val="EB8E6AD2"/>
    <w:lvl w:ilvl="0" w:tplc="6C78AF38">
      <w:start w:val="1"/>
      <w:numFmt w:val="lowerLetter"/>
      <w:lvlText w:val="%1)"/>
      <w:lvlJc w:val="left"/>
      <w:pPr>
        <w:ind w:left="720" w:hanging="360"/>
      </w:pPr>
      <w:rPr>
        <w:rFonts w:hint="default"/>
        <w:b/>
        <w:lang w:val="es-CR"/>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7113351C"/>
    <w:multiLevelType w:val="hybridMultilevel"/>
    <w:tmpl w:val="68B45CBE"/>
    <w:lvl w:ilvl="0" w:tplc="140A0001">
      <w:start w:val="1"/>
      <w:numFmt w:val="bullet"/>
      <w:lvlText w:val=""/>
      <w:lvlJc w:val="left"/>
      <w:pPr>
        <w:ind w:left="2136" w:hanging="360"/>
      </w:pPr>
      <w:rPr>
        <w:rFonts w:ascii="Symbol" w:hAnsi="Symbol" w:hint="default"/>
      </w:rPr>
    </w:lvl>
    <w:lvl w:ilvl="1" w:tplc="140A0003" w:tentative="1">
      <w:start w:val="1"/>
      <w:numFmt w:val="bullet"/>
      <w:lvlText w:val="o"/>
      <w:lvlJc w:val="left"/>
      <w:pPr>
        <w:ind w:left="2856" w:hanging="360"/>
      </w:pPr>
      <w:rPr>
        <w:rFonts w:ascii="Courier New" w:hAnsi="Courier New" w:cs="Courier New" w:hint="default"/>
      </w:rPr>
    </w:lvl>
    <w:lvl w:ilvl="2" w:tplc="140A0005" w:tentative="1">
      <w:start w:val="1"/>
      <w:numFmt w:val="bullet"/>
      <w:lvlText w:val=""/>
      <w:lvlJc w:val="left"/>
      <w:pPr>
        <w:ind w:left="3576" w:hanging="360"/>
      </w:pPr>
      <w:rPr>
        <w:rFonts w:ascii="Wingdings" w:hAnsi="Wingdings" w:hint="default"/>
      </w:rPr>
    </w:lvl>
    <w:lvl w:ilvl="3" w:tplc="140A0001" w:tentative="1">
      <w:start w:val="1"/>
      <w:numFmt w:val="bullet"/>
      <w:lvlText w:val=""/>
      <w:lvlJc w:val="left"/>
      <w:pPr>
        <w:ind w:left="4296" w:hanging="360"/>
      </w:pPr>
      <w:rPr>
        <w:rFonts w:ascii="Symbol" w:hAnsi="Symbol" w:hint="default"/>
      </w:rPr>
    </w:lvl>
    <w:lvl w:ilvl="4" w:tplc="140A0003" w:tentative="1">
      <w:start w:val="1"/>
      <w:numFmt w:val="bullet"/>
      <w:lvlText w:val="o"/>
      <w:lvlJc w:val="left"/>
      <w:pPr>
        <w:ind w:left="5016" w:hanging="360"/>
      </w:pPr>
      <w:rPr>
        <w:rFonts w:ascii="Courier New" w:hAnsi="Courier New" w:cs="Courier New" w:hint="default"/>
      </w:rPr>
    </w:lvl>
    <w:lvl w:ilvl="5" w:tplc="140A0005" w:tentative="1">
      <w:start w:val="1"/>
      <w:numFmt w:val="bullet"/>
      <w:lvlText w:val=""/>
      <w:lvlJc w:val="left"/>
      <w:pPr>
        <w:ind w:left="5736" w:hanging="360"/>
      </w:pPr>
      <w:rPr>
        <w:rFonts w:ascii="Wingdings" w:hAnsi="Wingdings" w:hint="default"/>
      </w:rPr>
    </w:lvl>
    <w:lvl w:ilvl="6" w:tplc="140A0001" w:tentative="1">
      <w:start w:val="1"/>
      <w:numFmt w:val="bullet"/>
      <w:lvlText w:val=""/>
      <w:lvlJc w:val="left"/>
      <w:pPr>
        <w:ind w:left="6456" w:hanging="360"/>
      </w:pPr>
      <w:rPr>
        <w:rFonts w:ascii="Symbol" w:hAnsi="Symbol" w:hint="default"/>
      </w:rPr>
    </w:lvl>
    <w:lvl w:ilvl="7" w:tplc="140A0003" w:tentative="1">
      <w:start w:val="1"/>
      <w:numFmt w:val="bullet"/>
      <w:lvlText w:val="o"/>
      <w:lvlJc w:val="left"/>
      <w:pPr>
        <w:ind w:left="7176" w:hanging="360"/>
      </w:pPr>
      <w:rPr>
        <w:rFonts w:ascii="Courier New" w:hAnsi="Courier New" w:cs="Courier New" w:hint="default"/>
      </w:rPr>
    </w:lvl>
    <w:lvl w:ilvl="8" w:tplc="140A0005" w:tentative="1">
      <w:start w:val="1"/>
      <w:numFmt w:val="bullet"/>
      <w:lvlText w:val=""/>
      <w:lvlJc w:val="left"/>
      <w:pPr>
        <w:ind w:left="7896" w:hanging="360"/>
      </w:pPr>
      <w:rPr>
        <w:rFonts w:ascii="Wingdings" w:hAnsi="Wingdings" w:hint="default"/>
      </w:rPr>
    </w:lvl>
  </w:abstractNum>
  <w:abstractNum w:abstractNumId="25" w15:restartNumberingAfterBreak="0">
    <w:nsid w:val="784136FC"/>
    <w:multiLevelType w:val="multilevel"/>
    <w:tmpl w:val="D9A8AF14"/>
    <w:lvl w:ilvl="0">
      <w:start w:val="1"/>
      <w:numFmt w:val="decimal"/>
      <w:lvlText w:val="%1)"/>
      <w:lvlJc w:val="left"/>
      <w:pPr>
        <w:ind w:left="1068" w:hanging="360"/>
      </w:pPr>
      <w:rPr>
        <w:rFonts w:hint="default"/>
      </w:rPr>
    </w:lvl>
    <w:lvl w:ilvl="1">
      <w:start w:val="1"/>
      <w:numFmt w:val="lowerLetter"/>
      <w:lvlText w:val="%2)"/>
      <w:lvlJc w:val="left"/>
      <w:pPr>
        <w:ind w:left="1428" w:hanging="360"/>
      </w:pPr>
      <w:rPr>
        <w:b/>
      </w:r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6" w15:restartNumberingAfterBreak="0">
    <w:nsid w:val="79DC3950"/>
    <w:multiLevelType w:val="multilevel"/>
    <w:tmpl w:val="D9A8AF14"/>
    <w:lvl w:ilvl="0">
      <w:start w:val="1"/>
      <w:numFmt w:val="decimal"/>
      <w:lvlText w:val="%1)"/>
      <w:lvlJc w:val="left"/>
      <w:pPr>
        <w:ind w:left="360" w:hanging="360"/>
      </w:pPr>
      <w:rPr>
        <w:rFonts w:hint="default"/>
      </w:rPr>
    </w:lvl>
    <w:lvl w:ilvl="1">
      <w:start w:val="1"/>
      <w:numFmt w:val="lowerLetter"/>
      <w:lvlText w:val="%2)"/>
      <w:lvlJc w:val="left"/>
      <w:pPr>
        <w:ind w:left="720" w:hanging="360"/>
      </w:pPr>
      <w:rPr>
        <w:b/>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BB34BE"/>
    <w:multiLevelType w:val="hybridMultilevel"/>
    <w:tmpl w:val="42B6A260"/>
    <w:lvl w:ilvl="0" w:tplc="140A0019">
      <w:start w:val="1"/>
      <w:numFmt w:val="lowerLetter"/>
      <w:lvlText w:val="%1."/>
      <w:lvlJc w:val="left"/>
      <w:pPr>
        <w:ind w:left="720" w:hanging="360"/>
      </w:pPr>
    </w:lvl>
    <w:lvl w:ilvl="1" w:tplc="BBBCBCF6">
      <w:start w:val="1"/>
      <w:numFmt w:val="lowerLetter"/>
      <w:lvlText w:val="%2."/>
      <w:lvlJc w:val="left"/>
      <w:pPr>
        <w:ind w:left="1440" w:hanging="360"/>
      </w:pPr>
      <w:rPr>
        <w:rFonts w:hint="default"/>
      </w:rPr>
    </w:lvl>
    <w:lvl w:ilvl="2" w:tplc="140A001B">
      <w:start w:val="1"/>
      <w:numFmt w:val="lowerRoman"/>
      <w:lvlText w:val="%3."/>
      <w:lvlJc w:val="right"/>
      <w:pPr>
        <w:ind w:left="2160" w:hanging="180"/>
      </w:pPr>
    </w:lvl>
    <w:lvl w:ilvl="3" w:tplc="1DBAEB70">
      <w:start w:val="1"/>
      <w:numFmt w:val="upperRoman"/>
      <w:lvlText w:val="%4-"/>
      <w:lvlJc w:val="left"/>
      <w:pPr>
        <w:ind w:left="3240" w:hanging="720"/>
      </w:pPr>
      <w:rPr>
        <w:rFonts w:hint="default"/>
      </w:r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7EEC6A32"/>
    <w:multiLevelType w:val="hybridMultilevel"/>
    <w:tmpl w:val="85684AF4"/>
    <w:lvl w:ilvl="0" w:tplc="F3EAE852">
      <w:start w:val="1"/>
      <w:numFmt w:val="bullet"/>
      <w:lvlText w:val=""/>
      <w:lvlJc w:val="left"/>
      <w:pPr>
        <w:ind w:left="720" w:hanging="360"/>
      </w:pPr>
      <w:rPr>
        <w:rFonts w:ascii="Wingdings" w:hAnsi="Wingdings" w:hint="default"/>
        <w:color w:val="808080"/>
        <w:sz w:val="32"/>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6"/>
  </w:num>
  <w:num w:numId="2">
    <w:abstractNumId w:val="14"/>
    <w:lvlOverride w:ilvl="0">
      <w:startOverride w:val="1"/>
    </w:lvlOverride>
  </w:num>
  <w:num w:numId="3">
    <w:abstractNumId w:val="1"/>
  </w:num>
  <w:num w:numId="4">
    <w:abstractNumId w:val="20"/>
  </w:num>
  <w:num w:numId="5">
    <w:abstractNumId w:val="12"/>
  </w:num>
  <w:num w:numId="6">
    <w:abstractNumId w:val="23"/>
  </w:num>
  <w:num w:numId="7">
    <w:abstractNumId w:val="22"/>
  </w:num>
  <w:num w:numId="8">
    <w:abstractNumId w:val="19"/>
  </w:num>
  <w:num w:numId="9">
    <w:abstractNumId w:val="7"/>
  </w:num>
  <w:num w:numId="10">
    <w:abstractNumId w:val="18"/>
  </w:num>
  <w:num w:numId="11">
    <w:abstractNumId w:val="9"/>
  </w:num>
  <w:num w:numId="12">
    <w:abstractNumId w:val="26"/>
  </w:num>
  <w:num w:numId="13">
    <w:abstractNumId w:val="4"/>
  </w:num>
  <w:num w:numId="14">
    <w:abstractNumId w:val="24"/>
  </w:num>
  <w:num w:numId="15">
    <w:abstractNumId w:val="21"/>
  </w:num>
  <w:num w:numId="16">
    <w:abstractNumId w:val="1"/>
    <w:lvlOverride w:ilvl="0">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0"/>
  </w:num>
  <w:num w:numId="30">
    <w:abstractNumId w:val="27"/>
  </w:num>
  <w:num w:numId="31">
    <w:abstractNumId w:val="6"/>
  </w:num>
  <w:num w:numId="32">
    <w:abstractNumId w:val="25"/>
  </w:num>
  <w:num w:numId="33">
    <w:abstractNumId w:val="5"/>
  </w:num>
  <w:num w:numId="34">
    <w:abstractNumId w:val="3"/>
  </w:num>
  <w:num w:numId="35">
    <w:abstractNumId w:val="8"/>
  </w:num>
  <w:num w:numId="36">
    <w:abstractNumId w:val="1"/>
  </w:num>
  <w:num w:numId="37">
    <w:abstractNumId w:val="13"/>
  </w:num>
  <w:num w:numId="38">
    <w:abstractNumId w:val="11"/>
  </w:num>
  <w:num w:numId="39">
    <w:abstractNumId w:val="2"/>
  </w:num>
  <w:num w:numId="40">
    <w:abstractNumId w:val="1"/>
  </w:num>
  <w:num w:numId="41">
    <w:abstractNumId w:val="17"/>
  </w:num>
  <w:num w:numId="42">
    <w:abstractNumId w:val="12"/>
  </w:num>
  <w:num w:numId="43">
    <w:abstractNumId w:val="1"/>
  </w:num>
  <w:num w:numId="44">
    <w:abstractNumId w:val="1"/>
  </w:num>
  <w:num w:numId="45">
    <w:abstractNumId w:val="10"/>
  </w:num>
  <w:num w:numId="46">
    <w:abstractNumId w:val="12"/>
  </w:num>
  <w:num w:numId="47">
    <w:abstractNumId w:val="1"/>
  </w:num>
  <w:num w:numId="48">
    <w:abstractNumId w:val="15"/>
  </w:num>
  <w:num w:numId="49">
    <w:abstractNumId w:val="12"/>
  </w:num>
  <w:num w:numId="5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64"/>
    <w:rsid w:val="0000012A"/>
    <w:rsid w:val="00000255"/>
    <w:rsid w:val="00000432"/>
    <w:rsid w:val="00000772"/>
    <w:rsid w:val="00000839"/>
    <w:rsid w:val="00001472"/>
    <w:rsid w:val="00001825"/>
    <w:rsid w:val="0000307F"/>
    <w:rsid w:val="00003182"/>
    <w:rsid w:val="00003335"/>
    <w:rsid w:val="00003D84"/>
    <w:rsid w:val="00004ACE"/>
    <w:rsid w:val="00004C9E"/>
    <w:rsid w:val="00005541"/>
    <w:rsid w:val="00006180"/>
    <w:rsid w:val="00007654"/>
    <w:rsid w:val="00007708"/>
    <w:rsid w:val="00007CF5"/>
    <w:rsid w:val="00010916"/>
    <w:rsid w:val="00010B2A"/>
    <w:rsid w:val="0001201E"/>
    <w:rsid w:val="00012AC2"/>
    <w:rsid w:val="00012D75"/>
    <w:rsid w:val="00012DBA"/>
    <w:rsid w:val="000134CD"/>
    <w:rsid w:val="00013797"/>
    <w:rsid w:val="00013903"/>
    <w:rsid w:val="00013D15"/>
    <w:rsid w:val="0001498B"/>
    <w:rsid w:val="00014C59"/>
    <w:rsid w:val="00015B69"/>
    <w:rsid w:val="000166DE"/>
    <w:rsid w:val="0001691D"/>
    <w:rsid w:val="00020631"/>
    <w:rsid w:val="000209D3"/>
    <w:rsid w:val="000214DA"/>
    <w:rsid w:val="000218AE"/>
    <w:rsid w:val="000223F2"/>
    <w:rsid w:val="00023014"/>
    <w:rsid w:val="00023D74"/>
    <w:rsid w:val="00023E45"/>
    <w:rsid w:val="00023FE7"/>
    <w:rsid w:val="000256BB"/>
    <w:rsid w:val="00025AE9"/>
    <w:rsid w:val="00025B17"/>
    <w:rsid w:val="0002651B"/>
    <w:rsid w:val="00026968"/>
    <w:rsid w:val="000270CD"/>
    <w:rsid w:val="000278DF"/>
    <w:rsid w:val="00031032"/>
    <w:rsid w:val="000312D0"/>
    <w:rsid w:val="00031905"/>
    <w:rsid w:val="00031DC4"/>
    <w:rsid w:val="00032110"/>
    <w:rsid w:val="000330E1"/>
    <w:rsid w:val="000332A5"/>
    <w:rsid w:val="00034CEB"/>
    <w:rsid w:val="00035E04"/>
    <w:rsid w:val="00036A75"/>
    <w:rsid w:val="00036D59"/>
    <w:rsid w:val="00036E9E"/>
    <w:rsid w:val="0003718A"/>
    <w:rsid w:val="0003730D"/>
    <w:rsid w:val="00037AB2"/>
    <w:rsid w:val="00037E12"/>
    <w:rsid w:val="00040127"/>
    <w:rsid w:val="0004045F"/>
    <w:rsid w:val="00040697"/>
    <w:rsid w:val="00040938"/>
    <w:rsid w:val="0004142B"/>
    <w:rsid w:val="0004162D"/>
    <w:rsid w:val="00041AD2"/>
    <w:rsid w:val="000423AE"/>
    <w:rsid w:val="000424A3"/>
    <w:rsid w:val="00043195"/>
    <w:rsid w:val="000431B5"/>
    <w:rsid w:val="000431EE"/>
    <w:rsid w:val="00043C63"/>
    <w:rsid w:val="00045C2B"/>
    <w:rsid w:val="00045DE3"/>
    <w:rsid w:val="00045E6B"/>
    <w:rsid w:val="000464B1"/>
    <w:rsid w:val="000469A9"/>
    <w:rsid w:val="00046B2E"/>
    <w:rsid w:val="00046E2D"/>
    <w:rsid w:val="00050747"/>
    <w:rsid w:val="00050936"/>
    <w:rsid w:val="00050C2C"/>
    <w:rsid w:val="0005104A"/>
    <w:rsid w:val="000520A3"/>
    <w:rsid w:val="00052E65"/>
    <w:rsid w:val="00053C2F"/>
    <w:rsid w:val="000540E2"/>
    <w:rsid w:val="0005429A"/>
    <w:rsid w:val="00054C7A"/>
    <w:rsid w:val="00055039"/>
    <w:rsid w:val="000551F0"/>
    <w:rsid w:val="0005524B"/>
    <w:rsid w:val="00055E1D"/>
    <w:rsid w:val="00056748"/>
    <w:rsid w:val="00056CB7"/>
    <w:rsid w:val="00056E41"/>
    <w:rsid w:val="00057678"/>
    <w:rsid w:val="00060274"/>
    <w:rsid w:val="0006391D"/>
    <w:rsid w:val="000640D8"/>
    <w:rsid w:val="000660D8"/>
    <w:rsid w:val="000661D8"/>
    <w:rsid w:val="00066B4D"/>
    <w:rsid w:val="000675F0"/>
    <w:rsid w:val="00067712"/>
    <w:rsid w:val="00067F4A"/>
    <w:rsid w:val="000709A6"/>
    <w:rsid w:val="000717CE"/>
    <w:rsid w:val="00071B6B"/>
    <w:rsid w:val="000738BC"/>
    <w:rsid w:val="00074776"/>
    <w:rsid w:val="000748EF"/>
    <w:rsid w:val="00074C43"/>
    <w:rsid w:val="00074EC0"/>
    <w:rsid w:val="0007573B"/>
    <w:rsid w:val="000770CF"/>
    <w:rsid w:val="000801C5"/>
    <w:rsid w:val="0008139E"/>
    <w:rsid w:val="00081810"/>
    <w:rsid w:val="0008269B"/>
    <w:rsid w:val="00082707"/>
    <w:rsid w:val="000838D4"/>
    <w:rsid w:val="00083EDA"/>
    <w:rsid w:val="0008408B"/>
    <w:rsid w:val="00084361"/>
    <w:rsid w:val="00084698"/>
    <w:rsid w:val="00084735"/>
    <w:rsid w:val="0008498E"/>
    <w:rsid w:val="00084EEF"/>
    <w:rsid w:val="000854DA"/>
    <w:rsid w:val="000860B5"/>
    <w:rsid w:val="000867E8"/>
    <w:rsid w:val="00087203"/>
    <w:rsid w:val="000876D2"/>
    <w:rsid w:val="00087E43"/>
    <w:rsid w:val="00090ED5"/>
    <w:rsid w:val="00091047"/>
    <w:rsid w:val="0009123F"/>
    <w:rsid w:val="000913C9"/>
    <w:rsid w:val="00091F6B"/>
    <w:rsid w:val="00092CB9"/>
    <w:rsid w:val="00092E02"/>
    <w:rsid w:val="00093095"/>
    <w:rsid w:val="00093D1D"/>
    <w:rsid w:val="00093FAF"/>
    <w:rsid w:val="00094E87"/>
    <w:rsid w:val="00094FDF"/>
    <w:rsid w:val="000955B7"/>
    <w:rsid w:val="00095B91"/>
    <w:rsid w:val="00095D7D"/>
    <w:rsid w:val="0009710C"/>
    <w:rsid w:val="000972E4"/>
    <w:rsid w:val="00097389"/>
    <w:rsid w:val="000A04DC"/>
    <w:rsid w:val="000A0698"/>
    <w:rsid w:val="000A0A67"/>
    <w:rsid w:val="000A1415"/>
    <w:rsid w:val="000A1ABA"/>
    <w:rsid w:val="000A22EE"/>
    <w:rsid w:val="000A2ED1"/>
    <w:rsid w:val="000A30F1"/>
    <w:rsid w:val="000A36C1"/>
    <w:rsid w:val="000A3F99"/>
    <w:rsid w:val="000A42C6"/>
    <w:rsid w:val="000A434D"/>
    <w:rsid w:val="000A4472"/>
    <w:rsid w:val="000A50F9"/>
    <w:rsid w:val="000A5EC2"/>
    <w:rsid w:val="000A7244"/>
    <w:rsid w:val="000A7700"/>
    <w:rsid w:val="000A7F52"/>
    <w:rsid w:val="000B0DD3"/>
    <w:rsid w:val="000B182B"/>
    <w:rsid w:val="000B19A0"/>
    <w:rsid w:val="000B1DC9"/>
    <w:rsid w:val="000B2050"/>
    <w:rsid w:val="000B2293"/>
    <w:rsid w:val="000B230C"/>
    <w:rsid w:val="000B26A6"/>
    <w:rsid w:val="000B2A81"/>
    <w:rsid w:val="000B3FF6"/>
    <w:rsid w:val="000B41BE"/>
    <w:rsid w:val="000B4608"/>
    <w:rsid w:val="000B475F"/>
    <w:rsid w:val="000B4761"/>
    <w:rsid w:val="000B4D9B"/>
    <w:rsid w:val="000B5164"/>
    <w:rsid w:val="000B5A00"/>
    <w:rsid w:val="000B705E"/>
    <w:rsid w:val="000C04A1"/>
    <w:rsid w:val="000C057A"/>
    <w:rsid w:val="000C095C"/>
    <w:rsid w:val="000C180E"/>
    <w:rsid w:val="000C199B"/>
    <w:rsid w:val="000C20D4"/>
    <w:rsid w:val="000C2796"/>
    <w:rsid w:val="000C29A3"/>
    <w:rsid w:val="000C3DA8"/>
    <w:rsid w:val="000C41AC"/>
    <w:rsid w:val="000C4513"/>
    <w:rsid w:val="000C4558"/>
    <w:rsid w:val="000C461F"/>
    <w:rsid w:val="000C4704"/>
    <w:rsid w:val="000C4D87"/>
    <w:rsid w:val="000C66EA"/>
    <w:rsid w:val="000C7B1D"/>
    <w:rsid w:val="000D05E4"/>
    <w:rsid w:val="000D11FB"/>
    <w:rsid w:val="000D16A3"/>
    <w:rsid w:val="000D1E5F"/>
    <w:rsid w:val="000D20D2"/>
    <w:rsid w:val="000D238C"/>
    <w:rsid w:val="000D2524"/>
    <w:rsid w:val="000D2CF6"/>
    <w:rsid w:val="000D35C7"/>
    <w:rsid w:val="000D35F4"/>
    <w:rsid w:val="000D368D"/>
    <w:rsid w:val="000D3699"/>
    <w:rsid w:val="000D379F"/>
    <w:rsid w:val="000D3DFF"/>
    <w:rsid w:val="000D3F1D"/>
    <w:rsid w:val="000D485C"/>
    <w:rsid w:val="000D5471"/>
    <w:rsid w:val="000D6402"/>
    <w:rsid w:val="000D6A4A"/>
    <w:rsid w:val="000D6C3C"/>
    <w:rsid w:val="000D6C4C"/>
    <w:rsid w:val="000E12C9"/>
    <w:rsid w:val="000E21B6"/>
    <w:rsid w:val="000E21F3"/>
    <w:rsid w:val="000E25DF"/>
    <w:rsid w:val="000E2BEE"/>
    <w:rsid w:val="000E3121"/>
    <w:rsid w:val="000E312C"/>
    <w:rsid w:val="000E3157"/>
    <w:rsid w:val="000E323A"/>
    <w:rsid w:val="000E32D8"/>
    <w:rsid w:val="000E4AEE"/>
    <w:rsid w:val="000E4D8E"/>
    <w:rsid w:val="000E4DFA"/>
    <w:rsid w:val="000E52A6"/>
    <w:rsid w:val="000E52DE"/>
    <w:rsid w:val="000E5672"/>
    <w:rsid w:val="000E5B49"/>
    <w:rsid w:val="000E687C"/>
    <w:rsid w:val="000E6A41"/>
    <w:rsid w:val="000E6D7C"/>
    <w:rsid w:val="000E6DD8"/>
    <w:rsid w:val="000E768C"/>
    <w:rsid w:val="000E7D88"/>
    <w:rsid w:val="000F01A8"/>
    <w:rsid w:val="000F1143"/>
    <w:rsid w:val="000F12ED"/>
    <w:rsid w:val="000F2356"/>
    <w:rsid w:val="000F2702"/>
    <w:rsid w:val="000F2C3E"/>
    <w:rsid w:val="000F32A3"/>
    <w:rsid w:val="000F3E09"/>
    <w:rsid w:val="000F4B0B"/>
    <w:rsid w:val="000F4B3F"/>
    <w:rsid w:val="000F5226"/>
    <w:rsid w:val="000F558C"/>
    <w:rsid w:val="000F5B09"/>
    <w:rsid w:val="000F5B77"/>
    <w:rsid w:val="000F5D34"/>
    <w:rsid w:val="000F6EDE"/>
    <w:rsid w:val="000F7317"/>
    <w:rsid w:val="000F7C30"/>
    <w:rsid w:val="000F7DFB"/>
    <w:rsid w:val="000F7E69"/>
    <w:rsid w:val="001002B5"/>
    <w:rsid w:val="001005CB"/>
    <w:rsid w:val="00100D97"/>
    <w:rsid w:val="00101098"/>
    <w:rsid w:val="0010114B"/>
    <w:rsid w:val="00101389"/>
    <w:rsid w:val="00101DB0"/>
    <w:rsid w:val="001023A9"/>
    <w:rsid w:val="00102E6E"/>
    <w:rsid w:val="001043BD"/>
    <w:rsid w:val="0010446E"/>
    <w:rsid w:val="001048C1"/>
    <w:rsid w:val="00105061"/>
    <w:rsid w:val="00105710"/>
    <w:rsid w:val="00105C13"/>
    <w:rsid w:val="00105D80"/>
    <w:rsid w:val="001063E0"/>
    <w:rsid w:val="00106429"/>
    <w:rsid w:val="00106755"/>
    <w:rsid w:val="0011028D"/>
    <w:rsid w:val="0011039F"/>
    <w:rsid w:val="0011140A"/>
    <w:rsid w:val="00111520"/>
    <w:rsid w:val="0011183E"/>
    <w:rsid w:val="00111D8A"/>
    <w:rsid w:val="00112058"/>
    <w:rsid w:val="00112A57"/>
    <w:rsid w:val="00113DD0"/>
    <w:rsid w:val="00114B3E"/>
    <w:rsid w:val="001153C4"/>
    <w:rsid w:val="0011561B"/>
    <w:rsid w:val="00115BC3"/>
    <w:rsid w:val="00116B79"/>
    <w:rsid w:val="001174BF"/>
    <w:rsid w:val="001209C2"/>
    <w:rsid w:val="00120C27"/>
    <w:rsid w:val="00122F05"/>
    <w:rsid w:val="00122FA2"/>
    <w:rsid w:val="001230CD"/>
    <w:rsid w:val="00123FEB"/>
    <w:rsid w:val="00124565"/>
    <w:rsid w:val="001260AD"/>
    <w:rsid w:val="00126543"/>
    <w:rsid w:val="00127971"/>
    <w:rsid w:val="001304A7"/>
    <w:rsid w:val="00130F18"/>
    <w:rsid w:val="00131C46"/>
    <w:rsid w:val="001328B8"/>
    <w:rsid w:val="00132ED6"/>
    <w:rsid w:val="00132F40"/>
    <w:rsid w:val="00133DBA"/>
    <w:rsid w:val="00133E4D"/>
    <w:rsid w:val="00134074"/>
    <w:rsid w:val="00136146"/>
    <w:rsid w:val="00136276"/>
    <w:rsid w:val="001369F2"/>
    <w:rsid w:val="00136A5C"/>
    <w:rsid w:val="00137381"/>
    <w:rsid w:val="001377E4"/>
    <w:rsid w:val="00137F47"/>
    <w:rsid w:val="00140023"/>
    <w:rsid w:val="001404D2"/>
    <w:rsid w:val="00141660"/>
    <w:rsid w:val="00142037"/>
    <w:rsid w:val="001421E1"/>
    <w:rsid w:val="001422D6"/>
    <w:rsid w:val="00142411"/>
    <w:rsid w:val="001443B3"/>
    <w:rsid w:val="00144593"/>
    <w:rsid w:val="00145250"/>
    <w:rsid w:val="00147CB2"/>
    <w:rsid w:val="00150807"/>
    <w:rsid w:val="00151163"/>
    <w:rsid w:val="0015194E"/>
    <w:rsid w:val="00152ACE"/>
    <w:rsid w:val="00153D10"/>
    <w:rsid w:val="0015539C"/>
    <w:rsid w:val="0015549D"/>
    <w:rsid w:val="001562B3"/>
    <w:rsid w:val="0015682B"/>
    <w:rsid w:val="00156A17"/>
    <w:rsid w:val="001571C9"/>
    <w:rsid w:val="001571EC"/>
    <w:rsid w:val="00157873"/>
    <w:rsid w:val="00157FDF"/>
    <w:rsid w:val="0016005A"/>
    <w:rsid w:val="001605F4"/>
    <w:rsid w:val="00160FFE"/>
    <w:rsid w:val="00161048"/>
    <w:rsid w:val="0016161A"/>
    <w:rsid w:val="0016238B"/>
    <w:rsid w:val="001625EE"/>
    <w:rsid w:val="00162969"/>
    <w:rsid w:val="00162F63"/>
    <w:rsid w:val="0016330A"/>
    <w:rsid w:val="001635CA"/>
    <w:rsid w:val="0016441E"/>
    <w:rsid w:val="001645DB"/>
    <w:rsid w:val="00164895"/>
    <w:rsid w:val="0016498F"/>
    <w:rsid w:val="00164FE1"/>
    <w:rsid w:val="00165467"/>
    <w:rsid w:val="00165DFD"/>
    <w:rsid w:val="00165FE6"/>
    <w:rsid w:val="00166589"/>
    <w:rsid w:val="00166631"/>
    <w:rsid w:val="0016672F"/>
    <w:rsid w:val="00166BD3"/>
    <w:rsid w:val="00166BF0"/>
    <w:rsid w:val="0016765A"/>
    <w:rsid w:val="001676A5"/>
    <w:rsid w:val="00170059"/>
    <w:rsid w:val="00170087"/>
    <w:rsid w:val="001700C2"/>
    <w:rsid w:val="00170CD2"/>
    <w:rsid w:val="00170E10"/>
    <w:rsid w:val="0017149F"/>
    <w:rsid w:val="0017169A"/>
    <w:rsid w:val="00171E01"/>
    <w:rsid w:val="00172803"/>
    <w:rsid w:val="001739F4"/>
    <w:rsid w:val="0017483A"/>
    <w:rsid w:val="00174B9A"/>
    <w:rsid w:val="00174D11"/>
    <w:rsid w:val="00174E29"/>
    <w:rsid w:val="0017501F"/>
    <w:rsid w:val="001751B2"/>
    <w:rsid w:val="001754D5"/>
    <w:rsid w:val="00175C2A"/>
    <w:rsid w:val="00176565"/>
    <w:rsid w:val="0017737E"/>
    <w:rsid w:val="00177723"/>
    <w:rsid w:val="001778EB"/>
    <w:rsid w:val="00180172"/>
    <w:rsid w:val="00180E7F"/>
    <w:rsid w:val="00180F85"/>
    <w:rsid w:val="0018133B"/>
    <w:rsid w:val="00181F6A"/>
    <w:rsid w:val="001826AF"/>
    <w:rsid w:val="00183C8B"/>
    <w:rsid w:val="00184536"/>
    <w:rsid w:val="001847AC"/>
    <w:rsid w:val="00184F5D"/>
    <w:rsid w:val="00185665"/>
    <w:rsid w:val="0018589B"/>
    <w:rsid w:val="00185A64"/>
    <w:rsid w:val="00186515"/>
    <w:rsid w:val="00187360"/>
    <w:rsid w:val="001900A5"/>
    <w:rsid w:val="00191193"/>
    <w:rsid w:val="00191644"/>
    <w:rsid w:val="001918E2"/>
    <w:rsid w:val="00191FEB"/>
    <w:rsid w:val="00192059"/>
    <w:rsid w:val="0019210D"/>
    <w:rsid w:val="00192AAE"/>
    <w:rsid w:val="001939DD"/>
    <w:rsid w:val="00193E4E"/>
    <w:rsid w:val="00195163"/>
    <w:rsid w:val="0019521E"/>
    <w:rsid w:val="00196B26"/>
    <w:rsid w:val="001970E9"/>
    <w:rsid w:val="00197FCB"/>
    <w:rsid w:val="001A0C45"/>
    <w:rsid w:val="001A0F5D"/>
    <w:rsid w:val="001A220E"/>
    <w:rsid w:val="001A2592"/>
    <w:rsid w:val="001A2649"/>
    <w:rsid w:val="001A36AD"/>
    <w:rsid w:val="001A3C44"/>
    <w:rsid w:val="001A4DB3"/>
    <w:rsid w:val="001A584D"/>
    <w:rsid w:val="001A639C"/>
    <w:rsid w:val="001A7C3C"/>
    <w:rsid w:val="001A7D5A"/>
    <w:rsid w:val="001A7F1A"/>
    <w:rsid w:val="001B0269"/>
    <w:rsid w:val="001B113D"/>
    <w:rsid w:val="001B1689"/>
    <w:rsid w:val="001B1C60"/>
    <w:rsid w:val="001B1D05"/>
    <w:rsid w:val="001B1FEC"/>
    <w:rsid w:val="001B21DC"/>
    <w:rsid w:val="001B243D"/>
    <w:rsid w:val="001B2452"/>
    <w:rsid w:val="001B269A"/>
    <w:rsid w:val="001B29D6"/>
    <w:rsid w:val="001B3E6B"/>
    <w:rsid w:val="001B424D"/>
    <w:rsid w:val="001B4D43"/>
    <w:rsid w:val="001B514A"/>
    <w:rsid w:val="001B552E"/>
    <w:rsid w:val="001B5C63"/>
    <w:rsid w:val="001B5D90"/>
    <w:rsid w:val="001B64AA"/>
    <w:rsid w:val="001B7721"/>
    <w:rsid w:val="001C096D"/>
    <w:rsid w:val="001C0A6D"/>
    <w:rsid w:val="001C1017"/>
    <w:rsid w:val="001C46FB"/>
    <w:rsid w:val="001C4D8C"/>
    <w:rsid w:val="001C5165"/>
    <w:rsid w:val="001C5C99"/>
    <w:rsid w:val="001C7301"/>
    <w:rsid w:val="001C7854"/>
    <w:rsid w:val="001C7D27"/>
    <w:rsid w:val="001D0ED7"/>
    <w:rsid w:val="001D114F"/>
    <w:rsid w:val="001D1E34"/>
    <w:rsid w:val="001D2015"/>
    <w:rsid w:val="001D24EB"/>
    <w:rsid w:val="001D2C90"/>
    <w:rsid w:val="001D41B3"/>
    <w:rsid w:val="001D4B61"/>
    <w:rsid w:val="001D58F2"/>
    <w:rsid w:val="001D6109"/>
    <w:rsid w:val="001D6916"/>
    <w:rsid w:val="001D7511"/>
    <w:rsid w:val="001D7906"/>
    <w:rsid w:val="001E0029"/>
    <w:rsid w:val="001E0050"/>
    <w:rsid w:val="001E007F"/>
    <w:rsid w:val="001E0170"/>
    <w:rsid w:val="001E071D"/>
    <w:rsid w:val="001E0BCA"/>
    <w:rsid w:val="001E0C5B"/>
    <w:rsid w:val="001E18A9"/>
    <w:rsid w:val="001E23D8"/>
    <w:rsid w:val="001E2A58"/>
    <w:rsid w:val="001E2C97"/>
    <w:rsid w:val="001E2E74"/>
    <w:rsid w:val="001E31DE"/>
    <w:rsid w:val="001E33C5"/>
    <w:rsid w:val="001E429F"/>
    <w:rsid w:val="001E483E"/>
    <w:rsid w:val="001E528B"/>
    <w:rsid w:val="001E61C7"/>
    <w:rsid w:val="001E68A8"/>
    <w:rsid w:val="001E715F"/>
    <w:rsid w:val="001E75A0"/>
    <w:rsid w:val="001E7BC2"/>
    <w:rsid w:val="001F01BE"/>
    <w:rsid w:val="001F056C"/>
    <w:rsid w:val="001F0919"/>
    <w:rsid w:val="001F099F"/>
    <w:rsid w:val="001F0CF5"/>
    <w:rsid w:val="001F0DAF"/>
    <w:rsid w:val="001F1143"/>
    <w:rsid w:val="001F1527"/>
    <w:rsid w:val="001F1618"/>
    <w:rsid w:val="001F1B71"/>
    <w:rsid w:val="001F2299"/>
    <w:rsid w:val="001F2653"/>
    <w:rsid w:val="001F26EA"/>
    <w:rsid w:val="001F3FC5"/>
    <w:rsid w:val="001F3FE0"/>
    <w:rsid w:val="001F4E1A"/>
    <w:rsid w:val="001F64AC"/>
    <w:rsid w:val="001F6E6F"/>
    <w:rsid w:val="001F766E"/>
    <w:rsid w:val="002003F2"/>
    <w:rsid w:val="00201E3F"/>
    <w:rsid w:val="002028AA"/>
    <w:rsid w:val="00202AC6"/>
    <w:rsid w:val="00202CB0"/>
    <w:rsid w:val="002031D3"/>
    <w:rsid w:val="0020391A"/>
    <w:rsid w:val="002039FC"/>
    <w:rsid w:val="0020479B"/>
    <w:rsid w:val="0020561D"/>
    <w:rsid w:val="002056CD"/>
    <w:rsid w:val="00205B7B"/>
    <w:rsid w:val="002062B3"/>
    <w:rsid w:val="00206776"/>
    <w:rsid w:val="00206870"/>
    <w:rsid w:val="002070E2"/>
    <w:rsid w:val="002101D2"/>
    <w:rsid w:val="002107E7"/>
    <w:rsid w:val="002109AC"/>
    <w:rsid w:val="00210C5B"/>
    <w:rsid w:val="00210DA8"/>
    <w:rsid w:val="00212CF0"/>
    <w:rsid w:val="00213DD6"/>
    <w:rsid w:val="00213FFE"/>
    <w:rsid w:val="00214E11"/>
    <w:rsid w:val="00216C53"/>
    <w:rsid w:val="00217790"/>
    <w:rsid w:val="00217F0C"/>
    <w:rsid w:val="00220788"/>
    <w:rsid w:val="00220CE5"/>
    <w:rsid w:val="00220D5B"/>
    <w:rsid w:val="00220EE3"/>
    <w:rsid w:val="002215BF"/>
    <w:rsid w:val="00221C1A"/>
    <w:rsid w:val="002223B2"/>
    <w:rsid w:val="002226EC"/>
    <w:rsid w:val="002229B7"/>
    <w:rsid w:val="002236F5"/>
    <w:rsid w:val="00223788"/>
    <w:rsid w:val="002237B4"/>
    <w:rsid w:val="00223939"/>
    <w:rsid w:val="00223B17"/>
    <w:rsid w:val="00223BE7"/>
    <w:rsid w:val="0022444D"/>
    <w:rsid w:val="002251B9"/>
    <w:rsid w:val="0022565F"/>
    <w:rsid w:val="002265C0"/>
    <w:rsid w:val="00227A2D"/>
    <w:rsid w:val="00227A65"/>
    <w:rsid w:val="00230C11"/>
    <w:rsid w:val="0023112D"/>
    <w:rsid w:val="0023139C"/>
    <w:rsid w:val="0023150B"/>
    <w:rsid w:val="00231AA3"/>
    <w:rsid w:val="00231F50"/>
    <w:rsid w:val="002330AD"/>
    <w:rsid w:val="00233F54"/>
    <w:rsid w:val="0023426F"/>
    <w:rsid w:val="00235307"/>
    <w:rsid w:val="00235C7B"/>
    <w:rsid w:val="002367B2"/>
    <w:rsid w:val="0023692E"/>
    <w:rsid w:val="002370B8"/>
    <w:rsid w:val="00237122"/>
    <w:rsid w:val="00237244"/>
    <w:rsid w:val="002375FF"/>
    <w:rsid w:val="00237694"/>
    <w:rsid w:val="0023796F"/>
    <w:rsid w:val="002405FE"/>
    <w:rsid w:val="002409CA"/>
    <w:rsid w:val="002415AA"/>
    <w:rsid w:val="002418B9"/>
    <w:rsid w:val="0024197F"/>
    <w:rsid w:val="002419A4"/>
    <w:rsid w:val="002422D2"/>
    <w:rsid w:val="00244397"/>
    <w:rsid w:val="00244E02"/>
    <w:rsid w:val="00245B9C"/>
    <w:rsid w:val="00245F67"/>
    <w:rsid w:val="002466B6"/>
    <w:rsid w:val="002466CA"/>
    <w:rsid w:val="00246BA3"/>
    <w:rsid w:val="00246DC5"/>
    <w:rsid w:val="0024707A"/>
    <w:rsid w:val="002473F0"/>
    <w:rsid w:val="002476AD"/>
    <w:rsid w:val="002477AF"/>
    <w:rsid w:val="00247873"/>
    <w:rsid w:val="00250B38"/>
    <w:rsid w:val="00250C1D"/>
    <w:rsid w:val="00250E4C"/>
    <w:rsid w:val="00250E73"/>
    <w:rsid w:val="002510C7"/>
    <w:rsid w:val="00251889"/>
    <w:rsid w:val="00251A7E"/>
    <w:rsid w:val="00251FBE"/>
    <w:rsid w:val="00252001"/>
    <w:rsid w:val="002523A7"/>
    <w:rsid w:val="00253485"/>
    <w:rsid w:val="0025386E"/>
    <w:rsid w:val="00253BAF"/>
    <w:rsid w:val="002546F1"/>
    <w:rsid w:val="002550AB"/>
    <w:rsid w:val="00255418"/>
    <w:rsid w:val="0025558A"/>
    <w:rsid w:val="00255BF0"/>
    <w:rsid w:val="002562C7"/>
    <w:rsid w:val="00257008"/>
    <w:rsid w:val="00257D0D"/>
    <w:rsid w:val="00260237"/>
    <w:rsid w:val="00260282"/>
    <w:rsid w:val="0026078E"/>
    <w:rsid w:val="002608F6"/>
    <w:rsid w:val="002632E4"/>
    <w:rsid w:val="00263420"/>
    <w:rsid w:val="00263D50"/>
    <w:rsid w:val="00263EC3"/>
    <w:rsid w:val="00264A8D"/>
    <w:rsid w:val="00264DD6"/>
    <w:rsid w:val="002653FC"/>
    <w:rsid w:val="00266568"/>
    <w:rsid w:val="0026664F"/>
    <w:rsid w:val="00266833"/>
    <w:rsid w:val="00266B3C"/>
    <w:rsid w:val="00266BEB"/>
    <w:rsid w:val="00272FF3"/>
    <w:rsid w:val="002730E0"/>
    <w:rsid w:val="00273590"/>
    <w:rsid w:val="0027420D"/>
    <w:rsid w:val="002747D3"/>
    <w:rsid w:val="002749E1"/>
    <w:rsid w:val="00274E40"/>
    <w:rsid w:val="00274FB1"/>
    <w:rsid w:val="002753EB"/>
    <w:rsid w:val="002754CF"/>
    <w:rsid w:val="002759BC"/>
    <w:rsid w:val="00275DFC"/>
    <w:rsid w:val="002761CC"/>
    <w:rsid w:val="002769DD"/>
    <w:rsid w:val="002772DD"/>
    <w:rsid w:val="00277CF0"/>
    <w:rsid w:val="0028004C"/>
    <w:rsid w:val="002801A4"/>
    <w:rsid w:val="002805D0"/>
    <w:rsid w:val="00280E45"/>
    <w:rsid w:val="00280EBA"/>
    <w:rsid w:val="0028109D"/>
    <w:rsid w:val="00281FED"/>
    <w:rsid w:val="00281FEE"/>
    <w:rsid w:val="002822D0"/>
    <w:rsid w:val="00282892"/>
    <w:rsid w:val="00282C91"/>
    <w:rsid w:val="00282EFF"/>
    <w:rsid w:val="00283500"/>
    <w:rsid w:val="0028408D"/>
    <w:rsid w:val="00284BA6"/>
    <w:rsid w:val="00285248"/>
    <w:rsid w:val="002857D9"/>
    <w:rsid w:val="00285857"/>
    <w:rsid w:val="002863DC"/>
    <w:rsid w:val="00286F10"/>
    <w:rsid w:val="0028753E"/>
    <w:rsid w:val="00287759"/>
    <w:rsid w:val="00287BEA"/>
    <w:rsid w:val="00287FAC"/>
    <w:rsid w:val="0029077D"/>
    <w:rsid w:val="002907B0"/>
    <w:rsid w:val="002908C3"/>
    <w:rsid w:val="00291353"/>
    <w:rsid w:val="00291D04"/>
    <w:rsid w:val="00292323"/>
    <w:rsid w:val="002931E2"/>
    <w:rsid w:val="0029343E"/>
    <w:rsid w:val="002939E1"/>
    <w:rsid w:val="0029454E"/>
    <w:rsid w:val="002946D6"/>
    <w:rsid w:val="0029538B"/>
    <w:rsid w:val="00295703"/>
    <w:rsid w:val="00295F7C"/>
    <w:rsid w:val="00296083"/>
    <w:rsid w:val="002971D0"/>
    <w:rsid w:val="002979B1"/>
    <w:rsid w:val="002A01B4"/>
    <w:rsid w:val="002A05E8"/>
    <w:rsid w:val="002A08FB"/>
    <w:rsid w:val="002A0A86"/>
    <w:rsid w:val="002A0B68"/>
    <w:rsid w:val="002A10E9"/>
    <w:rsid w:val="002A2377"/>
    <w:rsid w:val="002A2835"/>
    <w:rsid w:val="002A2AD5"/>
    <w:rsid w:val="002A3523"/>
    <w:rsid w:val="002A4D24"/>
    <w:rsid w:val="002A5DF5"/>
    <w:rsid w:val="002A645E"/>
    <w:rsid w:val="002A6583"/>
    <w:rsid w:val="002A7E35"/>
    <w:rsid w:val="002A7F7F"/>
    <w:rsid w:val="002B05EB"/>
    <w:rsid w:val="002B0B38"/>
    <w:rsid w:val="002B0B78"/>
    <w:rsid w:val="002B1364"/>
    <w:rsid w:val="002B1518"/>
    <w:rsid w:val="002B151E"/>
    <w:rsid w:val="002B1647"/>
    <w:rsid w:val="002B19F6"/>
    <w:rsid w:val="002B20A7"/>
    <w:rsid w:val="002B2541"/>
    <w:rsid w:val="002B2592"/>
    <w:rsid w:val="002B2DFE"/>
    <w:rsid w:val="002B3197"/>
    <w:rsid w:val="002B37E7"/>
    <w:rsid w:val="002B38CD"/>
    <w:rsid w:val="002B3937"/>
    <w:rsid w:val="002B4074"/>
    <w:rsid w:val="002B44FA"/>
    <w:rsid w:val="002B4744"/>
    <w:rsid w:val="002B5440"/>
    <w:rsid w:val="002B57A3"/>
    <w:rsid w:val="002B6519"/>
    <w:rsid w:val="002B65DD"/>
    <w:rsid w:val="002B6A48"/>
    <w:rsid w:val="002B7296"/>
    <w:rsid w:val="002B78B0"/>
    <w:rsid w:val="002C0307"/>
    <w:rsid w:val="002C059F"/>
    <w:rsid w:val="002C181A"/>
    <w:rsid w:val="002C3398"/>
    <w:rsid w:val="002C3910"/>
    <w:rsid w:val="002C3AAD"/>
    <w:rsid w:val="002C3EC1"/>
    <w:rsid w:val="002C3F7D"/>
    <w:rsid w:val="002C4BCF"/>
    <w:rsid w:val="002C5982"/>
    <w:rsid w:val="002C6067"/>
    <w:rsid w:val="002C60E5"/>
    <w:rsid w:val="002C6613"/>
    <w:rsid w:val="002C7088"/>
    <w:rsid w:val="002C7850"/>
    <w:rsid w:val="002D00BA"/>
    <w:rsid w:val="002D08A2"/>
    <w:rsid w:val="002D0DE2"/>
    <w:rsid w:val="002D14F8"/>
    <w:rsid w:val="002D16B9"/>
    <w:rsid w:val="002D16E1"/>
    <w:rsid w:val="002D1B79"/>
    <w:rsid w:val="002D217A"/>
    <w:rsid w:val="002D23BE"/>
    <w:rsid w:val="002D2871"/>
    <w:rsid w:val="002D2D7C"/>
    <w:rsid w:val="002D2DE2"/>
    <w:rsid w:val="002D3A29"/>
    <w:rsid w:val="002D3F17"/>
    <w:rsid w:val="002D4C6D"/>
    <w:rsid w:val="002D5583"/>
    <w:rsid w:val="002D6D84"/>
    <w:rsid w:val="002D79F9"/>
    <w:rsid w:val="002D7B35"/>
    <w:rsid w:val="002E0181"/>
    <w:rsid w:val="002E06D9"/>
    <w:rsid w:val="002E07CA"/>
    <w:rsid w:val="002E1962"/>
    <w:rsid w:val="002E2A35"/>
    <w:rsid w:val="002E3352"/>
    <w:rsid w:val="002E34D9"/>
    <w:rsid w:val="002E3672"/>
    <w:rsid w:val="002E3CFA"/>
    <w:rsid w:val="002E4799"/>
    <w:rsid w:val="002E5666"/>
    <w:rsid w:val="002E58E1"/>
    <w:rsid w:val="002E6628"/>
    <w:rsid w:val="002E765A"/>
    <w:rsid w:val="002F0C60"/>
    <w:rsid w:val="002F111B"/>
    <w:rsid w:val="002F1258"/>
    <w:rsid w:val="002F1FCD"/>
    <w:rsid w:val="002F2315"/>
    <w:rsid w:val="002F2C78"/>
    <w:rsid w:val="002F3E47"/>
    <w:rsid w:val="002F468A"/>
    <w:rsid w:val="002F47E8"/>
    <w:rsid w:val="002F5021"/>
    <w:rsid w:val="002F56FC"/>
    <w:rsid w:val="002F5FE4"/>
    <w:rsid w:val="002F6694"/>
    <w:rsid w:val="002F7650"/>
    <w:rsid w:val="003001E9"/>
    <w:rsid w:val="003014DD"/>
    <w:rsid w:val="0030157D"/>
    <w:rsid w:val="00302355"/>
    <w:rsid w:val="0030266A"/>
    <w:rsid w:val="0030331C"/>
    <w:rsid w:val="0030473E"/>
    <w:rsid w:val="00304B7F"/>
    <w:rsid w:val="00304F2B"/>
    <w:rsid w:val="003059EE"/>
    <w:rsid w:val="00305C44"/>
    <w:rsid w:val="00305CC1"/>
    <w:rsid w:val="00306878"/>
    <w:rsid w:val="00306C5B"/>
    <w:rsid w:val="003076BE"/>
    <w:rsid w:val="00307B9C"/>
    <w:rsid w:val="00310D75"/>
    <w:rsid w:val="00312BAE"/>
    <w:rsid w:val="00312CC7"/>
    <w:rsid w:val="00313078"/>
    <w:rsid w:val="00313E81"/>
    <w:rsid w:val="00315DE3"/>
    <w:rsid w:val="003164EB"/>
    <w:rsid w:val="00317DDD"/>
    <w:rsid w:val="003203CD"/>
    <w:rsid w:val="00322DB0"/>
    <w:rsid w:val="00324F58"/>
    <w:rsid w:val="003259A7"/>
    <w:rsid w:val="00327605"/>
    <w:rsid w:val="00330921"/>
    <w:rsid w:val="00330AEE"/>
    <w:rsid w:val="00330CBC"/>
    <w:rsid w:val="00330E3D"/>
    <w:rsid w:val="003314C0"/>
    <w:rsid w:val="00331A8E"/>
    <w:rsid w:val="00331D20"/>
    <w:rsid w:val="00331E1E"/>
    <w:rsid w:val="0033256B"/>
    <w:rsid w:val="003328F3"/>
    <w:rsid w:val="00332995"/>
    <w:rsid w:val="00332AF9"/>
    <w:rsid w:val="00332DDE"/>
    <w:rsid w:val="003333B1"/>
    <w:rsid w:val="003336BD"/>
    <w:rsid w:val="00334EF8"/>
    <w:rsid w:val="0033500C"/>
    <w:rsid w:val="00335434"/>
    <w:rsid w:val="00335847"/>
    <w:rsid w:val="00336D51"/>
    <w:rsid w:val="0033726B"/>
    <w:rsid w:val="0033737C"/>
    <w:rsid w:val="00341036"/>
    <w:rsid w:val="003417E5"/>
    <w:rsid w:val="003418D8"/>
    <w:rsid w:val="003421A9"/>
    <w:rsid w:val="00342A42"/>
    <w:rsid w:val="00342C43"/>
    <w:rsid w:val="003430E2"/>
    <w:rsid w:val="003438D5"/>
    <w:rsid w:val="00344469"/>
    <w:rsid w:val="003446E5"/>
    <w:rsid w:val="00344ADE"/>
    <w:rsid w:val="0034633C"/>
    <w:rsid w:val="00346512"/>
    <w:rsid w:val="00346787"/>
    <w:rsid w:val="003469EB"/>
    <w:rsid w:val="00346AD3"/>
    <w:rsid w:val="003471E5"/>
    <w:rsid w:val="00347602"/>
    <w:rsid w:val="003500F1"/>
    <w:rsid w:val="003521F3"/>
    <w:rsid w:val="0035293B"/>
    <w:rsid w:val="00353AD8"/>
    <w:rsid w:val="00353C7E"/>
    <w:rsid w:val="00354ABF"/>
    <w:rsid w:val="00355A89"/>
    <w:rsid w:val="00355B53"/>
    <w:rsid w:val="00356FE9"/>
    <w:rsid w:val="003574C2"/>
    <w:rsid w:val="003620AC"/>
    <w:rsid w:val="00362D47"/>
    <w:rsid w:val="00362E71"/>
    <w:rsid w:val="003641C2"/>
    <w:rsid w:val="00364CB1"/>
    <w:rsid w:val="00364E3D"/>
    <w:rsid w:val="00364F66"/>
    <w:rsid w:val="00365422"/>
    <w:rsid w:val="003660BA"/>
    <w:rsid w:val="003661DF"/>
    <w:rsid w:val="003665D9"/>
    <w:rsid w:val="00366BB5"/>
    <w:rsid w:val="003671F0"/>
    <w:rsid w:val="003706BE"/>
    <w:rsid w:val="00370954"/>
    <w:rsid w:val="00370957"/>
    <w:rsid w:val="00370DB4"/>
    <w:rsid w:val="00370F8C"/>
    <w:rsid w:val="00372FCE"/>
    <w:rsid w:val="00373585"/>
    <w:rsid w:val="00373C1F"/>
    <w:rsid w:val="00374098"/>
    <w:rsid w:val="0037453B"/>
    <w:rsid w:val="003745A7"/>
    <w:rsid w:val="00375278"/>
    <w:rsid w:val="00375586"/>
    <w:rsid w:val="003755E9"/>
    <w:rsid w:val="00375ABC"/>
    <w:rsid w:val="00375CE3"/>
    <w:rsid w:val="003766CE"/>
    <w:rsid w:val="00376B26"/>
    <w:rsid w:val="00377185"/>
    <w:rsid w:val="00377A92"/>
    <w:rsid w:val="00377FD9"/>
    <w:rsid w:val="00381528"/>
    <w:rsid w:val="00381F7C"/>
    <w:rsid w:val="00382737"/>
    <w:rsid w:val="00382D88"/>
    <w:rsid w:val="00382EFB"/>
    <w:rsid w:val="0038365D"/>
    <w:rsid w:val="00384200"/>
    <w:rsid w:val="003844CC"/>
    <w:rsid w:val="003844D9"/>
    <w:rsid w:val="003846FC"/>
    <w:rsid w:val="00384BD6"/>
    <w:rsid w:val="003851CD"/>
    <w:rsid w:val="00385D96"/>
    <w:rsid w:val="0038797E"/>
    <w:rsid w:val="00387E25"/>
    <w:rsid w:val="0039065F"/>
    <w:rsid w:val="00390822"/>
    <w:rsid w:val="003908C0"/>
    <w:rsid w:val="00391A86"/>
    <w:rsid w:val="003926CE"/>
    <w:rsid w:val="0039284C"/>
    <w:rsid w:val="0039390C"/>
    <w:rsid w:val="00393D3E"/>
    <w:rsid w:val="00394008"/>
    <w:rsid w:val="003951C7"/>
    <w:rsid w:val="0039567A"/>
    <w:rsid w:val="00395DAD"/>
    <w:rsid w:val="00396431"/>
    <w:rsid w:val="0039666B"/>
    <w:rsid w:val="00396CA0"/>
    <w:rsid w:val="0039791C"/>
    <w:rsid w:val="003A017C"/>
    <w:rsid w:val="003A020A"/>
    <w:rsid w:val="003A0321"/>
    <w:rsid w:val="003A14C7"/>
    <w:rsid w:val="003A1554"/>
    <w:rsid w:val="003A1751"/>
    <w:rsid w:val="003A1F0D"/>
    <w:rsid w:val="003A1F70"/>
    <w:rsid w:val="003A21DB"/>
    <w:rsid w:val="003A2637"/>
    <w:rsid w:val="003A3329"/>
    <w:rsid w:val="003A4263"/>
    <w:rsid w:val="003A4851"/>
    <w:rsid w:val="003A4C30"/>
    <w:rsid w:val="003A4DB6"/>
    <w:rsid w:val="003A56A6"/>
    <w:rsid w:val="003A5910"/>
    <w:rsid w:val="003A643E"/>
    <w:rsid w:val="003A6DE0"/>
    <w:rsid w:val="003A709A"/>
    <w:rsid w:val="003A7A7F"/>
    <w:rsid w:val="003A7F81"/>
    <w:rsid w:val="003B16B4"/>
    <w:rsid w:val="003B16FA"/>
    <w:rsid w:val="003B1A53"/>
    <w:rsid w:val="003B1E4B"/>
    <w:rsid w:val="003B1F74"/>
    <w:rsid w:val="003B2E7D"/>
    <w:rsid w:val="003B3F02"/>
    <w:rsid w:val="003B5881"/>
    <w:rsid w:val="003B5888"/>
    <w:rsid w:val="003B7325"/>
    <w:rsid w:val="003C113B"/>
    <w:rsid w:val="003C1A3D"/>
    <w:rsid w:val="003C2577"/>
    <w:rsid w:val="003C2D7C"/>
    <w:rsid w:val="003C3416"/>
    <w:rsid w:val="003C37C5"/>
    <w:rsid w:val="003C3A4C"/>
    <w:rsid w:val="003C4750"/>
    <w:rsid w:val="003C4CDE"/>
    <w:rsid w:val="003C539C"/>
    <w:rsid w:val="003C53D5"/>
    <w:rsid w:val="003C622F"/>
    <w:rsid w:val="003C6D5E"/>
    <w:rsid w:val="003C6EDE"/>
    <w:rsid w:val="003C7610"/>
    <w:rsid w:val="003C7B85"/>
    <w:rsid w:val="003D0017"/>
    <w:rsid w:val="003D2419"/>
    <w:rsid w:val="003D2427"/>
    <w:rsid w:val="003D283C"/>
    <w:rsid w:val="003D28EB"/>
    <w:rsid w:val="003D2CB2"/>
    <w:rsid w:val="003D2E2F"/>
    <w:rsid w:val="003D4823"/>
    <w:rsid w:val="003D5DFB"/>
    <w:rsid w:val="003D5F40"/>
    <w:rsid w:val="003D63FE"/>
    <w:rsid w:val="003D6C3E"/>
    <w:rsid w:val="003D6F53"/>
    <w:rsid w:val="003D7641"/>
    <w:rsid w:val="003D7C5D"/>
    <w:rsid w:val="003D7E65"/>
    <w:rsid w:val="003E099E"/>
    <w:rsid w:val="003E0FCE"/>
    <w:rsid w:val="003E1921"/>
    <w:rsid w:val="003E1C6C"/>
    <w:rsid w:val="003E21B2"/>
    <w:rsid w:val="003E2585"/>
    <w:rsid w:val="003E30A0"/>
    <w:rsid w:val="003E3DA9"/>
    <w:rsid w:val="003E48E3"/>
    <w:rsid w:val="003E4D45"/>
    <w:rsid w:val="003E4E47"/>
    <w:rsid w:val="003E4F03"/>
    <w:rsid w:val="003E4FC6"/>
    <w:rsid w:val="003E500D"/>
    <w:rsid w:val="003E559C"/>
    <w:rsid w:val="003E6267"/>
    <w:rsid w:val="003E6E02"/>
    <w:rsid w:val="003E6E09"/>
    <w:rsid w:val="003E6F3D"/>
    <w:rsid w:val="003E707E"/>
    <w:rsid w:val="003E71BE"/>
    <w:rsid w:val="003E7BC6"/>
    <w:rsid w:val="003E7DF6"/>
    <w:rsid w:val="003E7F5D"/>
    <w:rsid w:val="003F06CE"/>
    <w:rsid w:val="003F0E8F"/>
    <w:rsid w:val="003F100F"/>
    <w:rsid w:val="003F11A3"/>
    <w:rsid w:val="003F136E"/>
    <w:rsid w:val="003F369F"/>
    <w:rsid w:val="003F3EE8"/>
    <w:rsid w:val="003F4415"/>
    <w:rsid w:val="003F4577"/>
    <w:rsid w:val="003F5611"/>
    <w:rsid w:val="003F7139"/>
    <w:rsid w:val="003F7596"/>
    <w:rsid w:val="003F7BCA"/>
    <w:rsid w:val="003F7FF6"/>
    <w:rsid w:val="00400585"/>
    <w:rsid w:val="00400CB8"/>
    <w:rsid w:val="00401854"/>
    <w:rsid w:val="00402150"/>
    <w:rsid w:val="00402332"/>
    <w:rsid w:val="004028B3"/>
    <w:rsid w:val="00402EC4"/>
    <w:rsid w:val="00403CDF"/>
    <w:rsid w:val="00404E38"/>
    <w:rsid w:val="00405372"/>
    <w:rsid w:val="0040560E"/>
    <w:rsid w:val="0040592A"/>
    <w:rsid w:val="00405BDD"/>
    <w:rsid w:val="00405D82"/>
    <w:rsid w:val="004061E4"/>
    <w:rsid w:val="004063CF"/>
    <w:rsid w:val="0040648F"/>
    <w:rsid w:val="0040665C"/>
    <w:rsid w:val="00406BBD"/>
    <w:rsid w:val="00407AE1"/>
    <w:rsid w:val="0041059B"/>
    <w:rsid w:val="00410662"/>
    <w:rsid w:val="00410CFC"/>
    <w:rsid w:val="00410D55"/>
    <w:rsid w:val="00411D4E"/>
    <w:rsid w:val="0041203D"/>
    <w:rsid w:val="0041241F"/>
    <w:rsid w:val="00413375"/>
    <w:rsid w:val="0041365A"/>
    <w:rsid w:val="00415691"/>
    <w:rsid w:val="00416A92"/>
    <w:rsid w:val="00416BE8"/>
    <w:rsid w:val="0041731B"/>
    <w:rsid w:val="00417D2F"/>
    <w:rsid w:val="00420069"/>
    <w:rsid w:val="0042026C"/>
    <w:rsid w:val="004208E0"/>
    <w:rsid w:val="00420B21"/>
    <w:rsid w:val="0042132C"/>
    <w:rsid w:val="004219ED"/>
    <w:rsid w:val="004235EE"/>
    <w:rsid w:val="00423F33"/>
    <w:rsid w:val="004240C0"/>
    <w:rsid w:val="0042430E"/>
    <w:rsid w:val="00424D2C"/>
    <w:rsid w:val="00425819"/>
    <w:rsid w:val="004273D2"/>
    <w:rsid w:val="004274CA"/>
    <w:rsid w:val="004274FE"/>
    <w:rsid w:val="00427AF1"/>
    <w:rsid w:val="004301DB"/>
    <w:rsid w:val="0043072B"/>
    <w:rsid w:val="00430A90"/>
    <w:rsid w:val="00432585"/>
    <w:rsid w:val="004334D8"/>
    <w:rsid w:val="00433D50"/>
    <w:rsid w:val="00433FBD"/>
    <w:rsid w:val="00434E32"/>
    <w:rsid w:val="00434F27"/>
    <w:rsid w:val="004353A8"/>
    <w:rsid w:val="004364BD"/>
    <w:rsid w:val="004365E4"/>
    <w:rsid w:val="00436B39"/>
    <w:rsid w:val="00436B66"/>
    <w:rsid w:val="00436C7F"/>
    <w:rsid w:val="00437AFC"/>
    <w:rsid w:val="00440D10"/>
    <w:rsid w:val="00442073"/>
    <w:rsid w:val="00442B2C"/>
    <w:rsid w:val="00444356"/>
    <w:rsid w:val="00444470"/>
    <w:rsid w:val="00444B21"/>
    <w:rsid w:val="00444CD7"/>
    <w:rsid w:val="00444ECC"/>
    <w:rsid w:val="00445151"/>
    <w:rsid w:val="00446F21"/>
    <w:rsid w:val="00446FCB"/>
    <w:rsid w:val="0044721F"/>
    <w:rsid w:val="0044792F"/>
    <w:rsid w:val="004508CD"/>
    <w:rsid w:val="00450EC4"/>
    <w:rsid w:val="00451364"/>
    <w:rsid w:val="00452CF9"/>
    <w:rsid w:val="00454450"/>
    <w:rsid w:val="004551EB"/>
    <w:rsid w:val="00455988"/>
    <w:rsid w:val="00455A43"/>
    <w:rsid w:val="004564A7"/>
    <w:rsid w:val="00456DDF"/>
    <w:rsid w:val="004574F4"/>
    <w:rsid w:val="0046049A"/>
    <w:rsid w:val="004604A7"/>
    <w:rsid w:val="0046084C"/>
    <w:rsid w:val="00460F2C"/>
    <w:rsid w:val="0046100A"/>
    <w:rsid w:val="00461B05"/>
    <w:rsid w:val="00461FA4"/>
    <w:rsid w:val="0046233E"/>
    <w:rsid w:val="00462419"/>
    <w:rsid w:val="00462462"/>
    <w:rsid w:val="00462A36"/>
    <w:rsid w:val="00462C56"/>
    <w:rsid w:val="00462D84"/>
    <w:rsid w:val="00462E33"/>
    <w:rsid w:val="004632CF"/>
    <w:rsid w:val="0046420E"/>
    <w:rsid w:val="004642D7"/>
    <w:rsid w:val="004648AD"/>
    <w:rsid w:val="00465675"/>
    <w:rsid w:val="00465FB8"/>
    <w:rsid w:val="00467FF1"/>
    <w:rsid w:val="004701AC"/>
    <w:rsid w:val="00470483"/>
    <w:rsid w:val="00470B92"/>
    <w:rsid w:val="004711A1"/>
    <w:rsid w:val="00471EA9"/>
    <w:rsid w:val="00472062"/>
    <w:rsid w:val="004722C7"/>
    <w:rsid w:val="004726A2"/>
    <w:rsid w:val="004732D4"/>
    <w:rsid w:val="00473CDA"/>
    <w:rsid w:val="00474356"/>
    <w:rsid w:val="004749B7"/>
    <w:rsid w:val="00474E7F"/>
    <w:rsid w:val="004753AE"/>
    <w:rsid w:val="00475A5C"/>
    <w:rsid w:val="00475B05"/>
    <w:rsid w:val="00476C71"/>
    <w:rsid w:val="00476E27"/>
    <w:rsid w:val="004800BD"/>
    <w:rsid w:val="004804BF"/>
    <w:rsid w:val="004807D4"/>
    <w:rsid w:val="00480B28"/>
    <w:rsid w:val="00480C3D"/>
    <w:rsid w:val="00482397"/>
    <w:rsid w:val="00483076"/>
    <w:rsid w:val="004833D7"/>
    <w:rsid w:val="00483DF9"/>
    <w:rsid w:val="00483F64"/>
    <w:rsid w:val="00484644"/>
    <w:rsid w:val="004847D3"/>
    <w:rsid w:val="00485C9C"/>
    <w:rsid w:val="00486866"/>
    <w:rsid w:val="00487586"/>
    <w:rsid w:val="00487689"/>
    <w:rsid w:val="00487D5F"/>
    <w:rsid w:val="00490448"/>
    <w:rsid w:val="004907D9"/>
    <w:rsid w:val="00490C8B"/>
    <w:rsid w:val="004918F6"/>
    <w:rsid w:val="00492432"/>
    <w:rsid w:val="004929A3"/>
    <w:rsid w:val="00493B76"/>
    <w:rsid w:val="00493C64"/>
    <w:rsid w:val="00494187"/>
    <w:rsid w:val="00495B82"/>
    <w:rsid w:val="00495CF2"/>
    <w:rsid w:val="00495E02"/>
    <w:rsid w:val="0049602A"/>
    <w:rsid w:val="00497339"/>
    <w:rsid w:val="004A058F"/>
    <w:rsid w:val="004A0725"/>
    <w:rsid w:val="004A074B"/>
    <w:rsid w:val="004A0F12"/>
    <w:rsid w:val="004A1474"/>
    <w:rsid w:val="004A23B7"/>
    <w:rsid w:val="004A27DD"/>
    <w:rsid w:val="004A2A6E"/>
    <w:rsid w:val="004A2AA0"/>
    <w:rsid w:val="004A35C8"/>
    <w:rsid w:val="004A3695"/>
    <w:rsid w:val="004A4F45"/>
    <w:rsid w:val="004A5184"/>
    <w:rsid w:val="004A5882"/>
    <w:rsid w:val="004A5B0B"/>
    <w:rsid w:val="004A7753"/>
    <w:rsid w:val="004A7FAA"/>
    <w:rsid w:val="004B0576"/>
    <w:rsid w:val="004B0A67"/>
    <w:rsid w:val="004B0C8B"/>
    <w:rsid w:val="004B1247"/>
    <w:rsid w:val="004B12E8"/>
    <w:rsid w:val="004B1893"/>
    <w:rsid w:val="004B19DC"/>
    <w:rsid w:val="004B1B94"/>
    <w:rsid w:val="004B1CC8"/>
    <w:rsid w:val="004B2501"/>
    <w:rsid w:val="004B2808"/>
    <w:rsid w:val="004B2C44"/>
    <w:rsid w:val="004B2EE1"/>
    <w:rsid w:val="004B3609"/>
    <w:rsid w:val="004B3964"/>
    <w:rsid w:val="004B3C5C"/>
    <w:rsid w:val="004B3C7C"/>
    <w:rsid w:val="004B47FB"/>
    <w:rsid w:val="004B4838"/>
    <w:rsid w:val="004B4BAC"/>
    <w:rsid w:val="004B56B7"/>
    <w:rsid w:val="004B5749"/>
    <w:rsid w:val="004B5DDC"/>
    <w:rsid w:val="004B77C1"/>
    <w:rsid w:val="004B7A9B"/>
    <w:rsid w:val="004C098C"/>
    <w:rsid w:val="004C09BD"/>
    <w:rsid w:val="004C0DD2"/>
    <w:rsid w:val="004C270D"/>
    <w:rsid w:val="004C355B"/>
    <w:rsid w:val="004C3A2C"/>
    <w:rsid w:val="004C404A"/>
    <w:rsid w:val="004C463F"/>
    <w:rsid w:val="004C49A5"/>
    <w:rsid w:val="004C4D32"/>
    <w:rsid w:val="004C4FEA"/>
    <w:rsid w:val="004C584A"/>
    <w:rsid w:val="004C5977"/>
    <w:rsid w:val="004C5B27"/>
    <w:rsid w:val="004C78AA"/>
    <w:rsid w:val="004D0BA3"/>
    <w:rsid w:val="004D13F9"/>
    <w:rsid w:val="004D15B0"/>
    <w:rsid w:val="004D1BFE"/>
    <w:rsid w:val="004D2F40"/>
    <w:rsid w:val="004D3EB6"/>
    <w:rsid w:val="004D51D6"/>
    <w:rsid w:val="004D538E"/>
    <w:rsid w:val="004D53F0"/>
    <w:rsid w:val="004D6335"/>
    <w:rsid w:val="004D6BA7"/>
    <w:rsid w:val="004D6FFE"/>
    <w:rsid w:val="004D74A6"/>
    <w:rsid w:val="004D7802"/>
    <w:rsid w:val="004D7A26"/>
    <w:rsid w:val="004E049E"/>
    <w:rsid w:val="004E0719"/>
    <w:rsid w:val="004E0F03"/>
    <w:rsid w:val="004E1770"/>
    <w:rsid w:val="004E1AFC"/>
    <w:rsid w:val="004E1E9E"/>
    <w:rsid w:val="004E2742"/>
    <w:rsid w:val="004E2876"/>
    <w:rsid w:val="004E4341"/>
    <w:rsid w:val="004E4754"/>
    <w:rsid w:val="004E4C07"/>
    <w:rsid w:val="004E51C3"/>
    <w:rsid w:val="004E5B25"/>
    <w:rsid w:val="004E5B82"/>
    <w:rsid w:val="004E5D37"/>
    <w:rsid w:val="004E6257"/>
    <w:rsid w:val="004E650D"/>
    <w:rsid w:val="004E7270"/>
    <w:rsid w:val="004F0402"/>
    <w:rsid w:val="004F0769"/>
    <w:rsid w:val="004F0872"/>
    <w:rsid w:val="004F0BD8"/>
    <w:rsid w:val="004F0BF2"/>
    <w:rsid w:val="004F113E"/>
    <w:rsid w:val="004F13F3"/>
    <w:rsid w:val="004F1860"/>
    <w:rsid w:val="004F3DC9"/>
    <w:rsid w:val="004F433F"/>
    <w:rsid w:val="004F451B"/>
    <w:rsid w:val="004F46F3"/>
    <w:rsid w:val="004F5E6F"/>
    <w:rsid w:val="004F6585"/>
    <w:rsid w:val="004F6B74"/>
    <w:rsid w:val="004F6FE2"/>
    <w:rsid w:val="004F707A"/>
    <w:rsid w:val="004F75ED"/>
    <w:rsid w:val="004F771F"/>
    <w:rsid w:val="004F7DE7"/>
    <w:rsid w:val="004F7EC3"/>
    <w:rsid w:val="004F7EE6"/>
    <w:rsid w:val="00501107"/>
    <w:rsid w:val="005013E2"/>
    <w:rsid w:val="00501B36"/>
    <w:rsid w:val="00501E2E"/>
    <w:rsid w:val="00502AB3"/>
    <w:rsid w:val="0050405F"/>
    <w:rsid w:val="00504476"/>
    <w:rsid w:val="00504767"/>
    <w:rsid w:val="00504B74"/>
    <w:rsid w:val="00504D93"/>
    <w:rsid w:val="00504F9A"/>
    <w:rsid w:val="0050506B"/>
    <w:rsid w:val="00505B2F"/>
    <w:rsid w:val="00505DA5"/>
    <w:rsid w:val="00506FD0"/>
    <w:rsid w:val="00507537"/>
    <w:rsid w:val="005077B1"/>
    <w:rsid w:val="0050797B"/>
    <w:rsid w:val="00507CD9"/>
    <w:rsid w:val="00507E6D"/>
    <w:rsid w:val="00510160"/>
    <w:rsid w:val="00510682"/>
    <w:rsid w:val="00510F71"/>
    <w:rsid w:val="00511E41"/>
    <w:rsid w:val="0051214B"/>
    <w:rsid w:val="0051312A"/>
    <w:rsid w:val="0051715F"/>
    <w:rsid w:val="00517D23"/>
    <w:rsid w:val="00520057"/>
    <w:rsid w:val="005212DF"/>
    <w:rsid w:val="005218B0"/>
    <w:rsid w:val="0052254C"/>
    <w:rsid w:val="0052347F"/>
    <w:rsid w:val="00524375"/>
    <w:rsid w:val="00524457"/>
    <w:rsid w:val="00524F79"/>
    <w:rsid w:val="00525096"/>
    <w:rsid w:val="0052606C"/>
    <w:rsid w:val="00526424"/>
    <w:rsid w:val="005265E6"/>
    <w:rsid w:val="005269E0"/>
    <w:rsid w:val="005273B2"/>
    <w:rsid w:val="005279C8"/>
    <w:rsid w:val="00527A35"/>
    <w:rsid w:val="005301C4"/>
    <w:rsid w:val="005301DD"/>
    <w:rsid w:val="005301E8"/>
    <w:rsid w:val="00530561"/>
    <w:rsid w:val="00530E6F"/>
    <w:rsid w:val="0053128F"/>
    <w:rsid w:val="0053155D"/>
    <w:rsid w:val="00532DCC"/>
    <w:rsid w:val="00532E50"/>
    <w:rsid w:val="00532F00"/>
    <w:rsid w:val="0053344A"/>
    <w:rsid w:val="005334F3"/>
    <w:rsid w:val="00533941"/>
    <w:rsid w:val="00533A29"/>
    <w:rsid w:val="0053411B"/>
    <w:rsid w:val="005341CB"/>
    <w:rsid w:val="005342FE"/>
    <w:rsid w:val="00534A73"/>
    <w:rsid w:val="00534C83"/>
    <w:rsid w:val="00535119"/>
    <w:rsid w:val="00535F0F"/>
    <w:rsid w:val="0053625D"/>
    <w:rsid w:val="00536B42"/>
    <w:rsid w:val="00536C69"/>
    <w:rsid w:val="00536F59"/>
    <w:rsid w:val="005373CE"/>
    <w:rsid w:val="00537B0E"/>
    <w:rsid w:val="00540259"/>
    <w:rsid w:val="00540687"/>
    <w:rsid w:val="005417E1"/>
    <w:rsid w:val="00541A57"/>
    <w:rsid w:val="00542202"/>
    <w:rsid w:val="0054364A"/>
    <w:rsid w:val="00544298"/>
    <w:rsid w:val="00544F18"/>
    <w:rsid w:val="005464AE"/>
    <w:rsid w:val="00546D80"/>
    <w:rsid w:val="00547400"/>
    <w:rsid w:val="00547CE6"/>
    <w:rsid w:val="005504C2"/>
    <w:rsid w:val="00550ADA"/>
    <w:rsid w:val="00551009"/>
    <w:rsid w:val="00551D5D"/>
    <w:rsid w:val="00552596"/>
    <w:rsid w:val="00553703"/>
    <w:rsid w:val="00553F0D"/>
    <w:rsid w:val="00553F83"/>
    <w:rsid w:val="005547A5"/>
    <w:rsid w:val="005549FF"/>
    <w:rsid w:val="00554AF0"/>
    <w:rsid w:val="00554E6E"/>
    <w:rsid w:val="00555398"/>
    <w:rsid w:val="00555992"/>
    <w:rsid w:val="00555B53"/>
    <w:rsid w:val="00555BF0"/>
    <w:rsid w:val="00555C56"/>
    <w:rsid w:val="00555CF0"/>
    <w:rsid w:val="00556075"/>
    <w:rsid w:val="0055727B"/>
    <w:rsid w:val="0056051F"/>
    <w:rsid w:val="00560C0A"/>
    <w:rsid w:val="00560C75"/>
    <w:rsid w:val="00560EE8"/>
    <w:rsid w:val="005612BE"/>
    <w:rsid w:val="00563A95"/>
    <w:rsid w:val="00565070"/>
    <w:rsid w:val="00565BF9"/>
    <w:rsid w:val="00566A5E"/>
    <w:rsid w:val="00567045"/>
    <w:rsid w:val="00567E5F"/>
    <w:rsid w:val="0057015E"/>
    <w:rsid w:val="00570D34"/>
    <w:rsid w:val="00571887"/>
    <w:rsid w:val="00571B3A"/>
    <w:rsid w:val="00571C66"/>
    <w:rsid w:val="00572BFE"/>
    <w:rsid w:val="00572D68"/>
    <w:rsid w:val="005742D0"/>
    <w:rsid w:val="00574A78"/>
    <w:rsid w:val="00574B53"/>
    <w:rsid w:val="00574E66"/>
    <w:rsid w:val="0057516C"/>
    <w:rsid w:val="00575D65"/>
    <w:rsid w:val="00576B43"/>
    <w:rsid w:val="00577235"/>
    <w:rsid w:val="00577995"/>
    <w:rsid w:val="00580492"/>
    <w:rsid w:val="00580895"/>
    <w:rsid w:val="005810E1"/>
    <w:rsid w:val="00581BB4"/>
    <w:rsid w:val="00581F2C"/>
    <w:rsid w:val="0058264B"/>
    <w:rsid w:val="00582986"/>
    <w:rsid w:val="00582A12"/>
    <w:rsid w:val="00583C7A"/>
    <w:rsid w:val="00585194"/>
    <w:rsid w:val="005854D9"/>
    <w:rsid w:val="005860BA"/>
    <w:rsid w:val="005861A8"/>
    <w:rsid w:val="00586C6A"/>
    <w:rsid w:val="00586F08"/>
    <w:rsid w:val="00587001"/>
    <w:rsid w:val="00587575"/>
    <w:rsid w:val="00587C69"/>
    <w:rsid w:val="00587CE7"/>
    <w:rsid w:val="0059056E"/>
    <w:rsid w:val="0059077A"/>
    <w:rsid w:val="00590B6E"/>
    <w:rsid w:val="005915AB"/>
    <w:rsid w:val="005917CA"/>
    <w:rsid w:val="00591A12"/>
    <w:rsid w:val="00591B79"/>
    <w:rsid w:val="00592034"/>
    <w:rsid w:val="0059245B"/>
    <w:rsid w:val="00593CE1"/>
    <w:rsid w:val="00596159"/>
    <w:rsid w:val="0059657C"/>
    <w:rsid w:val="00596E66"/>
    <w:rsid w:val="00597612"/>
    <w:rsid w:val="005A02A9"/>
    <w:rsid w:val="005A083D"/>
    <w:rsid w:val="005A0C3B"/>
    <w:rsid w:val="005A10FD"/>
    <w:rsid w:val="005A16A3"/>
    <w:rsid w:val="005A1740"/>
    <w:rsid w:val="005A1DB4"/>
    <w:rsid w:val="005A363B"/>
    <w:rsid w:val="005A48A5"/>
    <w:rsid w:val="005A4D8F"/>
    <w:rsid w:val="005A4F38"/>
    <w:rsid w:val="005A512E"/>
    <w:rsid w:val="005A5F72"/>
    <w:rsid w:val="005A6A2D"/>
    <w:rsid w:val="005A7A8E"/>
    <w:rsid w:val="005A7D5B"/>
    <w:rsid w:val="005B0B51"/>
    <w:rsid w:val="005B0D7D"/>
    <w:rsid w:val="005B1341"/>
    <w:rsid w:val="005B1E93"/>
    <w:rsid w:val="005B2974"/>
    <w:rsid w:val="005B33AE"/>
    <w:rsid w:val="005B3750"/>
    <w:rsid w:val="005B39FC"/>
    <w:rsid w:val="005B4011"/>
    <w:rsid w:val="005B49CB"/>
    <w:rsid w:val="005B4B08"/>
    <w:rsid w:val="005B4CA2"/>
    <w:rsid w:val="005B5B53"/>
    <w:rsid w:val="005B5B75"/>
    <w:rsid w:val="005B666E"/>
    <w:rsid w:val="005B6706"/>
    <w:rsid w:val="005B7443"/>
    <w:rsid w:val="005B7E4B"/>
    <w:rsid w:val="005C09D6"/>
    <w:rsid w:val="005C0A1E"/>
    <w:rsid w:val="005C0FAC"/>
    <w:rsid w:val="005C3132"/>
    <w:rsid w:val="005C360D"/>
    <w:rsid w:val="005C3B00"/>
    <w:rsid w:val="005C4984"/>
    <w:rsid w:val="005C5F3F"/>
    <w:rsid w:val="005C602F"/>
    <w:rsid w:val="005C6592"/>
    <w:rsid w:val="005C6B06"/>
    <w:rsid w:val="005C748F"/>
    <w:rsid w:val="005D0138"/>
    <w:rsid w:val="005D0940"/>
    <w:rsid w:val="005D2010"/>
    <w:rsid w:val="005D2155"/>
    <w:rsid w:val="005D266B"/>
    <w:rsid w:val="005D299F"/>
    <w:rsid w:val="005D3A3C"/>
    <w:rsid w:val="005D435A"/>
    <w:rsid w:val="005D52BF"/>
    <w:rsid w:val="005D572C"/>
    <w:rsid w:val="005D5EC1"/>
    <w:rsid w:val="005D6091"/>
    <w:rsid w:val="005D64DD"/>
    <w:rsid w:val="005D6AF3"/>
    <w:rsid w:val="005D6C78"/>
    <w:rsid w:val="005D6EC9"/>
    <w:rsid w:val="005E0126"/>
    <w:rsid w:val="005E0AA2"/>
    <w:rsid w:val="005E1839"/>
    <w:rsid w:val="005E199B"/>
    <w:rsid w:val="005E1D36"/>
    <w:rsid w:val="005E252E"/>
    <w:rsid w:val="005E35D0"/>
    <w:rsid w:val="005E39A8"/>
    <w:rsid w:val="005E3B2E"/>
    <w:rsid w:val="005E437B"/>
    <w:rsid w:val="005E4384"/>
    <w:rsid w:val="005E4789"/>
    <w:rsid w:val="005E5524"/>
    <w:rsid w:val="005E6085"/>
    <w:rsid w:val="005E618F"/>
    <w:rsid w:val="005E6BEC"/>
    <w:rsid w:val="005F02C1"/>
    <w:rsid w:val="005F06EC"/>
    <w:rsid w:val="005F0DB3"/>
    <w:rsid w:val="005F136C"/>
    <w:rsid w:val="005F1AEE"/>
    <w:rsid w:val="005F36C7"/>
    <w:rsid w:val="005F39E4"/>
    <w:rsid w:val="005F3B51"/>
    <w:rsid w:val="005F3BBC"/>
    <w:rsid w:val="005F3CFC"/>
    <w:rsid w:val="005F4530"/>
    <w:rsid w:val="005F500F"/>
    <w:rsid w:val="005F611C"/>
    <w:rsid w:val="005F6666"/>
    <w:rsid w:val="005F66D7"/>
    <w:rsid w:val="005F69BE"/>
    <w:rsid w:val="005F7C1F"/>
    <w:rsid w:val="006004D3"/>
    <w:rsid w:val="0060103E"/>
    <w:rsid w:val="00601221"/>
    <w:rsid w:val="0060151F"/>
    <w:rsid w:val="006015FD"/>
    <w:rsid w:val="00601917"/>
    <w:rsid w:val="00602339"/>
    <w:rsid w:val="00602A68"/>
    <w:rsid w:val="00602C3C"/>
    <w:rsid w:val="00602F3F"/>
    <w:rsid w:val="00603BD5"/>
    <w:rsid w:val="00603C35"/>
    <w:rsid w:val="00604260"/>
    <w:rsid w:val="006046CE"/>
    <w:rsid w:val="006052B2"/>
    <w:rsid w:val="006056E0"/>
    <w:rsid w:val="0060613F"/>
    <w:rsid w:val="00606958"/>
    <w:rsid w:val="0060709C"/>
    <w:rsid w:val="00607739"/>
    <w:rsid w:val="00607F4B"/>
    <w:rsid w:val="00611397"/>
    <w:rsid w:val="006113A6"/>
    <w:rsid w:val="006119B0"/>
    <w:rsid w:val="006119B1"/>
    <w:rsid w:val="00612ED3"/>
    <w:rsid w:val="006145FB"/>
    <w:rsid w:val="006149F4"/>
    <w:rsid w:val="0061521B"/>
    <w:rsid w:val="006154C4"/>
    <w:rsid w:val="00615EB7"/>
    <w:rsid w:val="00616414"/>
    <w:rsid w:val="0061652A"/>
    <w:rsid w:val="00616543"/>
    <w:rsid w:val="00616D66"/>
    <w:rsid w:val="0062029D"/>
    <w:rsid w:val="006205A6"/>
    <w:rsid w:val="00621668"/>
    <w:rsid w:val="006216C0"/>
    <w:rsid w:val="00622FAA"/>
    <w:rsid w:val="006230F3"/>
    <w:rsid w:val="006237B6"/>
    <w:rsid w:val="0062399D"/>
    <w:rsid w:val="00623A55"/>
    <w:rsid w:val="00623FA9"/>
    <w:rsid w:val="00624111"/>
    <w:rsid w:val="00624561"/>
    <w:rsid w:val="00624599"/>
    <w:rsid w:val="00624831"/>
    <w:rsid w:val="00624936"/>
    <w:rsid w:val="00624B70"/>
    <w:rsid w:val="00625AA4"/>
    <w:rsid w:val="006262DC"/>
    <w:rsid w:val="0062673E"/>
    <w:rsid w:val="00630155"/>
    <w:rsid w:val="00630ACA"/>
    <w:rsid w:val="00630D4D"/>
    <w:rsid w:val="006313D6"/>
    <w:rsid w:val="0063276C"/>
    <w:rsid w:val="00633763"/>
    <w:rsid w:val="00633FD2"/>
    <w:rsid w:val="006347AB"/>
    <w:rsid w:val="00634912"/>
    <w:rsid w:val="006351D5"/>
    <w:rsid w:val="006363B0"/>
    <w:rsid w:val="00636A78"/>
    <w:rsid w:val="006371DF"/>
    <w:rsid w:val="00637A64"/>
    <w:rsid w:val="00640248"/>
    <w:rsid w:val="0064026D"/>
    <w:rsid w:val="0064036B"/>
    <w:rsid w:val="006404C5"/>
    <w:rsid w:val="006406E2"/>
    <w:rsid w:val="00640A34"/>
    <w:rsid w:val="00640A53"/>
    <w:rsid w:val="00640B1F"/>
    <w:rsid w:val="00640C3D"/>
    <w:rsid w:val="006411EF"/>
    <w:rsid w:val="00641393"/>
    <w:rsid w:val="006418B1"/>
    <w:rsid w:val="00641943"/>
    <w:rsid w:val="00641BDE"/>
    <w:rsid w:val="00641E23"/>
    <w:rsid w:val="006421A9"/>
    <w:rsid w:val="00642344"/>
    <w:rsid w:val="00642E07"/>
    <w:rsid w:val="00643266"/>
    <w:rsid w:val="00643428"/>
    <w:rsid w:val="00643593"/>
    <w:rsid w:val="00643EB3"/>
    <w:rsid w:val="00644826"/>
    <w:rsid w:val="00645232"/>
    <w:rsid w:val="00645A15"/>
    <w:rsid w:val="00646E8D"/>
    <w:rsid w:val="00647405"/>
    <w:rsid w:val="00647D7E"/>
    <w:rsid w:val="00647DD8"/>
    <w:rsid w:val="00650DC5"/>
    <w:rsid w:val="00651303"/>
    <w:rsid w:val="00651F1C"/>
    <w:rsid w:val="00652E36"/>
    <w:rsid w:val="006536DF"/>
    <w:rsid w:val="00653A6E"/>
    <w:rsid w:val="00653B00"/>
    <w:rsid w:val="00653F1E"/>
    <w:rsid w:val="00653F6D"/>
    <w:rsid w:val="00654FC8"/>
    <w:rsid w:val="00655D56"/>
    <w:rsid w:val="00655DF4"/>
    <w:rsid w:val="006570EC"/>
    <w:rsid w:val="006573DF"/>
    <w:rsid w:val="0065769E"/>
    <w:rsid w:val="00657BA6"/>
    <w:rsid w:val="006610B0"/>
    <w:rsid w:val="0066169D"/>
    <w:rsid w:val="00661975"/>
    <w:rsid w:val="0066246A"/>
    <w:rsid w:val="006636A2"/>
    <w:rsid w:val="006655A1"/>
    <w:rsid w:val="006663AA"/>
    <w:rsid w:val="0066679F"/>
    <w:rsid w:val="00666DB0"/>
    <w:rsid w:val="006674F0"/>
    <w:rsid w:val="00667C41"/>
    <w:rsid w:val="00667FFB"/>
    <w:rsid w:val="00670677"/>
    <w:rsid w:val="006709B6"/>
    <w:rsid w:val="0067148B"/>
    <w:rsid w:val="0067213A"/>
    <w:rsid w:val="00672258"/>
    <w:rsid w:val="006723E3"/>
    <w:rsid w:val="00672624"/>
    <w:rsid w:val="00672837"/>
    <w:rsid w:val="00672DD8"/>
    <w:rsid w:val="00673B63"/>
    <w:rsid w:val="006741E6"/>
    <w:rsid w:val="00674B5D"/>
    <w:rsid w:val="00675226"/>
    <w:rsid w:val="00676419"/>
    <w:rsid w:val="0067686D"/>
    <w:rsid w:val="00677766"/>
    <w:rsid w:val="00677DA8"/>
    <w:rsid w:val="006807BA"/>
    <w:rsid w:val="00680E88"/>
    <w:rsid w:val="00681080"/>
    <w:rsid w:val="006815A7"/>
    <w:rsid w:val="00681BEB"/>
    <w:rsid w:val="00681E79"/>
    <w:rsid w:val="00681F3A"/>
    <w:rsid w:val="006820B1"/>
    <w:rsid w:val="006848CC"/>
    <w:rsid w:val="00685780"/>
    <w:rsid w:val="006867FE"/>
    <w:rsid w:val="00687560"/>
    <w:rsid w:val="0068789B"/>
    <w:rsid w:val="00687900"/>
    <w:rsid w:val="0068794B"/>
    <w:rsid w:val="00687E25"/>
    <w:rsid w:val="0069098A"/>
    <w:rsid w:val="006910D6"/>
    <w:rsid w:val="006911E3"/>
    <w:rsid w:val="00691723"/>
    <w:rsid w:val="00692E57"/>
    <w:rsid w:val="00693B9B"/>
    <w:rsid w:val="006940FC"/>
    <w:rsid w:val="0069447D"/>
    <w:rsid w:val="006946E3"/>
    <w:rsid w:val="00694C2B"/>
    <w:rsid w:val="00695A2E"/>
    <w:rsid w:val="00695B2E"/>
    <w:rsid w:val="006967F5"/>
    <w:rsid w:val="0069680A"/>
    <w:rsid w:val="0069694A"/>
    <w:rsid w:val="00696D8B"/>
    <w:rsid w:val="006972C7"/>
    <w:rsid w:val="006978E7"/>
    <w:rsid w:val="00697F5B"/>
    <w:rsid w:val="006A0F47"/>
    <w:rsid w:val="006A0F74"/>
    <w:rsid w:val="006A1514"/>
    <w:rsid w:val="006A1593"/>
    <w:rsid w:val="006A2072"/>
    <w:rsid w:val="006A245C"/>
    <w:rsid w:val="006A2481"/>
    <w:rsid w:val="006A262F"/>
    <w:rsid w:val="006A2AFF"/>
    <w:rsid w:val="006A2BB9"/>
    <w:rsid w:val="006A2D1E"/>
    <w:rsid w:val="006A2DAB"/>
    <w:rsid w:val="006A2F6D"/>
    <w:rsid w:val="006A2FC1"/>
    <w:rsid w:val="006A6A96"/>
    <w:rsid w:val="006A6BD0"/>
    <w:rsid w:val="006A744A"/>
    <w:rsid w:val="006A7540"/>
    <w:rsid w:val="006B01D5"/>
    <w:rsid w:val="006B13D6"/>
    <w:rsid w:val="006B14E1"/>
    <w:rsid w:val="006B24FD"/>
    <w:rsid w:val="006B294F"/>
    <w:rsid w:val="006B33E2"/>
    <w:rsid w:val="006B4385"/>
    <w:rsid w:val="006B4CBE"/>
    <w:rsid w:val="006B4D8B"/>
    <w:rsid w:val="006B5084"/>
    <w:rsid w:val="006B50C1"/>
    <w:rsid w:val="006B538B"/>
    <w:rsid w:val="006B5913"/>
    <w:rsid w:val="006B6768"/>
    <w:rsid w:val="006B6C00"/>
    <w:rsid w:val="006B6C0E"/>
    <w:rsid w:val="006B77A5"/>
    <w:rsid w:val="006B7B74"/>
    <w:rsid w:val="006B7D90"/>
    <w:rsid w:val="006C0173"/>
    <w:rsid w:val="006C024A"/>
    <w:rsid w:val="006C07BC"/>
    <w:rsid w:val="006C0B6C"/>
    <w:rsid w:val="006C179A"/>
    <w:rsid w:val="006C23E8"/>
    <w:rsid w:val="006C2687"/>
    <w:rsid w:val="006C33C3"/>
    <w:rsid w:val="006C344A"/>
    <w:rsid w:val="006C3690"/>
    <w:rsid w:val="006C383E"/>
    <w:rsid w:val="006C38F1"/>
    <w:rsid w:val="006C44C5"/>
    <w:rsid w:val="006C4BA2"/>
    <w:rsid w:val="006C4D1D"/>
    <w:rsid w:val="006C5005"/>
    <w:rsid w:val="006C5634"/>
    <w:rsid w:val="006C5BB5"/>
    <w:rsid w:val="006C5BDD"/>
    <w:rsid w:val="006C6078"/>
    <w:rsid w:val="006C62EE"/>
    <w:rsid w:val="006C6315"/>
    <w:rsid w:val="006C6877"/>
    <w:rsid w:val="006C6937"/>
    <w:rsid w:val="006D0255"/>
    <w:rsid w:val="006D11A8"/>
    <w:rsid w:val="006D11FA"/>
    <w:rsid w:val="006D1EF5"/>
    <w:rsid w:val="006D240B"/>
    <w:rsid w:val="006D2721"/>
    <w:rsid w:val="006D3433"/>
    <w:rsid w:val="006D3655"/>
    <w:rsid w:val="006D3C22"/>
    <w:rsid w:val="006D3EB2"/>
    <w:rsid w:val="006D3F9F"/>
    <w:rsid w:val="006D3FDC"/>
    <w:rsid w:val="006D4204"/>
    <w:rsid w:val="006D4348"/>
    <w:rsid w:val="006D47F3"/>
    <w:rsid w:val="006D4F86"/>
    <w:rsid w:val="006D58DB"/>
    <w:rsid w:val="006D596D"/>
    <w:rsid w:val="006D5C25"/>
    <w:rsid w:val="006D6386"/>
    <w:rsid w:val="006D66E7"/>
    <w:rsid w:val="006D67EA"/>
    <w:rsid w:val="006D6820"/>
    <w:rsid w:val="006E028B"/>
    <w:rsid w:val="006E051A"/>
    <w:rsid w:val="006E1B9F"/>
    <w:rsid w:val="006E2DC2"/>
    <w:rsid w:val="006E2DFC"/>
    <w:rsid w:val="006E354A"/>
    <w:rsid w:val="006E3C03"/>
    <w:rsid w:val="006E3CB1"/>
    <w:rsid w:val="006E40A6"/>
    <w:rsid w:val="006E447B"/>
    <w:rsid w:val="006E452C"/>
    <w:rsid w:val="006E53A5"/>
    <w:rsid w:val="006E593A"/>
    <w:rsid w:val="006E5E33"/>
    <w:rsid w:val="006E5FB8"/>
    <w:rsid w:val="006E7028"/>
    <w:rsid w:val="006E738C"/>
    <w:rsid w:val="006E78D0"/>
    <w:rsid w:val="006E791C"/>
    <w:rsid w:val="006E7D31"/>
    <w:rsid w:val="006F0B9B"/>
    <w:rsid w:val="006F0DD4"/>
    <w:rsid w:val="006F1C01"/>
    <w:rsid w:val="006F1D63"/>
    <w:rsid w:val="006F2872"/>
    <w:rsid w:val="006F2958"/>
    <w:rsid w:val="006F2CC2"/>
    <w:rsid w:val="006F35DE"/>
    <w:rsid w:val="006F363D"/>
    <w:rsid w:val="006F3C05"/>
    <w:rsid w:val="006F40EE"/>
    <w:rsid w:val="006F44C7"/>
    <w:rsid w:val="006F5BD1"/>
    <w:rsid w:val="006F6613"/>
    <w:rsid w:val="006F7125"/>
    <w:rsid w:val="007000A3"/>
    <w:rsid w:val="0070015C"/>
    <w:rsid w:val="00700A13"/>
    <w:rsid w:val="007013DD"/>
    <w:rsid w:val="007016ED"/>
    <w:rsid w:val="00701AC4"/>
    <w:rsid w:val="00701DFC"/>
    <w:rsid w:val="00702878"/>
    <w:rsid w:val="00702B69"/>
    <w:rsid w:val="00703929"/>
    <w:rsid w:val="00703CBB"/>
    <w:rsid w:val="00703DE7"/>
    <w:rsid w:val="007043A9"/>
    <w:rsid w:val="00704D74"/>
    <w:rsid w:val="007052CC"/>
    <w:rsid w:val="007057B7"/>
    <w:rsid w:val="00706019"/>
    <w:rsid w:val="007077F5"/>
    <w:rsid w:val="00707810"/>
    <w:rsid w:val="007079FB"/>
    <w:rsid w:val="00707FF7"/>
    <w:rsid w:val="00710DE3"/>
    <w:rsid w:val="007110D8"/>
    <w:rsid w:val="00711309"/>
    <w:rsid w:val="007142AC"/>
    <w:rsid w:val="00715357"/>
    <w:rsid w:val="00715FED"/>
    <w:rsid w:val="00716B58"/>
    <w:rsid w:val="00716F0C"/>
    <w:rsid w:val="00717489"/>
    <w:rsid w:val="00717794"/>
    <w:rsid w:val="007179B6"/>
    <w:rsid w:val="00720214"/>
    <w:rsid w:val="007203CA"/>
    <w:rsid w:val="00720E54"/>
    <w:rsid w:val="0072198F"/>
    <w:rsid w:val="0072234B"/>
    <w:rsid w:val="00723F0A"/>
    <w:rsid w:val="00724292"/>
    <w:rsid w:val="00724A5A"/>
    <w:rsid w:val="00725DB6"/>
    <w:rsid w:val="0072605E"/>
    <w:rsid w:val="0072616F"/>
    <w:rsid w:val="0072663F"/>
    <w:rsid w:val="0072673A"/>
    <w:rsid w:val="00726995"/>
    <w:rsid w:val="00726DE8"/>
    <w:rsid w:val="00727F55"/>
    <w:rsid w:val="00730874"/>
    <w:rsid w:val="00730A5F"/>
    <w:rsid w:val="007311F9"/>
    <w:rsid w:val="007312D7"/>
    <w:rsid w:val="007316BF"/>
    <w:rsid w:val="0073174C"/>
    <w:rsid w:val="00731D76"/>
    <w:rsid w:val="0073240D"/>
    <w:rsid w:val="00732968"/>
    <w:rsid w:val="0073348E"/>
    <w:rsid w:val="00733924"/>
    <w:rsid w:val="00733BF5"/>
    <w:rsid w:val="00734B7C"/>
    <w:rsid w:val="00735902"/>
    <w:rsid w:val="00735CCC"/>
    <w:rsid w:val="00735E43"/>
    <w:rsid w:val="00736138"/>
    <w:rsid w:val="00736CAE"/>
    <w:rsid w:val="00737E48"/>
    <w:rsid w:val="0074121D"/>
    <w:rsid w:val="0074193A"/>
    <w:rsid w:val="00742008"/>
    <w:rsid w:val="007427F2"/>
    <w:rsid w:val="00742C80"/>
    <w:rsid w:val="00743BFD"/>
    <w:rsid w:val="0074450D"/>
    <w:rsid w:val="0074496C"/>
    <w:rsid w:val="00744A65"/>
    <w:rsid w:val="007451ED"/>
    <w:rsid w:val="0074593D"/>
    <w:rsid w:val="0074666E"/>
    <w:rsid w:val="007468BF"/>
    <w:rsid w:val="00746E11"/>
    <w:rsid w:val="00747512"/>
    <w:rsid w:val="00747970"/>
    <w:rsid w:val="007500A5"/>
    <w:rsid w:val="007502F3"/>
    <w:rsid w:val="00750531"/>
    <w:rsid w:val="00751571"/>
    <w:rsid w:val="00751602"/>
    <w:rsid w:val="007517FF"/>
    <w:rsid w:val="007524D8"/>
    <w:rsid w:val="0075287D"/>
    <w:rsid w:val="00752B6D"/>
    <w:rsid w:val="00752D94"/>
    <w:rsid w:val="00752E01"/>
    <w:rsid w:val="007534BE"/>
    <w:rsid w:val="007543D9"/>
    <w:rsid w:val="007546CB"/>
    <w:rsid w:val="00754C3E"/>
    <w:rsid w:val="0075568A"/>
    <w:rsid w:val="00756722"/>
    <w:rsid w:val="0075695B"/>
    <w:rsid w:val="007569D8"/>
    <w:rsid w:val="00756F04"/>
    <w:rsid w:val="00757617"/>
    <w:rsid w:val="00760034"/>
    <w:rsid w:val="0076067D"/>
    <w:rsid w:val="00760823"/>
    <w:rsid w:val="00760DD6"/>
    <w:rsid w:val="00761ACA"/>
    <w:rsid w:val="00762295"/>
    <w:rsid w:val="00763065"/>
    <w:rsid w:val="00763511"/>
    <w:rsid w:val="00763A02"/>
    <w:rsid w:val="00763A22"/>
    <w:rsid w:val="00763E79"/>
    <w:rsid w:val="00764D3B"/>
    <w:rsid w:val="00765010"/>
    <w:rsid w:val="007657F7"/>
    <w:rsid w:val="00765A83"/>
    <w:rsid w:val="00766326"/>
    <w:rsid w:val="00766D0A"/>
    <w:rsid w:val="00767589"/>
    <w:rsid w:val="00770569"/>
    <w:rsid w:val="00770FDD"/>
    <w:rsid w:val="00771240"/>
    <w:rsid w:val="007715CE"/>
    <w:rsid w:val="00772F62"/>
    <w:rsid w:val="00773E73"/>
    <w:rsid w:val="00775D71"/>
    <w:rsid w:val="00775F5F"/>
    <w:rsid w:val="007760BD"/>
    <w:rsid w:val="0077656C"/>
    <w:rsid w:val="00776887"/>
    <w:rsid w:val="00777014"/>
    <w:rsid w:val="0077723B"/>
    <w:rsid w:val="00777400"/>
    <w:rsid w:val="00777B56"/>
    <w:rsid w:val="00777BDD"/>
    <w:rsid w:val="00780144"/>
    <w:rsid w:val="00780CC6"/>
    <w:rsid w:val="007819AB"/>
    <w:rsid w:val="00781BC7"/>
    <w:rsid w:val="00781CFF"/>
    <w:rsid w:val="00781EB6"/>
    <w:rsid w:val="00781EE1"/>
    <w:rsid w:val="0078240E"/>
    <w:rsid w:val="00782435"/>
    <w:rsid w:val="00782940"/>
    <w:rsid w:val="00783D6B"/>
    <w:rsid w:val="00783F6F"/>
    <w:rsid w:val="0078456E"/>
    <w:rsid w:val="007846DA"/>
    <w:rsid w:val="00784B18"/>
    <w:rsid w:val="00784D9F"/>
    <w:rsid w:val="00785727"/>
    <w:rsid w:val="00785B56"/>
    <w:rsid w:val="0078679C"/>
    <w:rsid w:val="00790016"/>
    <w:rsid w:val="007907D5"/>
    <w:rsid w:val="00790818"/>
    <w:rsid w:val="00790B13"/>
    <w:rsid w:val="00790BA2"/>
    <w:rsid w:val="00791746"/>
    <w:rsid w:val="00792231"/>
    <w:rsid w:val="00792D24"/>
    <w:rsid w:val="00794CDC"/>
    <w:rsid w:val="00794FD1"/>
    <w:rsid w:val="00796347"/>
    <w:rsid w:val="007967D2"/>
    <w:rsid w:val="0079751A"/>
    <w:rsid w:val="0079786C"/>
    <w:rsid w:val="00797CD4"/>
    <w:rsid w:val="00797E79"/>
    <w:rsid w:val="007A0204"/>
    <w:rsid w:val="007A19F3"/>
    <w:rsid w:val="007A2A81"/>
    <w:rsid w:val="007A3132"/>
    <w:rsid w:val="007A332F"/>
    <w:rsid w:val="007A352A"/>
    <w:rsid w:val="007A37B0"/>
    <w:rsid w:val="007A43AB"/>
    <w:rsid w:val="007A4E22"/>
    <w:rsid w:val="007A4EAF"/>
    <w:rsid w:val="007A4EFF"/>
    <w:rsid w:val="007A6728"/>
    <w:rsid w:val="007B0498"/>
    <w:rsid w:val="007B0510"/>
    <w:rsid w:val="007B057F"/>
    <w:rsid w:val="007B0729"/>
    <w:rsid w:val="007B11BA"/>
    <w:rsid w:val="007B14FB"/>
    <w:rsid w:val="007B189F"/>
    <w:rsid w:val="007B1DE9"/>
    <w:rsid w:val="007B2248"/>
    <w:rsid w:val="007B2839"/>
    <w:rsid w:val="007B2B54"/>
    <w:rsid w:val="007B2BE0"/>
    <w:rsid w:val="007B3029"/>
    <w:rsid w:val="007B3371"/>
    <w:rsid w:val="007B44BB"/>
    <w:rsid w:val="007B4901"/>
    <w:rsid w:val="007B4F2E"/>
    <w:rsid w:val="007B5F00"/>
    <w:rsid w:val="007B6172"/>
    <w:rsid w:val="007B627A"/>
    <w:rsid w:val="007B6630"/>
    <w:rsid w:val="007B6700"/>
    <w:rsid w:val="007B701F"/>
    <w:rsid w:val="007B7222"/>
    <w:rsid w:val="007B7361"/>
    <w:rsid w:val="007B7539"/>
    <w:rsid w:val="007C02C2"/>
    <w:rsid w:val="007C08D0"/>
    <w:rsid w:val="007C0BD5"/>
    <w:rsid w:val="007C0DF4"/>
    <w:rsid w:val="007C0F07"/>
    <w:rsid w:val="007C1069"/>
    <w:rsid w:val="007C12D2"/>
    <w:rsid w:val="007C1AD0"/>
    <w:rsid w:val="007C29C3"/>
    <w:rsid w:val="007C33B3"/>
    <w:rsid w:val="007C371F"/>
    <w:rsid w:val="007C3FA9"/>
    <w:rsid w:val="007C499A"/>
    <w:rsid w:val="007C4DF2"/>
    <w:rsid w:val="007C53FA"/>
    <w:rsid w:val="007C5F18"/>
    <w:rsid w:val="007C7160"/>
    <w:rsid w:val="007C7697"/>
    <w:rsid w:val="007C7CC6"/>
    <w:rsid w:val="007C7DF1"/>
    <w:rsid w:val="007D0767"/>
    <w:rsid w:val="007D18C3"/>
    <w:rsid w:val="007D2F76"/>
    <w:rsid w:val="007D3B50"/>
    <w:rsid w:val="007D4089"/>
    <w:rsid w:val="007D561C"/>
    <w:rsid w:val="007D6557"/>
    <w:rsid w:val="007D6CF4"/>
    <w:rsid w:val="007D6E41"/>
    <w:rsid w:val="007D7496"/>
    <w:rsid w:val="007D7516"/>
    <w:rsid w:val="007D79A6"/>
    <w:rsid w:val="007D7D24"/>
    <w:rsid w:val="007D7EB1"/>
    <w:rsid w:val="007E0637"/>
    <w:rsid w:val="007E0FCC"/>
    <w:rsid w:val="007E1BFF"/>
    <w:rsid w:val="007E1E80"/>
    <w:rsid w:val="007E2673"/>
    <w:rsid w:val="007E272D"/>
    <w:rsid w:val="007E3FF5"/>
    <w:rsid w:val="007E3FF7"/>
    <w:rsid w:val="007E4AAA"/>
    <w:rsid w:val="007E4EA9"/>
    <w:rsid w:val="007E53B7"/>
    <w:rsid w:val="007E5DA5"/>
    <w:rsid w:val="007E5EC5"/>
    <w:rsid w:val="007E67DC"/>
    <w:rsid w:val="007E69CF"/>
    <w:rsid w:val="007E6FE6"/>
    <w:rsid w:val="007E765D"/>
    <w:rsid w:val="007E7931"/>
    <w:rsid w:val="007E7A1B"/>
    <w:rsid w:val="007E7CFA"/>
    <w:rsid w:val="007F05A3"/>
    <w:rsid w:val="007F0BC2"/>
    <w:rsid w:val="007F1211"/>
    <w:rsid w:val="007F1460"/>
    <w:rsid w:val="007F157E"/>
    <w:rsid w:val="007F1925"/>
    <w:rsid w:val="007F1BFD"/>
    <w:rsid w:val="007F1DA7"/>
    <w:rsid w:val="007F255E"/>
    <w:rsid w:val="007F29E6"/>
    <w:rsid w:val="007F37A4"/>
    <w:rsid w:val="007F37D8"/>
    <w:rsid w:val="007F3AB1"/>
    <w:rsid w:val="007F3E38"/>
    <w:rsid w:val="007F41B5"/>
    <w:rsid w:val="007F492B"/>
    <w:rsid w:val="007F4B92"/>
    <w:rsid w:val="007F5C72"/>
    <w:rsid w:val="007F5E46"/>
    <w:rsid w:val="007F60D8"/>
    <w:rsid w:val="007F6F50"/>
    <w:rsid w:val="008004D1"/>
    <w:rsid w:val="008007A3"/>
    <w:rsid w:val="00801032"/>
    <w:rsid w:val="00801302"/>
    <w:rsid w:val="00801C7C"/>
    <w:rsid w:val="00801D3C"/>
    <w:rsid w:val="0080225D"/>
    <w:rsid w:val="00802A8B"/>
    <w:rsid w:val="00802AE5"/>
    <w:rsid w:val="0080335D"/>
    <w:rsid w:val="008035B5"/>
    <w:rsid w:val="00803C5F"/>
    <w:rsid w:val="00803E64"/>
    <w:rsid w:val="00803FE8"/>
    <w:rsid w:val="00804586"/>
    <w:rsid w:val="00804B4E"/>
    <w:rsid w:val="00804BC9"/>
    <w:rsid w:val="00806C1B"/>
    <w:rsid w:val="00807ED0"/>
    <w:rsid w:val="00810A65"/>
    <w:rsid w:val="00811FB0"/>
    <w:rsid w:val="00812A84"/>
    <w:rsid w:val="00812B04"/>
    <w:rsid w:val="00812F6C"/>
    <w:rsid w:val="00812FC0"/>
    <w:rsid w:val="008137D3"/>
    <w:rsid w:val="00814CB5"/>
    <w:rsid w:val="008154DD"/>
    <w:rsid w:val="00815BD3"/>
    <w:rsid w:val="00815FC5"/>
    <w:rsid w:val="008160A4"/>
    <w:rsid w:val="0081699A"/>
    <w:rsid w:val="008169C7"/>
    <w:rsid w:val="00816E93"/>
    <w:rsid w:val="0081720C"/>
    <w:rsid w:val="008177DB"/>
    <w:rsid w:val="00817851"/>
    <w:rsid w:val="0081796A"/>
    <w:rsid w:val="00817E50"/>
    <w:rsid w:val="008207E6"/>
    <w:rsid w:val="00820B68"/>
    <w:rsid w:val="00821943"/>
    <w:rsid w:val="00821B1C"/>
    <w:rsid w:val="00822440"/>
    <w:rsid w:val="0082276F"/>
    <w:rsid w:val="008228E7"/>
    <w:rsid w:val="0082293C"/>
    <w:rsid w:val="00822DCB"/>
    <w:rsid w:val="00822EF2"/>
    <w:rsid w:val="00823259"/>
    <w:rsid w:val="008235D0"/>
    <w:rsid w:val="00824ABA"/>
    <w:rsid w:val="008252A5"/>
    <w:rsid w:val="00825BDC"/>
    <w:rsid w:val="00825E9E"/>
    <w:rsid w:val="00826876"/>
    <w:rsid w:val="008273AC"/>
    <w:rsid w:val="00827962"/>
    <w:rsid w:val="00827CBE"/>
    <w:rsid w:val="00827D5D"/>
    <w:rsid w:val="008303A3"/>
    <w:rsid w:val="008303A7"/>
    <w:rsid w:val="008304E2"/>
    <w:rsid w:val="0083107E"/>
    <w:rsid w:val="0083142A"/>
    <w:rsid w:val="00831453"/>
    <w:rsid w:val="00831517"/>
    <w:rsid w:val="008316E3"/>
    <w:rsid w:val="008318C7"/>
    <w:rsid w:val="00831C4F"/>
    <w:rsid w:val="0083353B"/>
    <w:rsid w:val="00833EEC"/>
    <w:rsid w:val="00834786"/>
    <w:rsid w:val="00834F3B"/>
    <w:rsid w:val="00835280"/>
    <w:rsid w:val="008362FC"/>
    <w:rsid w:val="00837E14"/>
    <w:rsid w:val="00840E24"/>
    <w:rsid w:val="00841F95"/>
    <w:rsid w:val="00842ADF"/>
    <w:rsid w:val="008443D5"/>
    <w:rsid w:val="0084459E"/>
    <w:rsid w:val="00844DA0"/>
    <w:rsid w:val="00844EB5"/>
    <w:rsid w:val="00847BEA"/>
    <w:rsid w:val="00847EE7"/>
    <w:rsid w:val="0085053A"/>
    <w:rsid w:val="008505C6"/>
    <w:rsid w:val="00850605"/>
    <w:rsid w:val="00850733"/>
    <w:rsid w:val="008509CB"/>
    <w:rsid w:val="0085165B"/>
    <w:rsid w:val="008518E0"/>
    <w:rsid w:val="008542E8"/>
    <w:rsid w:val="008547BB"/>
    <w:rsid w:val="00854EFA"/>
    <w:rsid w:val="0085518D"/>
    <w:rsid w:val="00855B07"/>
    <w:rsid w:val="00855BCD"/>
    <w:rsid w:val="00855F4C"/>
    <w:rsid w:val="00856B4D"/>
    <w:rsid w:val="00857C96"/>
    <w:rsid w:val="0086039D"/>
    <w:rsid w:val="00861513"/>
    <w:rsid w:val="008615BE"/>
    <w:rsid w:val="00861B48"/>
    <w:rsid w:val="00862086"/>
    <w:rsid w:val="008626B2"/>
    <w:rsid w:val="00862ED1"/>
    <w:rsid w:val="008630FF"/>
    <w:rsid w:val="00863336"/>
    <w:rsid w:val="00863347"/>
    <w:rsid w:val="00863378"/>
    <w:rsid w:val="008633DC"/>
    <w:rsid w:val="00863E43"/>
    <w:rsid w:val="008647D2"/>
    <w:rsid w:val="00864BF0"/>
    <w:rsid w:val="00865284"/>
    <w:rsid w:val="0086531B"/>
    <w:rsid w:val="008664CA"/>
    <w:rsid w:val="00866D77"/>
    <w:rsid w:val="00867D2F"/>
    <w:rsid w:val="00867FFD"/>
    <w:rsid w:val="008703A7"/>
    <w:rsid w:val="00870A96"/>
    <w:rsid w:val="00870DA4"/>
    <w:rsid w:val="0087148D"/>
    <w:rsid w:val="0087205B"/>
    <w:rsid w:val="008724BA"/>
    <w:rsid w:val="00872A8E"/>
    <w:rsid w:val="00873E05"/>
    <w:rsid w:val="0087421B"/>
    <w:rsid w:val="00874422"/>
    <w:rsid w:val="00874826"/>
    <w:rsid w:val="00874CA1"/>
    <w:rsid w:val="0087545E"/>
    <w:rsid w:val="008755C5"/>
    <w:rsid w:val="00875D7C"/>
    <w:rsid w:val="00875E55"/>
    <w:rsid w:val="00875EBC"/>
    <w:rsid w:val="00875F73"/>
    <w:rsid w:val="00876E10"/>
    <w:rsid w:val="00877551"/>
    <w:rsid w:val="00880587"/>
    <w:rsid w:val="00880CB2"/>
    <w:rsid w:val="008817B1"/>
    <w:rsid w:val="00881924"/>
    <w:rsid w:val="00881DD9"/>
    <w:rsid w:val="00881F2A"/>
    <w:rsid w:val="00882FE2"/>
    <w:rsid w:val="008844CF"/>
    <w:rsid w:val="00884F62"/>
    <w:rsid w:val="0088501F"/>
    <w:rsid w:val="00885CC7"/>
    <w:rsid w:val="00886185"/>
    <w:rsid w:val="00886297"/>
    <w:rsid w:val="008864F4"/>
    <w:rsid w:val="00886647"/>
    <w:rsid w:val="00886F92"/>
    <w:rsid w:val="008872C9"/>
    <w:rsid w:val="00887EE7"/>
    <w:rsid w:val="008902E1"/>
    <w:rsid w:val="0089043E"/>
    <w:rsid w:val="008914E7"/>
    <w:rsid w:val="00891D06"/>
    <w:rsid w:val="0089268B"/>
    <w:rsid w:val="00893259"/>
    <w:rsid w:val="0089340F"/>
    <w:rsid w:val="008935F7"/>
    <w:rsid w:val="00893799"/>
    <w:rsid w:val="00894409"/>
    <w:rsid w:val="00894454"/>
    <w:rsid w:val="008947FA"/>
    <w:rsid w:val="00894969"/>
    <w:rsid w:val="00895500"/>
    <w:rsid w:val="00895DB8"/>
    <w:rsid w:val="0089623A"/>
    <w:rsid w:val="008962A3"/>
    <w:rsid w:val="008963CB"/>
    <w:rsid w:val="00896FAB"/>
    <w:rsid w:val="008A0D29"/>
    <w:rsid w:val="008A187D"/>
    <w:rsid w:val="008A2EE3"/>
    <w:rsid w:val="008A3633"/>
    <w:rsid w:val="008A380D"/>
    <w:rsid w:val="008A4879"/>
    <w:rsid w:val="008A53F7"/>
    <w:rsid w:val="008A544F"/>
    <w:rsid w:val="008A58C5"/>
    <w:rsid w:val="008A5947"/>
    <w:rsid w:val="008A5C52"/>
    <w:rsid w:val="008A5EC6"/>
    <w:rsid w:val="008A5F63"/>
    <w:rsid w:val="008A6B6E"/>
    <w:rsid w:val="008A70E0"/>
    <w:rsid w:val="008A7F09"/>
    <w:rsid w:val="008B14E7"/>
    <w:rsid w:val="008B156E"/>
    <w:rsid w:val="008B1985"/>
    <w:rsid w:val="008B1A05"/>
    <w:rsid w:val="008B2EC5"/>
    <w:rsid w:val="008B34E9"/>
    <w:rsid w:val="008B393A"/>
    <w:rsid w:val="008B3974"/>
    <w:rsid w:val="008B3F20"/>
    <w:rsid w:val="008B3F48"/>
    <w:rsid w:val="008B4425"/>
    <w:rsid w:val="008B467F"/>
    <w:rsid w:val="008B49FD"/>
    <w:rsid w:val="008B4DFC"/>
    <w:rsid w:val="008B4F65"/>
    <w:rsid w:val="008B5616"/>
    <w:rsid w:val="008B5716"/>
    <w:rsid w:val="008B5A19"/>
    <w:rsid w:val="008B5BAD"/>
    <w:rsid w:val="008B642A"/>
    <w:rsid w:val="008B6942"/>
    <w:rsid w:val="008B6DB1"/>
    <w:rsid w:val="008B7296"/>
    <w:rsid w:val="008B7DAF"/>
    <w:rsid w:val="008C000D"/>
    <w:rsid w:val="008C03B7"/>
    <w:rsid w:val="008C06E2"/>
    <w:rsid w:val="008C07F5"/>
    <w:rsid w:val="008C17D8"/>
    <w:rsid w:val="008C1B98"/>
    <w:rsid w:val="008C1DB9"/>
    <w:rsid w:val="008C2863"/>
    <w:rsid w:val="008C2B42"/>
    <w:rsid w:val="008C348C"/>
    <w:rsid w:val="008C36BF"/>
    <w:rsid w:val="008C3F4E"/>
    <w:rsid w:val="008C4427"/>
    <w:rsid w:val="008C4F1D"/>
    <w:rsid w:val="008C53F7"/>
    <w:rsid w:val="008C71A4"/>
    <w:rsid w:val="008C76C8"/>
    <w:rsid w:val="008C7AF5"/>
    <w:rsid w:val="008D0483"/>
    <w:rsid w:val="008D17F3"/>
    <w:rsid w:val="008D1EE1"/>
    <w:rsid w:val="008D2C5A"/>
    <w:rsid w:val="008D3CBA"/>
    <w:rsid w:val="008D3DE6"/>
    <w:rsid w:val="008D3F1F"/>
    <w:rsid w:val="008D450D"/>
    <w:rsid w:val="008D579D"/>
    <w:rsid w:val="008D5AA6"/>
    <w:rsid w:val="008D5B4F"/>
    <w:rsid w:val="008D7148"/>
    <w:rsid w:val="008D7776"/>
    <w:rsid w:val="008D77EA"/>
    <w:rsid w:val="008D7C56"/>
    <w:rsid w:val="008E00A5"/>
    <w:rsid w:val="008E00C7"/>
    <w:rsid w:val="008E0470"/>
    <w:rsid w:val="008E066A"/>
    <w:rsid w:val="008E1A5C"/>
    <w:rsid w:val="008E365E"/>
    <w:rsid w:val="008E3BB4"/>
    <w:rsid w:val="008E50CD"/>
    <w:rsid w:val="008E5264"/>
    <w:rsid w:val="008E5510"/>
    <w:rsid w:val="008E58F8"/>
    <w:rsid w:val="008E59CC"/>
    <w:rsid w:val="008E5DBA"/>
    <w:rsid w:val="008E7110"/>
    <w:rsid w:val="008E7322"/>
    <w:rsid w:val="008E736C"/>
    <w:rsid w:val="008E7957"/>
    <w:rsid w:val="008F1449"/>
    <w:rsid w:val="008F1804"/>
    <w:rsid w:val="008F1856"/>
    <w:rsid w:val="008F18E7"/>
    <w:rsid w:val="008F2C77"/>
    <w:rsid w:val="008F2EC8"/>
    <w:rsid w:val="008F323C"/>
    <w:rsid w:val="008F4125"/>
    <w:rsid w:val="008F4728"/>
    <w:rsid w:val="008F47E5"/>
    <w:rsid w:val="008F4A24"/>
    <w:rsid w:val="008F4DF9"/>
    <w:rsid w:val="008F551E"/>
    <w:rsid w:val="008F5E7D"/>
    <w:rsid w:val="008F5FF3"/>
    <w:rsid w:val="008F62F8"/>
    <w:rsid w:val="008F6E7E"/>
    <w:rsid w:val="008F7456"/>
    <w:rsid w:val="008F7635"/>
    <w:rsid w:val="008F793A"/>
    <w:rsid w:val="008F7A0C"/>
    <w:rsid w:val="009000AF"/>
    <w:rsid w:val="009003A2"/>
    <w:rsid w:val="00900CA8"/>
    <w:rsid w:val="009012A7"/>
    <w:rsid w:val="009017B4"/>
    <w:rsid w:val="009018EB"/>
    <w:rsid w:val="00902618"/>
    <w:rsid w:val="00902717"/>
    <w:rsid w:val="00902CEE"/>
    <w:rsid w:val="00902F62"/>
    <w:rsid w:val="009037D0"/>
    <w:rsid w:val="00903A77"/>
    <w:rsid w:val="00903E71"/>
    <w:rsid w:val="00904A34"/>
    <w:rsid w:val="00905670"/>
    <w:rsid w:val="009060D5"/>
    <w:rsid w:val="0090651F"/>
    <w:rsid w:val="00906785"/>
    <w:rsid w:val="009074EA"/>
    <w:rsid w:val="00907677"/>
    <w:rsid w:val="0090767F"/>
    <w:rsid w:val="00907C54"/>
    <w:rsid w:val="00907FB0"/>
    <w:rsid w:val="00910A34"/>
    <w:rsid w:val="00910ADF"/>
    <w:rsid w:val="00910CDF"/>
    <w:rsid w:val="009113FA"/>
    <w:rsid w:val="009125F0"/>
    <w:rsid w:val="00912B43"/>
    <w:rsid w:val="0091309C"/>
    <w:rsid w:val="00913A0F"/>
    <w:rsid w:val="00913C98"/>
    <w:rsid w:val="00913DC8"/>
    <w:rsid w:val="00913DF7"/>
    <w:rsid w:val="00913E86"/>
    <w:rsid w:val="009144A0"/>
    <w:rsid w:val="00914712"/>
    <w:rsid w:val="009147B1"/>
    <w:rsid w:val="009147B9"/>
    <w:rsid w:val="009157F7"/>
    <w:rsid w:val="00916907"/>
    <w:rsid w:val="00916A08"/>
    <w:rsid w:val="00916C15"/>
    <w:rsid w:val="0091762B"/>
    <w:rsid w:val="00920151"/>
    <w:rsid w:val="009205CD"/>
    <w:rsid w:val="00920984"/>
    <w:rsid w:val="00920BCB"/>
    <w:rsid w:val="00921668"/>
    <w:rsid w:val="0092190D"/>
    <w:rsid w:val="009227B7"/>
    <w:rsid w:val="009228BE"/>
    <w:rsid w:val="00922E42"/>
    <w:rsid w:val="00923217"/>
    <w:rsid w:val="00923CF8"/>
    <w:rsid w:val="00923E7E"/>
    <w:rsid w:val="0092423E"/>
    <w:rsid w:val="00925677"/>
    <w:rsid w:val="009267D3"/>
    <w:rsid w:val="00927811"/>
    <w:rsid w:val="00927EEF"/>
    <w:rsid w:val="00927F5E"/>
    <w:rsid w:val="009304AA"/>
    <w:rsid w:val="0093069A"/>
    <w:rsid w:val="009312F6"/>
    <w:rsid w:val="009322D7"/>
    <w:rsid w:val="00932608"/>
    <w:rsid w:val="00933393"/>
    <w:rsid w:val="00934D54"/>
    <w:rsid w:val="00935254"/>
    <w:rsid w:val="009358F3"/>
    <w:rsid w:val="00935A3C"/>
    <w:rsid w:val="00935B2B"/>
    <w:rsid w:val="00935C87"/>
    <w:rsid w:val="00936403"/>
    <w:rsid w:val="00936AE5"/>
    <w:rsid w:val="00936D8C"/>
    <w:rsid w:val="00937430"/>
    <w:rsid w:val="00937446"/>
    <w:rsid w:val="00937DAC"/>
    <w:rsid w:val="009400DD"/>
    <w:rsid w:val="00940824"/>
    <w:rsid w:val="009413E7"/>
    <w:rsid w:val="009415B2"/>
    <w:rsid w:val="00941EA8"/>
    <w:rsid w:val="00942070"/>
    <w:rsid w:val="00942808"/>
    <w:rsid w:val="00942884"/>
    <w:rsid w:val="00942B93"/>
    <w:rsid w:val="00942C6F"/>
    <w:rsid w:val="00943D9F"/>
    <w:rsid w:val="00943F1B"/>
    <w:rsid w:val="009455C0"/>
    <w:rsid w:val="00946B65"/>
    <w:rsid w:val="00947AD0"/>
    <w:rsid w:val="00947DCE"/>
    <w:rsid w:val="009514FF"/>
    <w:rsid w:val="00951B61"/>
    <w:rsid w:val="00951F7D"/>
    <w:rsid w:val="009524F8"/>
    <w:rsid w:val="009537BF"/>
    <w:rsid w:val="00953907"/>
    <w:rsid w:val="00953B96"/>
    <w:rsid w:val="00953EDF"/>
    <w:rsid w:val="00954274"/>
    <w:rsid w:val="00954540"/>
    <w:rsid w:val="0095514F"/>
    <w:rsid w:val="00955B8A"/>
    <w:rsid w:val="00955F91"/>
    <w:rsid w:val="009562F3"/>
    <w:rsid w:val="0095663E"/>
    <w:rsid w:val="009568E0"/>
    <w:rsid w:val="00957270"/>
    <w:rsid w:val="00960174"/>
    <w:rsid w:val="009606C9"/>
    <w:rsid w:val="009606D5"/>
    <w:rsid w:val="00961130"/>
    <w:rsid w:val="009614BF"/>
    <w:rsid w:val="009615A1"/>
    <w:rsid w:val="00961CFB"/>
    <w:rsid w:val="009620D6"/>
    <w:rsid w:val="009621BD"/>
    <w:rsid w:val="00963758"/>
    <w:rsid w:val="00963842"/>
    <w:rsid w:val="00963955"/>
    <w:rsid w:val="0096464A"/>
    <w:rsid w:val="00964B54"/>
    <w:rsid w:val="00965683"/>
    <w:rsid w:val="0096631D"/>
    <w:rsid w:val="00966A46"/>
    <w:rsid w:val="00967B9F"/>
    <w:rsid w:val="009704E6"/>
    <w:rsid w:val="00971872"/>
    <w:rsid w:val="00971CFC"/>
    <w:rsid w:val="00971FD8"/>
    <w:rsid w:val="009726C7"/>
    <w:rsid w:val="0097297B"/>
    <w:rsid w:val="00973449"/>
    <w:rsid w:val="0097376B"/>
    <w:rsid w:val="00973815"/>
    <w:rsid w:val="00973963"/>
    <w:rsid w:val="0097447A"/>
    <w:rsid w:val="009752C7"/>
    <w:rsid w:val="00976200"/>
    <w:rsid w:val="009762A5"/>
    <w:rsid w:val="0097646E"/>
    <w:rsid w:val="00976F62"/>
    <w:rsid w:val="0097746D"/>
    <w:rsid w:val="00980369"/>
    <w:rsid w:val="00980F84"/>
    <w:rsid w:val="00981160"/>
    <w:rsid w:val="009818B7"/>
    <w:rsid w:val="00981DBF"/>
    <w:rsid w:val="00982EF4"/>
    <w:rsid w:val="00983089"/>
    <w:rsid w:val="00983112"/>
    <w:rsid w:val="0098345F"/>
    <w:rsid w:val="00984052"/>
    <w:rsid w:val="009848BF"/>
    <w:rsid w:val="0098499A"/>
    <w:rsid w:val="0098536A"/>
    <w:rsid w:val="00985383"/>
    <w:rsid w:val="00985A5A"/>
    <w:rsid w:val="00985AF0"/>
    <w:rsid w:val="0098625D"/>
    <w:rsid w:val="00986F3A"/>
    <w:rsid w:val="00987437"/>
    <w:rsid w:val="00987545"/>
    <w:rsid w:val="009876A7"/>
    <w:rsid w:val="0099178E"/>
    <w:rsid w:val="0099246E"/>
    <w:rsid w:val="009928A2"/>
    <w:rsid w:val="00992DC8"/>
    <w:rsid w:val="00993B88"/>
    <w:rsid w:val="00993D7D"/>
    <w:rsid w:val="0099442A"/>
    <w:rsid w:val="00994F7D"/>
    <w:rsid w:val="009956A3"/>
    <w:rsid w:val="009958D7"/>
    <w:rsid w:val="00996067"/>
    <w:rsid w:val="00996480"/>
    <w:rsid w:val="009965DF"/>
    <w:rsid w:val="00996883"/>
    <w:rsid w:val="009973CC"/>
    <w:rsid w:val="009979D4"/>
    <w:rsid w:val="00997BB2"/>
    <w:rsid w:val="00997C69"/>
    <w:rsid w:val="009A02D5"/>
    <w:rsid w:val="009A0B75"/>
    <w:rsid w:val="009A12C1"/>
    <w:rsid w:val="009A25A7"/>
    <w:rsid w:val="009A3361"/>
    <w:rsid w:val="009A3386"/>
    <w:rsid w:val="009A3CBC"/>
    <w:rsid w:val="009A4AE5"/>
    <w:rsid w:val="009A525B"/>
    <w:rsid w:val="009A5C88"/>
    <w:rsid w:val="009A64CD"/>
    <w:rsid w:val="009A69F4"/>
    <w:rsid w:val="009A6DB4"/>
    <w:rsid w:val="009A6FDE"/>
    <w:rsid w:val="009B12E6"/>
    <w:rsid w:val="009B17D4"/>
    <w:rsid w:val="009B1BB3"/>
    <w:rsid w:val="009B37BD"/>
    <w:rsid w:val="009B3C9A"/>
    <w:rsid w:val="009B5466"/>
    <w:rsid w:val="009B5D91"/>
    <w:rsid w:val="009B6178"/>
    <w:rsid w:val="009B62C2"/>
    <w:rsid w:val="009B70A7"/>
    <w:rsid w:val="009B72CD"/>
    <w:rsid w:val="009B7EE2"/>
    <w:rsid w:val="009C08DA"/>
    <w:rsid w:val="009C1355"/>
    <w:rsid w:val="009C1BCC"/>
    <w:rsid w:val="009C2353"/>
    <w:rsid w:val="009C279C"/>
    <w:rsid w:val="009C2D1A"/>
    <w:rsid w:val="009C2D9B"/>
    <w:rsid w:val="009C30C8"/>
    <w:rsid w:val="009C39B0"/>
    <w:rsid w:val="009C44A9"/>
    <w:rsid w:val="009C50B1"/>
    <w:rsid w:val="009C5607"/>
    <w:rsid w:val="009C5A38"/>
    <w:rsid w:val="009C5BA0"/>
    <w:rsid w:val="009C5CF9"/>
    <w:rsid w:val="009C5D69"/>
    <w:rsid w:val="009C5F6E"/>
    <w:rsid w:val="009C64B6"/>
    <w:rsid w:val="009C713E"/>
    <w:rsid w:val="009C7501"/>
    <w:rsid w:val="009C7903"/>
    <w:rsid w:val="009C7D38"/>
    <w:rsid w:val="009D081C"/>
    <w:rsid w:val="009D1B4F"/>
    <w:rsid w:val="009D2010"/>
    <w:rsid w:val="009D24DD"/>
    <w:rsid w:val="009D2AAF"/>
    <w:rsid w:val="009D465D"/>
    <w:rsid w:val="009D4B94"/>
    <w:rsid w:val="009D4D21"/>
    <w:rsid w:val="009D5C88"/>
    <w:rsid w:val="009D5CA4"/>
    <w:rsid w:val="009D68D8"/>
    <w:rsid w:val="009D6916"/>
    <w:rsid w:val="009D6FE6"/>
    <w:rsid w:val="009D7846"/>
    <w:rsid w:val="009D79C5"/>
    <w:rsid w:val="009D7CA6"/>
    <w:rsid w:val="009E065F"/>
    <w:rsid w:val="009E0D26"/>
    <w:rsid w:val="009E0DC8"/>
    <w:rsid w:val="009E0ED2"/>
    <w:rsid w:val="009E0EF3"/>
    <w:rsid w:val="009E103F"/>
    <w:rsid w:val="009E1B5C"/>
    <w:rsid w:val="009E1E5C"/>
    <w:rsid w:val="009E21BA"/>
    <w:rsid w:val="009E3167"/>
    <w:rsid w:val="009E3237"/>
    <w:rsid w:val="009E37E7"/>
    <w:rsid w:val="009E5045"/>
    <w:rsid w:val="009E58EB"/>
    <w:rsid w:val="009E69CC"/>
    <w:rsid w:val="009E6C18"/>
    <w:rsid w:val="009E6C71"/>
    <w:rsid w:val="009E77FE"/>
    <w:rsid w:val="009E7A2A"/>
    <w:rsid w:val="009E7B70"/>
    <w:rsid w:val="009F03C2"/>
    <w:rsid w:val="009F066B"/>
    <w:rsid w:val="009F08AB"/>
    <w:rsid w:val="009F0916"/>
    <w:rsid w:val="009F13FA"/>
    <w:rsid w:val="009F15E3"/>
    <w:rsid w:val="009F1E94"/>
    <w:rsid w:val="009F24D6"/>
    <w:rsid w:val="009F2A54"/>
    <w:rsid w:val="009F3768"/>
    <w:rsid w:val="009F4707"/>
    <w:rsid w:val="009F50B7"/>
    <w:rsid w:val="009F5A32"/>
    <w:rsid w:val="009F5A82"/>
    <w:rsid w:val="009F64B7"/>
    <w:rsid w:val="009F6CC0"/>
    <w:rsid w:val="009F6FF9"/>
    <w:rsid w:val="009F70F5"/>
    <w:rsid w:val="009F7314"/>
    <w:rsid w:val="009F75DC"/>
    <w:rsid w:val="00A002BB"/>
    <w:rsid w:val="00A00472"/>
    <w:rsid w:val="00A00611"/>
    <w:rsid w:val="00A00E58"/>
    <w:rsid w:val="00A024DD"/>
    <w:rsid w:val="00A02593"/>
    <w:rsid w:val="00A02BD0"/>
    <w:rsid w:val="00A03621"/>
    <w:rsid w:val="00A03716"/>
    <w:rsid w:val="00A039FF"/>
    <w:rsid w:val="00A03D65"/>
    <w:rsid w:val="00A03F7C"/>
    <w:rsid w:val="00A04018"/>
    <w:rsid w:val="00A04092"/>
    <w:rsid w:val="00A0426C"/>
    <w:rsid w:val="00A0470A"/>
    <w:rsid w:val="00A04711"/>
    <w:rsid w:val="00A049B0"/>
    <w:rsid w:val="00A04A81"/>
    <w:rsid w:val="00A04C5B"/>
    <w:rsid w:val="00A0556F"/>
    <w:rsid w:val="00A0601B"/>
    <w:rsid w:val="00A07C55"/>
    <w:rsid w:val="00A1046E"/>
    <w:rsid w:val="00A10C7E"/>
    <w:rsid w:val="00A11AAC"/>
    <w:rsid w:val="00A1252A"/>
    <w:rsid w:val="00A1344F"/>
    <w:rsid w:val="00A14DDE"/>
    <w:rsid w:val="00A158A0"/>
    <w:rsid w:val="00A15EC3"/>
    <w:rsid w:val="00A15EE1"/>
    <w:rsid w:val="00A164EA"/>
    <w:rsid w:val="00A16754"/>
    <w:rsid w:val="00A1675B"/>
    <w:rsid w:val="00A20651"/>
    <w:rsid w:val="00A20B06"/>
    <w:rsid w:val="00A21528"/>
    <w:rsid w:val="00A2160C"/>
    <w:rsid w:val="00A217C7"/>
    <w:rsid w:val="00A21EAD"/>
    <w:rsid w:val="00A227E8"/>
    <w:rsid w:val="00A22AD7"/>
    <w:rsid w:val="00A23772"/>
    <w:rsid w:val="00A23AE4"/>
    <w:rsid w:val="00A240A0"/>
    <w:rsid w:val="00A24260"/>
    <w:rsid w:val="00A243DF"/>
    <w:rsid w:val="00A243F3"/>
    <w:rsid w:val="00A246E7"/>
    <w:rsid w:val="00A24FA8"/>
    <w:rsid w:val="00A2510C"/>
    <w:rsid w:val="00A253DB"/>
    <w:rsid w:val="00A25B80"/>
    <w:rsid w:val="00A25F11"/>
    <w:rsid w:val="00A2647E"/>
    <w:rsid w:val="00A267CF"/>
    <w:rsid w:val="00A268BE"/>
    <w:rsid w:val="00A268D3"/>
    <w:rsid w:val="00A3037B"/>
    <w:rsid w:val="00A30708"/>
    <w:rsid w:val="00A30A25"/>
    <w:rsid w:val="00A30C10"/>
    <w:rsid w:val="00A31261"/>
    <w:rsid w:val="00A3292E"/>
    <w:rsid w:val="00A33282"/>
    <w:rsid w:val="00A3390A"/>
    <w:rsid w:val="00A33FB8"/>
    <w:rsid w:val="00A33FDD"/>
    <w:rsid w:val="00A34090"/>
    <w:rsid w:val="00A350F7"/>
    <w:rsid w:val="00A357CC"/>
    <w:rsid w:val="00A35A3C"/>
    <w:rsid w:val="00A35B77"/>
    <w:rsid w:val="00A3645B"/>
    <w:rsid w:val="00A3733C"/>
    <w:rsid w:val="00A373DB"/>
    <w:rsid w:val="00A37FFC"/>
    <w:rsid w:val="00A40068"/>
    <w:rsid w:val="00A408D4"/>
    <w:rsid w:val="00A40AB4"/>
    <w:rsid w:val="00A410C7"/>
    <w:rsid w:val="00A425BC"/>
    <w:rsid w:val="00A4272D"/>
    <w:rsid w:val="00A42BB1"/>
    <w:rsid w:val="00A43C0D"/>
    <w:rsid w:val="00A44772"/>
    <w:rsid w:val="00A44C62"/>
    <w:rsid w:val="00A45134"/>
    <w:rsid w:val="00A45506"/>
    <w:rsid w:val="00A461D9"/>
    <w:rsid w:val="00A47DD1"/>
    <w:rsid w:val="00A47EF7"/>
    <w:rsid w:val="00A504FB"/>
    <w:rsid w:val="00A50F98"/>
    <w:rsid w:val="00A51016"/>
    <w:rsid w:val="00A510A3"/>
    <w:rsid w:val="00A51812"/>
    <w:rsid w:val="00A52045"/>
    <w:rsid w:val="00A5211E"/>
    <w:rsid w:val="00A52F87"/>
    <w:rsid w:val="00A532D1"/>
    <w:rsid w:val="00A5430E"/>
    <w:rsid w:val="00A54674"/>
    <w:rsid w:val="00A54D2E"/>
    <w:rsid w:val="00A54DC9"/>
    <w:rsid w:val="00A54EB5"/>
    <w:rsid w:val="00A5619D"/>
    <w:rsid w:val="00A563CD"/>
    <w:rsid w:val="00A569B1"/>
    <w:rsid w:val="00A57B92"/>
    <w:rsid w:val="00A60691"/>
    <w:rsid w:val="00A60F94"/>
    <w:rsid w:val="00A61088"/>
    <w:rsid w:val="00A638A6"/>
    <w:rsid w:val="00A64285"/>
    <w:rsid w:val="00A6529B"/>
    <w:rsid w:val="00A65413"/>
    <w:rsid w:val="00A66536"/>
    <w:rsid w:val="00A666FF"/>
    <w:rsid w:val="00A66EF3"/>
    <w:rsid w:val="00A6734D"/>
    <w:rsid w:val="00A679BA"/>
    <w:rsid w:val="00A67F05"/>
    <w:rsid w:val="00A67FC6"/>
    <w:rsid w:val="00A70688"/>
    <w:rsid w:val="00A70CF7"/>
    <w:rsid w:val="00A718AD"/>
    <w:rsid w:val="00A72087"/>
    <w:rsid w:val="00A72368"/>
    <w:rsid w:val="00A72ED9"/>
    <w:rsid w:val="00A73DF3"/>
    <w:rsid w:val="00A74BED"/>
    <w:rsid w:val="00A74E55"/>
    <w:rsid w:val="00A75057"/>
    <w:rsid w:val="00A75573"/>
    <w:rsid w:val="00A755BD"/>
    <w:rsid w:val="00A75E8D"/>
    <w:rsid w:val="00A75F08"/>
    <w:rsid w:val="00A7658A"/>
    <w:rsid w:val="00A766F8"/>
    <w:rsid w:val="00A767DA"/>
    <w:rsid w:val="00A769AF"/>
    <w:rsid w:val="00A7737C"/>
    <w:rsid w:val="00A77AA7"/>
    <w:rsid w:val="00A800CE"/>
    <w:rsid w:val="00A804C8"/>
    <w:rsid w:val="00A80B6E"/>
    <w:rsid w:val="00A80C1E"/>
    <w:rsid w:val="00A81BAD"/>
    <w:rsid w:val="00A81E37"/>
    <w:rsid w:val="00A820B4"/>
    <w:rsid w:val="00A82232"/>
    <w:rsid w:val="00A8321D"/>
    <w:rsid w:val="00A83690"/>
    <w:rsid w:val="00A843AF"/>
    <w:rsid w:val="00A84A02"/>
    <w:rsid w:val="00A85237"/>
    <w:rsid w:val="00A85450"/>
    <w:rsid w:val="00A8546D"/>
    <w:rsid w:val="00A85CC5"/>
    <w:rsid w:val="00A863A4"/>
    <w:rsid w:val="00A8777A"/>
    <w:rsid w:val="00A8781A"/>
    <w:rsid w:val="00A902DE"/>
    <w:rsid w:val="00A907A2"/>
    <w:rsid w:val="00A934A1"/>
    <w:rsid w:val="00A94215"/>
    <w:rsid w:val="00A96BFF"/>
    <w:rsid w:val="00A96DAA"/>
    <w:rsid w:val="00A96E5C"/>
    <w:rsid w:val="00A97F39"/>
    <w:rsid w:val="00A97F79"/>
    <w:rsid w:val="00AA0955"/>
    <w:rsid w:val="00AA0AD4"/>
    <w:rsid w:val="00AA1D4E"/>
    <w:rsid w:val="00AA2464"/>
    <w:rsid w:val="00AA2C15"/>
    <w:rsid w:val="00AA2E41"/>
    <w:rsid w:val="00AA32F2"/>
    <w:rsid w:val="00AA3360"/>
    <w:rsid w:val="00AA3D84"/>
    <w:rsid w:val="00AA3EBD"/>
    <w:rsid w:val="00AA52A2"/>
    <w:rsid w:val="00AA54F5"/>
    <w:rsid w:val="00AA5601"/>
    <w:rsid w:val="00AA5AD7"/>
    <w:rsid w:val="00AA768B"/>
    <w:rsid w:val="00AA77B6"/>
    <w:rsid w:val="00AB00CA"/>
    <w:rsid w:val="00AB047E"/>
    <w:rsid w:val="00AB0CB2"/>
    <w:rsid w:val="00AB21BA"/>
    <w:rsid w:val="00AB2DA7"/>
    <w:rsid w:val="00AB2DFF"/>
    <w:rsid w:val="00AB40A4"/>
    <w:rsid w:val="00AB4C08"/>
    <w:rsid w:val="00AB4E90"/>
    <w:rsid w:val="00AB6147"/>
    <w:rsid w:val="00AB61EB"/>
    <w:rsid w:val="00AB7E0C"/>
    <w:rsid w:val="00AC0004"/>
    <w:rsid w:val="00AC06B6"/>
    <w:rsid w:val="00AC0E85"/>
    <w:rsid w:val="00AC0F07"/>
    <w:rsid w:val="00AC0F59"/>
    <w:rsid w:val="00AC1724"/>
    <w:rsid w:val="00AC1822"/>
    <w:rsid w:val="00AC29EF"/>
    <w:rsid w:val="00AC2B15"/>
    <w:rsid w:val="00AC2CFF"/>
    <w:rsid w:val="00AC2E48"/>
    <w:rsid w:val="00AC3056"/>
    <w:rsid w:val="00AC318F"/>
    <w:rsid w:val="00AC3B1A"/>
    <w:rsid w:val="00AC494D"/>
    <w:rsid w:val="00AC5373"/>
    <w:rsid w:val="00AC648C"/>
    <w:rsid w:val="00AC7472"/>
    <w:rsid w:val="00AC7AB5"/>
    <w:rsid w:val="00AC7D8B"/>
    <w:rsid w:val="00AD224C"/>
    <w:rsid w:val="00AD241D"/>
    <w:rsid w:val="00AD2465"/>
    <w:rsid w:val="00AD36C5"/>
    <w:rsid w:val="00AD4558"/>
    <w:rsid w:val="00AD4A7A"/>
    <w:rsid w:val="00AD4D13"/>
    <w:rsid w:val="00AD5042"/>
    <w:rsid w:val="00AD5178"/>
    <w:rsid w:val="00AD5A2B"/>
    <w:rsid w:val="00AD62F3"/>
    <w:rsid w:val="00AD66FC"/>
    <w:rsid w:val="00AD77E4"/>
    <w:rsid w:val="00AD79A8"/>
    <w:rsid w:val="00AD7A26"/>
    <w:rsid w:val="00AD7B43"/>
    <w:rsid w:val="00AD7E0D"/>
    <w:rsid w:val="00AE1169"/>
    <w:rsid w:val="00AE11C7"/>
    <w:rsid w:val="00AE1696"/>
    <w:rsid w:val="00AE3276"/>
    <w:rsid w:val="00AE34CD"/>
    <w:rsid w:val="00AE37B6"/>
    <w:rsid w:val="00AE394A"/>
    <w:rsid w:val="00AE3BDE"/>
    <w:rsid w:val="00AE47CE"/>
    <w:rsid w:val="00AE4811"/>
    <w:rsid w:val="00AE4CEA"/>
    <w:rsid w:val="00AE5211"/>
    <w:rsid w:val="00AE5D95"/>
    <w:rsid w:val="00AE636D"/>
    <w:rsid w:val="00AE65DA"/>
    <w:rsid w:val="00AE6B58"/>
    <w:rsid w:val="00AE7B41"/>
    <w:rsid w:val="00AF002E"/>
    <w:rsid w:val="00AF069A"/>
    <w:rsid w:val="00AF0C48"/>
    <w:rsid w:val="00AF0E7B"/>
    <w:rsid w:val="00AF1221"/>
    <w:rsid w:val="00AF19FF"/>
    <w:rsid w:val="00AF3747"/>
    <w:rsid w:val="00AF3F83"/>
    <w:rsid w:val="00AF452A"/>
    <w:rsid w:val="00AF4A88"/>
    <w:rsid w:val="00AF4C0D"/>
    <w:rsid w:val="00AF51E0"/>
    <w:rsid w:val="00AF59B8"/>
    <w:rsid w:val="00AF5F5B"/>
    <w:rsid w:val="00AF617B"/>
    <w:rsid w:val="00AF6A15"/>
    <w:rsid w:val="00AF73DE"/>
    <w:rsid w:val="00B0037C"/>
    <w:rsid w:val="00B00993"/>
    <w:rsid w:val="00B00A60"/>
    <w:rsid w:val="00B00D6D"/>
    <w:rsid w:val="00B00F6E"/>
    <w:rsid w:val="00B014B8"/>
    <w:rsid w:val="00B02480"/>
    <w:rsid w:val="00B02669"/>
    <w:rsid w:val="00B026D4"/>
    <w:rsid w:val="00B02808"/>
    <w:rsid w:val="00B0281E"/>
    <w:rsid w:val="00B031AC"/>
    <w:rsid w:val="00B0441B"/>
    <w:rsid w:val="00B04C72"/>
    <w:rsid w:val="00B04EC8"/>
    <w:rsid w:val="00B04FDE"/>
    <w:rsid w:val="00B0547F"/>
    <w:rsid w:val="00B06095"/>
    <w:rsid w:val="00B06544"/>
    <w:rsid w:val="00B066A4"/>
    <w:rsid w:val="00B068CD"/>
    <w:rsid w:val="00B06E82"/>
    <w:rsid w:val="00B07CF0"/>
    <w:rsid w:val="00B1075E"/>
    <w:rsid w:val="00B10E1B"/>
    <w:rsid w:val="00B11AA4"/>
    <w:rsid w:val="00B11B5A"/>
    <w:rsid w:val="00B1318F"/>
    <w:rsid w:val="00B134F4"/>
    <w:rsid w:val="00B13D46"/>
    <w:rsid w:val="00B14AB6"/>
    <w:rsid w:val="00B14C95"/>
    <w:rsid w:val="00B15546"/>
    <w:rsid w:val="00B15B67"/>
    <w:rsid w:val="00B16F01"/>
    <w:rsid w:val="00B17A34"/>
    <w:rsid w:val="00B17AD0"/>
    <w:rsid w:val="00B17F3C"/>
    <w:rsid w:val="00B20E79"/>
    <w:rsid w:val="00B21214"/>
    <w:rsid w:val="00B2244A"/>
    <w:rsid w:val="00B227C3"/>
    <w:rsid w:val="00B22A8D"/>
    <w:rsid w:val="00B22BAE"/>
    <w:rsid w:val="00B22E7E"/>
    <w:rsid w:val="00B23519"/>
    <w:rsid w:val="00B23E56"/>
    <w:rsid w:val="00B2477F"/>
    <w:rsid w:val="00B25057"/>
    <w:rsid w:val="00B255B4"/>
    <w:rsid w:val="00B25812"/>
    <w:rsid w:val="00B26117"/>
    <w:rsid w:val="00B26254"/>
    <w:rsid w:val="00B267D8"/>
    <w:rsid w:val="00B2710A"/>
    <w:rsid w:val="00B30984"/>
    <w:rsid w:val="00B30C7E"/>
    <w:rsid w:val="00B30E70"/>
    <w:rsid w:val="00B31356"/>
    <w:rsid w:val="00B31BFF"/>
    <w:rsid w:val="00B323CF"/>
    <w:rsid w:val="00B33D62"/>
    <w:rsid w:val="00B33DBF"/>
    <w:rsid w:val="00B345A6"/>
    <w:rsid w:val="00B35722"/>
    <w:rsid w:val="00B35E2C"/>
    <w:rsid w:val="00B36272"/>
    <w:rsid w:val="00B36492"/>
    <w:rsid w:val="00B36AC6"/>
    <w:rsid w:val="00B375EC"/>
    <w:rsid w:val="00B3793A"/>
    <w:rsid w:val="00B411FF"/>
    <w:rsid w:val="00B415F7"/>
    <w:rsid w:val="00B424AC"/>
    <w:rsid w:val="00B42B0C"/>
    <w:rsid w:val="00B42DED"/>
    <w:rsid w:val="00B42E1C"/>
    <w:rsid w:val="00B437E8"/>
    <w:rsid w:val="00B446FF"/>
    <w:rsid w:val="00B44C6E"/>
    <w:rsid w:val="00B4539F"/>
    <w:rsid w:val="00B453BD"/>
    <w:rsid w:val="00B46261"/>
    <w:rsid w:val="00B46ADE"/>
    <w:rsid w:val="00B4747C"/>
    <w:rsid w:val="00B474E8"/>
    <w:rsid w:val="00B479A1"/>
    <w:rsid w:val="00B47DAB"/>
    <w:rsid w:val="00B501DF"/>
    <w:rsid w:val="00B528F2"/>
    <w:rsid w:val="00B529B6"/>
    <w:rsid w:val="00B52A2C"/>
    <w:rsid w:val="00B52DD4"/>
    <w:rsid w:val="00B543C8"/>
    <w:rsid w:val="00B5455D"/>
    <w:rsid w:val="00B5473A"/>
    <w:rsid w:val="00B5525A"/>
    <w:rsid w:val="00B554A4"/>
    <w:rsid w:val="00B55E65"/>
    <w:rsid w:val="00B560D2"/>
    <w:rsid w:val="00B563A9"/>
    <w:rsid w:val="00B57A5A"/>
    <w:rsid w:val="00B57D28"/>
    <w:rsid w:val="00B60616"/>
    <w:rsid w:val="00B60C7F"/>
    <w:rsid w:val="00B61A76"/>
    <w:rsid w:val="00B61CBA"/>
    <w:rsid w:val="00B61FC7"/>
    <w:rsid w:val="00B63163"/>
    <w:rsid w:val="00B64005"/>
    <w:rsid w:val="00B64667"/>
    <w:rsid w:val="00B64948"/>
    <w:rsid w:val="00B64AD5"/>
    <w:rsid w:val="00B6631B"/>
    <w:rsid w:val="00B667B8"/>
    <w:rsid w:val="00B66A25"/>
    <w:rsid w:val="00B6748E"/>
    <w:rsid w:val="00B67612"/>
    <w:rsid w:val="00B676E9"/>
    <w:rsid w:val="00B71519"/>
    <w:rsid w:val="00B717E8"/>
    <w:rsid w:val="00B72086"/>
    <w:rsid w:val="00B73221"/>
    <w:rsid w:val="00B73C5D"/>
    <w:rsid w:val="00B73DF1"/>
    <w:rsid w:val="00B741C4"/>
    <w:rsid w:val="00B75B2F"/>
    <w:rsid w:val="00B75F57"/>
    <w:rsid w:val="00B7638F"/>
    <w:rsid w:val="00B76D4E"/>
    <w:rsid w:val="00B76D9D"/>
    <w:rsid w:val="00B77210"/>
    <w:rsid w:val="00B775B9"/>
    <w:rsid w:val="00B81673"/>
    <w:rsid w:val="00B81837"/>
    <w:rsid w:val="00B82292"/>
    <w:rsid w:val="00B823F9"/>
    <w:rsid w:val="00B825B4"/>
    <w:rsid w:val="00B82646"/>
    <w:rsid w:val="00B83C8B"/>
    <w:rsid w:val="00B840A5"/>
    <w:rsid w:val="00B852C8"/>
    <w:rsid w:val="00B8597B"/>
    <w:rsid w:val="00B8610E"/>
    <w:rsid w:val="00B87168"/>
    <w:rsid w:val="00B87628"/>
    <w:rsid w:val="00B876EF"/>
    <w:rsid w:val="00B878D0"/>
    <w:rsid w:val="00B90D91"/>
    <w:rsid w:val="00B91545"/>
    <w:rsid w:val="00B91612"/>
    <w:rsid w:val="00B91B36"/>
    <w:rsid w:val="00B91DF3"/>
    <w:rsid w:val="00B92C9D"/>
    <w:rsid w:val="00B92DCA"/>
    <w:rsid w:val="00B92DE9"/>
    <w:rsid w:val="00B9336A"/>
    <w:rsid w:val="00B9355E"/>
    <w:rsid w:val="00B949CE"/>
    <w:rsid w:val="00B94D0C"/>
    <w:rsid w:val="00B96FC9"/>
    <w:rsid w:val="00B97243"/>
    <w:rsid w:val="00B972C8"/>
    <w:rsid w:val="00BA15FA"/>
    <w:rsid w:val="00BA223A"/>
    <w:rsid w:val="00BA30CC"/>
    <w:rsid w:val="00BA426B"/>
    <w:rsid w:val="00BA48DD"/>
    <w:rsid w:val="00BA4E15"/>
    <w:rsid w:val="00BA576A"/>
    <w:rsid w:val="00BA58E8"/>
    <w:rsid w:val="00BA5C03"/>
    <w:rsid w:val="00BA5FB6"/>
    <w:rsid w:val="00BA7C54"/>
    <w:rsid w:val="00BB0587"/>
    <w:rsid w:val="00BB065E"/>
    <w:rsid w:val="00BB07D8"/>
    <w:rsid w:val="00BB0E94"/>
    <w:rsid w:val="00BB1167"/>
    <w:rsid w:val="00BB17F6"/>
    <w:rsid w:val="00BB1DC5"/>
    <w:rsid w:val="00BB1E3B"/>
    <w:rsid w:val="00BB1F2D"/>
    <w:rsid w:val="00BB2754"/>
    <w:rsid w:val="00BB4878"/>
    <w:rsid w:val="00BB531D"/>
    <w:rsid w:val="00BB54B2"/>
    <w:rsid w:val="00BB571C"/>
    <w:rsid w:val="00BB603C"/>
    <w:rsid w:val="00BB6275"/>
    <w:rsid w:val="00BB63FA"/>
    <w:rsid w:val="00BB6573"/>
    <w:rsid w:val="00BB6694"/>
    <w:rsid w:val="00BB6DD1"/>
    <w:rsid w:val="00BB7240"/>
    <w:rsid w:val="00BB7C7F"/>
    <w:rsid w:val="00BB7D69"/>
    <w:rsid w:val="00BC0E76"/>
    <w:rsid w:val="00BC11B9"/>
    <w:rsid w:val="00BC1E0A"/>
    <w:rsid w:val="00BC1E14"/>
    <w:rsid w:val="00BC22F3"/>
    <w:rsid w:val="00BC2F6B"/>
    <w:rsid w:val="00BC4463"/>
    <w:rsid w:val="00BC4722"/>
    <w:rsid w:val="00BC48DC"/>
    <w:rsid w:val="00BC4A5C"/>
    <w:rsid w:val="00BC5159"/>
    <w:rsid w:val="00BC66D2"/>
    <w:rsid w:val="00BC6C63"/>
    <w:rsid w:val="00BC7377"/>
    <w:rsid w:val="00BC7424"/>
    <w:rsid w:val="00BC7517"/>
    <w:rsid w:val="00BD12DB"/>
    <w:rsid w:val="00BD250D"/>
    <w:rsid w:val="00BD254E"/>
    <w:rsid w:val="00BD27B5"/>
    <w:rsid w:val="00BD2ED8"/>
    <w:rsid w:val="00BD30A7"/>
    <w:rsid w:val="00BD32E8"/>
    <w:rsid w:val="00BD410C"/>
    <w:rsid w:val="00BD45DA"/>
    <w:rsid w:val="00BD4E56"/>
    <w:rsid w:val="00BD53EC"/>
    <w:rsid w:val="00BD55ED"/>
    <w:rsid w:val="00BD5919"/>
    <w:rsid w:val="00BD631C"/>
    <w:rsid w:val="00BD631D"/>
    <w:rsid w:val="00BD6749"/>
    <w:rsid w:val="00BD6E19"/>
    <w:rsid w:val="00BD75BE"/>
    <w:rsid w:val="00BE174A"/>
    <w:rsid w:val="00BE2155"/>
    <w:rsid w:val="00BE263A"/>
    <w:rsid w:val="00BE29B9"/>
    <w:rsid w:val="00BE30BA"/>
    <w:rsid w:val="00BE3172"/>
    <w:rsid w:val="00BE39D0"/>
    <w:rsid w:val="00BE3AEB"/>
    <w:rsid w:val="00BE3D38"/>
    <w:rsid w:val="00BE410C"/>
    <w:rsid w:val="00BE4152"/>
    <w:rsid w:val="00BE4212"/>
    <w:rsid w:val="00BE4C51"/>
    <w:rsid w:val="00BE54A8"/>
    <w:rsid w:val="00BE54C7"/>
    <w:rsid w:val="00BE57ED"/>
    <w:rsid w:val="00BE580F"/>
    <w:rsid w:val="00BE5A75"/>
    <w:rsid w:val="00BE6B17"/>
    <w:rsid w:val="00BE73CF"/>
    <w:rsid w:val="00BE77AA"/>
    <w:rsid w:val="00BE7BD7"/>
    <w:rsid w:val="00BE7C78"/>
    <w:rsid w:val="00BE7E79"/>
    <w:rsid w:val="00BF05A3"/>
    <w:rsid w:val="00BF1448"/>
    <w:rsid w:val="00BF2C56"/>
    <w:rsid w:val="00BF3A7D"/>
    <w:rsid w:val="00BF40D1"/>
    <w:rsid w:val="00BF4452"/>
    <w:rsid w:val="00BF5018"/>
    <w:rsid w:val="00BF50B5"/>
    <w:rsid w:val="00BF5406"/>
    <w:rsid w:val="00BF55FA"/>
    <w:rsid w:val="00BF5E5B"/>
    <w:rsid w:val="00BF646E"/>
    <w:rsid w:val="00BF689D"/>
    <w:rsid w:val="00BF73DE"/>
    <w:rsid w:val="00BF7713"/>
    <w:rsid w:val="00C00060"/>
    <w:rsid w:val="00C00410"/>
    <w:rsid w:val="00C01039"/>
    <w:rsid w:val="00C01504"/>
    <w:rsid w:val="00C01BA2"/>
    <w:rsid w:val="00C022D0"/>
    <w:rsid w:val="00C02530"/>
    <w:rsid w:val="00C02B67"/>
    <w:rsid w:val="00C02C48"/>
    <w:rsid w:val="00C04989"/>
    <w:rsid w:val="00C0516F"/>
    <w:rsid w:val="00C0615F"/>
    <w:rsid w:val="00C063B0"/>
    <w:rsid w:val="00C06B1E"/>
    <w:rsid w:val="00C0748A"/>
    <w:rsid w:val="00C10BB0"/>
    <w:rsid w:val="00C10CDA"/>
    <w:rsid w:val="00C1153C"/>
    <w:rsid w:val="00C115D8"/>
    <w:rsid w:val="00C11A7D"/>
    <w:rsid w:val="00C12265"/>
    <w:rsid w:val="00C124DD"/>
    <w:rsid w:val="00C13149"/>
    <w:rsid w:val="00C13577"/>
    <w:rsid w:val="00C139B0"/>
    <w:rsid w:val="00C13CC0"/>
    <w:rsid w:val="00C14DC8"/>
    <w:rsid w:val="00C15D36"/>
    <w:rsid w:val="00C15E5D"/>
    <w:rsid w:val="00C16222"/>
    <w:rsid w:val="00C16223"/>
    <w:rsid w:val="00C1728D"/>
    <w:rsid w:val="00C17480"/>
    <w:rsid w:val="00C17CA3"/>
    <w:rsid w:val="00C2068D"/>
    <w:rsid w:val="00C20829"/>
    <w:rsid w:val="00C20ADC"/>
    <w:rsid w:val="00C20C73"/>
    <w:rsid w:val="00C20CF8"/>
    <w:rsid w:val="00C20D9A"/>
    <w:rsid w:val="00C2118B"/>
    <w:rsid w:val="00C21566"/>
    <w:rsid w:val="00C21592"/>
    <w:rsid w:val="00C23A94"/>
    <w:rsid w:val="00C24306"/>
    <w:rsid w:val="00C249E2"/>
    <w:rsid w:val="00C2569B"/>
    <w:rsid w:val="00C26024"/>
    <w:rsid w:val="00C2603F"/>
    <w:rsid w:val="00C26AA1"/>
    <w:rsid w:val="00C26FC3"/>
    <w:rsid w:val="00C304FE"/>
    <w:rsid w:val="00C31617"/>
    <w:rsid w:val="00C317C7"/>
    <w:rsid w:val="00C31B91"/>
    <w:rsid w:val="00C32D90"/>
    <w:rsid w:val="00C33121"/>
    <w:rsid w:val="00C331BD"/>
    <w:rsid w:val="00C33C9E"/>
    <w:rsid w:val="00C345CB"/>
    <w:rsid w:val="00C34652"/>
    <w:rsid w:val="00C3491E"/>
    <w:rsid w:val="00C34CF6"/>
    <w:rsid w:val="00C34F8B"/>
    <w:rsid w:val="00C35506"/>
    <w:rsid w:val="00C35B68"/>
    <w:rsid w:val="00C35C68"/>
    <w:rsid w:val="00C361C1"/>
    <w:rsid w:val="00C37266"/>
    <w:rsid w:val="00C374BD"/>
    <w:rsid w:val="00C375A9"/>
    <w:rsid w:val="00C37734"/>
    <w:rsid w:val="00C37BEA"/>
    <w:rsid w:val="00C4043C"/>
    <w:rsid w:val="00C40B33"/>
    <w:rsid w:val="00C41128"/>
    <w:rsid w:val="00C4166B"/>
    <w:rsid w:val="00C42008"/>
    <w:rsid w:val="00C42882"/>
    <w:rsid w:val="00C4301D"/>
    <w:rsid w:val="00C43B88"/>
    <w:rsid w:val="00C456AA"/>
    <w:rsid w:val="00C462C9"/>
    <w:rsid w:val="00C466EE"/>
    <w:rsid w:val="00C50207"/>
    <w:rsid w:val="00C509D0"/>
    <w:rsid w:val="00C50DEE"/>
    <w:rsid w:val="00C512EB"/>
    <w:rsid w:val="00C5138C"/>
    <w:rsid w:val="00C52340"/>
    <w:rsid w:val="00C5255B"/>
    <w:rsid w:val="00C525C6"/>
    <w:rsid w:val="00C52652"/>
    <w:rsid w:val="00C528E9"/>
    <w:rsid w:val="00C53082"/>
    <w:rsid w:val="00C53F93"/>
    <w:rsid w:val="00C540FE"/>
    <w:rsid w:val="00C54EB4"/>
    <w:rsid w:val="00C55089"/>
    <w:rsid w:val="00C56800"/>
    <w:rsid w:val="00C568A3"/>
    <w:rsid w:val="00C573B6"/>
    <w:rsid w:val="00C60BA7"/>
    <w:rsid w:val="00C60FE0"/>
    <w:rsid w:val="00C61039"/>
    <w:rsid w:val="00C611C1"/>
    <w:rsid w:val="00C61899"/>
    <w:rsid w:val="00C61BFF"/>
    <w:rsid w:val="00C61C17"/>
    <w:rsid w:val="00C61CF2"/>
    <w:rsid w:val="00C620D7"/>
    <w:rsid w:val="00C63645"/>
    <w:rsid w:val="00C637EE"/>
    <w:rsid w:val="00C63846"/>
    <w:rsid w:val="00C64212"/>
    <w:rsid w:val="00C64376"/>
    <w:rsid w:val="00C64BAD"/>
    <w:rsid w:val="00C6594A"/>
    <w:rsid w:val="00C66ACC"/>
    <w:rsid w:val="00C6715E"/>
    <w:rsid w:val="00C67FC4"/>
    <w:rsid w:val="00C67FD3"/>
    <w:rsid w:val="00C70112"/>
    <w:rsid w:val="00C70C2C"/>
    <w:rsid w:val="00C70E21"/>
    <w:rsid w:val="00C710B4"/>
    <w:rsid w:val="00C72762"/>
    <w:rsid w:val="00C72AAA"/>
    <w:rsid w:val="00C72C85"/>
    <w:rsid w:val="00C7320C"/>
    <w:rsid w:val="00C73BCE"/>
    <w:rsid w:val="00C7487F"/>
    <w:rsid w:val="00C757E1"/>
    <w:rsid w:val="00C75AC4"/>
    <w:rsid w:val="00C7686F"/>
    <w:rsid w:val="00C772EB"/>
    <w:rsid w:val="00C777BE"/>
    <w:rsid w:val="00C77902"/>
    <w:rsid w:val="00C804B3"/>
    <w:rsid w:val="00C80D45"/>
    <w:rsid w:val="00C80F2B"/>
    <w:rsid w:val="00C811BF"/>
    <w:rsid w:val="00C8133F"/>
    <w:rsid w:val="00C82678"/>
    <w:rsid w:val="00C83588"/>
    <w:rsid w:val="00C8414B"/>
    <w:rsid w:val="00C84DF1"/>
    <w:rsid w:val="00C854DE"/>
    <w:rsid w:val="00C85DE8"/>
    <w:rsid w:val="00C85FAB"/>
    <w:rsid w:val="00C86132"/>
    <w:rsid w:val="00C865F9"/>
    <w:rsid w:val="00C86D1C"/>
    <w:rsid w:val="00C87074"/>
    <w:rsid w:val="00C8719B"/>
    <w:rsid w:val="00C904D8"/>
    <w:rsid w:val="00C90760"/>
    <w:rsid w:val="00C90EA2"/>
    <w:rsid w:val="00C92F50"/>
    <w:rsid w:val="00C940CE"/>
    <w:rsid w:val="00C948AC"/>
    <w:rsid w:val="00C9491D"/>
    <w:rsid w:val="00C94C0C"/>
    <w:rsid w:val="00C9548F"/>
    <w:rsid w:val="00C95FA8"/>
    <w:rsid w:val="00C967DA"/>
    <w:rsid w:val="00C972B2"/>
    <w:rsid w:val="00C975E7"/>
    <w:rsid w:val="00CA084F"/>
    <w:rsid w:val="00CA11D6"/>
    <w:rsid w:val="00CA1486"/>
    <w:rsid w:val="00CA1666"/>
    <w:rsid w:val="00CA19B9"/>
    <w:rsid w:val="00CA1D70"/>
    <w:rsid w:val="00CA257E"/>
    <w:rsid w:val="00CA2A6F"/>
    <w:rsid w:val="00CA2C93"/>
    <w:rsid w:val="00CA2DD4"/>
    <w:rsid w:val="00CA31C8"/>
    <w:rsid w:val="00CA35D2"/>
    <w:rsid w:val="00CA391D"/>
    <w:rsid w:val="00CA4843"/>
    <w:rsid w:val="00CA490A"/>
    <w:rsid w:val="00CA4D3D"/>
    <w:rsid w:val="00CA6C46"/>
    <w:rsid w:val="00CA6D58"/>
    <w:rsid w:val="00CA6E3B"/>
    <w:rsid w:val="00CA72F6"/>
    <w:rsid w:val="00CB042C"/>
    <w:rsid w:val="00CB228F"/>
    <w:rsid w:val="00CB2330"/>
    <w:rsid w:val="00CB315B"/>
    <w:rsid w:val="00CB336B"/>
    <w:rsid w:val="00CB3985"/>
    <w:rsid w:val="00CB4EA1"/>
    <w:rsid w:val="00CB521B"/>
    <w:rsid w:val="00CB55FB"/>
    <w:rsid w:val="00CB5F66"/>
    <w:rsid w:val="00CB6C07"/>
    <w:rsid w:val="00CB6DAF"/>
    <w:rsid w:val="00CB7738"/>
    <w:rsid w:val="00CB79D2"/>
    <w:rsid w:val="00CC0E28"/>
    <w:rsid w:val="00CC0F3C"/>
    <w:rsid w:val="00CC1C47"/>
    <w:rsid w:val="00CC1D1A"/>
    <w:rsid w:val="00CC1FD9"/>
    <w:rsid w:val="00CC2DAF"/>
    <w:rsid w:val="00CC3080"/>
    <w:rsid w:val="00CC3193"/>
    <w:rsid w:val="00CC36DC"/>
    <w:rsid w:val="00CC3D08"/>
    <w:rsid w:val="00CC3DD7"/>
    <w:rsid w:val="00CC43DF"/>
    <w:rsid w:val="00CC4E11"/>
    <w:rsid w:val="00CC6215"/>
    <w:rsid w:val="00CC64B6"/>
    <w:rsid w:val="00CC6C37"/>
    <w:rsid w:val="00CC6F0D"/>
    <w:rsid w:val="00CC79AE"/>
    <w:rsid w:val="00CC7B8B"/>
    <w:rsid w:val="00CC7D82"/>
    <w:rsid w:val="00CD09EE"/>
    <w:rsid w:val="00CD0BC1"/>
    <w:rsid w:val="00CD0D07"/>
    <w:rsid w:val="00CD10E0"/>
    <w:rsid w:val="00CD1B6B"/>
    <w:rsid w:val="00CD231D"/>
    <w:rsid w:val="00CD5E7E"/>
    <w:rsid w:val="00CD6A25"/>
    <w:rsid w:val="00CE02B0"/>
    <w:rsid w:val="00CE0739"/>
    <w:rsid w:val="00CE07BB"/>
    <w:rsid w:val="00CE0DCC"/>
    <w:rsid w:val="00CE14A7"/>
    <w:rsid w:val="00CE1AC7"/>
    <w:rsid w:val="00CE313B"/>
    <w:rsid w:val="00CE32F0"/>
    <w:rsid w:val="00CE3504"/>
    <w:rsid w:val="00CE39EE"/>
    <w:rsid w:val="00CE4979"/>
    <w:rsid w:val="00CE5009"/>
    <w:rsid w:val="00CE5E55"/>
    <w:rsid w:val="00CE5EAB"/>
    <w:rsid w:val="00CE5F81"/>
    <w:rsid w:val="00CE60E0"/>
    <w:rsid w:val="00CE6495"/>
    <w:rsid w:val="00CE6602"/>
    <w:rsid w:val="00CE6607"/>
    <w:rsid w:val="00CE66F7"/>
    <w:rsid w:val="00CE6D3E"/>
    <w:rsid w:val="00CF0421"/>
    <w:rsid w:val="00CF0D80"/>
    <w:rsid w:val="00CF13DE"/>
    <w:rsid w:val="00CF1981"/>
    <w:rsid w:val="00CF2109"/>
    <w:rsid w:val="00CF232B"/>
    <w:rsid w:val="00CF3B93"/>
    <w:rsid w:val="00CF44A9"/>
    <w:rsid w:val="00CF4721"/>
    <w:rsid w:val="00CF47B2"/>
    <w:rsid w:val="00CF4812"/>
    <w:rsid w:val="00CF48EB"/>
    <w:rsid w:val="00CF49E6"/>
    <w:rsid w:val="00CF4DB7"/>
    <w:rsid w:val="00CF52E9"/>
    <w:rsid w:val="00CF6D1A"/>
    <w:rsid w:val="00CF6D96"/>
    <w:rsid w:val="00CF7347"/>
    <w:rsid w:val="00CF74E6"/>
    <w:rsid w:val="00CF7F16"/>
    <w:rsid w:val="00D006F7"/>
    <w:rsid w:val="00D01848"/>
    <w:rsid w:val="00D01884"/>
    <w:rsid w:val="00D027E8"/>
    <w:rsid w:val="00D02946"/>
    <w:rsid w:val="00D03217"/>
    <w:rsid w:val="00D03823"/>
    <w:rsid w:val="00D03C39"/>
    <w:rsid w:val="00D03E86"/>
    <w:rsid w:val="00D04763"/>
    <w:rsid w:val="00D049FD"/>
    <w:rsid w:val="00D04BF5"/>
    <w:rsid w:val="00D04F4E"/>
    <w:rsid w:val="00D05CF2"/>
    <w:rsid w:val="00D05E3E"/>
    <w:rsid w:val="00D06F54"/>
    <w:rsid w:val="00D07C17"/>
    <w:rsid w:val="00D07D7C"/>
    <w:rsid w:val="00D102C1"/>
    <w:rsid w:val="00D111F2"/>
    <w:rsid w:val="00D11200"/>
    <w:rsid w:val="00D11D21"/>
    <w:rsid w:val="00D131F9"/>
    <w:rsid w:val="00D1360E"/>
    <w:rsid w:val="00D14BDB"/>
    <w:rsid w:val="00D154ED"/>
    <w:rsid w:val="00D15A1D"/>
    <w:rsid w:val="00D162E8"/>
    <w:rsid w:val="00D165C7"/>
    <w:rsid w:val="00D16D44"/>
    <w:rsid w:val="00D171FD"/>
    <w:rsid w:val="00D173E7"/>
    <w:rsid w:val="00D2013E"/>
    <w:rsid w:val="00D20CA0"/>
    <w:rsid w:val="00D20E5E"/>
    <w:rsid w:val="00D20F62"/>
    <w:rsid w:val="00D219B2"/>
    <w:rsid w:val="00D223CF"/>
    <w:rsid w:val="00D25089"/>
    <w:rsid w:val="00D2510D"/>
    <w:rsid w:val="00D255D5"/>
    <w:rsid w:val="00D2562F"/>
    <w:rsid w:val="00D259E4"/>
    <w:rsid w:val="00D267EC"/>
    <w:rsid w:val="00D27F91"/>
    <w:rsid w:val="00D303B0"/>
    <w:rsid w:val="00D30C82"/>
    <w:rsid w:val="00D31147"/>
    <w:rsid w:val="00D31CBC"/>
    <w:rsid w:val="00D31D5B"/>
    <w:rsid w:val="00D31F19"/>
    <w:rsid w:val="00D3212D"/>
    <w:rsid w:val="00D34044"/>
    <w:rsid w:val="00D34D2A"/>
    <w:rsid w:val="00D34EBF"/>
    <w:rsid w:val="00D35BB9"/>
    <w:rsid w:val="00D35C3F"/>
    <w:rsid w:val="00D3659F"/>
    <w:rsid w:val="00D374E3"/>
    <w:rsid w:val="00D40523"/>
    <w:rsid w:val="00D40646"/>
    <w:rsid w:val="00D418C8"/>
    <w:rsid w:val="00D41EC2"/>
    <w:rsid w:val="00D431C7"/>
    <w:rsid w:val="00D44EA9"/>
    <w:rsid w:val="00D45307"/>
    <w:rsid w:val="00D45B4E"/>
    <w:rsid w:val="00D45E06"/>
    <w:rsid w:val="00D45E09"/>
    <w:rsid w:val="00D4600B"/>
    <w:rsid w:val="00D4723D"/>
    <w:rsid w:val="00D47909"/>
    <w:rsid w:val="00D509D5"/>
    <w:rsid w:val="00D5133C"/>
    <w:rsid w:val="00D517D7"/>
    <w:rsid w:val="00D51A61"/>
    <w:rsid w:val="00D51B54"/>
    <w:rsid w:val="00D51F99"/>
    <w:rsid w:val="00D51FC8"/>
    <w:rsid w:val="00D525A9"/>
    <w:rsid w:val="00D52C83"/>
    <w:rsid w:val="00D52F41"/>
    <w:rsid w:val="00D53105"/>
    <w:rsid w:val="00D531F9"/>
    <w:rsid w:val="00D537DB"/>
    <w:rsid w:val="00D5381F"/>
    <w:rsid w:val="00D5474A"/>
    <w:rsid w:val="00D548B2"/>
    <w:rsid w:val="00D5496A"/>
    <w:rsid w:val="00D559DF"/>
    <w:rsid w:val="00D55CF8"/>
    <w:rsid w:val="00D560D2"/>
    <w:rsid w:val="00D57416"/>
    <w:rsid w:val="00D57E7C"/>
    <w:rsid w:val="00D57FD1"/>
    <w:rsid w:val="00D608CD"/>
    <w:rsid w:val="00D61513"/>
    <w:rsid w:val="00D629A7"/>
    <w:rsid w:val="00D62A18"/>
    <w:rsid w:val="00D62D25"/>
    <w:rsid w:val="00D63125"/>
    <w:rsid w:val="00D636A0"/>
    <w:rsid w:val="00D63A3E"/>
    <w:rsid w:val="00D63B2E"/>
    <w:rsid w:val="00D63F69"/>
    <w:rsid w:val="00D6450E"/>
    <w:rsid w:val="00D64A15"/>
    <w:rsid w:val="00D6506C"/>
    <w:rsid w:val="00D65AC7"/>
    <w:rsid w:val="00D65BFC"/>
    <w:rsid w:val="00D66361"/>
    <w:rsid w:val="00D663D1"/>
    <w:rsid w:val="00D66899"/>
    <w:rsid w:val="00D677E3"/>
    <w:rsid w:val="00D67E14"/>
    <w:rsid w:val="00D70193"/>
    <w:rsid w:val="00D715CD"/>
    <w:rsid w:val="00D72728"/>
    <w:rsid w:val="00D72BD5"/>
    <w:rsid w:val="00D73830"/>
    <w:rsid w:val="00D74654"/>
    <w:rsid w:val="00D74A93"/>
    <w:rsid w:val="00D7503F"/>
    <w:rsid w:val="00D753A0"/>
    <w:rsid w:val="00D76400"/>
    <w:rsid w:val="00D7781C"/>
    <w:rsid w:val="00D77EF0"/>
    <w:rsid w:val="00D8002F"/>
    <w:rsid w:val="00D803EE"/>
    <w:rsid w:val="00D8046D"/>
    <w:rsid w:val="00D804C4"/>
    <w:rsid w:val="00D80C51"/>
    <w:rsid w:val="00D80C92"/>
    <w:rsid w:val="00D81387"/>
    <w:rsid w:val="00D814A4"/>
    <w:rsid w:val="00D814DC"/>
    <w:rsid w:val="00D81642"/>
    <w:rsid w:val="00D81C54"/>
    <w:rsid w:val="00D82642"/>
    <w:rsid w:val="00D8342E"/>
    <w:rsid w:val="00D83A98"/>
    <w:rsid w:val="00D843D3"/>
    <w:rsid w:val="00D86A75"/>
    <w:rsid w:val="00D9017D"/>
    <w:rsid w:val="00D910C5"/>
    <w:rsid w:val="00D915E8"/>
    <w:rsid w:val="00D9177A"/>
    <w:rsid w:val="00D91A7D"/>
    <w:rsid w:val="00D91C75"/>
    <w:rsid w:val="00D91D47"/>
    <w:rsid w:val="00D91EB0"/>
    <w:rsid w:val="00D92630"/>
    <w:rsid w:val="00D9352C"/>
    <w:rsid w:val="00D93B63"/>
    <w:rsid w:val="00D94EFE"/>
    <w:rsid w:val="00D953B7"/>
    <w:rsid w:val="00D95422"/>
    <w:rsid w:val="00D9615C"/>
    <w:rsid w:val="00D967A9"/>
    <w:rsid w:val="00D9707A"/>
    <w:rsid w:val="00D970D2"/>
    <w:rsid w:val="00D97B0D"/>
    <w:rsid w:val="00DA16C4"/>
    <w:rsid w:val="00DA270F"/>
    <w:rsid w:val="00DA2A47"/>
    <w:rsid w:val="00DA34E6"/>
    <w:rsid w:val="00DA36B2"/>
    <w:rsid w:val="00DA3962"/>
    <w:rsid w:val="00DA41E6"/>
    <w:rsid w:val="00DA435B"/>
    <w:rsid w:val="00DA5503"/>
    <w:rsid w:val="00DA5DEC"/>
    <w:rsid w:val="00DA5EA9"/>
    <w:rsid w:val="00DA727F"/>
    <w:rsid w:val="00DB0387"/>
    <w:rsid w:val="00DB039B"/>
    <w:rsid w:val="00DB09D4"/>
    <w:rsid w:val="00DB0CE4"/>
    <w:rsid w:val="00DB0FC9"/>
    <w:rsid w:val="00DB1945"/>
    <w:rsid w:val="00DB3D2F"/>
    <w:rsid w:val="00DB3FE7"/>
    <w:rsid w:val="00DB49CA"/>
    <w:rsid w:val="00DB570E"/>
    <w:rsid w:val="00DB5D9A"/>
    <w:rsid w:val="00DB6665"/>
    <w:rsid w:val="00DB66BB"/>
    <w:rsid w:val="00DB6F20"/>
    <w:rsid w:val="00DB7C04"/>
    <w:rsid w:val="00DB7E4C"/>
    <w:rsid w:val="00DC0584"/>
    <w:rsid w:val="00DC0D87"/>
    <w:rsid w:val="00DC0E36"/>
    <w:rsid w:val="00DC2713"/>
    <w:rsid w:val="00DC2B44"/>
    <w:rsid w:val="00DC2E19"/>
    <w:rsid w:val="00DC32BF"/>
    <w:rsid w:val="00DC4101"/>
    <w:rsid w:val="00DC4A37"/>
    <w:rsid w:val="00DC544B"/>
    <w:rsid w:val="00DC5AD3"/>
    <w:rsid w:val="00DC619D"/>
    <w:rsid w:val="00DC7092"/>
    <w:rsid w:val="00DC7C21"/>
    <w:rsid w:val="00DC7EB4"/>
    <w:rsid w:val="00DC7EEB"/>
    <w:rsid w:val="00DC7F54"/>
    <w:rsid w:val="00DD032F"/>
    <w:rsid w:val="00DD0A59"/>
    <w:rsid w:val="00DD14F3"/>
    <w:rsid w:val="00DD1A71"/>
    <w:rsid w:val="00DD1AD5"/>
    <w:rsid w:val="00DD21AA"/>
    <w:rsid w:val="00DD22DA"/>
    <w:rsid w:val="00DD251B"/>
    <w:rsid w:val="00DD2CCE"/>
    <w:rsid w:val="00DD317E"/>
    <w:rsid w:val="00DD3521"/>
    <w:rsid w:val="00DD36C4"/>
    <w:rsid w:val="00DD3B8E"/>
    <w:rsid w:val="00DD494C"/>
    <w:rsid w:val="00DD55FB"/>
    <w:rsid w:val="00DD6CD8"/>
    <w:rsid w:val="00DD76D3"/>
    <w:rsid w:val="00DD7F89"/>
    <w:rsid w:val="00DE0A5C"/>
    <w:rsid w:val="00DE117A"/>
    <w:rsid w:val="00DE1FEE"/>
    <w:rsid w:val="00DE23AD"/>
    <w:rsid w:val="00DE2B37"/>
    <w:rsid w:val="00DE2CB9"/>
    <w:rsid w:val="00DE2D8D"/>
    <w:rsid w:val="00DE31D5"/>
    <w:rsid w:val="00DE366C"/>
    <w:rsid w:val="00DE4847"/>
    <w:rsid w:val="00DE4981"/>
    <w:rsid w:val="00DE4B34"/>
    <w:rsid w:val="00DE51CB"/>
    <w:rsid w:val="00DE55F4"/>
    <w:rsid w:val="00DE577B"/>
    <w:rsid w:val="00DE5F42"/>
    <w:rsid w:val="00DE5F63"/>
    <w:rsid w:val="00DE6EBB"/>
    <w:rsid w:val="00DE78C4"/>
    <w:rsid w:val="00DE7C6A"/>
    <w:rsid w:val="00DF023A"/>
    <w:rsid w:val="00DF0570"/>
    <w:rsid w:val="00DF418D"/>
    <w:rsid w:val="00DF4645"/>
    <w:rsid w:val="00DF494A"/>
    <w:rsid w:val="00DF49D3"/>
    <w:rsid w:val="00DF4F2C"/>
    <w:rsid w:val="00DF52FF"/>
    <w:rsid w:val="00DF532C"/>
    <w:rsid w:val="00DF75FF"/>
    <w:rsid w:val="00DF78C6"/>
    <w:rsid w:val="00E0114C"/>
    <w:rsid w:val="00E019F3"/>
    <w:rsid w:val="00E02062"/>
    <w:rsid w:val="00E0232D"/>
    <w:rsid w:val="00E0238C"/>
    <w:rsid w:val="00E02576"/>
    <w:rsid w:val="00E02803"/>
    <w:rsid w:val="00E0294F"/>
    <w:rsid w:val="00E03D5F"/>
    <w:rsid w:val="00E04525"/>
    <w:rsid w:val="00E04703"/>
    <w:rsid w:val="00E04A22"/>
    <w:rsid w:val="00E04C4D"/>
    <w:rsid w:val="00E04E13"/>
    <w:rsid w:val="00E05476"/>
    <w:rsid w:val="00E05615"/>
    <w:rsid w:val="00E06537"/>
    <w:rsid w:val="00E0694B"/>
    <w:rsid w:val="00E10769"/>
    <w:rsid w:val="00E10AB1"/>
    <w:rsid w:val="00E10E60"/>
    <w:rsid w:val="00E12869"/>
    <w:rsid w:val="00E13043"/>
    <w:rsid w:val="00E133EA"/>
    <w:rsid w:val="00E15A31"/>
    <w:rsid w:val="00E15D05"/>
    <w:rsid w:val="00E16301"/>
    <w:rsid w:val="00E16A8F"/>
    <w:rsid w:val="00E17370"/>
    <w:rsid w:val="00E1747E"/>
    <w:rsid w:val="00E206D9"/>
    <w:rsid w:val="00E20776"/>
    <w:rsid w:val="00E20D28"/>
    <w:rsid w:val="00E213EF"/>
    <w:rsid w:val="00E21A4F"/>
    <w:rsid w:val="00E21FD3"/>
    <w:rsid w:val="00E236D5"/>
    <w:rsid w:val="00E24690"/>
    <w:rsid w:val="00E2476F"/>
    <w:rsid w:val="00E24E0C"/>
    <w:rsid w:val="00E24E3C"/>
    <w:rsid w:val="00E250F0"/>
    <w:rsid w:val="00E26252"/>
    <w:rsid w:val="00E26267"/>
    <w:rsid w:val="00E26B38"/>
    <w:rsid w:val="00E26D62"/>
    <w:rsid w:val="00E270CE"/>
    <w:rsid w:val="00E2785A"/>
    <w:rsid w:val="00E30959"/>
    <w:rsid w:val="00E30A11"/>
    <w:rsid w:val="00E318EA"/>
    <w:rsid w:val="00E32018"/>
    <w:rsid w:val="00E32372"/>
    <w:rsid w:val="00E323A8"/>
    <w:rsid w:val="00E3249E"/>
    <w:rsid w:val="00E3396C"/>
    <w:rsid w:val="00E33C5D"/>
    <w:rsid w:val="00E34C2B"/>
    <w:rsid w:val="00E35023"/>
    <w:rsid w:val="00E35226"/>
    <w:rsid w:val="00E35263"/>
    <w:rsid w:val="00E3548E"/>
    <w:rsid w:val="00E3590F"/>
    <w:rsid w:val="00E35D5F"/>
    <w:rsid w:val="00E360FC"/>
    <w:rsid w:val="00E36A19"/>
    <w:rsid w:val="00E36C43"/>
    <w:rsid w:val="00E37AE0"/>
    <w:rsid w:val="00E37BB3"/>
    <w:rsid w:val="00E40BAE"/>
    <w:rsid w:val="00E4105C"/>
    <w:rsid w:val="00E42274"/>
    <w:rsid w:val="00E42592"/>
    <w:rsid w:val="00E42821"/>
    <w:rsid w:val="00E428F5"/>
    <w:rsid w:val="00E42BEA"/>
    <w:rsid w:val="00E43913"/>
    <w:rsid w:val="00E43B84"/>
    <w:rsid w:val="00E445D4"/>
    <w:rsid w:val="00E44A3A"/>
    <w:rsid w:val="00E44A9F"/>
    <w:rsid w:val="00E44B0D"/>
    <w:rsid w:val="00E44FBA"/>
    <w:rsid w:val="00E46B57"/>
    <w:rsid w:val="00E46B9D"/>
    <w:rsid w:val="00E46C1C"/>
    <w:rsid w:val="00E46D68"/>
    <w:rsid w:val="00E46DCB"/>
    <w:rsid w:val="00E475D5"/>
    <w:rsid w:val="00E47756"/>
    <w:rsid w:val="00E47AA4"/>
    <w:rsid w:val="00E50086"/>
    <w:rsid w:val="00E503C4"/>
    <w:rsid w:val="00E50A7B"/>
    <w:rsid w:val="00E52AD4"/>
    <w:rsid w:val="00E52C82"/>
    <w:rsid w:val="00E535E8"/>
    <w:rsid w:val="00E53C95"/>
    <w:rsid w:val="00E53DC1"/>
    <w:rsid w:val="00E54690"/>
    <w:rsid w:val="00E54748"/>
    <w:rsid w:val="00E54BD2"/>
    <w:rsid w:val="00E56290"/>
    <w:rsid w:val="00E56950"/>
    <w:rsid w:val="00E56C73"/>
    <w:rsid w:val="00E57469"/>
    <w:rsid w:val="00E5793D"/>
    <w:rsid w:val="00E60065"/>
    <w:rsid w:val="00E600DB"/>
    <w:rsid w:val="00E60907"/>
    <w:rsid w:val="00E60A15"/>
    <w:rsid w:val="00E60BB8"/>
    <w:rsid w:val="00E610AC"/>
    <w:rsid w:val="00E61484"/>
    <w:rsid w:val="00E61A71"/>
    <w:rsid w:val="00E61CF4"/>
    <w:rsid w:val="00E61D90"/>
    <w:rsid w:val="00E62437"/>
    <w:rsid w:val="00E62658"/>
    <w:rsid w:val="00E6302D"/>
    <w:rsid w:val="00E630E3"/>
    <w:rsid w:val="00E63C19"/>
    <w:rsid w:val="00E64CFF"/>
    <w:rsid w:val="00E65736"/>
    <w:rsid w:val="00E66E1C"/>
    <w:rsid w:val="00E673C6"/>
    <w:rsid w:val="00E675ED"/>
    <w:rsid w:val="00E67752"/>
    <w:rsid w:val="00E70DCD"/>
    <w:rsid w:val="00E70FA1"/>
    <w:rsid w:val="00E71759"/>
    <w:rsid w:val="00E720A3"/>
    <w:rsid w:val="00E72469"/>
    <w:rsid w:val="00E7272B"/>
    <w:rsid w:val="00E72C45"/>
    <w:rsid w:val="00E72E3E"/>
    <w:rsid w:val="00E7432A"/>
    <w:rsid w:val="00E76A87"/>
    <w:rsid w:val="00E76E31"/>
    <w:rsid w:val="00E77E2F"/>
    <w:rsid w:val="00E8003E"/>
    <w:rsid w:val="00E802FC"/>
    <w:rsid w:val="00E8079B"/>
    <w:rsid w:val="00E807D4"/>
    <w:rsid w:val="00E80C71"/>
    <w:rsid w:val="00E80FF6"/>
    <w:rsid w:val="00E81247"/>
    <w:rsid w:val="00E81AA4"/>
    <w:rsid w:val="00E823D2"/>
    <w:rsid w:val="00E824A5"/>
    <w:rsid w:val="00E82AEA"/>
    <w:rsid w:val="00E831EF"/>
    <w:rsid w:val="00E83559"/>
    <w:rsid w:val="00E83D85"/>
    <w:rsid w:val="00E8400D"/>
    <w:rsid w:val="00E84042"/>
    <w:rsid w:val="00E84B23"/>
    <w:rsid w:val="00E852B8"/>
    <w:rsid w:val="00E854E3"/>
    <w:rsid w:val="00E8595F"/>
    <w:rsid w:val="00E86169"/>
    <w:rsid w:val="00E872B5"/>
    <w:rsid w:val="00E87CEB"/>
    <w:rsid w:val="00E87F60"/>
    <w:rsid w:val="00E902D4"/>
    <w:rsid w:val="00E902FC"/>
    <w:rsid w:val="00E9129E"/>
    <w:rsid w:val="00E91822"/>
    <w:rsid w:val="00E92174"/>
    <w:rsid w:val="00E92CA6"/>
    <w:rsid w:val="00E949BE"/>
    <w:rsid w:val="00E94D08"/>
    <w:rsid w:val="00E95278"/>
    <w:rsid w:val="00E96225"/>
    <w:rsid w:val="00E971AE"/>
    <w:rsid w:val="00E97CED"/>
    <w:rsid w:val="00EA0312"/>
    <w:rsid w:val="00EA03B7"/>
    <w:rsid w:val="00EA0EF2"/>
    <w:rsid w:val="00EA1A23"/>
    <w:rsid w:val="00EA263E"/>
    <w:rsid w:val="00EA2945"/>
    <w:rsid w:val="00EA29BB"/>
    <w:rsid w:val="00EA2B7B"/>
    <w:rsid w:val="00EA4386"/>
    <w:rsid w:val="00EA5835"/>
    <w:rsid w:val="00EA5BDD"/>
    <w:rsid w:val="00EA5DD7"/>
    <w:rsid w:val="00EA5EBD"/>
    <w:rsid w:val="00EA6509"/>
    <w:rsid w:val="00EA792F"/>
    <w:rsid w:val="00EA7D9D"/>
    <w:rsid w:val="00EB0000"/>
    <w:rsid w:val="00EB05F8"/>
    <w:rsid w:val="00EB1848"/>
    <w:rsid w:val="00EB21BB"/>
    <w:rsid w:val="00EB2613"/>
    <w:rsid w:val="00EB27BF"/>
    <w:rsid w:val="00EB3F98"/>
    <w:rsid w:val="00EB4AA9"/>
    <w:rsid w:val="00EB54F4"/>
    <w:rsid w:val="00EB59E1"/>
    <w:rsid w:val="00EB5FCB"/>
    <w:rsid w:val="00EB6D9E"/>
    <w:rsid w:val="00EB758F"/>
    <w:rsid w:val="00EB7876"/>
    <w:rsid w:val="00EB7899"/>
    <w:rsid w:val="00EB79A8"/>
    <w:rsid w:val="00EB79A9"/>
    <w:rsid w:val="00EB7B6B"/>
    <w:rsid w:val="00EC000C"/>
    <w:rsid w:val="00EC014D"/>
    <w:rsid w:val="00EC0CCC"/>
    <w:rsid w:val="00EC1188"/>
    <w:rsid w:val="00EC133D"/>
    <w:rsid w:val="00EC1340"/>
    <w:rsid w:val="00EC2557"/>
    <w:rsid w:val="00EC3743"/>
    <w:rsid w:val="00EC374A"/>
    <w:rsid w:val="00EC3988"/>
    <w:rsid w:val="00EC54E7"/>
    <w:rsid w:val="00EC5973"/>
    <w:rsid w:val="00EC5B08"/>
    <w:rsid w:val="00EC5BA6"/>
    <w:rsid w:val="00EC60AE"/>
    <w:rsid w:val="00EC6634"/>
    <w:rsid w:val="00EC6C04"/>
    <w:rsid w:val="00EC6E4B"/>
    <w:rsid w:val="00EC76C9"/>
    <w:rsid w:val="00EC78C3"/>
    <w:rsid w:val="00ED03A2"/>
    <w:rsid w:val="00ED0B15"/>
    <w:rsid w:val="00ED0CC7"/>
    <w:rsid w:val="00ED11EB"/>
    <w:rsid w:val="00ED13AB"/>
    <w:rsid w:val="00ED240B"/>
    <w:rsid w:val="00ED2724"/>
    <w:rsid w:val="00ED28E9"/>
    <w:rsid w:val="00ED2BF5"/>
    <w:rsid w:val="00ED32AD"/>
    <w:rsid w:val="00ED3360"/>
    <w:rsid w:val="00ED483A"/>
    <w:rsid w:val="00ED4A88"/>
    <w:rsid w:val="00ED4B4F"/>
    <w:rsid w:val="00ED53B4"/>
    <w:rsid w:val="00ED5A94"/>
    <w:rsid w:val="00ED6453"/>
    <w:rsid w:val="00ED67FC"/>
    <w:rsid w:val="00ED6D24"/>
    <w:rsid w:val="00ED716E"/>
    <w:rsid w:val="00ED7215"/>
    <w:rsid w:val="00ED7967"/>
    <w:rsid w:val="00EE057D"/>
    <w:rsid w:val="00EE0C7A"/>
    <w:rsid w:val="00EE1BA6"/>
    <w:rsid w:val="00EE2546"/>
    <w:rsid w:val="00EE2C3F"/>
    <w:rsid w:val="00EE30F4"/>
    <w:rsid w:val="00EE3AA9"/>
    <w:rsid w:val="00EE4B29"/>
    <w:rsid w:val="00EE4B42"/>
    <w:rsid w:val="00EE4D01"/>
    <w:rsid w:val="00EE5521"/>
    <w:rsid w:val="00EE58FE"/>
    <w:rsid w:val="00EE5CA6"/>
    <w:rsid w:val="00EE6016"/>
    <w:rsid w:val="00EE61EB"/>
    <w:rsid w:val="00EE6253"/>
    <w:rsid w:val="00EE62F7"/>
    <w:rsid w:val="00EE7091"/>
    <w:rsid w:val="00EE7C11"/>
    <w:rsid w:val="00EE7E16"/>
    <w:rsid w:val="00EF0776"/>
    <w:rsid w:val="00EF10AA"/>
    <w:rsid w:val="00EF112B"/>
    <w:rsid w:val="00EF144B"/>
    <w:rsid w:val="00EF174A"/>
    <w:rsid w:val="00EF1EF9"/>
    <w:rsid w:val="00EF2AA5"/>
    <w:rsid w:val="00EF2EC1"/>
    <w:rsid w:val="00EF373F"/>
    <w:rsid w:val="00EF3AE0"/>
    <w:rsid w:val="00EF41BA"/>
    <w:rsid w:val="00EF52F2"/>
    <w:rsid w:val="00EF54B1"/>
    <w:rsid w:val="00EF577E"/>
    <w:rsid w:val="00EF5817"/>
    <w:rsid w:val="00EF5FA8"/>
    <w:rsid w:val="00EF64D3"/>
    <w:rsid w:val="00EF6656"/>
    <w:rsid w:val="00EF671D"/>
    <w:rsid w:val="00EF6922"/>
    <w:rsid w:val="00EF69BC"/>
    <w:rsid w:val="00EF6E0E"/>
    <w:rsid w:val="00EF6E8E"/>
    <w:rsid w:val="00EF7034"/>
    <w:rsid w:val="00EF7AC5"/>
    <w:rsid w:val="00F005C9"/>
    <w:rsid w:val="00F00A7A"/>
    <w:rsid w:val="00F013A2"/>
    <w:rsid w:val="00F01D4A"/>
    <w:rsid w:val="00F01E4F"/>
    <w:rsid w:val="00F01E6A"/>
    <w:rsid w:val="00F0377F"/>
    <w:rsid w:val="00F0455E"/>
    <w:rsid w:val="00F049CB"/>
    <w:rsid w:val="00F04D2F"/>
    <w:rsid w:val="00F060C8"/>
    <w:rsid w:val="00F06561"/>
    <w:rsid w:val="00F070D1"/>
    <w:rsid w:val="00F0722E"/>
    <w:rsid w:val="00F0752D"/>
    <w:rsid w:val="00F07D83"/>
    <w:rsid w:val="00F10AA8"/>
    <w:rsid w:val="00F10BE3"/>
    <w:rsid w:val="00F117A1"/>
    <w:rsid w:val="00F11ACF"/>
    <w:rsid w:val="00F11B6A"/>
    <w:rsid w:val="00F12ED5"/>
    <w:rsid w:val="00F13255"/>
    <w:rsid w:val="00F14BF9"/>
    <w:rsid w:val="00F154B1"/>
    <w:rsid w:val="00F15AD4"/>
    <w:rsid w:val="00F15E09"/>
    <w:rsid w:val="00F15EEF"/>
    <w:rsid w:val="00F16040"/>
    <w:rsid w:val="00F17585"/>
    <w:rsid w:val="00F17D9C"/>
    <w:rsid w:val="00F20574"/>
    <w:rsid w:val="00F20D33"/>
    <w:rsid w:val="00F20F16"/>
    <w:rsid w:val="00F20F81"/>
    <w:rsid w:val="00F21716"/>
    <w:rsid w:val="00F2218A"/>
    <w:rsid w:val="00F23B33"/>
    <w:rsid w:val="00F24E5E"/>
    <w:rsid w:val="00F2575C"/>
    <w:rsid w:val="00F2650C"/>
    <w:rsid w:val="00F30B71"/>
    <w:rsid w:val="00F31A47"/>
    <w:rsid w:val="00F320A7"/>
    <w:rsid w:val="00F32172"/>
    <w:rsid w:val="00F32C82"/>
    <w:rsid w:val="00F32DCB"/>
    <w:rsid w:val="00F33AB0"/>
    <w:rsid w:val="00F349F6"/>
    <w:rsid w:val="00F34B22"/>
    <w:rsid w:val="00F35295"/>
    <w:rsid w:val="00F35768"/>
    <w:rsid w:val="00F362B5"/>
    <w:rsid w:val="00F36563"/>
    <w:rsid w:val="00F366E8"/>
    <w:rsid w:val="00F36AF4"/>
    <w:rsid w:val="00F36B0A"/>
    <w:rsid w:val="00F407DD"/>
    <w:rsid w:val="00F411C6"/>
    <w:rsid w:val="00F41482"/>
    <w:rsid w:val="00F41B3B"/>
    <w:rsid w:val="00F41E2E"/>
    <w:rsid w:val="00F41F5E"/>
    <w:rsid w:val="00F433E5"/>
    <w:rsid w:val="00F43820"/>
    <w:rsid w:val="00F444FD"/>
    <w:rsid w:val="00F446B2"/>
    <w:rsid w:val="00F44B92"/>
    <w:rsid w:val="00F461DC"/>
    <w:rsid w:val="00F46369"/>
    <w:rsid w:val="00F466BB"/>
    <w:rsid w:val="00F47458"/>
    <w:rsid w:val="00F4772B"/>
    <w:rsid w:val="00F47A07"/>
    <w:rsid w:val="00F50DA0"/>
    <w:rsid w:val="00F5175C"/>
    <w:rsid w:val="00F52E1F"/>
    <w:rsid w:val="00F52F5F"/>
    <w:rsid w:val="00F53D6E"/>
    <w:rsid w:val="00F54513"/>
    <w:rsid w:val="00F54AEA"/>
    <w:rsid w:val="00F55445"/>
    <w:rsid w:val="00F55672"/>
    <w:rsid w:val="00F559F5"/>
    <w:rsid w:val="00F55A0A"/>
    <w:rsid w:val="00F56039"/>
    <w:rsid w:val="00F56394"/>
    <w:rsid w:val="00F5770A"/>
    <w:rsid w:val="00F579FE"/>
    <w:rsid w:val="00F61FB8"/>
    <w:rsid w:val="00F62859"/>
    <w:rsid w:val="00F63261"/>
    <w:rsid w:val="00F633BE"/>
    <w:rsid w:val="00F636AC"/>
    <w:rsid w:val="00F63933"/>
    <w:rsid w:val="00F639D4"/>
    <w:rsid w:val="00F64EB7"/>
    <w:rsid w:val="00F65FE6"/>
    <w:rsid w:val="00F66265"/>
    <w:rsid w:val="00F66C8C"/>
    <w:rsid w:val="00F66FD3"/>
    <w:rsid w:val="00F709D3"/>
    <w:rsid w:val="00F7115A"/>
    <w:rsid w:val="00F72CF8"/>
    <w:rsid w:val="00F72E18"/>
    <w:rsid w:val="00F73160"/>
    <w:rsid w:val="00F7358C"/>
    <w:rsid w:val="00F74D01"/>
    <w:rsid w:val="00F75875"/>
    <w:rsid w:val="00F75AC9"/>
    <w:rsid w:val="00F75DDE"/>
    <w:rsid w:val="00F76194"/>
    <w:rsid w:val="00F76D45"/>
    <w:rsid w:val="00F80ACD"/>
    <w:rsid w:val="00F8145C"/>
    <w:rsid w:val="00F82221"/>
    <w:rsid w:val="00F82935"/>
    <w:rsid w:val="00F82FD5"/>
    <w:rsid w:val="00F833A0"/>
    <w:rsid w:val="00F833E5"/>
    <w:rsid w:val="00F83885"/>
    <w:rsid w:val="00F83F17"/>
    <w:rsid w:val="00F84923"/>
    <w:rsid w:val="00F852B6"/>
    <w:rsid w:val="00F85B67"/>
    <w:rsid w:val="00F861F4"/>
    <w:rsid w:val="00F8794F"/>
    <w:rsid w:val="00F87A89"/>
    <w:rsid w:val="00F87F31"/>
    <w:rsid w:val="00F9006B"/>
    <w:rsid w:val="00F906A3"/>
    <w:rsid w:val="00F91119"/>
    <w:rsid w:val="00F91326"/>
    <w:rsid w:val="00F91876"/>
    <w:rsid w:val="00F93141"/>
    <w:rsid w:val="00F93148"/>
    <w:rsid w:val="00F936EB"/>
    <w:rsid w:val="00F939E1"/>
    <w:rsid w:val="00F942D8"/>
    <w:rsid w:val="00F95255"/>
    <w:rsid w:val="00F952A5"/>
    <w:rsid w:val="00F97C54"/>
    <w:rsid w:val="00FA0077"/>
    <w:rsid w:val="00FA0710"/>
    <w:rsid w:val="00FA0CA6"/>
    <w:rsid w:val="00FA1CE9"/>
    <w:rsid w:val="00FA22AA"/>
    <w:rsid w:val="00FA44CF"/>
    <w:rsid w:val="00FA4686"/>
    <w:rsid w:val="00FA4EE7"/>
    <w:rsid w:val="00FA4F47"/>
    <w:rsid w:val="00FA687E"/>
    <w:rsid w:val="00FA6FD8"/>
    <w:rsid w:val="00FA70A6"/>
    <w:rsid w:val="00FA7270"/>
    <w:rsid w:val="00FB0393"/>
    <w:rsid w:val="00FB10E5"/>
    <w:rsid w:val="00FB224F"/>
    <w:rsid w:val="00FB2325"/>
    <w:rsid w:val="00FB2E56"/>
    <w:rsid w:val="00FB3BAB"/>
    <w:rsid w:val="00FB3BD6"/>
    <w:rsid w:val="00FB3E3E"/>
    <w:rsid w:val="00FB428A"/>
    <w:rsid w:val="00FB462A"/>
    <w:rsid w:val="00FB4662"/>
    <w:rsid w:val="00FB4969"/>
    <w:rsid w:val="00FB4D17"/>
    <w:rsid w:val="00FB4E24"/>
    <w:rsid w:val="00FB4F69"/>
    <w:rsid w:val="00FB51A7"/>
    <w:rsid w:val="00FB54D3"/>
    <w:rsid w:val="00FB585A"/>
    <w:rsid w:val="00FB5DC5"/>
    <w:rsid w:val="00FB5EAA"/>
    <w:rsid w:val="00FB643F"/>
    <w:rsid w:val="00FB650F"/>
    <w:rsid w:val="00FB6EBB"/>
    <w:rsid w:val="00FB73B2"/>
    <w:rsid w:val="00FB74D8"/>
    <w:rsid w:val="00FB7A4D"/>
    <w:rsid w:val="00FB7D29"/>
    <w:rsid w:val="00FC005C"/>
    <w:rsid w:val="00FC00F2"/>
    <w:rsid w:val="00FC0162"/>
    <w:rsid w:val="00FC048A"/>
    <w:rsid w:val="00FC26B0"/>
    <w:rsid w:val="00FC2866"/>
    <w:rsid w:val="00FC28B9"/>
    <w:rsid w:val="00FC28D4"/>
    <w:rsid w:val="00FC2AF8"/>
    <w:rsid w:val="00FC2BC1"/>
    <w:rsid w:val="00FC2EC3"/>
    <w:rsid w:val="00FC3171"/>
    <w:rsid w:val="00FC493D"/>
    <w:rsid w:val="00FC4F1D"/>
    <w:rsid w:val="00FC502E"/>
    <w:rsid w:val="00FC6A91"/>
    <w:rsid w:val="00FC6CC5"/>
    <w:rsid w:val="00FC6D93"/>
    <w:rsid w:val="00FC70CA"/>
    <w:rsid w:val="00FC7F49"/>
    <w:rsid w:val="00FD0360"/>
    <w:rsid w:val="00FD055F"/>
    <w:rsid w:val="00FD0F4F"/>
    <w:rsid w:val="00FD248E"/>
    <w:rsid w:val="00FD24E3"/>
    <w:rsid w:val="00FD291E"/>
    <w:rsid w:val="00FD29C3"/>
    <w:rsid w:val="00FD3249"/>
    <w:rsid w:val="00FD3645"/>
    <w:rsid w:val="00FD36D8"/>
    <w:rsid w:val="00FD3839"/>
    <w:rsid w:val="00FD39CE"/>
    <w:rsid w:val="00FD3D12"/>
    <w:rsid w:val="00FD3F03"/>
    <w:rsid w:val="00FD47C3"/>
    <w:rsid w:val="00FD4C6D"/>
    <w:rsid w:val="00FD5C93"/>
    <w:rsid w:val="00FD6866"/>
    <w:rsid w:val="00FD770A"/>
    <w:rsid w:val="00FD7E7D"/>
    <w:rsid w:val="00FE168C"/>
    <w:rsid w:val="00FE19BA"/>
    <w:rsid w:val="00FE19DF"/>
    <w:rsid w:val="00FE300A"/>
    <w:rsid w:val="00FE337E"/>
    <w:rsid w:val="00FE36EC"/>
    <w:rsid w:val="00FE377F"/>
    <w:rsid w:val="00FE44E6"/>
    <w:rsid w:val="00FE47F0"/>
    <w:rsid w:val="00FE49AB"/>
    <w:rsid w:val="00FE5DA7"/>
    <w:rsid w:val="00FE6A83"/>
    <w:rsid w:val="00FE6D69"/>
    <w:rsid w:val="00FE6E5B"/>
    <w:rsid w:val="00FE7099"/>
    <w:rsid w:val="00FE716C"/>
    <w:rsid w:val="00FF0253"/>
    <w:rsid w:val="00FF09B8"/>
    <w:rsid w:val="00FF0BB2"/>
    <w:rsid w:val="00FF158C"/>
    <w:rsid w:val="00FF1ACC"/>
    <w:rsid w:val="00FF2491"/>
    <w:rsid w:val="00FF3D67"/>
    <w:rsid w:val="00FF468B"/>
    <w:rsid w:val="00FF51B0"/>
    <w:rsid w:val="00FF69C5"/>
    <w:rsid w:val="00FF6BA2"/>
    <w:rsid w:val="00FF6DE5"/>
    <w:rsid w:val="00FF6E93"/>
    <w:rsid w:val="00FF783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E80AF7BF-541F-4CA0-9ECC-E06DBBEF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F72"/>
    <w:rPr>
      <w:sz w:val="22"/>
      <w:szCs w:val="24"/>
      <w:lang w:val="es-ES" w:eastAsia="es-ES"/>
    </w:rPr>
  </w:style>
  <w:style w:type="paragraph" w:styleId="Heading1">
    <w:name w:val="heading 1"/>
    <w:aliases w:val="REGLAMENTO"/>
    <w:basedOn w:val="Normal"/>
    <w:link w:val="Heading1Char"/>
    <w:qFormat/>
    <w:rsid w:val="005F69BE"/>
    <w:pPr>
      <w:spacing w:after="120"/>
      <w:jc w:val="center"/>
      <w:outlineLvl w:val="0"/>
    </w:pPr>
    <w:rPr>
      <w:rFonts w:eastAsia="Arial Unicode MS"/>
      <w:b/>
      <w:bCs/>
      <w:sz w:val="28"/>
      <w:szCs w:val="20"/>
      <w:lang w:val="es-CR"/>
    </w:rPr>
  </w:style>
  <w:style w:type="paragraph" w:styleId="Heading2">
    <w:name w:val="heading 2"/>
    <w:aliases w:val="CAPÍTULO"/>
    <w:basedOn w:val="Normal"/>
    <w:next w:val="Normal"/>
    <w:rsid w:val="00C72AAA"/>
    <w:pPr>
      <w:keepNext/>
      <w:spacing w:before="360"/>
      <w:jc w:val="center"/>
      <w:outlineLvl w:val="1"/>
    </w:pPr>
    <w:rPr>
      <w:rFonts w:eastAsia="Arial Unicode MS"/>
      <w:b/>
      <w:lang w:val="es-CR"/>
    </w:rPr>
  </w:style>
  <w:style w:type="paragraph" w:styleId="Heading3">
    <w:name w:val="heading 3"/>
    <w:aliases w:val="ROTULACIÓN DE CAPÍTULO,SECCIÓN,ANEXO"/>
    <w:basedOn w:val="Normal"/>
    <w:next w:val="Normal"/>
    <w:rsid w:val="00C82678"/>
    <w:pPr>
      <w:keepNext/>
      <w:spacing w:before="120" w:after="60"/>
      <w:jc w:val="center"/>
      <w:outlineLvl w:val="2"/>
    </w:pPr>
    <w:rPr>
      <w:rFonts w:eastAsia="Arial Unicode MS"/>
      <w:b/>
      <w:bCs/>
      <w:lang w:val="es-CR"/>
    </w:rPr>
  </w:style>
  <w:style w:type="paragraph" w:styleId="Heading4">
    <w:name w:val="heading 4"/>
    <w:aliases w:val="ANEXO NIVEL 1"/>
    <w:basedOn w:val="Normal"/>
    <w:next w:val="Normal"/>
    <w:qFormat/>
    <w:rsid w:val="009125F0"/>
    <w:pPr>
      <w:keepNext/>
      <w:spacing w:before="240"/>
      <w:outlineLvl w:val="3"/>
    </w:pPr>
    <w:rPr>
      <w:rFonts w:eastAsia="Arial Unicode MS" w:cs="Arial"/>
      <w:b/>
      <w:szCs w:val="22"/>
      <w:u w:val="single"/>
    </w:rPr>
  </w:style>
  <w:style w:type="paragraph" w:styleId="Heading5">
    <w:name w:val="heading 5"/>
    <w:aliases w:val="ANEXO NIVEL 2"/>
    <w:basedOn w:val="Normal"/>
    <w:next w:val="Numeracin"/>
    <w:qFormat/>
    <w:rsid w:val="00BB1E3B"/>
    <w:pPr>
      <w:keepNext/>
      <w:numPr>
        <w:numId w:val="1"/>
      </w:numPr>
      <w:spacing w:before="120"/>
      <w:jc w:val="both"/>
      <w:outlineLvl w:val="4"/>
    </w:pPr>
    <w:rPr>
      <w:rFonts w:eastAsia="Arial Unicode MS" w:cs="Arial"/>
      <w:b/>
      <w:szCs w:val="22"/>
    </w:rPr>
  </w:style>
  <w:style w:type="paragraph" w:styleId="Heading8">
    <w:name w:val="heading 8"/>
    <w:basedOn w:val="Normal"/>
    <w:next w:val="Normal"/>
    <w:link w:val="Heading8Char"/>
    <w:semiHidden/>
    <w:unhideWhenUsed/>
    <w:qFormat/>
    <w:rsid w:val="00A1344F"/>
    <w:pPr>
      <w:spacing w:before="240" w:after="60"/>
      <w:outlineLvl w:val="7"/>
    </w:pPr>
    <w:rPr>
      <w:rFonts w:ascii="Calibri" w:hAnsi="Calibr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14FB"/>
    <w:pPr>
      <w:tabs>
        <w:tab w:val="center" w:pos="4252"/>
        <w:tab w:val="right" w:pos="8504"/>
      </w:tabs>
    </w:pPr>
  </w:style>
  <w:style w:type="paragraph" w:styleId="Footer">
    <w:name w:val="footer"/>
    <w:basedOn w:val="Normal"/>
    <w:link w:val="FooterChar"/>
    <w:uiPriority w:val="99"/>
    <w:rsid w:val="007B14FB"/>
    <w:pPr>
      <w:tabs>
        <w:tab w:val="center" w:pos="4252"/>
        <w:tab w:val="right" w:pos="8504"/>
      </w:tabs>
    </w:pPr>
  </w:style>
  <w:style w:type="character" w:styleId="PageNumber">
    <w:name w:val="page number"/>
    <w:basedOn w:val="DefaultParagraphFont"/>
    <w:rsid w:val="007B14FB"/>
  </w:style>
  <w:style w:type="character" w:styleId="CommentReference">
    <w:name w:val="annotation reference"/>
    <w:semiHidden/>
    <w:rsid w:val="007B14FB"/>
    <w:rPr>
      <w:sz w:val="16"/>
      <w:szCs w:val="16"/>
    </w:rPr>
  </w:style>
  <w:style w:type="paragraph" w:styleId="CommentText">
    <w:name w:val="annotation text"/>
    <w:basedOn w:val="Normal"/>
    <w:link w:val="CommentTextChar"/>
    <w:semiHidden/>
    <w:rsid w:val="007B14FB"/>
    <w:rPr>
      <w:sz w:val="20"/>
      <w:szCs w:val="20"/>
    </w:rPr>
  </w:style>
  <w:style w:type="character" w:customStyle="1" w:styleId="CommentTextChar">
    <w:name w:val="Comment Text Char"/>
    <w:link w:val="CommentText"/>
    <w:semiHidden/>
    <w:rsid w:val="00220788"/>
    <w:rPr>
      <w:lang w:val="es-ES" w:eastAsia="es-ES"/>
    </w:rPr>
  </w:style>
  <w:style w:type="paragraph" w:styleId="BalloonText">
    <w:name w:val="Balloon Text"/>
    <w:basedOn w:val="Normal"/>
    <w:semiHidden/>
    <w:rsid w:val="007B14FB"/>
    <w:rPr>
      <w:rFonts w:ascii="Tahoma" w:hAnsi="Tahoma" w:cs="Tahoma"/>
      <w:sz w:val="16"/>
      <w:szCs w:val="16"/>
    </w:rPr>
  </w:style>
  <w:style w:type="paragraph" w:styleId="FootnoteText">
    <w:name w:val="footnote text"/>
    <w:basedOn w:val="Normal"/>
    <w:semiHidden/>
    <w:rsid w:val="007B14FB"/>
    <w:rPr>
      <w:sz w:val="20"/>
      <w:szCs w:val="20"/>
    </w:rPr>
  </w:style>
  <w:style w:type="character" w:styleId="FootnoteReference">
    <w:name w:val="footnote reference"/>
    <w:semiHidden/>
    <w:rsid w:val="007B14FB"/>
    <w:rPr>
      <w:vertAlign w:val="superscript"/>
    </w:rPr>
  </w:style>
  <w:style w:type="paragraph" w:styleId="CommentSubject">
    <w:name w:val="annotation subject"/>
    <w:basedOn w:val="CommentText"/>
    <w:next w:val="CommentText"/>
    <w:semiHidden/>
    <w:rsid w:val="007B14FB"/>
    <w:rPr>
      <w:b/>
      <w:bCs/>
    </w:rPr>
  </w:style>
  <w:style w:type="paragraph" w:customStyle="1" w:styleId="Artculo">
    <w:name w:val="Artículo"/>
    <w:basedOn w:val="Normal"/>
    <w:next w:val="Textodereglamento"/>
    <w:qFormat/>
    <w:rsid w:val="009E7B70"/>
    <w:pPr>
      <w:keepNext/>
      <w:numPr>
        <w:numId w:val="4"/>
      </w:numPr>
      <w:spacing w:before="180" w:after="60"/>
    </w:pPr>
    <w:rPr>
      <w:b/>
    </w:rPr>
  </w:style>
  <w:style w:type="paragraph" w:customStyle="1" w:styleId="Textodereglamento">
    <w:name w:val="Texto de reglamento"/>
    <w:basedOn w:val="Normal"/>
    <w:link w:val="TextodereglamentoChar"/>
    <w:qFormat/>
    <w:rsid w:val="00761ACA"/>
    <w:pPr>
      <w:spacing w:before="120"/>
      <w:jc w:val="both"/>
    </w:pPr>
  </w:style>
  <w:style w:type="table" w:styleId="TableGrid">
    <w:name w:val="Table Grid"/>
    <w:basedOn w:val="TableNormal"/>
    <w:rsid w:val="008D5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A4F38"/>
    <w:rPr>
      <w:sz w:val="24"/>
      <w:szCs w:val="24"/>
      <w:lang w:val="es-ES" w:eastAsia="es-ES"/>
    </w:rPr>
  </w:style>
  <w:style w:type="paragraph" w:customStyle="1" w:styleId="Numeracin">
    <w:name w:val="Numeración"/>
    <w:basedOn w:val="Textodereglamento"/>
    <w:link w:val="NumeracinChar"/>
    <w:qFormat/>
    <w:rsid w:val="002632E4"/>
    <w:pPr>
      <w:numPr>
        <w:numId w:val="3"/>
      </w:numPr>
    </w:pPr>
  </w:style>
  <w:style w:type="paragraph" w:customStyle="1" w:styleId="ANEXONumeracin">
    <w:name w:val="ANEXO Numeración"/>
    <w:basedOn w:val="Numeracin"/>
    <w:link w:val="NumeracinLeft0Char"/>
    <w:qFormat/>
    <w:rsid w:val="000223F2"/>
    <w:pPr>
      <w:numPr>
        <w:numId w:val="2"/>
      </w:numPr>
      <w:ind w:left="714" w:hanging="357"/>
    </w:pPr>
  </w:style>
  <w:style w:type="character" w:customStyle="1" w:styleId="TextodereglamentoChar">
    <w:name w:val="Texto de reglamento Char"/>
    <w:link w:val="Textodereglamento"/>
    <w:rsid w:val="00761ACA"/>
    <w:rPr>
      <w:sz w:val="24"/>
      <w:szCs w:val="24"/>
      <w:lang w:val="es-ES" w:eastAsia="es-ES"/>
    </w:rPr>
  </w:style>
  <w:style w:type="character" w:customStyle="1" w:styleId="NumeracinconsiderandosChar">
    <w:name w:val="Numeración considerandos Char"/>
    <w:rsid w:val="00746E11"/>
    <w:rPr>
      <w:sz w:val="24"/>
      <w:szCs w:val="24"/>
      <w:lang w:val="es-ES" w:eastAsia="es-ES"/>
    </w:rPr>
  </w:style>
  <w:style w:type="paragraph" w:customStyle="1" w:styleId="incisos">
    <w:name w:val="incisos"/>
    <w:basedOn w:val="Textodereglamento"/>
    <w:qFormat/>
    <w:rsid w:val="00B563A9"/>
    <w:pPr>
      <w:numPr>
        <w:numId w:val="5"/>
      </w:numPr>
      <w:spacing w:before="60"/>
    </w:pPr>
  </w:style>
  <w:style w:type="paragraph" w:customStyle="1" w:styleId="ANEXOTexto">
    <w:name w:val="ANEXO Texto"/>
    <w:basedOn w:val="Textodereglamento"/>
    <w:qFormat/>
    <w:rsid w:val="000223F2"/>
    <w:pPr>
      <w:ind w:left="357"/>
    </w:pPr>
    <w:rPr>
      <w:szCs w:val="20"/>
    </w:rPr>
  </w:style>
  <w:style w:type="character" w:customStyle="1" w:styleId="NumeracinChar">
    <w:name w:val="Numeración Char"/>
    <w:link w:val="Numeracin"/>
    <w:rsid w:val="002632E4"/>
    <w:rPr>
      <w:sz w:val="22"/>
      <w:szCs w:val="24"/>
      <w:lang w:val="es-ES" w:eastAsia="es-ES"/>
    </w:rPr>
  </w:style>
  <w:style w:type="character" w:customStyle="1" w:styleId="NumeracinLeft0Char">
    <w:name w:val="Numeración Left +0 Char"/>
    <w:aliases w:val="75 Char"/>
    <w:link w:val="ANEXONumeracin"/>
    <w:rsid w:val="00E44A9F"/>
    <w:rPr>
      <w:sz w:val="22"/>
      <w:szCs w:val="24"/>
      <w:lang w:val="es-ES" w:eastAsia="es-ES"/>
    </w:rPr>
  </w:style>
  <w:style w:type="paragraph" w:customStyle="1" w:styleId="ANEXOlistasinnumeracin">
    <w:name w:val="ANEXO lista sin numeración"/>
    <w:basedOn w:val="Textodereglamento"/>
    <w:rsid w:val="000223F2"/>
    <w:pPr>
      <w:spacing w:before="0"/>
      <w:ind w:left="357"/>
    </w:pPr>
    <w:rPr>
      <w:szCs w:val="20"/>
    </w:rPr>
  </w:style>
  <w:style w:type="paragraph" w:customStyle="1" w:styleId="StyleincisosLeft175cmFirstline0cm">
    <w:name w:val="Style incisos + Left:  175 cm First line:  0 cm"/>
    <w:basedOn w:val="incisos"/>
    <w:rsid w:val="00166BF0"/>
    <w:pPr>
      <w:numPr>
        <w:numId w:val="0"/>
      </w:numPr>
      <w:ind w:left="907"/>
    </w:pPr>
    <w:rPr>
      <w:szCs w:val="20"/>
    </w:rPr>
  </w:style>
  <w:style w:type="paragraph" w:styleId="BodyTextIndent">
    <w:name w:val="Body Text Indent"/>
    <w:basedOn w:val="Normal"/>
    <w:link w:val="BodyTextIndentChar"/>
    <w:rsid w:val="00FB5DC5"/>
    <w:pPr>
      <w:widowControl w:val="0"/>
      <w:ind w:left="709" w:hanging="709"/>
      <w:jc w:val="both"/>
    </w:pPr>
    <w:rPr>
      <w:sz w:val="24"/>
      <w:szCs w:val="20"/>
      <w:lang w:val="es-CR"/>
    </w:rPr>
  </w:style>
  <w:style w:type="character" w:customStyle="1" w:styleId="BodyTextIndentChar">
    <w:name w:val="Body Text Indent Char"/>
    <w:link w:val="BodyTextIndent"/>
    <w:rsid w:val="00FB5DC5"/>
    <w:rPr>
      <w:sz w:val="24"/>
      <w:lang w:eastAsia="es-ES"/>
    </w:rPr>
  </w:style>
  <w:style w:type="paragraph" w:styleId="ListParagraph">
    <w:name w:val="List Paragraph"/>
    <w:basedOn w:val="Normal"/>
    <w:uiPriority w:val="34"/>
    <w:qFormat/>
    <w:rsid w:val="002E3672"/>
    <w:pPr>
      <w:spacing w:after="200" w:line="276" w:lineRule="auto"/>
      <w:ind w:left="720"/>
      <w:contextualSpacing/>
    </w:pPr>
    <w:rPr>
      <w:rFonts w:ascii="Calibri" w:eastAsia="Calibri" w:hAnsi="Calibri"/>
      <w:szCs w:val="22"/>
      <w:lang w:val="en-US" w:eastAsia="en-US"/>
    </w:rPr>
  </w:style>
  <w:style w:type="paragraph" w:customStyle="1" w:styleId="Carta">
    <w:name w:val="Carta"/>
    <w:basedOn w:val="Normal"/>
    <w:rsid w:val="00EF3AE0"/>
    <w:pPr>
      <w:spacing w:after="240" w:line="240" w:lineRule="exact"/>
      <w:jc w:val="both"/>
    </w:pPr>
    <w:rPr>
      <w:rFonts w:ascii="Book Antiqua" w:hAnsi="Book Antiqua"/>
      <w:szCs w:val="20"/>
      <w:lang w:val="es-ES_tradnl" w:eastAsia="en-US"/>
    </w:rPr>
  </w:style>
  <w:style w:type="paragraph" w:styleId="BodyText3">
    <w:name w:val="Body Text 3"/>
    <w:basedOn w:val="Normal"/>
    <w:link w:val="BodyText3Char"/>
    <w:rsid w:val="00462E33"/>
    <w:pPr>
      <w:spacing w:after="120"/>
    </w:pPr>
    <w:rPr>
      <w:sz w:val="16"/>
      <w:szCs w:val="16"/>
    </w:rPr>
  </w:style>
  <w:style w:type="character" w:customStyle="1" w:styleId="BodyText3Char">
    <w:name w:val="Body Text 3 Char"/>
    <w:link w:val="BodyText3"/>
    <w:rsid w:val="00462E33"/>
    <w:rPr>
      <w:sz w:val="16"/>
      <w:szCs w:val="16"/>
      <w:lang w:val="es-ES" w:eastAsia="es-ES"/>
    </w:rPr>
  </w:style>
  <w:style w:type="character" w:customStyle="1" w:styleId="font1">
    <w:name w:val="font1"/>
    <w:rsid w:val="00AE3276"/>
    <w:rPr>
      <w:rFonts w:ascii="Helvetica" w:hAnsi="Helvetica" w:hint="default"/>
      <w:b w:val="0"/>
      <w:bCs w:val="0"/>
      <w:i w:val="0"/>
      <w:iCs w:val="0"/>
      <w:strike w:val="0"/>
      <w:dstrike w:val="0"/>
      <w:color w:val="000000"/>
      <w:sz w:val="18"/>
      <w:szCs w:val="18"/>
      <w:u w:val="none"/>
      <w:effect w:val="none"/>
    </w:rPr>
  </w:style>
  <w:style w:type="paragraph" w:styleId="BodyText">
    <w:name w:val="Body Text"/>
    <w:basedOn w:val="Normal"/>
    <w:link w:val="BodyTextChar"/>
    <w:rsid w:val="008303A7"/>
    <w:pPr>
      <w:spacing w:after="120"/>
    </w:pPr>
  </w:style>
  <w:style w:type="character" w:customStyle="1" w:styleId="BodyTextChar">
    <w:name w:val="Body Text Char"/>
    <w:link w:val="BodyText"/>
    <w:rsid w:val="008303A7"/>
    <w:rPr>
      <w:sz w:val="22"/>
      <w:szCs w:val="24"/>
      <w:lang w:val="es-ES" w:eastAsia="es-ES"/>
    </w:rPr>
  </w:style>
  <w:style w:type="paragraph" w:styleId="NormalWeb">
    <w:name w:val="Normal (Web)"/>
    <w:basedOn w:val="Normal"/>
    <w:unhideWhenUsed/>
    <w:rsid w:val="00C26AA1"/>
    <w:pPr>
      <w:spacing w:before="100" w:beforeAutospacing="1" w:after="100" w:afterAutospacing="1"/>
    </w:pPr>
    <w:rPr>
      <w:rFonts w:ascii="Arial Unicode MS" w:eastAsia="Arial Unicode MS" w:hAnsi="Arial Unicode MS" w:cs="Arial Unicode MS"/>
      <w:sz w:val="24"/>
    </w:rPr>
  </w:style>
  <w:style w:type="paragraph" w:customStyle="1" w:styleId="Transitoriounico">
    <w:name w:val="Transitorio unico"/>
    <w:basedOn w:val="Textodereglamento"/>
    <w:rsid w:val="002466CA"/>
    <w:rPr>
      <w:b/>
      <w:bCs/>
    </w:rPr>
  </w:style>
  <w:style w:type="character" w:styleId="Hyperlink">
    <w:name w:val="Hyperlink"/>
    <w:uiPriority w:val="99"/>
    <w:unhideWhenUsed/>
    <w:rsid w:val="000551F0"/>
    <w:rPr>
      <w:color w:val="0000FF"/>
      <w:u w:val="single"/>
    </w:rPr>
  </w:style>
  <w:style w:type="paragraph" w:styleId="BodyText2">
    <w:name w:val="Body Text 2"/>
    <w:basedOn w:val="Normal"/>
    <w:link w:val="BodyText2Char"/>
    <w:rsid w:val="0097376B"/>
    <w:pPr>
      <w:spacing w:after="120" w:line="480" w:lineRule="auto"/>
    </w:pPr>
  </w:style>
  <w:style w:type="character" w:customStyle="1" w:styleId="BodyText2Char">
    <w:name w:val="Body Text 2 Char"/>
    <w:link w:val="BodyText2"/>
    <w:rsid w:val="0097376B"/>
    <w:rPr>
      <w:sz w:val="22"/>
      <w:szCs w:val="24"/>
      <w:lang w:val="es-ES" w:eastAsia="es-ES"/>
    </w:rPr>
  </w:style>
  <w:style w:type="paragraph" w:customStyle="1" w:styleId="8">
    <w:name w:val="8"/>
    <w:aliases w:val="5 pt,After:  3 pt"/>
    <w:basedOn w:val="Normal"/>
    <w:rsid w:val="003D7E65"/>
    <w:pPr>
      <w:spacing w:after="60"/>
    </w:pPr>
    <w:rPr>
      <w:sz w:val="17"/>
      <w:szCs w:val="20"/>
    </w:rPr>
  </w:style>
  <w:style w:type="paragraph" w:customStyle="1" w:styleId="Style85ptBlackCentered">
    <w:name w:val="Style 85 pt Black Centered"/>
    <w:basedOn w:val="Normal"/>
    <w:rsid w:val="001B1FEC"/>
    <w:pPr>
      <w:jc w:val="center"/>
    </w:pPr>
    <w:rPr>
      <w:sz w:val="17"/>
      <w:szCs w:val="20"/>
    </w:rPr>
  </w:style>
  <w:style w:type="paragraph" w:customStyle="1" w:styleId="Style85ptBoldBlackAfter3pt">
    <w:name w:val="Style 85 pt Bold Black After:  3 pt"/>
    <w:basedOn w:val="Normal"/>
    <w:rsid w:val="001B1FEC"/>
    <w:pPr>
      <w:spacing w:after="60"/>
    </w:pPr>
    <w:rPr>
      <w:b/>
      <w:bCs/>
      <w:sz w:val="17"/>
      <w:szCs w:val="20"/>
    </w:rPr>
  </w:style>
  <w:style w:type="paragraph" w:customStyle="1" w:styleId="Style85ptBoldBlackCentered">
    <w:name w:val="Style 85 pt Bold Black Centered"/>
    <w:basedOn w:val="Normal"/>
    <w:rsid w:val="001B1FEC"/>
    <w:pPr>
      <w:jc w:val="center"/>
    </w:pPr>
    <w:rPr>
      <w:b/>
      <w:bCs/>
      <w:sz w:val="17"/>
      <w:szCs w:val="20"/>
    </w:rPr>
  </w:style>
  <w:style w:type="paragraph" w:customStyle="1" w:styleId="Style85ptBlackCenteredAfter3pt">
    <w:name w:val="Style 85 pt Black Centered After:  3 pt"/>
    <w:basedOn w:val="Normal"/>
    <w:rsid w:val="001B1FEC"/>
    <w:pPr>
      <w:spacing w:after="60"/>
      <w:jc w:val="center"/>
    </w:pPr>
    <w:rPr>
      <w:sz w:val="17"/>
      <w:szCs w:val="20"/>
    </w:rPr>
  </w:style>
  <w:style w:type="paragraph" w:customStyle="1" w:styleId="Style85ptBoldCenteredAfter3pt">
    <w:name w:val="Style 85 pt Bold Centered After:  3 pt"/>
    <w:basedOn w:val="Normal"/>
    <w:rsid w:val="009C50B1"/>
    <w:pPr>
      <w:spacing w:after="60"/>
      <w:jc w:val="center"/>
    </w:pPr>
    <w:rPr>
      <w:b/>
      <w:bCs/>
      <w:sz w:val="17"/>
      <w:szCs w:val="20"/>
    </w:rPr>
  </w:style>
  <w:style w:type="character" w:customStyle="1" w:styleId="HeaderChar">
    <w:name w:val="Header Char"/>
    <w:link w:val="Header"/>
    <w:uiPriority w:val="99"/>
    <w:rsid w:val="00E83D85"/>
    <w:rPr>
      <w:sz w:val="22"/>
      <w:szCs w:val="24"/>
      <w:lang w:val="es-ES" w:eastAsia="es-ES"/>
    </w:rPr>
  </w:style>
  <w:style w:type="character" w:customStyle="1" w:styleId="Heading8Char">
    <w:name w:val="Heading 8 Char"/>
    <w:link w:val="Heading8"/>
    <w:semiHidden/>
    <w:rsid w:val="00A1344F"/>
    <w:rPr>
      <w:rFonts w:ascii="Calibri" w:eastAsia="Times New Roman" w:hAnsi="Calibri" w:cs="Times New Roman"/>
      <w:i/>
      <w:iCs/>
      <w:sz w:val="24"/>
      <w:szCs w:val="24"/>
      <w:lang w:val="es-ES" w:eastAsia="es-ES"/>
    </w:rPr>
  </w:style>
  <w:style w:type="character" w:customStyle="1" w:styleId="Heading1Char">
    <w:name w:val="Heading 1 Char"/>
    <w:aliases w:val="REGLAMENTO Char"/>
    <w:link w:val="Heading1"/>
    <w:rsid w:val="00250C1D"/>
    <w:rPr>
      <w:rFonts w:eastAsia="Arial Unicode MS"/>
      <w:b/>
      <w:bCs/>
      <w:sz w:val="28"/>
      <w:lang w:eastAsia="es-ES"/>
    </w:rPr>
  </w:style>
  <w:style w:type="character" w:customStyle="1" w:styleId="FooterChar">
    <w:name w:val="Footer Char"/>
    <w:basedOn w:val="DefaultParagraphFont"/>
    <w:link w:val="Footer"/>
    <w:uiPriority w:val="99"/>
    <w:rsid w:val="006D4348"/>
    <w:rPr>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7031">
      <w:bodyDiv w:val="1"/>
      <w:marLeft w:val="0"/>
      <w:marRight w:val="0"/>
      <w:marTop w:val="0"/>
      <w:marBottom w:val="0"/>
      <w:divBdr>
        <w:top w:val="none" w:sz="0" w:space="0" w:color="auto"/>
        <w:left w:val="none" w:sz="0" w:space="0" w:color="auto"/>
        <w:bottom w:val="none" w:sz="0" w:space="0" w:color="auto"/>
        <w:right w:val="none" w:sz="0" w:space="0" w:color="auto"/>
      </w:divBdr>
    </w:div>
    <w:div w:id="44184686">
      <w:bodyDiv w:val="1"/>
      <w:marLeft w:val="0"/>
      <w:marRight w:val="0"/>
      <w:marTop w:val="0"/>
      <w:marBottom w:val="0"/>
      <w:divBdr>
        <w:top w:val="none" w:sz="0" w:space="0" w:color="auto"/>
        <w:left w:val="none" w:sz="0" w:space="0" w:color="auto"/>
        <w:bottom w:val="none" w:sz="0" w:space="0" w:color="auto"/>
        <w:right w:val="none" w:sz="0" w:space="0" w:color="auto"/>
      </w:divBdr>
    </w:div>
    <w:div w:id="149836200">
      <w:bodyDiv w:val="1"/>
      <w:marLeft w:val="0"/>
      <w:marRight w:val="0"/>
      <w:marTop w:val="0"/>
      <w:marBottom w:val="0"/>
      <w:divBdr>
        <w:top w:val="none" w:sz="0" w:space="0" w:color="auto"/>
        <w:left w:val="none" w:sz="0" w:space="0" w:color="auto"/>
        <w:bottom w:val="none" w:sz="0" w:space="0" w:color="auto"/>
        <w:right w:val="none" w:sz="0" w:space="0" w:color="auto"/>
      </w:divBdr>
    </w:div>
    <w:div w:id="278797909">
      <w:bodyDiv w:val="1"/>
      <w:marLeft w:val="0"/>
      <w:marRight w:val="0"/>
      <w:marTop w:val="0"/>
      <w:marBottom w:val="0"/>
      <w:divBdr>
        <w:top w:val="none" w:sz="0" w:space="0" w:color="auto"/>
        <w:left w:val="none" w:sz="0" w:space="0" w:color="auto"/>
        <w:bottom w:val="none" w:sz="0" w:space="0" w:color="auto"/>
        <w:right w:val="none" w:sz="0" w:space="0" w:color="auto"/>
      </w:divBdr>
    </w:div>
    <w:div w:id="341319124">
      <w:bodyDiv w:val="1"/>
      <w:marLeft w:val="0"/>
      <w:marRight w:val="0"/>
      <w:marTop w:val="0"/>
      <w:marBottom w:val="0"/>
      <w:divBdr>
        <w:top w:val="none" w:sz="0" w:space="0" w:color="auto"/>
        <w:left w:val="none" w:sz="0" w:space="0" w:color="auto"/>
        <w:bottom w:val="none" w:sz="0" w:space="0" w:color="auto"/>
        <w:right w:val="none" w:sz="0" w:space="0" w:color="auto"/>
      </w:divBdr>
    </w:div>
    <w:div w:id="618027899">
      <w:bodyDiv w:val="1"/>
      <w:marLeft w:val="0"/>
      <w:marRight w:val="0"/>
      <w:marTop w:val="0"/>
      <w:marBottom w:val="0"/>
      <w:divBdr>
        <w:top w:val="none" w:sz="0" w:space="0" w:color="auto"/>
        <w:left w:val="none" w:sz="0" w:space="0" w:color="auto"/>
        <w:bottom w:val="none" w:sz="0" w:space="0" w:color="auto"/>
        <w:right w:val="none" w:sz="0" w:space="0" w:color="auto"/>
      </w:divBdr>
    </w:div>
    <w:div w:id="648678920">
      <w:bodyDiv w:val="1"/>
      <w:marLeft w:val="0"/>
      <w:marRight w:val="0"/>
      <w:marTop w:val="0"/>
      <w:marBottom w:val="0"/>
      <w:divBdr>
        <w:top w:val="none" w:sz="0" w:space="0" w:color="auto"/>
        <w:left w:val="none" w:sz="0" w:space="0" w:color="auto"/>
        <w:bottom w:val="none" w:sz="0" w:space="0" w:color="auto"/>
        <w:right w:val="none" w:sz="0" w:space="0" w:color="auto"/>
      </w:divBdr>
    </w:div>
    <w:div w:id="651643014">
      <w:bodyDiv w:val="1"/>
      <w:marLeft w:val="0"/>
      <w:marRight w:val="0"/>
      <w:marTop w:val="0"/>
      <w:marBottom w:val="0"/>
      <w:divBdr>
        <w:top w:val="none" w:sz="0" w:space="0" w:color="auto"/>
        <w:left w:val="none" w:sz="0" w:space="0" w:color="auto"/>
        <w:bottom w:val="none" w:sz="0" w:space="0" w:color="auto"/>
        <w:right w:val="none" w:sz="0" w:space="0" w:color="auto"/>
      </w:divBdr>
    </w:div>
    <w:div w:id="694775165">
      <w:bodyDiv w:val="1"/>
      <w:marLeft w:val="0"/>
      <w:marRight w:val="0"/>
      <w:marTop w:val="0"/>
      <w:marBottom w:val="0"/>
      <w:divBdr>
        <w:top w:val="none" w:sz="0" w:space="0" w:color="auto"/>
        <w:left w:val="none" w:sz="0" w:space="0" w:color="auto"/>
        <w:bottom w:val="none" w:sz="0" w:space="0" w:color="auto"/>
        <w:right w:val="none" w:sz="0" w:space="0" w:color="auto"/>
      </w:divBdr>
    </w:div>
    <w:div w:id="973800693">
      <w:bodyDiv w:val="1"/>
      <w:marLeft w:val="0"/>
      <w:marRight w:val="0"/>
      <w:marTop w:val="0"/>
      <w:marBottom w:val="0"/>
      <w:divBdr>
        <w:top w:val="none" w:sz="0" w:space="0" w:color="auto"/>
        <w:left w:val="none" w:sz="0" w:space="0" w:color="auto"/>
        <w:bottom w:val="none" w:sz="0" w:space="0" w:color="auto"/>
        <w:right w:val="none" w:sz="0" w:space="0" w:color="auto"/>
      </w:divBdr>
    </w:div>
    <w:div w:id="976179969">
      <w:bodyDiv w:val="1"/>
      <w:marLeft w:val="0"/>
      <w:marRight w:val="0"/>
      <w:marTop w:val="0"/>
      <w:marBottom w:val="0"/>
      <w:divBdr>
        <w:top w:val="none" w:sz="0" w:space="0" w:color="auto"/>
        <w:left w:val="none" w:sz="0" w:space="0" w:color="auto"/>
        <w:bottom w:val="none" w:sz="0" w:space="0" w:color="auto"/>
        <w:right w:val="none" w:sz="0" w:space="0" w:color="auto"/>
      </w:divBdr>
    </w:div>
    <w:div w:id="1044863133">
      <w:bodyDiv w:val="1"/>
      <w:marLeft w:val="0"/>
      <w:marRight w:val="0"/>
      <w:marTop w:val="0"/>
      <w:marBottom w:val="0"/>
      <w:divBdr>
        <w:top w:val="none" w:sz="0" w:space="0" w:color="auto"/>
        <w:left w:val="none" w:sz="0" w:space="0" w:color="auto"/>
        <w:bottom w:val="none" w:sz="0" w:space="0" w:color="auto"/>
        <w:right w:val="none" w:sz="0" w:space="0" w:color="auto"/>
      </w:divBdr>
    </w:div>
    <w:div w:id="1388260694">
      <w:bodyDiv w:val="1"/>
      <w:marLeft w:val="0"/>
      <w:marRight w:val="0"/>
      <w:marTop w:val="0"/>
      <w:marBottom w:val="0"/>
      <w:divBdr>
        <w:top w:val="none" w:sz="0" w:space="0" w:color="auto"/>
        <w:left w:val="none" w:sz="0" w:space="0" w:color="auto"/>
        <w:bottom w:val="none" w:sz="0" w:space="0" w:color="auto"/>
        <w:right w:val="none" w:sz="0" w:space="0" w:color="auto"/>
      </w:divBdr>
    </w:div>
    <w:div w:id="1420059672">
      <w:bodyDiv w:val="1"/>
      <w:marLeft w:val="0"/>
      <w:marRight w:val="0"/>
      <w:marTop w:val="0"/>
      <w:marBottom w:val="0"/>
      <w:divBdr>
        <w:top w:val="none" w:sz="0" w:space="0" w:color="auto"/>
        <w:left w:val="none" w:sz="0" w:space="0" w:color="auto"/>
        <w:bottom w:val="none" w:sz="0" w:space="0" w:color="auto"/>
        <w:right w:val="none" w:sz="0" w:space="0" w:color="auto"/>
      </w:divBdr>
    </w:div>
    <w:div w:id="1496727305">
      <w:bodyDiv w:val="1"/>
      <w:marLeft w:val="0"/>
      <w:marRight w:val="0"/>
      <w:marTop w:val="0"/>
      <w:marBottom w:val="0"/>
      <w:divBdr>
        <w:top w:val="none" w:sz="0" w:space="0" w:color="auto"/>
        <w:left w:val="none" w:sz="0" w:space="0" w:color="auto"/>
        <w:bottom w:val="none" w:sz="0" w:space="0" w:color="auto"/>
        <w:right w:val="none" w:sz="0" w:space="0" w:color="auto"/>
      </w:divBdr>
    </w:div>
    <w:div w:id="1603151739">
      <w:bodyDiv w:val="1"/>
      <w:marLeft w:val="0"/>
      <w:marRight w:val="0"/>
      <w:marTop w:val="0"/>
      <w:marBottom w:val="0"/>
      <w:divBdr>
        <w:top w:val="none" w:sz="0" w:space="0" w:color="auto"/>
        <w:left w:val="none" w:sz="0" w:space="0" w:color="auto"/>
        <w:bottom w:val="none" w:sz="0" w:space="0" w:color="auto"/>
        <w:right w:val="none" w:sz="0" w:space="0" w:color="auto"/>
      </w:divBdr>
    </w:div>
    <w:div w:id="1679499051">
      <w:bodyDiv w:val="1"/>
      <w:marLeft w:val="0"/>
      <w:marRight w:val="0"/>
      <w:marTop w:val="0"/>
      <w:marBottom w:val="0"/>
      <w:divBdr>
        <w:top w:val="none" w:sz="0" w:space="0" w:color="auto"/>
        <w:left w:val="none" w:sz="0" w:space="0" w:color="auto"/>
        <w:bottom w:val="none" w:sz="0" w:space="0" w:color="auto"/>
        <w:right w:val="none" w:sz="0" w:space="0" w:color="auto"/>
      </w:divBdr>
    </w:div>
    <w:div w:id="1798797482">
      <w:bodyDiv w:val="1"/>
      <w:marLeft w:val="0"/>
      <w:marRight w:val="0"/>
      <w:marTop w:val="0"/>
      <w:marBottom w:val="0"/>
      <w:divBdr>
        <w:top w:val="none" w:sz="0" w:space="0" w:color="auto"/>
        <w:left w:val="none" w:sz="0" w:space="0" w:color="auto"/>
        <w:bottom w:val="none" w:sz="0" w:space="0" w:color="auto"/>
        <w:right w:val="none" w:sz="0" w:space="0" w:color="auto"/>
      </w:divBdr>
    </w:div>
    <w:div w:id="1806511283">
      <w:bodyDiv w:val="1"/>
      <w:marLeft w:val="0"/>
      <w:marRight w:val="0"/>
      <w:marTop w:val="0"/>
      <w:marBottom w:val="0"/>
      <w:divBdr>
        <w:top w:val="none" w:sz="0" w:space="0" w:color="auto"/>
        <w:left w:val="none" w:sz="0" w:space="0" w:color="auto"/>
        <w:bottom w:val="none" w:sz="0" w:space="0" w:color="auto"/>
        <w:right w:val="none" w:sz="0" w:space="0" w:color="auto"/>
      </w:divBdr>
    </w:div>
    <w:div w:id="1909001664">
      <w:bodyDiv w:val="1"/>
      <w:marLeft w:val="0"/>
      <w:marRight w:val="0"/>
      <w:marTop w:val="0"/>
      <w:marBottom w:val="0"/>
      <w:divBdr>
        <w:top w:val="none" w:sz="0" w:space="0" w:color="auto"/>
        <w:left w:val="none" w:sz="0" w:space="0" w:color="auto"/>
        <w:bottom w:val="none" w:sz="0" w:space="0" w:color="auto"/>
        <w:right w:val="none" w:sz="0" w:space="0" w:color="auto"/>
      </w:divBdr>
    </w:div>
    <w:div w:id="2025280982">
      <w:bodyDiv w:val="1"/>
      <w:marLeft w:val="0"/>
      <w:marRight w:val="0"/>
      <w:marTop w:val="0"/>
      <w:marBottom w:val="0"/>
      <w:divBdr>
        <w:top w:val="none" w:sz="0" w:space="0" w:color="auto"/>
        <w:left w:val="none" w:sz="0" w:space="0" w:color="auto"/>
        <w:bottom w:val="none" w:sz="0" w:space="0" w:color="auto"/>
        <w:right w:val="none" w:sz="0" w:space="0" w:color="auto"/>
      </w:divBdr>
    </w:div>
    <w:div w:id="21108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notes" Target="footnotes.xml"/>
  <Relationship Id="rId11" Type="http://schemas.openxmlformats.org/officeDocument/2006/relationships/endnotes" Target="endnotes.xml"/>
  <Relationship Id="rId12" Type="http://schemas.openxmlformats.org/officeDocument/2006/relationships/image" Target="media/image1.emf"/>
  <Relationship Id="rId13" Type="http://schemas.openxmlformats.org/officeDocument/2006/relationships/oleObject" Target="embeddings/Microsoft_Excel_97-2003_Worksheet1.xls"/>
  <Relationship Id="rId14" Type="http://schemas.openxmlformats.org/officeDocument/2006/relationships/image" Target="media/image2.emf"/>
  <Relationship Id="rId15" Type="http://schemas.openxmlformats.org/officeDocument/2006/relationships/oleObject" Target="embeddings/Microsoft_Excel_97-2003_Worksheet2.xls"/>
  <Relationship Id="rId16" Type="http://schemas.openxmlformats.org/officeDocument/2006/relationships/image" Target="media/image3.emf"/>
  <Relationship Id="rId17" Type="http://schemas.openxmlformats.org/officeDocument/2006/relationships/oleObject" Target="embeddings/Microsoft_Excel_97-2003_Worksheet3.xls"/>
  <Relationship Id="rId18" Type="http://schemas.openxmlformats.org/officeDocument/2006/relationships/image" Target="media/image4.emf"/>
  <Relationship Id="rId19" Type="http://schemas.openxmlformats.org/officeDocument/2006/relationships/package" Target="embeddings/Microsoft_Excel_Worksheet1.xlsx"/>
  <Relationship Id="rId2" Type="http://schemas.openxmlformats.org/officeDocument/2006/relationships/customXml" Target="/customXml/item2.xml"/>
  <Relationship Id="rId20" Type="http://schemas.openxmlformats.org/officeDocument/2006/relationships/image" Target="media/image5.emf"/>
  <Relationship Id="rId21" Type="http://schemas.openxmlformats.org/officeDocument/2006/relationships/package" Target="embeddings/Microsoft_Excel_Worksheet2.xlsx"/>
  <Relationship Id="rId22" Type="http://schemas.openxmlformats.org/officeDocument/2006/relationships/image" Target="media/image6.emf"/>
  <Relationship Id="rId23" Type="http://schemas.openxmlformats.org/officeDocument/2006/relationships/package" Target="embeddings/Microsoft_Excel_Worksheet3.xlsx"/>
  <Relationship Id="rId24" Type="http://schemas.openxmlformats.org/officeDocument/2006/relationships/image" Target="media/image7.emf"/>
  <Relationship Id="rId25" Type="http://schemas.openxmlformats.org/officeDocument/2006/relationships/package" Target="embeddings/Microsoft_Excel_Worksheet4.xlsx"/>
  <Relationship Id="rId26" Type="http://schemas.openxmlformats.org/officeDocument/2006/relationships/image" Target="media/image8.emf"/>
  <Relationship Id="rId27" Type="http://schemas.openxmlformats.org/officeDocument/2006/relationships/oleObject" Target="embeddings/Microsoft_Excel_97-2003_Worksheet4.xls"/>
  <Relationship Id="rId28" Type="http://schemas.openxmlformats.org/officeDocument/2006/relationships/image" Target="media/image9.emf"/>
  <Relationship Id="rId29" Type="http://schemas.openxmlformats.org/officeDocument/2006/relationships/oleObject" Target="embeddings/Microsoft_Word_97_-_2003_Document5.doc"/>
  <Relationship Id="rId3" Type="http://schemas.openxmlformats.org/officeDocument/2006/relationships/customXml" Target="/customXml/item3.xml"/>
  <Relationship Id="rId30" Type="http://schemas.openxmlformats.org/officeDocument/2006/relationships/image" Target="media/image10.emf"/>
  <Relationship Id="rId31" Type="http://schemas.openxmlformats.org/officeDocument/2006/relationships/oleObject" Target="embeddings/Microsoft_Word_97_-_2003_Document6.doc"/>
  <Relationship Id="rId32" Type="http://schemas.openxmlformats.org/officeDocument/2006/relationships/image" Target="media/image11.emf"/>
  <Relationship Id="rId33" Type="http://schemas.openxmlformats.org/officeDocument/2006/relationships/package" Target="embeddings/Microsoft_Excel_Worksheet5.xlsx"/>
  <Relationship Id="rId34" Type="http://schemas.openxmlformats.org/officeDocument/2006/relationships/image" Target="media/image12.emf"/>
  <Relationship Id="rId35" Type="http://schemas.openxmlformats.org/officeDocument/2006/relationships/oleObject" Target="embeddings/Microsoft_Excel_97-2003_Worksheet7.xls"/>
  <Relationship Id="rId36" Type="http://schemas.openxmlformats.org/officeDocument/2006/relationships/image" Target="media/image13.emf"/>
  <Relationship Id="rId37" Type="http://schemas.openxmlformats.org/officeDocument/2006/relationships/package" Target="embeddings/Microsoft_Excel_Worksheet6.xlsx"/>
  <Relationship Id="rId38" Type="http://schemas.openxmlformats.org/officeDocument/2006/relationships/image" Target="media/image14.emf"/>
  <Relationship Id="rId39" Type="http://schemas.openxmlformats.org/officeDocument/2006/relationships/oleObject" Target="embeddings/Microsoft_Word_97_-_2003_Document8.doc"/>
  <Relationship Id="rId4" Type="http://schemas.openxmlformats.org/officeDocument/2006/relationships/customXml" Target="/customXml/item4.xml"/>
  <Relationship Id="rId40" Type="http://schemas.openxmlformats.org/officeDocument/2006/relationships/hyperlink" TargetMode="External" Target="http://www.sugeval.fi.cr/serviciosytramites/paginas/ServiciosMensajeriaDocumentos.aspx"/>
  <Relationship Id="rId41" Type="http://schemas.openxmlformats.org/officeDocument/2006/relationships/image" Target="media/image15.png"/>
  <Relationship Id="rId42" Type="http://schemas.openxmlformats.org/officeDocument/2006/relationships/header" Target="header1.xml"/>
  <Relationship Id="rId43" Type="http://schemas.openxmlformats.org/officeDocument/2006/relationships/footer" Target="footer1.xml"/>
  <Relationship Id="rId44" Type="http://schemas.openxmlformats.org/officeDocument/2006/relationships/footer" Target="footer2.xml"/>
  <Relationship Id="rId45" Type="http://schemas.openxmlformats.org/officeDocument/2006/relationships/fontTable" Target="fontTable.xml"/>
  <Relationship Id="rId46" Type="http://schemas.openxmlformats.org/officeDocument/2006/relationships/theme" Target="theme/theme1.xml"/>
  <Relationship Id="rId5" Type="http://schemas.openxmlformats.org/officeDocument/2006/relationships/customXml" Target="/customXml/item5.xml"/>
  <Relationship Id="rId6" Type="http://schemas.openxmlformats.org/officeDocument/2006/relationships/numbering" Target="numbering.xml"/>
  <Relationship Id="rId7" Type="http://schemas.openxmlformats.org/officeDocument/2006/relationships/styles" Target="styles.xml"/>
  <Relationship Id="rId8" Type="http://schemas.openxmlformats.org/officeDocument/2006/relationships/settings" Target="settings.xml"/>
  <Relationship Id="rId9" Type="http://schemas.openxmlformats.org/officeDocument/2006/relationships/webSettings" Target="webSettings.xml"/>
</Relationships>

</file>

<file path=word/_rels/header1.xml.rels><?xml version="1.0" encoding="UTF-8"?>

<Relationships xmlns="http://schemas.openxmlformats.org/package/2006/relationships">
  <Relationship Id="rId1" Type="http://schemas.openxmlformats.org/officeDocument/2006/relationships/image" Target="media/image16.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_rels/item5.xml.rels><?xml version="1.0" encoding="UTF-8"?>

<Relationships xmlns="http://schemas.openxmlformats.org/package/2006/relationships">
  <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SharedWithUsers xmlns="fc66ef79-2d66-4fa3-90bd-e4f186d8d36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0CC97-846E-4C9C-8572-FF0B694D7B20}"/>
</file>

<file path=customXml/itemProps2.xml><?xml version="1.0" encoding="utf-8"?>
<ds:datastoreItem xmlns:ds="http://schemas.openxmlformats.org/officeDocument/2006/customXml" ds:itemID="{CC682A5C-FB06-468C-968B-D3734FCDC59E}"/>
</file>

<file path=customXml/itemProps3.xml><?xml version="1.0" encoding="utf-8"?>
<ds:datastoreItem xmlns:ds="http://schemas.openxmlformats.org/officeDocument/2006/customXml" ds:itemID="{A7DF759D-F56F-4687-A71B-DE649267B753}"/>
</file>

<file path=customXml/itemProps4.xml><?xml version="1.0" encoding="utf-8"?>
<ds:datastoreItem xmlns:ds="http://schemas.openxmlformats.org/officeDocument/2006/customXml" ds:itemID="{83A3208B-7BBE-477E-A2A7-65872F57C024}"/>
</file>

<file path=customXml/itemProps5.xml><?xml version="1.0" encoding="utf-8"?>
<ds:datastoreItem xmlns:ds="http://schemas.openxmlformats.org/officeDocument/2006/customXml" ds:itemID="{25F7920B-FB8F-4853-B630-9075A1DF498D}"/>
</file>

<file path=docProps/app.xml><?xml version="1.0" encoding="utf-8"?>
<Properties xmlns="http://schemas.openxmlformats.org/officeDocument/2006/extended-properties" xmlns:vt="http://schemas.openxmlformats.org/officeDocument/2006/docPropsVTypes">
  <Template>Normal</Template>
  <TotalTime>69</TotalTime>
  <Pages>14</Pages>
  <Words>4001</Words>
  <Characters>24695</Characters>
  <Application>Microsoft Office Word</Application>
  <DocSecurity>0</DocSecurity>
  <Lines>205</Lines>
  <Paragraphs>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Acuerdo del Superintendente aprobado el 18 de diciembre del 2014</vt:lpstr>
      <vt:lpstr>REGLAMENTO DE CALIFICACIÓN PARA ENTIDADES SUPERVISADAS</vt:lpstr>
    </vt:vector>
  </TitlesOfParts>
  <Company>SUGEF</Company>
  <LinksUpToDate>false</LinksUpToDate>
  <CharactersWithSpaces>28639</CharactersWithSpaces>
  <SharedDoc>false</SharedDoc>
  <HLinks>
    <vt:vector size="12" baseType="variant">
      <vt:variant>
        <vt:i4>5636117</vt:i4>
      </vt:variant>
      <vt:variant>
        <vt:i4>3</vt:i4>
      </vt:variant>
      <vt:variant>
        <vt:i4>0</vt:i4>
      </vt:variant>
      <vt:variant>
        <vt:i4>5</vt:i4>
      </vt:variant>
      <vt:variant>
        <vt:lpwstr>mailto:capt_emi@sugeval.fi.cr</vt:lpwstr>
      </vt:variant>
      <vt:variant>
        <vt:lpwstr/>
      </vt:variant>
      <vt:variant>
        <vt:i4>5636117</vt:i4>
      </vt:variant>
      <vt:variant>
        <vt:i4>0</vt:i4>
      </vt:variant>
      <vt:variant>
        <vt:i4>0</vt:i4>
      </vt:variant>
      <vt:variant>
        <vt:i4>5</vt:i4>
      </vt:variant>
      <vt:variant>
        <vt:lpwstr>mailto:capt_emi@sugeval.fi.cr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SGV-A-194 Acuerdo del Superintendente aprobado el 18 de diciembre del 2014</dc:title>
  <dc:creator>cvega</dc:creator>
  <cp:lastModifiedBy>FERNANDEZ PORRAS PATRICIA</cp:lastModifiedBy>
  <cp:revision>5</cp:revision>
  <dcterms:created xsi:type="dcterms:W3CDTF">2017-11-27T18:17:00Z</dcterms:created>
  <dcterms:modified xsi:type="dcterms:W3CDTF">2017-12-07T18:18:00Z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4" name="Firmado">
    <vt:lpwstr>false</vt:lpwstr>
  </property>
  <property fmtid="{D5CDD505-2E9C-101B-9397-08002B2CF9AE}" pid="5" name="Firmantes">
    <vt:lpwstr>SUGEVAL\ariaspc221SUGEVAL\madrigalzm51</vt:lpwstr>
  </property>
  <property fmtid="{D5CDD505-2E9C-101B-9397-08002B2CF9AE}" pid="8" name="FileLeafRef">
    <vt:lpwstr>SGV-A-194.docx</vt:lpwstr>
  </property>
</Properties>
</file>