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F617F" w14:textId="77777777" w:rsidR="00E774B1" w:rsidRDefault="008B7FC3" w:rsidP="00B06721">
      <w:pPr>
        <w:jc w:val="both"/>
        <w:rPr>
          <w:rFonts w:ascii="Arial" w:hAnsi="Arial" w:cs="Arial"/>
          <w:b/>
          <w:bCs/>
          <w:i/>
          <w:iCs/>
          <w:noProof/>
          <w:sz w:val="22"/>
          <w:szCs w:val="22"/>
          <w:lang w:val="es-ES_tradnl"/>
        </w:rPr>
      </w:pPr>
      <w:r w:rsidRPr="008B7FC3">
        <w:rPr>
          <w:rFonts w:ascii="Arial" w:hAnsi="Arial" w:cs="Arial"/>
          <w:b/>
          <w:bCs/>
          <w:i/>
          <w:iCs/>
          <w:noProof/>
          <w:sz w:val="22"/>
          <w:szCs w:val="22"/>
          <w:lang w:val="es-ES_tradnl"/>
        </w:rPr>
        <w:t>SGV-A-198. ACUERDO PARA LA IMPLANTACIÓN DEL REGLAMENTO DE CUSTODIA</w:t>
      </w:r>
      <w:r w:rsidR="00E774B1" w:rsidRPr="008B7FC3">
        <w:rPr>
          <w:rStyle w:val="Refdenotaalpie"/>
          <w:rFonts w:ascii="Arial" w:hAnsi="Arial" w:cs="Arial"/>
          <w:b/>
          <w:bCs/>
          <w:i/>
          <w:iCs/>
          <w:noProof/>
          <w:sz w:val="22"/>
          <w:szCs w:val="22"/>
          <w:lang w:val="es-ES_tradnl"/>
        </w:rPr>
        <w:footnoteReference w:id="1"/>
      </w:r>
    </w:p>
    <w:p w14:paraId="760C1263" w14:textId="77777777" w:rsidR="00C52C9F" w:rsidRDefault="00C52C9F" w:rsidP="00B06721">
      <w:pPr>
        <w:jc w:val="both"/>
        <w:rPr>
          <w:rFonts w:ascii="Arial" w:hAnsi="Arial" w:cs="Arial"/>
          <w:b/>
          <w:bCs/>
          <w:i/>
          <w:iCs/>
          <w:noProof/>
          <w:sz w:val="22"/>
          <w:szCs w:val="22"/>
          <w:lang w:val="es-ES_tradnl"/>
        </w:rPr>
      </w:pPr>
    </w:p>
    <w:p w14:paraId="482A4438" w14:textId="15FDA9B6" w:rsidR="00C52C9F" w:rsidRPr="00C52C9F" w:rsidRDefault="00C52C9F" w:rsidP="00C52C9F">
      <w:pPr>
        <w:jc w:val="both"/>
        <w:rPr>
          <w:rFonts w:ascii="Garamond (PCL6)" w:hAnsi="Garamond (PCL6)"/>
          <w:b/>
          <w:bCs/>
          <w:i/>
          <w:iCs/>
          <w:noProof/>
          <w:sz w:val="22"/>
          <w:szCs w:val="22"/>
          <w:lang w:val="es-CR"/>
        </w:rPr>
      </w:pPr>
      <w:r w:rsidRPr="00C52C9F">
        <w:rPr>
          <w:rFonts w:ascii="Arial" w:hAnsi="Arial" w:cs="Arial"/>
          <w:b/>
          <w:bCs/>
          <w:iCs/>
          <w:noProof/>
          <w:sz w:val="22"/>
          <w:szCs w:val="22"/>
          <w:lang w:val="es-CR"/>
        </w:rPr>
        <w:t>(Incluye las reformas del Acuerdo SGV-A-</w:t>
      </w:r>
      <w:r>
        <w:rPr>
          <w:rFonts w:ascii="Arial" w:hAnsi="Arial" w:cs="Arial"/>
          <w:b/>
          <w:bCs/>
          <w:iCs/>
          <w:noProof/>
          <w:sz w:val="22"/>
          <w:szCs w:val="22"/>
          <w:lang w:val="es-CR"/>
        </w:rPr>
        <w:t>217</w:t>
      </w:r>
      <w:r w:rsidR="00100CBA">
        <w:rPr>
          <w:rFonts w:ascii="Arial" w:hAnsi="Arial" w:cs="Arial"/>
          <w:b/>
          <w:bCs/>
          <w:iCs/>
          <w:noProof/>
          <w:sz w:val="22"/>
          <w:szCs w:val="22"/>
          <w:lang w:val="es-CR"/>
        </w:rPr>
        <w:t xml:space="preserve">, </w:t>
      </w:r>
      <w:r w:rsidR="00AA7244">
        <w:rPr>
          <w:rFonts w:ascii="Arial" w:hAnsi="Arial" w:cs="Arial"/>
          <w:b/>
          <w:bCs/>
          <w:iCs/>
          <w:noProof/>
          <w:sz w:val="22"/>
          <w:szCs w:val="22"/>
          <w:lang w:val="es-CR"/>
        </w:rPr>
        <w:t>SGV-A-223</w:t>
      </w:r>
      <w:r w:rsidR="00EE638D">
        <w:rPr>
          <w:rFonts w:ascii="Arial" w:hAnsi="Arial" w:cs="Arial"/>
          <w:b/>
          <w:bCs/>
          <w:iCs/>
          <w:noProof/>
          <w:sz w:val="22"/>
          <w:szCs w:val="22"/>
          <w:lang w:val="es-CR"/>
        </w:rPr>
        <w:t xml:space="preserve">, </w:t>
      </w:r>
      <w:r w:rsidR="00100CBA">
        <w:rPr>
          <w:rFonts w:ascii="Arial" w:hAnsi="Arial" w:cs="Arial"/>
          <w:b/>
          <w:bCs/>
          <w:iCs/>
          <w:noProof/>
          <w:sz w:val="22"/>
          <w:szCs w:val="22"/>
          <w:lang w:val="es-CR"/>
        </w:rPr>
        <w:t>SGV-A-241</w:t>
      </w:r>
      <w:r w:rsidR="00EE638D">
        <w:rPr>
          <w:rFonts w:ascii="Arial" w:hAnsi="Arial" w:cs="Arial"/>
          <w:b/>
          <w:bCs/>
          <w:iCs/>
          <w:noProof/>
          <w:sz w:val="22"/>
          <w:szCs w:val="22"/>
          <w:lang w:val="es-CR"/>
        </w:rPr>
        <w:t xml:space="preserve"> y SGV-A-265</w:t>
      </w:r>
      <w:r w:rsidRPr="00C52C9F">
        <w:rPr>
          <w:rFonts w:ascii="Arial" w:hAnsi="Arial" w:cs="Arial"/>
          <w:b/>
          <w:bCs/>
          <w:iCs/>
          <w:noProof/>
          <w:sz w:val="22"/>
          <w:szCs w:val="22"/>
          <w:lang w:val="es-CR"/>
        </w:rPr>
        <w:t>)</w:t>
      </w:r>
    </w:p>
    <w:p w14:paraId="1887F3AF" w14:textId="77777777" w:rsidR="00E774B1" w:rsidRPr="00C52C9F" w:rsidRDefault="00E774B1" w:rsidP="00B06721">
      <w:pPr>
        <w:jc w:val="both"/>
        <w:rPr>
          <w:rFonts w:ascii="Arial" w:hAnsi="Arial" w:cs="Arial"/>
          <w:sz w:val="22"/>
          <w:szCs w:val="22"/>
          <w:lang w:val="es-CR"/>
        </w:rPr>
      </w:pPr>
    </w:p>
    <w:p w14:paraId="329C4429" w14:textId="77777777" w:rsidR="00B83A10" w:rsidRPr="00B06721" w:rsidRDefault="008B7FC3" w:rsidP="00B06721">
      <w:pPr>
        <w:rPr>
          <w:rFonts w:ascii="Arial" w:hAnsi="Arial" w:cs="Arial"/>
          <w:b/>
          <w:sz w:val="22"/>
          <w:szCs w:val="22"/>
          <w:lang w:val="es-MX"/>
        </w:rPr>
      </w:pPr>
      <w:r>
        <w:rPr>
          <w:rFonts w:ascii="Arial" w:hAnsi="Arial" w:cs="Arial"/>
          <w:b/>
          <w:sz w:val="22"/>
          <w:szCs w:val="22"/>
          <w:lang w:val="es-MX"/>
        </w:rPr>
        <w:t>Considerando que:</w:t>
      </w:r>
    </w:p>
    <w:p w14:paraId="2FEFAC97" w14:textId="77777777" w:rsidR="00E774B1" w:rsidRDefault="00E774B1" w:rsidP="00B06721">
      <w:pPr>
        <w:rPr>
          <w:rFonts w:ascii="Arial" w:hAnsi="Arial" w:cs="Arial"/>
          <w:b/>
          <w:sz w:val="22"/>
          <w:szCs w:val="22"/>
          <w:lang w:val="es-MX"/>
        </w:rPr>
      </w:pPr>
    </w:p>
    <w:p w14:paraId="18BCF293" w14:textId="77777777" w:rsidR="00B83A10" w:rsidRPr="008B7FC3" w:rsidRDefault="00B83A10" w:rsidP="00B06721">
      <w:pPr>
        <w:numPr>
          <w:ilvl w:val="0"/>
          <w:numId w:val="2"/>
        </w:numPr>
        <w:tabs>
          <w:tab w:val="left" w:pos="567"/>
        </w:tabs>
        <w:ind w:left="567" w:hanging="567"/>
        <w:jc w:val="both"/>
        <w:rPr>
          <w:rFonts w:ascii="Arial" w:hAnsi="Arial" w:cs="Arial"/>
          <w:sz w:val="22"/>
          <w:szCs w:val="22"/>
          <w:lang w:val="es-CR"/>
        </w:rPr>
      </w:pPr>
      <w:r w:rsidRPr="008B7FC3">
        <w:rPr>
          <w:rFonts w:ascii="Arial" w:hAnsi="Arial" w:cs="Arial"/>
          <w:sz w:val="22"/>
          <w:szCs w:val="22"/>
          <w:lang w:val="es-CR"/>
        </w:rPr>
        <w:t>En la Sesión 1150-2015, celebrada el 23 de febrero del 2015, el Consejo Nacional de Supervisión del Sistema Financiero aprobó una reforma integral al Reglamento de Custodia.</w:t>
      </w:r>
    </w:p>
    <w:p w14:paraId="23B2C373" w14:textId="77777777" w:rsidR="00B83A10" w:rsidRPr="008B7FC3" w:rsidRDefault="00B83A10" w:rsidP="00B06721">
      <w:pPr>
        <w:tabs>
          <w:tab w:val="left" w:pos="540"/>
          <w:tab w:val="left" w:pos="567"/>
        </w:tabs>
        <w:ind w:left="567" w:hanging="567"/>
        <w:jc w:val="both"/>
        <w:rPr>
          <w:rFonts w:ascii="Arial" w:hAnsi="Arial" w:cs="Arial"/>
          <w:sz w:val="22"/>
          <w:szCs w:val="22"/>
          <w:lang w:val="es-CR"/>
        </w:rPr>
      </w:pPr>
    </w:p>
    <w:p w14:paraId="1C00E8A6" w14:textId="77777777" w:rsidR="00B06721" w:rsidRPr="008B7FC3" w:rsidRDefault="00B83A10" w:rsidP="00B06721">
      <w:pPr>
        <w:numPr>
          <w:ilvl w:val="0"/>
          <w:numId w:val="2"/>
        </w:numPr>
        <w:tabs>
          <w:tab w:val="left" w:pos="567"/>
        </w:tabs>
        <w:ind w:left="567" w:hanging="567"/>
        <w:jc w:val="both"/>
        <w:rPr>
          <w:rFonts w:ascii="Arial" w:hAnsi="Arial" w:cs="Arial"/>
          <w:sz w:val="22"/>
          <w:szCs w:val="22"/>
          <w:lang w:val="es-CR"/>
        </w:rPr>
      </w:pPr>
      <w:r w:rsidRPr="008B7FC3">
        <w:rPr>
          <w:rFonts w:ascii="Arial" w:hAnsi="Arial" w:cs="Arial"/>
          <w:sz w:val="22"/>
          <w:szCs w:val="22"/>
          <w:lang w:val="es-CR"/>
        </w:rPr>
        <w:t xml:space="preserve">En el Reglamento de Custodia se establecen una serie de requerimientos que buscan definir los lineamientos que deben cumplir las entidades de custodia. </w:t>
      </w:r>
      <w:proofErr w:type="gramStart"/>
      <w:r w:rsidRPr="008B7FC3">
        <w:rPr>
          <w:rFonts w:ascii="Arial" w:hAnsi="Arial" w:cs="Arial"/>
          <w:sz w:val="22"/>
          <w:szCs w:val="22"/>
          <w:lang w:val="es-CR"/>
        </w:rPr>
        <w:t>La implantación de estos requerimientos dependen</w:t>
      </w:r>
      <w:proofErr w:type="gramEnd"/>
      <w:r w:rsidRPr="008B7FC3">
        <w:rPr>
          <w:rFonts w:ascii="Arial" w:hAnsi="Arial" w:cs="Arial"/>
          <w:sz w:val="22"/>
          <w:szCs w:val="22"/>
          <w:lang w:val="es-CR"/>
        </w:rPr>
        <w:t xml:space="preserve"> de la emisión de un acuerdo del Superintendente.</w:t>
      </w:r>
    </w:p>
    <w:p w14:paraId="69E9E1EC" w14:textId="77777777" w:rsidR="00B06721" w:rsidRPr="008B7FC3" w:rsidRDefault="00B06721" w:rsidP="00B06721">
      <w:pPr>
        <w:pStyle w:val="Prrafodelista"/>
        <w:tabs>
          <w:tab w:val="left" w:pos="567"/>
        </w:tabs>
        <w:ind w:left="567" w:hanging="567"/>
        <w:rPr>
          <w:rFonts w:ascii="Arial" w:hAnsi="Arial" w:cs="Arial"/>
          <w:sz w:val="22"/>
          <w:szCs w:val="22"/>
          <w:lang w:val="es-MX"/>
        </w:rPr>
      </w:pPr>
    </w:p>
    <w:p w14:paraId="4C8D0EB9" w14:textId="77777777" w:rsidR="00B83A10" w:rsidRPr="008B7FC3" w:rsidRDefault="00B83A10" w:rsidP="00B06721">
      <w:pPr>
        <w:numPr>
          <w:ilvl w:val="0"/>
          <w:numId w:val="2"/>
        </w:numPr>
        <w:tabs>
          <w:tab w:val="left" w:pos="567"/>
        </w:tabs>
        <w:ind w:left="567" w:hanging="567"/>
        <w:jc w:val="both"/>
        <w:rPr>
          <w:rFonts w:ascii="Arial" w:hAnsi="Arial" w:cs="Arial"/>
          <w:sz w:val="22"/>
          <w:szCs w:val="22"/>
          <w:lang w:val="es-CR"/>
        </w:rPr>
      </w:pPr>
      <w:r w:rsidRPr="008B7FC3">
        <w:rPr>
          <w:rFonts w:ascii="Arial" w:hAnsi="Arial" w:cs="Arial"/>
          <w:sz w:val="22"/>
          <w:szCs w:val="22"/>
          <w:lang w:val="es-MX"/>
        </w:rPr>
        <w:t>De conformidad con el artículo 8 de la Ley Reguladora del Mercado de Valores (LRMV) corresponde al Superintendente General adoptar todas las acciones necesarias para el cumplimiento efectivo de las funciones de regulación, fiscalización y supervisión que le competen a la Superintendencia General de Valores.</w:t>
      </w:r>
    </w:p>
    <w:p w14:paraId="5A7AAFF0" w14:textId="77777777" w:rsidR="00B83A10" w:rsidRPr="008B7FC3" w:rsidRDefault="00B83A10" w:rsidP="00B06721">
      <w:pPr>
        <w:tabs>
          <w:tab w:val="left" w:pos="540"/>
        </w:tabs>
        <w:jc w:val="both"/>
        <w:rPr>
          <w:rFonts w:ascii="Arial" w:hAnsi="Arial" w:cs="Arial"/>
          <w:sz w:val="22"/>
          <w:szCs w:val="22"/>
          <w:lang w:val="es-CR"/>
        </w:rPr>
      </w:pPr>
    </w:p>
    <w:p w14:paraId="2FBC7722" w14:textId="77777777" w:rsidR="00B83A10" w:rsidRPr="008B7FC3" w:rsidRDefault="00B83A10" w:rsidP="00B06721">
      <w:pPr>
        <w:jc w:val="both"/>
        <w:outlineLvl w:val="0"/>
        <w:rPr>
          <w:rFonts w:ascii="Arial" w:hAnsi="Arial" w:cs="Arial"/>
          <w:b/>
          <w:sz w:val="22"/>
          <w:szCs w:val="22"/>
          <w:lang w:val="es-CR"/>
        </w:rPr>
      </w:pPr>
      <w:r w:rsidRPr="008B7FC3">
        <w:rPr>
          <w:rFonts w:ascii="Arial" w:hAnsi="Arial" w:cs="Arial"/>
          <w:b/>
          <w:sz w:val="22"/>
          <w:szCs w:val="22"/>
          <w:lang w:val="es-CR"/>
        </w:rPr>
        <w:t xml:space="preserve">Por </w:t>
      </w:r>
      <w:proofErr w:type="gramStart"/>
      <w:r w:rsidRPr="008B7FC3">
        <w:rPr>
          <w:rFonts w:ascii="Arial" w:hAnsi="Arial" w:cs="Arial"/>
          <w:b/>
          <w:sz w:val="22"/>
          <w:szCs w:val="22"/>
          <w:lang w:val="es-CR"/>
        </w:rPr>
        <w:t>tanto</w:t>
      </w:r>
      <w:proofErr w:type="gramEnd"/>
      <w:r w:rsidRPr="008B7FC3">
        <w:rPr>
          <w:rFonts w:ascii="Arial" w:hAnsi="Arial" w:cs="Arial"/>
          <w:b/>
          <w:sz w:val="22"/>
          <w:szCs w:val="22"/>
          <w:lang w:val="es-CR"/>
        </w:rPr>
        <w:t xml:space="preserve"> dispone el</w:t>
      </w:r>
    </w:p>
    <w:p w14:paraId="6C33313C" w14:textId="77777777" w:rsidR="00B83A10" w:rsidRPr="008B7FC3" w:rsidRDefault="00B83A10" w:rsidP="00B06721">
      <w:pPr>
        <w:jc w:val="both"/>
        <w:outlineLvl w:val="0"/>
        <w:rPr>
          <w:rFonts w:ascii="Arial" w:hAnsi="Arial" w:cs="Arial"/>
          <w:b/>
          <w:sz w:val="22"/>
          <w:szCs w:val="22"/>
          <w:lang w:val="es-CR"/>
        </w:rPr>
      </w:pPr>
    </w:p>
    <w:p w14:paraId="02F4BB7E" w14:textId="77777777" w:rsidR="00B83A10" w:rsidRPr="008B7FC3" w:rsidRDefault="008B7FC3" w:rsidP="00B06721">
      <w:pPr>
        <w:jc w:val="center"/>
        <w:rPr>
          <w:rFonts w:ascii="Arial" w:hAnsi="Arial" w:cs="Arial"/>
          <w:b/>
          <w:sz w:val="22"/>
          <w:szCs w:val="22"/>
          <w:lang w:val="es-MX"/>
        </w:rPr>
      </w:pPr>
      <w:r w:rsidRPr="008B7FC3">
        <w:rPr>
          <w:rFonts w:ascii="Arial" w:hAnsi="Arial" w:cs="Arial"/>
          <w:b/>
          <w:sz w:val="22"/>
          <w:szCs w:val="22"/>
          <w:lang w:val="es-MX"/>
        </w:rPr>
        <w:t xml:space="preserve">SGV-A-198 ACUERDO PARA LA IMPLANTACIÓN DEL REGLAMENTO DE CUSTODIA </w:t>
      </w:r>
    </w:p>
    <w:p w14:paraId="01C98B72" w14:textId="77777777" w:rsidR="008B7FC3" w:rsidRDefault="008B7FC3" w:rsidP="008B7FC3">
      <w:pPr>
        <w:jc w:val="both"/>
        <w:rPr>
          <w:rFonts w:ascii="Arial" w:hAnsi="Arial" w:cs="Arial"/>
          <w:b/>
          <w:bCs/>
          <w:sz w:val="22"/>
          <w:szCs w:val="22"/>
          <w:lang w:val="es-CR"/>
        </w:rPr>
      </w:pPr>
    </w:p>
    <w:p w14:paraId="2BF75083" w14:textId="77777777" w:rsidR="008B7FC3" w:rsidRPr="008B7FC3" w:rsidRDefault="008B7FC3" w:rsidP="008B7FC3">
      <w:pPr>
        <w:jc w:val="both"/>
        <w:rPr>
          <w:rFonts w:ascii="Arial" w:hAnsi="Arial" w:cs="Arial"/>
          <w:b/>
          <w:bCs/>
          <w:sz w:val="22"/>
          <w:szCs w:val="22"/>
          <w:lang w:val="es-CR"/>
        </w:rPr>
      </w:pPr>
      <w:r w:rsidRPr="008B7FC3">
        <w:rPr>
          <w:rFonts w:ascii="Arial" w:hAnsi="Arial" w:cs="Arial"/>
          <w:b/>
          <w:bCs/>
          <w:sz w:val="22"/>
          <w:szCs w:val="22"/>
          <w:lang w:val="es-CR"/>
        </w:rPr>
        <w:t>Artículo 1. Objeto</w:t>
      </w:r>
    </w:p>
    <w:p w14:paraId="49D86FA0" w14:textId="77777777" w:rsidR="00C2496F" w:rsidRPr="008B7FC3" w:rsidRDefault="00C2496F" w:rsidP="00B06721">
      <w:pPr>
        <w:jc w:val="both"/>
        <w:rPr>
          <w:rFonts w:ascii="Arial" w:hAnsi="Arial" w:cs="Arial"/>
          <w:b/>
          <w:bCs/>
          <w:color w:val="000000"/>
          <w:sz w:val="22"/>
          <w:szCs w:val="22"/>
          <w:lang w:val="es-CR"/>
        </w:rPr>
      </w:pPr>
    </w:p>
    <w:p w14:paraId="0F3F2E9C"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El presente Acuerdo tiene como propósito establecer las disposiciones de tipo operativo que le han sido encomendadas al Superintendente General de Valores en el Reglamento de Custodia, en adelante el Reglamento.</w:t>
      </w:r>
    </w:p>
    <w:p w14:paraId="05EBD637" w14:textId="77777777" w:rsidR="00F47B77" w:rsidRPr="008B7FC3" w:rsidRDefault="00F47B77" w:rsidP="005164EB">
      <w:pPr>
        <w:tabs>
          <w:tab w:val="left" w:pos="540"/>
          <w:tab w:val="left" w:pos="567"/>
        </w:tabs>
        <w:ind w:left="567" w:hanging="567"/>
        <w:jc w:val="both"/>
        <w:rPr>
          <w:rFonts w:ascii="Arial" w:hAnsi="Arial" w:cs="Arial"/>
          <w:sz w:val="22"/>
          <w:szCs w:val="22"/>
          <w:lang w:val="es-CR"/>
        </w:rPr>
      </w:pPr>
    </w:p>
    <w:p w14:paraId="4385B0A8" w14:textId="77777777" w:rsidR="008B7FC3" w:rsidRPr="008B7FC3" w:rsidRDefault="008B7FC3" w:rsidP="008B7FC3">
      <w:pPr>
        <w:jc w:val="both"/>
        <w:rPr>
          <w:rFonts w:ascii="Century Gothic" w:hAnsi="Century Gothic" w:cs="Arial"/>
          <w:b/>
          <w:lang w:val="es-CR"/>
        </w:rPr>
      </w:pPr>
      <w:r w:rsidRPr="008B7FC3">
        <w:rPr>
          <w:rFonts w:ascii="Century Gothic" w:hAnsi="Century Gothic" w:cs="Arial"/>
          <w:b/>
          <w:bCs/>
          <w:sz w:val="22"/>
          <w:szCs w:val="22"/>
          <w:lang w:val="es-CR"/>
        </w:rPr>
        <w:t>Artículo 2.  Conciliaciones</w:t>
      </w:r>
    </w:p>
    <w:p w14:paraId="7AD6EB1A" w14:textId="77777777" w:rsidR="00B83A10" w:rsidRPr="008B7FC3" w:rsidRDefault="00B83A10" w:rsidP="00B06721">
      <w:pPr>
        <w:jc w:val="both"/>
        <w:rPr>
          <w:rFonts w:ascii="Arial" w:hAnsi="Arial" w:cs="Arial"/>
          <w:color w:val="000000"/>
          <w:sz w:val="22"/>
          <w:szCs w:val="22"/>
          <w:lang w:val="es-CR"/>
        </w:rPr>
      </w:pPr>
    </w:p>
    <w:p w14:paraId="22064EFD"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Para efectos de lo dispuesto en el Reglamento las entidades de custodia deben:</w:t>
      </w:r>
    </w:p>
    <w:p w14:paraId="67111434" w14:textId="77777777" w:rsidR="00B83A10" w:rsidRPr="008B7FC3" w:rsidRDefault="00B83A10" w:rsidP="00B06721">
      <w:pPr>
        <w:jc w:val="both"/>
        <w:rPr>
          <w:rFonts w:ascii="Arial" w:hAnsi="Arial" w:cs="Arial"/>
          <w:color w:val="000000"/>
          <w:sz w:val="22"/>
          <w:szCs w:val="22"/>
          <w:lang w:val="es-CR"/>
        </w:rPr>
      </w:pPr>
    </w:p>
    <w:p w14:paraId="1540F5FF" w14:textId="77777777" w:rsidR="00BA0C12" w:rsidRPr="008B7FC3" w:rsidRDefault="00B83A10" w:rsidP="00B06721">
      <w:pPr>
        <w:numPr>
          <w:ilvl w:val="0"/>
          <w:numId w:val="3"/>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Realizar conciliaciones </w:t>
      </w:r>
      <w:r w:rsidRPr="008B7FC3">
        <w:rPr>
          <w:rFonts w:ascii="Arial" w:hAnsi="Arial" w:cs="Arial"/>
          <w:bCs/>
          <w:color w:val="000000"/>
          <w:sz w:val="22"/>
          <w:szCs w:val="22"/>
          <w:lang w:val="es-CR"/>
        </w:rPr>
        <w:t xml:space="preserve">automáticas </w:t>
      </w:r>
      <w:r w:rsidRPr="008B7FC3">
        <w:rPr>
          <w:rFonts w:ascii="Arial" w:hAnsi="Arial" w:cs="Arial"/>
          <w:color w:val="000000"/>
          <w:sz w:val="22"/>
          <w:szCs w:val="22"/>
          <w:lang w:val="es-CR"/>
        </w:rPr>
        <w:t>diarias para cada cuenta de valores (</w:t>
      </w:r>
      <w:r w:rsidRPr="008B7FC3">
        <w:rPr>
          <w:rFonts w:ascii="Arial" w:hAnsi="Arial" w:cs="Arial"/>
          <w:bCs/>
          <w:color w:val="000000"/>
          <w:sz w:val="22"/>
          <w:szCs w:val="22"/>
          <w:lang w:val="es-CR"/>
        </w:rPr>
        <w:t xml:space="preserve">por central de valores o custodio en el extranjero, </w:t>
      </w:r>
      <w:r w:rsidRPr="008B7FC3">
        <w:rPr>
          <w:rFonts w:ascii="Arial" w:hAnsi="Arial" w:cs="Arial"/>
          <w:color w:val="000000"/>
          <w:sz w:val="22"/>
          <w:szCs w:val="22"/>
          <w:lang w:val="es-CR"/>
        </w:rPr>
        <w:t>código ISIN, moneda y por estado de los valores: disponibles, bloqueados, dados en garantía MEDI, dados en garantía MIL y pignorados) según los registros internos, contra los registros individuales que mantengan en centrales de valores, y en custodios en el extranjero; que les permita identificar diferencias; las cuales se deben documentar y ajustar a más tardar el día hábil siguiente.</w:t>
      </w:r>
    </w:p>
    <w:p w14:paraId="7829E8B6" w14:textId="77777777" w:rsidR="00BA0C12" w:rsidRPr="008B7FC3" w:rsidRDefault="00BA0C12" w:rsidP="00B06721">
      <w:pPr>
        <w:ind w:left="567" w:hanging="567"/>
        <w:jc w:val="both"/>
        <w:rPr>
          <w:rFonts w:ascii="Arial" w:hAnsi="Arial" w:cs="Arial"/>
          <w:color w:val="000000"/>
          <w:sz w:val="22"/>
          <w:szCs w:val="22"/>
          <w:lang w:val="es-CR"/>
        </w:rPr>
      </w:pPr>
    </w:p>
    <w:p w14:paraId="7AD18D58" w14:textId="77777777" w:rsidR="00B83A10" w:rsidRPr="008B7FC3" w:rsidRDefault="00B83A10" w:rsidP="00B06721">
      <w:pPr>
        <w:numPr>
          <w:ilvl w:val="0"/>
          <w:numId w:val="3"/>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lastRenderedPageBreak/>
        <w:t xml:space="preserve">Realizar conciliaciones </w:t>
      </w:r>
      <w:r w:rsidRPr="008B7FC3">
        <w:rPr>
          <w:rFonts w:ascii="Arial" w:hAnsi="Arial" w:cs="Arial"/>
          <w:bCs/>
          <w:color w:val="000000"/>
          <w:sz w:val="22"/>
          <w:szCs w:val="22"/>
          <w:lang w:val="es-CR"/>
        </w:rPr>
        <w:t>automáticas</w:t>
      </w:r>
      <w:r w:rsidRPr="008B7FC3">
        <w:rPr>
          <w:rFonts w:ascii="Arial" w:hAnsi="Arial" w:cs="Arial"/>
          <w:color w:val="000000"/>
          <w:sz w:val="22"/>
          <w:szCs w:val="22"/>
          <w:lang w:val="es-CR"/>
        </w:rPr>
        <w:t xml:space="preserve"> diarias de efectivo, de los registros internos en el auxiliar contable (por moneda y estado del efectivo: disponible, bloqueado, en tránsito o pignorado) contra los registros en las cuentas de balance donde registran los movimientos de efectivo asociado a la custodia de valores, de manera que les permita identificar partidas conciliatorias, las cuales deben documentar y ajustar a más tardar el día hábil siguiente.</w:t>
      </w:r>
    </w:p>
    <w:p w14:paraId="5428534B" w14:textId="77777777" w:rsidR="00B83A10" w:rsidRPr="008B7FC3" w:rsidRDefault="00B83A10" w:rsidP="00B06721">
      <w:pPr>
        <w:jc w:val="both"/>
        <w:rPr>
          <w:rFonts w:ascii="Arial" w:hAnsi="Arial" w:cs="Arial"/>
          <w:color w:val="000000"/>
          <w:sz w:val="22"/>
          <w:szCs w:val="22"/>
          <w:lang w:val="es-CR"/>
        </w:rPr>
      </w:pPr>
    </w:p>
    <w:p w14:paraId="2A10347F"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 xml:space="preserve">Las conciliaciones deben estar disponibles, </w:t>
      </w:r>
      <w:r w:rsidRPr="008B7FC3">
        <w:rPr>
          <w:rFonts w:ascii="Arial" w:hAnsi="Arial" w:cs="Arial"/>
          <w:bCs/>
          <w:color w:val="000000"/>
          <w:sz w:val="22"/>
          <w:szCs w:val="22"/>
          <w:lang w:val="es-CR"/>
        </w:rPr>
        <w:t>con sus respectivos respaldos de los registros internos y de los registros de las centrales de valores o custodios en el extranjero, ya sea en papel o electrónico,</w:t>
      </w:r>
      <w:r w:rsidRPr="008B7FC3">
        <w:rPr>
          <w:rFonts w:ascii="Arial" w:hAnsi="Arial" w:cs="Arial"/>
          <w:color w:val="000000"/>
          <w:sz w:val="22"/>
          <w:szCs w:val="22"/>
          <w:lang w:val="es-CR"/>
        </w:rPr>
        <w:t xml:space="preserve"> para las revisiones de auditorías internas, externas y de las entidades reguladoras, por lo que deben ser archivadas de tal manera que su consulta se pueda realizar en forma ágil y deben mantenerse por un plazo no inferior a los últimos doce meses. Adicionalmente, las conciliaciones del último día hábil del mes deben mantenerse disponibles por el plazo de los siguientes cinco años.</w:t>
      </w:r>
    </w:p>
    <w:p w14:paraId="4ABAB438" w14:textId="77777777" w:rsidR="00B83A10" w:rsidRDefault="00B83A10" w:rsidP="00B06721">
      <w:pPr>
        <w:jc w:val="both"/>
        <w:rPr>
          <w:rFonts w:ascii="Arial" w:hAnsi="Arial" w:cs="Arial"/>
          <w:b/>
          <w:bCs/>
          <w:color w:val="000000"/>
          <w:sz w:val="22"/>
          <w:szCs w:val="22"/>
          <w:lang w:val="es-CR"/>
        </w:rPr>
      </w:pPr>
    </w:p>
    <w:p w14:paraId="77A09824" w14:textId="77777777" w:rsidR="008B7FC3" w:rsidRPr="008B7FC3" w:rsidRDefault="008B7FC3" w:rsidP="008B7FC3">
      <w:pPr>
        <w:jc w:val="both"/>
        <w:rPr>
          <w:rFonts w:ascii="Arial" w:hAnsi="Arial" w:cs="Arial"/>
          <w:b/>
          <w:bCs/>
          <w:sz w:val="22"/>
          <w:szCs w:val="22"/>
          <w:lang w:val="es-CR"/>
        </w:rPr>
      </w:pPr>
      <w:r w:rsidRPr="008B7FC3">
        <w:rPr>
          <w:rFonts w:ascii="Arial" w:hAnsi="Arial" w:cs="Arial"/>
          <w:b/>
          <w:bCs/>
          <w:sz w:val="22"/>
          <w:szCs w:val="22"/>
          <w:lang w:val="es-CR"/>
        </w:rPr>
        <w:t>Artículo 3.  Control interno</w:t>
      </w:r>
    </w:p>
    <w:p w14:paraId="66F98813" w14:textId="77777777" w:rsidR="008B7FC3" w:rsidRPr="008B7FC3" w:rsidRDefault="008B7FC3" w:rsidP="00B06721">
      <w:pPr>
        <w:jc w:val="both"/>
        <w:rPr>
          <w:rFonts w:ascii="Arial" w:hAnsi="Arial" w:cs="Arial"/>
          <w:b/>
          <w:bCs/>
          <w:color w:val="000000"/>
          <w:sz w:val="22"/>
          <w:szCs w:val="22"/>
          <w:lang w:val="es-CR"/>
        </w:rPr>
      </w:pPr>
    </w:p>
    <w:p w14:paraId="0DE6296E"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 xml:space="preserve">Para efectos de lo dispuesto en el Reglamento, las entidades de custodia deben implementar mecanismos de control interno, que </w:t>
      </w:r>
      <w:proofErr w:type="gramStart"/>
      <w:r w:rsidRPr="008B7FC3">
        <w:rPr>
          <w:rFonts w:ascii="Arial" w:hAnsi="Arial" w:cs="Arial"/>
          <w:color w:val="000000"/>
          <w:sz w:val="22"/>
          <w:szCs w:val="22"/>
          <w:lang w:val="es-CR"/>
        </w:rPr>
        <w:t>respondan  a</w:t>
      </w:r>
      <w:proofErr w:type="gramEnd"/>
      <w:r w:rsidRPr="008B7FC3">
        <w:rPr>
          <w:rFonts w:ascii="Arial" w:hAnsi="Arial" w:cs="Arial"/>
          <w:color w:val="000000"/>
          <w:sz w:val="22"/>
          <w:szCs w:val="22"/>
          <w:lang w:val="es-CR"/>
        </w:rPr>
        <w:t xml:space="preserve"> la complejidad del negocio y al volumen de las operaciones;  así como al nivel de riesgo asumido en la prestación de cada uno de los servicios. Entre los mecanismos debe considerar:</w:t>
      </w:r>
    </w:p>
    <w:p w14:paraId="51D02359" w14:textId="77777777" w:rsidR="00B83A10" w:rsidRPr="008B7FC3" w:rsidRDefault="00B83A10" w:rsidP="00B06721">
      <w:pPr>
        <w:jc w:val="both"/>
        <w:rPr>
          <w:rFonts w:ascii="Arial" w:hAnsi="Arial" w:cs="Arial"/>
          <w:color w:val="000000"/>
          <w:sz w:val="22"/>
          <w:szCs w:val="22"/>
          <w:lang w:val="es-CR"/>
        </w:rPr>
      </w:pPr>
    </w:p>
    <w:p w14:paraId="38E8E4A0" w14:textId="77777777" w:rsidR="00B83A10" w:rsidRPr="008B7FC3" w:rsidRDefault="00B83A10" w:rsidP="00B06721">
      <w:pPr>
        <w:numPr>
          <w:ilvl w:val="0"/>
          <w:numId w:val="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Políticas documentadas y </w:t>
      </w:r>
      <w:r w:rsidRPr="008B7FC3">
        <w:rPr>
          <w:rFonts w:ascii="Arial" w:hAnsi="Arial" w:cs="Arial"/>
          <w:sz w:val="22"/>
          <w:szCs w:val="22"/>
          <w:lang w:val="es-CR"/>
        </w:rPr>
        <w:t>aprobadas</w:t>
      </w:r>
      <w:r w:rsidRPr="008B7FC3">
        <w:rPr>
          <w:rFonts w:ascii="Arial" w:hAnsi="Arial" w:cs="Arial"/>
          <w:color w:val="000000"/>
          <w:sz w:val="22"/>
          <w:szCs w:val="22"/>
          <w:lang w:val="es-CR"/>
        </w:rPr>
        <w:t xml:space="preserve"> por la Junta Directiva o por el órgano equivalente, para cada uno de los servicios prestados y, las diferentes actividades y procesos asociados.</w:t>
      </w:r>
    </w:p>
    <w:p w14:paraId="5997990D" w14:textId="77777777" w:rsidR="00B83A10" w:rsidRPr="008B7FC3" w:rsidRDefault="00B83A10" w:rsidP="00B06721">
      <w:pPr>
        <w:numPr>
          <w:ilvl w:val="0"/>
          <w:numId w:val="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Separación de tareas y responsabilidades no compatibles.</w:t>
      </w:r>
    </w:p>
    <w:p w14:paraId="27D77A24" w14:textId="77777777" w:rsidR="00B83A10" w:rsidRPr="008B7FC3" w:rsidRDefault="00B83A10" w:rsidP="00B06721">
      <w:pPr>
        <w:numPr>
          <w:ilvl w:val="0"/>
          <w:numId w:val="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Evidencia suficiente, física o electrónica, de los movimientos y transacciones.</w:t>
      </w:r>
    </w:p>
    <w:p w14:paraId="10757892" w14:textId="77777777" w:rsidR="00B83A10" w:rsidRPr="008B7FC3" w:rsidRDefault="00BA0C12" w:rsidP="00B06721">
      <w:pPr>
        <w:numPr>
          <w:ilvl w:val="0"/>
          <w:numId w:val="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D</w:t>
      </w:r>
      <w:r w:rsidR="00B83A10" w:rsidRPr="008B7FC3">
        <w:rPr>
          <w:rFonts w:ascii="Arial" w:hAnsi="Arial" w:cs="Arial"/>
          <w:color w:val="000000"/>
          <w:sz w:val="22"/>
          <w:szCs w:val="22"/>
          <w:lang w:val="es-CR"/>
        </w:rPr>
        <w:t>efinición de los distintos niveles de control y supervisión, sobre todos los procesos que integran la actividad de custodia.</w:t>
      </w:r>
    </w:p>
    <w:p w14:paraId="059F2314" w14:textId="77777777" w:rsidR="00B83A10" w:rsidRPr="008B7FC3" w:rsidRDefault="00B83A10" w:rsidP="00B06721">
      <w:pPr>
        <w:numPr>
          <w:ilvl w:val="0"/>
          <w:numId w:val="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Oportunidad en el registro contable de las transacciones y eventos, de acuerdo con el momento en que fueron realizados, para cada tipo de transacción y por el estado (disponibles, bloqueados, dados en garantía MEDI, dados en garantía MIL y pignorados) que estos puedan presentar.</w:t>
      </w:r>
    </w:p>
    <w:p w14:paraId="451165EC" w14:textId="77777777" w:rsidR="00B83A10" w:rsidRPr="008B7FC3" w:rsidRDefault="00B83A10" w:rsidP="00B06721">
      <w:pPr>
        <w:numPr>
          <w:ilvl w:val="0"/>
          <w:numId w:val="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Auxiliares contables de acuerdo con el momento en que fueron realizadas las transacciones y con su estado (disponibles, bloqueados, dados en garantía MEDI, dados en garantía MIL y pignorados). </w:t>
      </w:r>
    </w:p>
    <w:p w14:paraId="477FD64A" w14:textId="77777777" w:rsidR="00B83A10" w:rsidRPr="008B7FC3" w:rsidRDefault="00B83A10" w:rsidP="00B06721">
      <w:pPr>
        <w:jc w:val="both"/>
        <w:rPr>
          <w:rFonts w:ascii="Arial" w:hAnsi="Arial" w:cs="Arial"/>
          <w:color w:val="000000"/>
          <w:sz w:val="22"/>
          <w:szCs w:val="22"/>
          <w:lang w:val="es-CR"/>
        </w:rPr>
      </w:pPr>
    </w:p>
    <w:p w14:paraId="0E4CC0A2"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 xml:space="preserve">Además, para efectos del servicio de control y liquidación de posiciones, sean estas </w:t>
      </w:r>
      <w:r w:rsidRPr="008B7FC3">
        <w:rPr>
          <w:rFonts w:ascii="Arial" w:hAnsi="Arial" w:cs="Arial"/>
          <w:bCs/>
          <w:color w:val="000000"/>
          <w:sz w:val="22"/>
          <w:szCs w:val="22"/>
          <w:lang w:val="es-CR"/>
        </w:rPr>
        <w:t>operaciones pendientes de liquidar de contado u operaciones a plazo</w:t>
      </w:r>
      <w:r w:rsidRPr="008B7FC3">
        <w:rPr>
          <w:rFonts w:ascii="Arial" w:hAnsi="Arial" w:cs="Arial"/>
          <w:color w:val="000000"/>
          <w:sz w:val="22"/>
          <w:szCs w:val="22"/>
          <w:lang w:val="es-CR"/>
        </w:rPr>
        <w:t>, las entidades de custodia deben considerar entre sus políticas como mínimo lo siguiente:</w:t>
      </w:r>
    </w:p>
    <w:p w14:paraId="3186C1F9" w14:textId="77777777" w:rsidR="00B83A10" w:rsidRPr="008B7FC3" w:rsidRDefault="00B83A10" w:rsidP="00B06721">
      <w:pPr>
        <w:jc w:val="both"/>
        <w:rPr>
          <w:rFonts w:ascii="Arial" w:hAnsi="Arial" w:cs="Arial"/>
          <w:bCs/>
          <w:color w:val="000000"/>
          <w:sz w:val="22"/>
          <w:szCs w:val="22"/>
          <w:lang w:val="es-CR"/>
        </w:rPr>
      </w:pPr>
    </w:p>
    <w:p w14:paraId="19CC2D00" w14:textId="77777777" w:rsidR="00B83A10" w:rsidRPr="008B7FC3" w:rsidRDefault="00B83A10" w:rsidP="00B06721">
      <w:pPr>
        <w:numPr>
          <w:ilvl w:val="0"/>
          <w:numId w:val="5"/>
        </w:numPr>
        <w:ind w:left="567" w:hanging="567"/>
        <w:jc w:val="both"/>
        <w:rPr>
          <w:rFonts w:ascii="Arial" w:hAnsi="Arial" w:cs="Arial"/>
          <w:bCs/>
          <w:color w:val="000000"/>
          <w:sz w:val="22"/>
          <w:szCs w:val="22"/>
          <w:lang w:val="es-CR"/>
        </w:rPr>
      </w:pPr>
      <w:r w:rsidRPr="008B7FC3">
        <w:rPr>
          <w:rFonts w:ascii="Arial" w:hAnsi="Arial" w:cs="Arial"/>
          <w:bCs/>
          <w:color w:val="000000"/>
          <w:sz w:val="22"/>
          <w:szCs w:val="22"/>
          <w:lang w:val="es-CR"/>
        </w:rPr>
        <w:t xml:space="preserve">Políticas de gestión del riesgo de crédito asociado al eventual incumplimiento de la obligación de entregar valores o pagar </w:t>
      </w:r>
      <w:proofErr w:type="gramStart"/>
      <w:r w:rsidRPr="008B7FC3">
        <w:rPr>
          <w:rFonts w:ascii="Arial" w:hAnsi="Arial" w:cs="Arial"/>
          <w:bCs/>
          <w:color w:val="000000"/>
          <w:sz w:val="22"/>
          <w:szCs w:val="22"/>
          <w:lang w:val="es-CR"/>
        </w:rPr>
        <w:t>efectivo  en</w:t>
      </w:r>
      <w:proofErr w:type="gramEnd"/>
      <w:r w:rsidRPr="008B7FC3">
        <w:rPr>
          <w:rFonts w:ascii="Arial" w:hAnsi="Arial" w:cs="Arial"/>
          <w:bCs/>
          <w:color w:val="000000"/>
          <w:sz w:val="22"/>
          <w:szCs w:val="22"/>
          <w:lang w:val="es-CR"/>
        </w:rPr>
        <w:t xml:space="preserve"> la liquidación final, las cuales deben considerar además, los aspectos operativos de los mecanismos de gestión de incidencias e incumplimientos establecidos por la Bolsa Nacional de Valores.</w:t>
      </w:r>
    </w:p>
    <w:p w14:paraId="48E70DAD" w14:textId="77777777" w:rsidR="00B83A10" w:rsidRPr="008B7FC3" w:rsidRDefault="00B83A10" w:rsidP="00B06721">
      <w:pPr>
        <w:numPr>
          <w:ilvl w:val="0"/>
          <w:numId w:val="5"/>
        </w:numPr>
        <w:ind w:left="567" w:hanging="567"/>
        <w:jc w:val="both"/>
        <w:rPr>
          <w:rFonts w:ascii="Arial" w:hAnsi="Arial" w:cs="Arial"/>
          <w:bCs/>
          <w:color w:val="000000"/>
          <w:sz w:val="22"/>
          <w:szCs w:val="22"/>
          <w:lang w:val="es-CR"/>
        </w:rPr>
      </w:pPr>
      <w:r w:rsidRPr="008B7FC3">
        <w:rPr>
          <w:rFonts w:ascii="Arial" w:hAnsi="Arial" w:cs="Arial"/>
          <w:bCs/>
          <w:color w:val="000000"/>
          <w:sz w:val="22"/>
          <w:szCs w:val="22"/>
          <w:lang w:val="es-CR"/>
        </w:rPr>
        <w:t>Tipos de valores aceptados para financiamiento de la liquidación.</w:t>
      </w:r>
    </w:p>
    <w:p w14:paraId="630473EC" w14:textId="77777777" w:rsidR="00B83A10" w:rsidRPr="008B7FC3" w:rsidRDefault="00B83A10" w:rsidP="00B06721">
      <w:pPr>
        <w:numPr>
          <w:ilvl w:val="0"/>
          <w:numId w:val="5"/>
        </w:numPr>
        <w:ind w:left="567" w:hanging="567"/>
        <w:jc w:val="both"/>
        <w:rPr>
          <w:rFonts w:ascii="Arial" w:hAnsi="Arial" w:cs="Arial"/>
          <w:bCs/>
          <w:color w:val="000000"/>
          <w:sz w:val="22"/>
          <w:szCs w:val="22"/>
          <w:lang w:val="es-CR"/>
        </w:rPr>
      </w:pPr>
      <w:r w:rsidRPr="008B7FC3">
        <w:rPr>
          <w:rFonts w:ascii="Arial" w:hAnsi="Arial" w:cs="Arial"/>
          <w:bCs/>
          <w:color w:val="000000"/>
          <w:sz w:val="22"/>
          <w:szCs w:val="22"/>
          <w:lang w:val="es-CR"/>
        </w:rPr>
        <w:t xml:space="preserve">Administración de garantías adicionales. </w:t>
      </w:r>
    </w:p>
    <w:p w14:paraId="3CE008EA" w14:textId="77777777" w:rsidR="00B83A10" w:rsidRPr="008B7FC3" w:rsidRDefault="00B83A10" w:rsidP="00B06721">
      <w:pPr>
        <w:numPr>
          <w:ilvl w:val="0"/>
          <w:numId w:val="5"/>
        </w:numPr>
        <w:ind w:left="567" w:hanging="567"/>
        <w:jc w:val="both"/>
        <w:rPr>
          <w:rFonts w:ascii="Arial" w:hAnsi="Arial" w:cs="Arial"/>
          <w:bCs/>
          <w:color w:val="000000"/>
          <w:sz w:val="22"/>
          <w:szCs w:val="22"/>
          <w:lang w:val="es-CR"/>
        </w:rPr>
      </w:pPr>
      <w:r w:rsidRPr="008B7FC3">
        <w:rPr>
          <w:rFonts w:ascii="Arial" w:hAnsi="Arial" w:cs="Arial"/>
          <w:bCs/>
          <w:color w:val="000000"/>
          <w:sz w:val="22"/>
          <w:szCs w:val="22"/>
          <w:lang w:val="es-CR"/>
        </w:rPr>
        <w:t>Procedimiento de cobro en caso de incumplimiento en cualquiera de las obligaciones por parte del cliente.</w:t>
      </w:r>
    </w:p>
    <w:p w14:paraId="79C2CD39" w14:textId="77777777" w:rsidR="00B83A10" w:rsidRPr="008B7FC3" w:rsidRDefault="00B83A10" w:rsidP="00B06721">
      <w:pPr>
        <w:numPr>
          <w:ilvl w:val="0"/>
          <w:numId w:val="5"/>
        </w:numPr>
        <w:ind w:left="567" w:hanging="567"/>
        <w:jc w:val="both"/>
        <w:rPr>
          <w:rFonts w:ascii="Arial" w:hAnsi="Arial" w:cs="Arial"/>
          <w:bCs/>
          <w:color w:val="000000"/>
          <w:sz w:val="22"/>
          <w:szCs w:val="22"/>
          <w:lang w:val="es-CR"/>
        </w:rPr>
      </w:pPr>
      <w:r w:rsidRPr="008B7FC3">
        <w:rPr>
          <w:rFonts w:ascii="Arial" w:hAnsi="Arial" w:cs="Arial"/>
          <w:bCs/>
          <w:color w:val="000000"/>
          <w:sz w:val="22"/>
          <w:szCs w:val="22"/>
          <w:lang w:val="es-CR"/>
        </w:rPr>
        <w:lastRenderedPageBreak/>
        <w:t>Procedimiento para la ejecución de garantías en caso de incumplimientos de pago por parte del cliente.</w:t>
      </w:r>
    </w:p>
    <w:p w14:paraId="41480A34" w14:textId="77777777" w:rsidR="008B7FC3" w:rsidRDefault="008B7FC3" w:rsidP="008B7FC3">
      <w:pPr>
        <w:jc w:val="both"/>
        <w:rPr>
          <w:rFonts w:ascii="Century Gothic" w:hAnsi="Century Gothic" w:cs="Arial"/>
          <w:b/>
          <w:bCs/>
          <w:sz w:val="22"/>
          <w:szCs w:val="22"/>
          <w:lang w:val="es-CR"/>
        </w:rPr>
      </w:pPr>
    </w:p>
    <w:p w14:paraId="03BC4888" w14:textId="77777777" w:rsidR="008B7FC3" w:rsidRPr="008B7FC3" w:rsidRDefault="008B7FC3" w:rsidP="008B7FC3">
      <w:pPr>
        <w:jc w:val="both"/>
        <w:rPr>
          <w:rFonts w:ascii="Century Gothic" w:hAnsi="Century Gothic" w:cs="Arial"/>
          <w:b/>
          <w:lang w:val="es-CR"/>
        </w:rPr>
      </w:pPr>
      <w:r w:rsidRPr="008B7FC3">
        <w:rPr>
          <w:rFonts w:ascii="Century Gothic" w:hAnsi="Century Gothic" w:cs="Arial"/>
          <w:b/>
          <w:bCs/>
          <w:sz w:val="22"/>
          <w:szCs w:val="22"/>
          <w:lang w:val="es-CR"/>
        </w:rPr>
        <w:t xml:space="preserve">Artículo 4.  Requerimientos de tecnología de información </w:t>
      </w:r>
    </w:p>
    <w:p w14:paraId="69374280" w14:textId="77777777" w:rsidR="00C2496F" w:rsidRPr="008B7FC3" w:rsidRDefault="00C2496F" w:rsidP="00B06721">
      <w:pPr>
        <w:jc w:val="both"/>
        <w:rPr>
          <w:rFonts w:ascii="Arial" w:hAnsi="Arial" w:cs="Arial"/>
          <w:b/>
          <w:bCs/>
          <w:color w:val="000000"/>
          <w:sz w:val="22"/>
          <w:szCs w:val="22"/>
          <w:lang w:val="es-CR"/>
        </w:rPr>
      </w:pPr>
    </w:p>
    <w:p w14:paraId="07FF1214"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Para efectos de lo dispuesto en el Reglamento, en relación con el sistema informático de registro de los valores custodiados y del efectivo asociado, las entidades de custodia deben cumplir con lo establecido en el SGV-A-124 Acuerdo sobre requerimientos mínimos de tecnología de la información (TI).</w:t>
      </w:r>
    </w:p>
    <w:p w14:paraId="5F653A1E" w14:textId="77777777" w:rsidR="00B83A10" w:rsidRDefault="00B83A10" w:rsidP="00B06721">
      <w:pPr>
        <w:jc w:val="both"/>
        <w:rPr>
          <w:rFonts w:ascii="Arial" w:hAnsi="Arial" w:cs="Arial"/>
          <w:b/>
          <w:bCs/>
          <w:color w:val="000000"/>
          <w:sz w:val="22"/>
          <w:szCs w:val="22"/>
          <w:lang w:val="es-CR"/>
        </w:rPr>
      </w:pPr>
    </w:p>
    <w:p w14:paraId="49737B39" w14:textId="77777777" w:rsidR="00026A9D" w:rsidRPr="00026A9D" w:rsidRDefault="00026A9D" w:rsidP="00026A9D">
      <w:pPr>
        <w:jc w:val="both"/>
        <w:rPr>
          <w:rFonts w:ascii="Arial" w:hAnsi="Arial" w:cs="Arial"/>
          <w:b/>
          <w:bCs/>
          <w:sz w:val="22"/>
          <w:szCs w:val="22"/>
          <w:lang w:val="es-CR"/>
        </w:rPr>
      </w:pPr>
      <w:r w:rsidRPr="00026A9D">
        <w:rPr>
          <w:rFonts w:ascii="Arial" w:hAnsi="Arial" w:cs="Arial"/>
          <w:b/>
          <w:bCs/>
          <w:sz w:val="22"/>
          <w:szCs w:val="22"/>
          <w:lang w:val="es-CR"/>
        </w:rPr>
        <w:t xml:space="preserve">Artículo 5.  Plan de cese de operaciones en caso de </w:t>
      </w:r>
      <w:proofErr w:type="spellStart"/>
      <w:r w:rsidRPr="00026A9D">
        <w:rPr>
          <w:rFonts w:ascii="Arial" w:hAnsi="Arial" w:cs="Arial"/>
          <w:b/>
          <w:bCs/>
          <w:sz w:val="22"/>
          <w:szCs w:val="22"/>
          <w:lang w:val="es-CR"/>
        </w:rPr>
        <w:t>desinscripción</w:t>
      </w:r>
      <w:proofErr w:type="spellEnd"/>
      <w:r w:rsidRPr="00026A9D">
        <w:rPr>
          <w:rFonts w:ascii="Arial" w:hAnsi="Arial" w:cs="Arial"/>
          <w:b/>
          <w:bCs/>
          <w:sz w:val="22"/>
          <w:szCs w:val="22"/>
          <w:lang w:val="es-CR"/>
        </w:rPr>
        <w:t xml:space="preserve"> de una entidad de custodia </w:t>
      </w:r>
    </w:p>
    <w:p w14:paraId="6E4B09E1" w14:textId="77777777" w:rsidR="005F5822" w:rsidRPr="008B7FC3" w:rsidRDefault="005F5822" w:rsidP="00B06721">
      <w:pPr>
        <w:jc w:val="both"/>
        <w:rPr>
          <w:rFonts w:ascii="Arial" w:hAnsi="Arial" w:cs="Arial"/>
          <w:color w:val="000000"/>
          <w:sz w:val="22"/>
          <w:szCs w:val="22"/>
          <w:lang w:val="es-CR"/>
        </w:rPr>
      </w:pPr>
    </w:p>
    <w:p w14:paraId="4FC6E437"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 xml:space="preserve">Para efectos de lo dispuesto en el Reglamento con respecto a la </w:t>
      </w:r>
      <w:proofErr w:type="spellStart"/>
      <w:r w:rsidRPr="008B7FC3">
        <w:rPr>
          <w:rFonts w:ascii="Arial" w:hAnsi="Arial" w:cs="Arial"/>
          <w:color w:val="000000"/>
          <w:sz w:val="22"/>
          <w:szCs w:val="22"/>
          <w:lang w:val="es-CR"/>
        </w:rPr>
        <w:t>desinscripción</w:t>
      </w:r>
      <w:proofErr w:type="spellEnd"/>
      <w:r w:rsidRPr="008B7FC3">
        <w:rPr>
          <w:rFonts w:ascii="Arial" w:hAnsi="Arial" w:cs="Arial"/>
          <w:color w:val="000000"/>
          <w:sz w:val="22"/>
          <w:szCs w:val="22"/>
          <w:lang w:val="es-CR"/>
        </w:rPr>
        <w:t xml:space="preserve"> como entidad de custodia, esta debe presentar a la Superintendencia General de Valores un plan de cese del servicio firmado por el representante legal, que contenga un cronograma con el detalle de las actividades a ejecutar, entre las cuales se debe considerar:</w:t>
      </w:r>
    </w:p>
    <w:p w14:paraId="1C2DE5FA" w14:textId="77777777" w:rsidR="00B83A10" w:rsidRPr="008B7FC3" w:rsidRDefault="00B83A10" w:rsidP="00B06721">
      <w:pPr>
        <w:jc w:val="both"/>
        <w:rPr>
          <w:rFonts w:ascii="Arial" w:hAnsi="Arial" w:cs="Arial"/>
          <w:color w:val="000000"/>
          <w:sz w:val="22"/>
          <w:szCs w:val="22"/>
          <w:lang w:val="es-CR"/>
        </w:rPr>
      </w:pPr>
    </w:p>
    <w:p w14:paraId="27DC730D" w14:textId="77777777" w:rsidR="002102DB" w:rsidRPr="008B7FC3" w:rsidRDefault="00B83A10" w:rsidP="006C0BBB">
      <w:pPr>
        <w:numPr>
          <w:ilvl w:val="0"/>
          <w:numId w:val="6"/>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La notificación a los titulares de los valores y el efectivo asociado sobre el proceso de cese del servicio de custodia y la </w:t>
      </w:r>
      <w:proofErr w:type="spellStart"/>
      <w:r w:rsidRPr="008B7FC3">
        <w:rPr>
          <w:rFonts w:ascii="Arial" w:hAnsi="Arial" w:cs="Arial"/>
          <w:color w:val="000000"/>
          <w:sz w:val="22"/>
          <w:szCs w:val="22"/>
          <w:lang w:val="es-CR"/>
        </w:rPr>
        <w:t>desinscripción</w:t>
      </w:r>
      <w:proofErr w:type="spellEnd"/>
      <w:r w:rsidRPr="008B7FC3">
        <w:rPr>
          <w:rFonts w:ascii="Arial" w:hAnsi="Arial" w:cs="Arial"/>
          <w:color w:val="000000"/>
          <w:sz w:val="22"/>
          <w:szCs w:val="22"/>
          <w:lang w:val="es-CR"/>
        </w:rPr>
        <w:t xml:space="preserve"> de la entidad como custodio.</w:t>
      </w:r>
    </w:p>
    <w:p w14:paraId="4F367B49" w14:textId="77777777" w:rsidR="002102DB" w:rsidRPr="008B7FC3" w:rsidRDefault="00B83A10" w:rsidP="006C0BBB">
      <w:pPr>
        <w:numPr>
          <w:ilvl w:val="0"/>
          <w:numId w:val="6"/>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La ejecución de las instrucciones emitidas por los titulares para el traspaso de los valores y el efectivo en custodia; así como de las posiciones abiertas </w:t>
      </w:r>
      <w:r w:rsidRPr="008B7FC3">
        <w:rPr>
          <w:rFonts w:ascii="Arial" w:hAnsi="Arial" w:cs="Arial"/>
          <w:bCs/>
          <w:color w:val="000000"/>
          <w:sz w:val="22"/>
          <w:szCs w:val="22"/>
          <w:lang w:val="es-CR"/>
        </w:rPr>
        <w:t>a plazo</w:t>
      </w:r>
      <w:r w:rsidRPr="008B7FC3">
        <w:rPr>
          <w:rFonts w:ascii="Arial" w:hAnsi="Arial" w:cs="Arial"/>
          <w:color w:val="000000"/>
          <w:sz w:val="22"/>
          <w:szCs w:val="22"/>
          <w:lang w:val="es-CR"/>
        </w:rPr>
        <w:t>, cuando corresponda.</w:t>
      </w:r>
    </w:p>
    <w:p w14:paraId="782476E2" w14:textId="77777777" w:rsidR="00B83A10" w:rsidRPr="008B7FC3" w:rsidRDefault="00B83A10" w:rsidP="006C0BBB">
      <w:pPr>
        <w:numPr>
          <w:ilvl w:val="0"/>
          <w:numId w:val="6"/>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La firma de un finiquito con los titulares. </w:t>
      </w:r>
    </w:p>
    <w:p w14:paraId="29F1B45D" w14:textId="77777777" w:rsidR="00B83A10" w:rsidRPr="008B7FC3" w:rsidRDefault="00B83A10" w:rsidP="00B06721">
      <w:pPr>
        <w:jc w:val="both"/>
        <w:rPr>
          <w:rFonts w:ascii="Arial" w:hAnsi="Arial" w:cs="Arial"/>
          <w:color w:val="000000"/>
          <w:sz w:val="22"/>
          <w:szCs w:val="22"/>
          <w:lang w:val="es-CR"/>
        </w:rPr>
      </w:pPr>
    </w:p>
    <w:p w14:paraId="38A11BCB"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Dicho plan debe adjuntar lo siguiente:</w:t>
      </w:r>
    </w:p>
    <w:p w14:paraId="17B40394" w14:textId="77777777" w:rsidR="00B83A10" w:rsidRPr="008B7FC3" w:rsidRDefault="00B83A10" w:rsidP="00B06721">
      <w:pPr>
        <w:jc w:val="both"/>
        <w:rPr>
          <w:rFonts w:ascii="Arial" w:hAnsi="Arial" w:cs="Arial"/>
          <w:color w:val="000000"/>
          <w:sz w:val="22"/>
          <w:szCs w:val="22"/>
          <w:lang w:val="es-CR"/>
        </w:rPr>
      </w:pPr>
    </w:p>
    <w:p w14:paraId="6FFA0D85" w14:textId="77777777" w:rsidR="00B83A10" w:rsidRPr="008B7FC3" w:rsidRDefault="00B83A10" w:rsidP="006C0BBB">
      <w:pPr>
        <w:numPr>
          <w:ilvl w:val="0"/>
          <w:numId w:val="7"/>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Borrador de la nota que se enviará a los titulares informándoles sobre el proceso de </w:t>
      </w:r>
      <w:proofErr w:type="spellStart"/>
      <w:r w:rsidRPr="008B7FC3">
        <w:rPr>
          <w:rFonts w:ascii="Arial" w:hAnsi="Arial" w:cs="Arial"/>
          <w:color w:val="000000"/>
          <w:sz w:val="22"/>
          <w:szCs w:val="22"/>
          <w:lang w:val="es-CR"/>
        </w:rPr>
        <w:t>desinscripción</w:t>
      </w:r>
      <w:proofErr w:type="spellEnd"/>
      <w:r w:rsidRPr="008B7FC3">
        <w:rPr>
          <w:rFonts w:ascii="Arial" w:hAnsi="Arial" w:cs="Arial"/>
          <w:color w:val="000000"/>
          <w:sz w:val="22"/>
          <w:szCs w:val="22"/>
          <w:lang w:val="es-CR"/>
        </w:rPr>
        <w:t xml:space="preserve"> de la entidad de custodia, y que indique al menos:</w:t>
      </w:r>
    </w:p>
    <w:p w14:paraId="66E58F77" w14:textId="77777777" w:rsidR="00B83A10" w:rsidRPr="008B7FC3" w:rsidRDefault="00B83A10" w:rsidP="00B06721">
      <w:pPr>
        <w:jc w:val="both"/>
        <w:rPr>
          <w:rFonts w:ascii="Arial" w:hAnsi="Arial" w:cs="Arial"/>
          <w:color w:val="000000"/>
          <w:sz w:val="22"/>
          <w:szCs w:val="22"/>
          <w:lang w:val="es-CR"/>
        </w:rPr>
      </w:pPr>
    </w:p>
    <w:p w14:paraId="0FBDB4A8" w14:textId="77777777" w:rsidR="002102DB" w:rsidRPr="008B7FC3" w:rsidRDefault="00B83A10" w:rsidP="006C0BBB">
      <w:pPr>
        <w:numPr>
          <w:ilvl w:val="0"/>
          <w:numId w:val="8"/>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El plazo máximo de recepción para las instrucciones de traslado de valores o de posiciones abiertas </w:t>
      </w:r>
      <w:r w:rsidRPr="008B7FC3">
        <w:rPr>
          <w:rFonts w:ascii="Arial" w:hAnsi="Arial" w:cs="Arial"/>
          <w:bCs/>
          <w:color w:val="000000"/>
          <w:sz w:val="22"/>
          <w:szCs w:val="22"/>
          <w:lang w:val="es-CR"/>
        </w:rPr>
        <w:t>a plazo</w:t>
      </w:r>
      <w:r w:rsidRPr="008B7FC3">
        <w:rPr>
          <w:rFonts w:ascii="Arial" w:hAnsi="Arial" w:cs="Arial"/>
          <w:color w:val="000000"/>
          <w:sz w:val="22"/>
          <w:szCs w:val="22"/>
          <w:lang w:val="es-CR"/>
        </w:rPr>
        <w:t>. Este plazo no puede ser menor a veinte días hábiles contados a partir de la fecha de recepción de la nota por parte del titular.</w:t>
      </w:r>
    </w:p>
    <w:p w14:paraId="7BC83E22" w14:textId="77777777" w:rsidR="00B83A10" w:rsidRPr="008B7FC3" w:rsidRDefault="00B83A10" w:rsidP="006C0BBB">
      <w:pPr>
        <w:numPr>
          <w:ilvl w:val="0"/>
          <w:numId w:val="8"/>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El plazo definido por la entidad de custodia para ejecutar las instrucciones, el cual no puede ser mayor a cinco días hábiles contados a partir de la fecha de recepción de la instrucción.</w:t>
      </w:r>
    </w:p>
    <w:p w14:paraId="4C04ABE4" w14:textId="77777777" w:rsidR="00B83A10" w:rsidRPr="008B7FC3" w:rsidRDefault="00B83A10" w:rsidP="00B06721">
      <w:pPr>
        <w:jc w:val="both"/>
        <w:rPr>
          <w:rFonts w:ascii="Arial" w:hAnsi="Arial" w:cs="Arial"/>
          <w:color w:val="000000"/>
          <w:sz w:val="22"/>
          <w:szCs w:val="22"/>
          <w:lang w:val="es-CR"/>
        </w:rPr>
      </w:pPr>
    </w:p>
    <w:p w14:paraId="6A43284F" w14:textId="77777777" w:rsidR="00B83A10" w:rsidRPr="008B7FC3" w:rsidRDefault="00B83A10" w:rsidP="006C0BBB">
      <w:pPr>
        <w:numPr>
          <w:ilvl w:val="0"/>
          <w:numId w:val="7"/>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Indicación sobre el plazo máximo estimado en el que se hará entrega a los titulares la nota indicada en el punto 1, en la que se informa sobre el proceso de </w:t>
      </w:r>
      <w:proofErr w:type="spellStart"/>
      <w:r w:rsidRPr="008B7FC3">
        <w:rPr>
          <w:rFonts w:ascii="Arial" w:hAnsi="Arial" w:cs="Arial"/>
          <w:color w:val="000000"/>
          <w:sz w:val="22"/>
          <w:szCs w:val="22"/>
          <w:lang w:val="es-CR"/>
        </w:rPr>
        <w:t>desinscripción</w:t>
      </w:r>
      <w:proofErr w:type="spellEnd"/>
      <w:r w:rsidRPr="008B7FC3">
        <w:rPr>
          <w:rFonts w:ascii="Arial" w:hAnsi="Arial" w:cs="Arial"/>
          <w:color w:val="000000"/>
          <w:sz w:val="22"/>
          <w:szCs w:val="22"/>
          <w:lang w:val="es-CR"/>
        </w:rPr>
        <w:t xml:space="preserve"> de la entidad de custodia. </w:t>
      </w:r>
    </w:p>
    <w:p w14:paraId="2D6E60C7" w14:textId="77777777" w:rsidR="00F85DCA" w:rsidRPr="008B7FC3" w:rsidRDefault="00F85DCA" w:rsidP="00B06721">
      <w:pPr>
        <w:ind w:left="720"/>
        <w:jc w:val="both"/>
        <w:rPr>
          <w:rFonts w:ascii="Arial" w:hAnsi="Arial" w:cs="Arial"/>
          <w:color w:val="000000"/>
          <w:sz w:val="22"/>
          <w:szCs w:val="22"/>
          <w:lang w:val="es-CR"/>
        </w:rPr>
      </w:pPr>
    </w:p>
    <w:p w14:paraId="7E83725A" w14:textId="77777777" w:rsidR="00B83A10" w:rsidRPr="008B7FC3" w:rsidRDefault="00B83A10" w:rsidP="006C0BBB">
      <w:pPr>
        <w:numPr>
          <w:ilvl w:val="0"/>
          <w:numId w:val="7"/>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Un detalle de las centrales de valores y custodios en el extranjero con los que mantiene </w:t>
      </w:r>
      <w:proofErr w:type="gramStart"/>
      <w:r w:rsidRPr="008B7FC3">
        <w:rPr>
          <w:rFonts w:ascii="Arial" w:hAnsi="Arial" w:cs="Arial"/>
          <w:color w:val="000000"/>
          <w:sz w:val="22"/>
          <w:szCs w:val="22"/>
          <w:lang w:val="es-CR"/>
        </w:rPr>
        <w:t>suscrito contratos</w:t>
      </w:r>
      <w:proofErr w:type="gramEnd"/>
      <w:r w:rsidRPr="008B7FC3">
        <w:rPr>
          <w:rFonts w:ascii="Arial" w:hAnsi="Arial" w:cs="Arial"/>
          <w:color w:val="000000"/>
          <w:sz w:val="22"/>
          <w:szCs w:val="22"/>
          <w:lang w:val="es-CR"/>
        </w:rPr>
        <w:t xml:space="preserve"> de custodia.</w:t>
      </w:r>
    </w:p>
    <w:p w14:paraId="13C6F284" w14:textId="77777777" w:rsidR="00B83A10" w:rsidRPr="008B7FC3" w:rsidRDefault="00B83A10" w:rsidP="006C0BBB">
      <w:pPr>
        <w:ind w:left="567" w:hanging="567"/>
        <w:jc w:val="both"/>
        <w:rPr>
          <w:rFonts w:ascii="Arial" w:hAnsi="Arial" w:cs="Arial"/>
          <w:color w:val="000000"/>
          <w:sz w:val="22"/>
          <w:szCs w:val="22"/>
          <w:lang w:val="es-CR"/>
        </w:rPr>
      </w:pPr>
    </w:p>
    <w:p w14:paraId="52526355" w14:textId="77777777" w:rsidR="00B83A10" w:rsidRPr="008B7FC3" w:rsidRDefault="00B83A10" w:rsidP="006C0BBB">
      <w:pPr>
        <w:numPr>
          <w:ilvl w:val="0"/>
          <w:numId w:val="7"/>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Un borrador del finiquito que se firmará con los titulares.</w:t>
      </w:r>
    </w:p>
    <w:p w14:paraId="3DB98241" w14:textId="77777777" w:rsidR="00B83A10" w:rsidRPr="008B7FC3" w:rsidRDefault="00B83A10" w:rsidP="00B06721">
      <w:pPr>
        <w:jc w:val="both"/>
        <w:rPr>
          <w:rFonts w:ascii="Arial" w:hAnsi="Arial" w:cs="Arial"/>
          <w:color w:val="000000"/>
          <w:sz w:val="22"/>
          <w:szCs w:val="22"/>
          <w:lang w:val="es-CR"/>
        </w:rPr>
      </w:pPr>
    </w:p>
    <w:p w14:paraId="10C6D14E"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 xml:space="preserve">Una vez comprobado el cumplimiento de todos los requisitos establecidos en el Reglamento y en el presente Acuerdo, la Superintendencia General de Valores autorizará </w:t>
      </w:r>
      <w:r w:rsidRPr="008B7FC3">
        <w:rPr>
          <w:rFonts w:ascii="Arial" w:hAnsi="Arial" w:cs="Arial"/>
          <w:color w:val="000000"/>
          <w:sz w:val="22"/>
          <w:szCs w:val="22"/>
          <w:lang w:val="es-CR"/>
        </w:rPr>
        <w:lastRenderedPageBreak/>
        <w:t xml:space="preserve">mediante oficio, el inicio del proceso de </w:t>
      </w:r>
      <w:proofErr w:type="spellStart"/>
      <w:r w:rsidRPr="008B7FC3">
        <w:rPr>
          <w:rFonts w:ascii="Arial" w:hAnsi="Arial" w:cs="Arial"/>
          <w:color w:val="000000"/>
          <w:sz w:val="22"/>
          <w:szCs w:val="22"/>
          <w:lang w:val="es-CR"/>
        </w:rPr>
        <w:t>desinscripción</w:t>
      </w:r>
      <w:proofErr w:type="spellEnd"/>
      <w:r w:rsidRPr="008B7FC3">
        <w:rPr>
          <w:rFonts w:ascii="Arial" w:hAnsi="Arial" w:cs="Arial"/>
          <w:color w:val="000000"/>
          <w:sz w:val="22"/>
          <w:szCs w:val="22"/>
          <w:lang w:val="es-CR"/>
        </w:rPr>
        <w:t xml:space="preserve"> de la entidad de custodia.  La ejecución del traspaso de los valores y el efectivo asociado; así como de las posiciones abiertas a plazo debe iniciar en un plazo máximo de tres días hábiles contados a partir del día hábil siguiente a la recepción del oficio de autorización.</w:t>
      </w:r>
    </w:p>
    <w:p w14:paraId="36586112" w14:textId="77777777" w:rsidR="00B83A10" w:rsidRPr="008B7FC3" w:rsidRDefault="00B83A10" w:rsidP="00B06721">
      <w:pPr>
        <w:jc w:val="both"/>
        <w:rPr>
          <w:rFonts w:ascii="Arial" w:hAnsi="Arial" w:cs="Arial"/>
          <w:color w:val="000000"/>
          <w:sz w:val="22"/>
          <w:szCs w:val="22"/>
          <w:lang w:val="es-CR"/>
        </w:rPr>
      </w:pPr>
    </w:p>
    <w:p w14:paraId="7790D12B"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 xml:space="preserve">En caso de que la entidad de custodia no haya recibido instrucciones por parte de los titulares, o estos últimos no hubiesen podido ser ubicados, dicha entidad </w:t>
      </w:r>
      <w:proofErr w:type="gramStart"/>
      <w:r w:rsidRPr="008B7FC3">
        <w:rPr>
          <w:rFonts w:ascii="Arial" w:hAnsi="Arial" w:cs="Arial"/>
          <w:color w:val="000000"/>
          <w:sz w:val="22"/>
          <w:szCs w:val="22"/>
          <w:lang w:val="es-CR"/>
        </w:rPr>
        <w:t>deberá  suscribir</w:t>
      </w:r>
      <w:proofErr w:type="gramEnd"/>
      <w:r w:rsidRPr="008B7FC3">
        <w:rPr>
          <w:rFonts w:ascii="Arial" w:hAnsi="Arial" w:cs="Arial"/>
          <w:color w:val="000000"/>
          <w:sz w:val="22"/>
          <w:szCs w:val="22"/>
          <w:lang w:val="es-CR"/>
        </w:rPr>
        <w:t xml:space="preserve"> un contrato con otra entidad de custodia autorizada para trasladar los valores, el efectivo asociado y de las posiciones abiertas </w:t>
      </w:r>
      <w:r w:rsidRPr="008B7FC3">
        <w:rPr>
          <w:rFonts w:ascii="Arial" w:hAnsi="Arial" w:cs="Arial"/>
          <w:bCs/>
          <w:color w:val="000000"/>
          <w:sz w:val="22"/>
          <w:szCs w:val="22"/>
          <w:lang w:val="es-CR"/>
        </w:rPr>
        <w:t>a plazo</w:t>
      </w:r>
      <w:r w:rsidRPr="008B7FC3">
        <w:rPr>
          <w:rFonts w:ascii="Arial" w:hAnsi="Arial" w:cs="Arial"/>
          <w:color w:val="000000"/>
          <w:sz w:val="22"/>
          <w:szCs w:val="22"/>
          <w:lang w:val="es-CR"/>
        </w:rPr>
        <w:t xml:space="preserve">. </w:t>
      </w:r>
    </w:p>
    <w:p w14:paraId="09B55277" w14:textId="77777777" w:rsidR="00B83A10" w:rsidRPr="008B7FC3" w:rsidRDefault="00B83A10" w:rsidP="00B06721">
      <w:pPr>
        <w:jc w:val="both"/>
        <w:rPr>
          <w:rFonts w:ascii="Arial" w:hAnsi="Arial" w:cs="Arial"/>
          <w:color w:val="000000"/>
          <w:sz w:val="22"/>
          <w:szCs w:val="22"/>
          <w:lang w:val="es-CR"/>
        </w:rPr>
      </w:pPr>
    </w:p>
    <w:p w14:paraId="0C294BD1"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 xml:space="preserve">En el caso de clientes que no hubiesen podido ser ubicados, la entidad de custodia que se </w:t>
      </w:r>
      <w:proofErr w:type="spellStart"/>
      <w:r w:rsidRPr="008B7FC3">
        <w:rPr>
          <w:rFonts w:ascii="Arial" w:hAnsi="Arial" w:cs="Arial"/>
          <w:color w:val="000000"/>
          <w:sz w:val="22"/>
          <w:szCs w:val="22"/>
          <w:lang w:val="es-CR"/>
        </w:rPr>
        <w:t>desinscribe</w:t>
      </w:r>
      <w:proofErr w:type="spellEnd"/>
      <w:r w:rsidRPr="008B7FC3">
        <w:rPr>
          <w:rFonts w:ascii="Arial" w:hAnsi="Arial" w:cs="Arial"/>
          <w:color w:val="000000"/>
          <w:sz w:val="22"/>
          <w:szCs w:val="22"/>
          <w:lang w:val="es-CR"/>
        </w:rPr>
        <w:t xml:space="preserve"> deberá demostrar la gestión realizada para tratar de contactarlos.</w:t>
      </w:r>
    </w:p>
    <w:p w14:paraId="274E4753" w14:textId="77777777" w:rsidR="00B83A10" w:rsidRPr="008B7FC3" w:rsidRDefault="00B83A10" w:rsidP="00B06721">
      <w:pPr>
        <w:jc w:val="both"/>
        <w:rPr>
          <w:rFonts w:ascii="Arial" w:hAnsi="Arial" w:cs="Arial"/>
          <w:color w:val="000000"/>
          <w:sz w:val="22"/>
          <w:szCs w:val="22"/>
          <w:lang w:val="es-CR"/>
        </w:rPr>
      </w:pPr>
    </w:p>
    <w:p w14:paraId="0113100D"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 xml:space="preserve">Concluidas las actividades detalladas en el plan de cese y el traspaso de los valores, el efectivo asociado y las posiciones abiertas </w:t>
      </w:r>
      <w:r w:rsidRPr="008B7FC3">
        <w:rPr>
          <w:rFonts w:ascii="Arial" w:hAnsi="Arial" w:cs="Arial"/>
          <w:bCs/>
          <w:color w:val="000000"/>
          <w:sz w:val="22"/>
          <w:szCs w:val="22"/>
          <w:lang w:val="es-CR"/>
        </w:rPr>
        <w:t>a plazo</w:t>
      </w:r>
      <w:r w:rsidRPr="008B7FC3">
        <w:rPr>
          <w:rFonts w:ascii="Arial" w:hAnsi="Arial" w:cs="Arial"/>
          <w:color w:val="000000"/>
          <w:sz w:val="22"/>
          <w:szCs w:val="22"/>
          <w:lang w:val="es-CR"/>
        </w:rPr>
        <w:t xml:space="preserve">, la entidad de custodia deberá presentar en un plazo de 10 días hábiles a la Superintendencia General de Valores los siguientes requisitos finales de </w:t>
      </w:r>
      <w:proofErr w:type="spellStart"/>
      <w:r w:rsidRPr="008B7FC3">
        <w:rPr>
          <w:rFonts w:ascii="Arial" w:hAnsi="Arial" w:cs="Arial"/>
          <w:color w:val="000000"/>
          <w:sz w:val="22"/>
          <w:szCs w:val="22"/>
          <w:lang w:val="es-CR"/>
        </w:rPr>
        <w:t>desinscripción</w:t>
      </w:r>
      <w:proofErr w:type="spellEnd"/>
      <w:r w:rsidRPr="008B7FC3">
        <w:rPr>
          <w:rFonts w:ascii="Arial" w:hAnsi="Arial" w:cs="Arial"/>
          <w:color w:val="000000"/>
          <w:sz w:val="22"/>
          <w:szCs w:val="22"/>
          <w:lang w:val="es-CR"/>
        </w:rPr>
        <w:t>:</w:t>
      </w:r>
    </w:p>
    <w:p w14:paraId="535B6E7B" w14:textId="77777777" w:rsidR="00B83A10" w:rsidRPr="008B7FC3" w:rsidRDefault="00B83A10" w:rsidP="00B06721">
      <w:pPr>
        <w:jc w:val="both"/>
        <w:rPr>
          <w:rFonts w:ascii="Arial" w:hAnsi="Arial" w:cs="Arial"/>
          <w:color w:val="000000"/>
          <w:sz w:val="22"/>
          <w:szCs w:val="22"/>
          <w:lang w:val="es-CR"/>
        </w:rPr>
      </w:pPr>
    </w:p>
    <w:p w14:paraId="75AA4185" w14:textId="77777777" w:rsidR="00B83A10" w:rsidRPr="008B7FC3" w:rsidRDefault="00B83A10" w:rsidP="006C0BBB">
      <w:pPr>
        <w:numPr>
          <w:ilvl w:val="0"/>
          <w:numId w:val="9"/>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Una certificación de un contador público autorizado de los saldos de valores, del efectivo asociado y las posiciones abiertas </w:t>
      </w:r>
      <w:r w:rsidRPr="008B7FC3">
        <w:rPr>
          <w:rFonts w:ascii="Arial" w:hAnsi="Arial" w:cs="Arial"/>
          <w:bCs/>
          <w:color w:val="000000"/>
          <w:sz w:val="22"/>
          <w:szCs w:val="22"/>
          <w:lang w:val="es-CR"/>
        </w:rPr>
        <w:t>a plazo</w:t>
      </w:r>
      <w:r w:rsidRPr="008B7FC3">
        <w:rPr>
          <w:rFonts w:ascii="Arial" w:hAnsi="Arial" w:cs="Arial"/>
          <w:color w:val="000000"/>
          <w:sz w:val="22"/>
          <w:szCs w:val="22"/>
          <w:lang w:val="es-CR"/>
        </w:rPr>
        <w:t xml:space="preserve"> de los titulares que no enviaron instrucciones de traspaso y que fueron trasladados a la nueva entidad de custodia.</w:t>
      </w:r>
    </w:p>
    <w:p w14:paraId="1FA072A5" w14:textId="77777777" w:rsidR="00B83A10" w:rsidRPr="008B7FC3" w:rsidRDefault="00B83A10" w:rsidP="006C0BBB">
      <w:pPr>
        <w:numPr>
          <w:ilvl w:val="0"/>
          <w:numId w:val="9"/>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Estados de cuenta, confirmaciones o certificaciones emitidas por las centrales de valores y custodios en el extranjero, mencionados en el punto 3 anterior, en los que se indique que no se mantienen saldos de valores custodiados por cuenta de terceros.</w:t>
      </w:r>
    </w:p>
    <w:p w14:paraId="695AE9FF" w14:textId="77777777" w:rsidR="00B83A10" w:rsidRPr="008B7FC3" w:rsidRDefault="00B83A10" w:rsidP="006C0BBB">
      <w:pPr>
        <w:numPr>
          <w:ilvl w:val="0"/>
          <w:numId w:val="9"/>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Un estado de cuenta, confirmación o certificación emitida por la sociedad de compensación y liquidación o de la entidad que realice esta función, en la que se indique que no se mantienen saldos por contratos asignados, confirmados y pendientes de liquidar.</w:t>
      </w:r>
    </w:p>
    <w:p w14:paraId="5FCFD578" w14:textId="77777777" w:rsidR="00B83A10" w:rsidRPr="008B7FC3" w:rsidRDefault="00B83A10" w:rsidP="006C0BBB">
      <w:pPr>
        <w:numPr>
          <w:ilvl w:val="0"/>
          <w:numId w:val="9"/>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Declaración jurada protocolizada suscrita por el representante legal de la entidad de custodia, en la que indique el cumplimiento del plan de cese de prestación del servicio de custodia presentado a la Superintendencia.</w:t>
      </w:r>
    </w:p>
    <w:p w14:paraId="433D43C5" w14:textId="77777777" w:rsidR="00B83A10" w:rsidRPr="008B7FC3" w:rsidRDefault="00B83A10" w:rsidP="00B06721">
      <w:pPr>
        <w:jc w:val="both"/>
        <w:rPr>
          <w:rFonts w:ascii="Arial" w:hAnsi="Arial" w:cs="Arial"/>
          <w:color w:val="000000"/>
          <w:sz w:val="22"/>
          <w:szCs w:val="22"/>
          <w:lang w:val="es-CR"/>
        </w:rPr>
      </w:pPr>
    </w:p>
    <w:p w14:paraId="205DBAFA"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 xml:space="preserve">Una vez recibida dicha declaración jurada y verificado el cumplimiento del plan de cese, la Superintendencia General de Valores autorizará mediante Resolución, la </w:t>
      </w:r>
      <w:proofErr w:type="spellStart"/>
      <w:r w:rsidRPr="008B7FC3">
        <w:rPr>
          <w:rFonts w:ascii="Arial" w:hAnsi="Arial" w:cs="Arial"/>
          <w:color w:val="000000"/>
          <w:sz w:val="22"/>
          <w:szCs w:val="22"/>
          <w:lang w:val="es-CR"/>
        </w:rPr>
        <w:t>desinscripción</w:t>
      </w:r>
      <w:proofErr w:type="spellEnd"/>
      <w:r w:rsidRPr="008B7FC3">
        <w:rPr>
          <w:rFonts w:ascii="Arial" w:hAnsi="Arial" w:cs="Arial"/>
          <w:color w:val="000000"/>
          <w:sz w:val="22"/>
          <w:szCs w:val="22"/>
          <w:lang w:val="es-CR"/>
        </w:rPr>
        <w:t xml:space="preserve"> de la entidad de custodia del Registro Nacional de Valores e Intermediarios. </w:t>
      </w:r>
    </w:p>
    <w:p w14:paraId="46DADD90" w14:textId="77777777" w:rsidR="00C2496F" w:rsidRPr="008B7FC3" w:rsidRDefault="00C2496F" w:rsidP="00B06721">
      <w:pPr>
        <w:rPr>
          <w:rFonts w:ascii="Arial" w:hAnsi="Arial" w:cs="Arial"/>
          <w:color w:val="000000"/>
          <w:sz w:val="22"/>
          <w:szCs w:val="22"/>
          <w:lang w:val="es-CR"/>
        </w:rPr>
      </w:pPr>
    </w:p>
    <w:p w14:paraId="5572C7DC" w14:textId="77777777" w:rsidR="00026A9D" w:rsidRPr="00026A9D" w:rsidRDefault="00026A9D" w:rsidP="00026A9D">
      <w:pPr>
        <w:jc w:val="both"/>
        <w:rPr>
          <w:rFonts w:ascii="Arial" w:hAnsi="Arial" w:cs="Arial"/>
          <w:b/>
          <w:bCs/>
          <w:sz w:val="22"/>
          <w:szCs w:val="22"/>
          <w:lang w:val="es-CR"/>
        </w:rPr>
      </w:pPr>
      <w:r w:rsidRPr="00026A9D">
        <w:rPr>
          <w:rFonts w:ascii="Arial" w:hAnsi="Arial" w:cs="Arial"/>
          <w:b/>
          <w:bCs/>
          <w:sz w:val="22"/>
          <w:szCs w:val="22"/>
          <w:lang w:val="es-CR"/>
        </w:rPr>
        <w:t>Artículo 6.  Contratos de custodia</w:t>
      </w:r>
    </w:p>
    <w:p w14:paraId="2F6A2800" w14:textId="77777777" w:rsidR="00B83A10" w:rsidRPr="008B7FC3" w:rsidRDefault="00B83A10" w:rsidP="00B06721">
      <w:pPr>
        <w:rPr>
          <w:rFonts w:ascii="Arial" w:hAnsi="Arial" w:cs="Arial"/>
          <w:color w:val="000000"/>
          <w:sz w:val="22"/>
          <w:szCs w:val="22"/>
          <w:lang w:val="es-CR"/>
        </w:rPr>
      </w:pPr>
    </w:p>
    <w:p w14:paraId="168D631E"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Para efectos de lo dispuesto en el Reglamento, en relación con los contratos por el servicio de custodia, estos deben incluir como mínimo lo siguiente:</w:t>
      </w:r>
    </w:p>
    <w:p w14:paraId="49202494" w14:textId="77777777" w:rsidR="00B83A10" w:rsidRPr="008B7FC3" w:rsidRDefault="00B83A10" w:rsidP="00B06721">
      <w:pPr>
        <w:jc w:val="both"/>
        <w:rPr>
          <w:rFonts w:ascii="Arial" w:hAnsi="Arial" w:cs="Arial"/>
          <w:color w:val="000000"/>
          <w:sz w:val="22"/>
          <w:szCs w:val="22"/>
          <w:lang w:val="es-CR"/>
        </w:rPr>
      </w:pPr>
    </w:p>
    <w:p w14:paraId="712821D2" w14:textId="77777777" w:rsidR="00B83A10" w:rsidRPr="008B7FC3" w:rsidRDefault="00B83A10" w:rsidP="006C0BBB">
      <w:pPr>
        <w:numPr>
          <w:ilvl w:val="0"/>
          <w:numId w:val="10"/>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Identificación del titular de los valores objeto de custodia y del efectivo asociado.</w:t>
      </w:r>
    </w:p>
    <w:p w14:paraId="2BA6703F" w14:textId="77777777" w:rsidR="00B83A10" w:rsidRPr="008B7FC3" w:rsidRDefault="00B83A10" w:rsidP="006C0BBB">
      <w:pPr>
        <w:numPr>
          <w:ilvl w:val="0"/>
          <w:numId w:val="10"/>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Objeto del contrato.</w:t>
      </w:r>
    </w:p>
    <w:p w14:paraId="2B2CFD93" w14:textId="77777777" w:rsidR="00B83A10" w:rsidRPr="008B7FC3" w:rsidRDefault="00B83A10" w:rsidP="006C0BBB">
      <w:pPr>
        <w:numPr>
          <w:ilvl w:val="0"/>
          <w:numId w:val="10"/>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Obligaciones de las partes.</w:t>
      </w:r>
    </w:p>
    <w:p w14:paraId="7808BE53" w14:textId="77777777" w:rsidR="00B83A10" w:rsidRPr="008B7FC3" w:rsidRDefault="00B83A10" w:rsidP="006C0BBB">
      <w:pPr>
        <w:numPr>
          <w:ilvl w:val="0"/>
          <w:numId w:val="10"/>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Indicación de los servicios contratados por el titular.</w:t>
      </w:r>
    </w:p>
    <w:p w14:paraId="027A72C3" w14:textId="77777777" w:rsidR="00B83A10" w:rsidRPr="008B7FC3" w:rsidRDefault="00B83A10" w:rsidP="006C0BBB">
      <w:pPr>
        <w:numPr>
          <w:ilvl w:val="0"/>
          <w:numId w:val="10"/>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lastRenderedPageBreak/>
        <w:t>Obligación de renovar el contrato o suscribir una adenda cuando existan cambios en la regulación aplicable al servicio de custodia, que modifique las condiciones de la prestación inicial del servicio.</w:t>
      </w:r>
    </w:p>
    <w:p w14:paraId="2E915904" w14:textId="77777777" w:rsidR="00B83A10" w:rsidRPr="008B7FC3" w:rsidRDefault="00B83A10" w:rsidP="006C0BBB">
      <w:pPr>
        <w:numPr>
          <w:ilvl w:val="0"/>
          <w:numId w:val="10"/>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Obligaciones de remisión de información periódica.</w:t>
      </w:r>
    </w:p>
    <w:p w14:paraId="1910AE72" w14:textId="77777777" w:rsidR="00B83A10" w:rsidRPr="008B7FC3" w:rsidRDefault="00B83A10" w:rsidP="006C0BBB">
      <w:pPr>
        <w:numPr>
          <w:ilvl w:val="0"/>
          <w:numId w:val="10"/>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Domicilio, teléfono, correo electrónico u otros donde localizar y remitir tanto la información periódica, como cualquier otro comunicado de interés, lo cual puede estar explícitamente en el contrato o en algún otro documento de uso de la entidad para recopilar esta información, al cual se debe hacer referencia en el contrato.</w:t>
      </w:r>
    </w:p>
    <w:p w14:paraId="30011A8A" w14:textId="77777777" w:rsidR="00B83A10" w:rsidRPr="008B7FC3" w:rsidRDefault="00B83A10" w:rsidP="006C0BBB">
      <w:pPr>
        <w:numPr>
          <w:ilvl w:val="0"/>
          <w:numId w:val="10"/>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Designación del ordenante, cuando corresponda y sus atribuciones.</w:t>
      </w:r>
    </w:p>
    <w:p w14:paraId="3563F2C8" w14:textId="77777777" w:rsidR="00B83A10" w:rsidRPr="008B7FC3" w:rsidRDefault="00B83A10" w:rsidP="006C0BBB">
      <w:pPr>
        <w:numPr>
          <w:ilvl w:val="0"/>
          <w:numId w:val="10"/>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Medios aceptados para la recepción de instrucciones sobre los valores y el efectivo asociado objeto de custodia.</w:t>
      </w:r>
    </w:p>
    <w:p w14:paraId="5665A38B" w14:textId="77777777" w:rsidR="00B83A10" w:rsidRPr="008B7FC3" w:rsidRDefault="00B83A10" w:rsidP="006C0BBB">
      <w:pPr>
        <w:numPr>
          <w:ilvl w:val="0"/>
          <w:numId w:val="10"/>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Disposiciones relativas al establecimiento, cambio y cobro de las tarifas por los servicios contratados.</w:t>
      </w:r>
    </w:p>
    <w:p w14:paraId="143FF0E1" w14:textId="77777777" w:rsidR="00B83A10" w:rsidRPr="008B7FC3" w:rsidRDefault="00B83A10" w:rsidP="006C0BBB">
      <w:pPr>
        <w:numPr>
          <w:ilvl w:val="0"/>
          <w:numId w:val="10"/>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Disposiciones relacionadas con el ejercicio de derechos patrimoniales o políticos.</w:t>
      </w:r>
    </w:p>
    <w:p w14:paraId="740891FF" w14:textId="77777777" w:rsidR="00B83A10" w:rsidRPr="008B7FC3" w:rsidRDefault="00B83A10" w:rsidP="006C0BBB">
      <w:pPr>
        <w:numPr>
          <w:ilvl w:val="0"/>
          <w:numId w:val="10"/>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Cumplimiento de obligaciones de pago y de entrega de valores derivadas de la fase de confirmación de asignación y derivación de las operaciones.</w:t>
      </w:r>
    </w:p>
    <w:p w14:paraId="07D5CE90" w14:textId="77777777" w:rsidR="00B83A10" w:rsidRPr="008B7FC3" w:rsidRDefault="00B83A10" w:rsidP="006C0BBB">
      <w:pPr>
        <w:numPr>
          <w:ilvl w:val="0"/>
          <w:numId w:val="10"/>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Procedimiento alterno a seguir para comunicar al cliente que debe </w:t>
      </w:r>
      <w:proofErr w:type="gramStart"/>
      <w:r w:rsidRPr="008B7FC3">
        <w:rPr>
          <w:rFonts w:ascii="Arial" w:hAnsi="Arial" w:cs="Arial"/>
          <w:color w:val="000000"/>
          <w:sz w:val="22"/>
          <w:szCs w:val="22"/>
          <w:lang w:val="es-CR"/>
        </w:rPr>
        <w:t>girar  instrucciones</w:t>
      </w:r>
      <w:proofErr w:type="gramEnd"/>
      <w:r w:rsidRPr="008B7FC3">
        <w:rPr>
          <w:rFonts w:ascii="Arial" w:hAnsi="Arial" w:cs="Arial"/>
          <w:color w:val="000000"/>
          <w:sz w:val="22"/>
          <w:szCs w:val="22"/>
          <w:lang w:val="es-CR"/>
        </w:rPr>
        <w:t xml:space="preserve"> sobre el destino de los valores en caso de requerir su traslado ante la </w:t>
      </w:r>
      <w:proofErr w:type="spellStart"/>
      <w:r w:rsidRPr="008B7FC3">
        <w:rPr>
          <w:rFonts w:ascii="Arial" w:hAnsi="Arial" w:cs="Arial"/>
          <w:color w:val="000000"/>
          <w:sz w:val="22"/>
          <w:szCs w:val="22"/>
          <w:lang w:val="es-CR"/>
        </w:rPr>
        <w:t>desinscripción</w:t>
      </w:r>
      <w:proofErr w:type="spellEnd"/>
      <w:r w:rsidRPr="008B7FC3">
        <w:rPr>
          <w:rFonts w:ascii="Arial" w:hAnsi="Arial" w:cs="Arial"/>
          <w:color w:val="000000"/>
          <w:sz w:val="22"/>
          <w:szCs w:val="22"/>
          <w:lang w:val="es-CR"/>
        </w:rPr>
        <w:t xml:space="preserve"> de la entidad de custodia cuando no se logre ubicar al titular en la dirección aportada para tales efectos.</w:t>
      </w:r>
    </w:p>
    <w:p w14:paraId="30622595" w14:textId="77777777" w:rsidR="00B83A10" w:rsidRPr="008B7FC3" w:rsidRDefault="00B83A10" w:rsidP="006C0BBB">
      <w:pPr>
        <w:numPr>
          <w:ilvl w:val="0"/>
          <w:numId w:val="10"/>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Autorización expresa al custodio para que en el caso de cierre del servicio y </w:t>
      </w:r>
      <w:proofErr w:type="spellStart"/>
      <w:r w:rsidRPr="008B7FC3">
        <w:rPr>
          <w:rFonts w:ascii="Arial" w:hAnsi="Arial" w:cs="Arial"/>
          <w:color w:val="000000"/>
          <w:sz w:val="22"/>
          <w:szCs w:val="22"/>
          <w:lang w:val="es-CR"/>
        </w:rPr>
        <w:t>desinscripción</w:t>
      </w:r>
      <w:proofErr w:type="spellEnd"/>
      <w:r w:rsidRPr="008B7FC3">
        <w:rPr>
          <w:rFonts w:ascii="Arial" w:hAnsi="Arial" w:cs="Arial"/>
          <w:color w:val="000000"/>
          <w:sz w:val="22"/>
          <w:szCs w:val="22"/>
          <w:lang w:val="es-CR"/>
        </w:rPr>
        <w:t xml:space="preserve"> como entidad de custodia, y siempre y cuando el cliente no haya girado instrucciones con respecto a sus valores según el procedimiento alterno dispuesto en el inciso anterior, el custodio pueda girar instrucciones a un intermediario autorizado para vender dichos valores a precios de mercado, con el fin de trasladar únicamente efectivo al custodio destino.</w:t>
      </w:r>
    </w:p>
    <w:p w14:paraId="4048929B" w14:textId="77777777" w:rsidR="00B83A10" w:rsidRPr="008B7FC3" w:rsidRDefault="00B83A10" w:rsidP="006C0BBB">
      <w:pPr>
        <w:numPr>
          <w:ilvl w:val="0"/>
          <w:numId w:val="10"/>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Obligación de guardar confidencialidad sobre la información.</w:t>
      </w:r>
    </w:p>
    <w:p w14:paraId="3B2D171B" w14:textId="77777777" w:rsidR="00B83A10" w:rsidRPr="008B7FC3" w:rsidRDefault="00B83A10" w:rsidP="006C0BBB">
      <w:pPr>
        <w:numPr>
          <w:ilvl w:val="0"/>
          <w:numId w:val="10"/>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Firma del titular de la cuenta y del representante legal de la entidad de custodia.</w:t>
      </w:r>
    </w:p>
    <w:p w14:paraId="4BDC35A2" w14:textId="77777777" w:rsidR="00B83A10" w:rsidRPr="008B7FC3" w:rsidRDefault="00B83A10" w:rsidP="006C0BBB">
      <w:pPr>
        <w:numPr>
          <w:ilvl w:val="0"/>
          <w:numId w:val="10"/>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Registro de firmas del ordenante, cuando corresponda, así como la fecha a partir de la cual se otorgan facultades al ordenante.</w:t>
      </w:r>
    </w:p>
    <w:p w14:paraId="5A0264FC" w14:textId="77777777" w:rsidR="00B83A10" w:rsidRPr="008B7FC3" w:rsidRDefault="00B83A10" w:rsidP="00B06721">
      <w:pPr>
        <w:jc w:val="both"/>
        <w:rPr>
          <w:rFonts w:ascii="Arial" w:hAnsi="Arial" w:cs="Arial"/>
          <w:color w:val="000000"/>
          <w:sz w:val="22"/>
          <w:szCs w:val="22"/>
          <w:lang w:val="es-CR"/>
        </w:rPr>
      </w:pPr>
    </w:p>
    <w:p w14:paraId="28E90F49"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 xml:space="preserve">En relación con la prestación del servicio de control y liquidación de posiciones abiertas </w:t>
      </w:r>
      <w:r w:rsidRPr="008B7FC3">
        <w:rPr>
          <w:rFonts w:ascii="Arial" w:hAnsi="Arial" w:cs="Arial"/>
          <w:bCs/>
          <w:color w:val="000000"/>
          <w:sz w:val="22"/>
          <w:szCs w:val="22"/>
          <w:lang w:val="es-CR"/>
        </w:rPr>
        <w:t>a plazo</w:t>
      </w:r>
      <w:r w:rsidRPr="008B7FC3">
        <w:rPr>
          <w:rFonts w:ascii="Arial" w:hAnsi="Arial" w:cs="Arial"/>
          <w:color w:val="000000"/>
          <w:sz w:val="22"/>
          <w:szCs w:val="22"/>
          <w:lang w:val="es-CR"/>
        </w:rPr>
        <w:t xml:space="preserve">, como mínimo el contrato debe contener cláusulas de revelación sobre la naturaleza, riesgos, obligaciones, garantías, cobertura de llamadas a margen, detalle sobre los procedimientos de cobro </w:t>
      </w:r>
      <w:r w:rsidRPr="008B7FC3">
        <w:rPr>
          <w:rFonts w:ascii="Arial" w:hAnsi="Arial" w:cs="Arial"/>
          <w:bCs/>
          <w:color w:val="000000"/>
          <w:sz w:val="22"/>
          <w:szCs w:val="22"/>
          <w:lang w:val="es-CR"/>
        </w:rPr>
        <w:t xml:space="preserve">en casos de financiamiento de obligaciones de pago derivadas de la liquidación de operaciones de reporto </w:t>
      </w:r>
      <w:r w:rsidRPr="008B7FC3">
        <w:rPr>
          <w:rFonts w:ascii="Arial" w:hAnsi="Arial" w:cs="Arial"/>
          <w:color w:val="000000"/>
          <w:sz w:val="22"/>
          <w:szCs w:val="22"/>
          <w:lang w:val="es-CR"/>
        </w:rPr>
        <w:t>y ejecución de garantías, así como cláusulas que incluyan claramente lo siguiente:</w:t>
      </w:r>
    </w:p>
    <w:p w14:paraId="0FFC210A" w14:textId="77777777" w:rsidR="00F47B77" w:rsidRPr="008B7FC3" w:rsidRDefault="00F47B77" w:rsidP="00B06721">
      <w:pPr>
        <w:jc w:val="both"/>
        <w:rPr>
          <w:rFonts w:ascii="Arial" w:hAnsi="Arial" w:cs="Arial"/>
          <w:color w:val="000000"/>
          <w:sz w:val="22"/>
          <w:szCs w:val="22"/>
          <w:lang w:val="es-CR"/>
        </w:rPr>
      </w:pPr>
    </w:p>
    <w:p w14:paraId="568C34FA" w14:textId="77777777" w:rsidR="00B83A10" w:rsidRPr="008B7FC3" w:rsidRDefault="00B83A10" w:rsidP="006C0BBB">
      <w:pPr>
        <w:numPr>
          <w:ilvl w:val="0"/>
          <w:numId w:val="13"/>
        </w:numPr>
        <w:ind w:left="567" w:hanging="567"/>
        <w:jc w:val="both"/>
        <w:rPr>
          <w:rFonts w:ascii="Arial" w:hAnsi="Arial" w:cs="Arial"/>
          <w:color w:val="000000"/>
          <w:sz w:val="22"/>
          <w:szCs w:val="22"/>
          <w:lang w:val="es-CR"/>
        </w:rPr>
      </w:pPr>
      <w:proofErr w:type="gramStart"/>
      <w:r w:rsidRPr="008B7FC3">
        <w:rPr>
          <w:rFonts w:ascii="Arial" w:hAnsi="Arial" w:cs="Arial"/>
          <w:color w:val="000000"/>
          <w:sz w:val="22"/>
          <w:szCs w:val="22"/>
          <w:lang w:val="es-CR"/>
        </w:rPr>
        <w:t>Que</w:t>
      </w:r>
      <w:proofErr w:type="gramEnd"/>
      <w:r w:rsidRPr="008B7FC3">
        <w:rPr>
          <w:rFonts w:ascii="Arial" w:hAnsi="Arial" w:cs="Arial"/>
          <w:color w:val="000000"/>
          <w:sz w:val="22"/>
          <w:szCs w:val="22"/>
          <w:lang w:val="es-CR"/>
        </w:rPr>
        <w:t xml:space="preserve"> a través de la realización de operaciones de reporto tripartito, podría haber pérdidas superiores a las aportaciones iniciales hechas por el cliente.  </w:t>
      </w:r>
    </w:p>
    <w:p w14:paraId="5BD94B70" w14:textId="77777777" w:rsidR="00B83A10" w:rsidRPr="008B7FC3" w:rsidRDefault="00B83A10" w:rsidP="006C0BBB">
      <w:pPr>
        <w:numPr>
          <w:ilvl w:val="0"/>
          <w:numId w:val="13"/>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La obligación del cliente de constituir las garantías suficientes para la prestación del servicio de control y liquidación de posiciones abiertas a plazo y los supuestos en que debe aportar garantías adicionales, así como el plazo máximo que tiene para realizar los aportes.</w:t>
      </w:r>
    </w:p>
    <w:p w14:paraId="3A2FE1C1" w14:textId="77777777" w:rsidR="00B83A10" w:rsidRPr="008B7FC3" w:rsidRDefault="00B83A10" w:rsidP="006C0BBB">
      <w:pPr>
        <w:numPr>
          <w:ilvl w:val="0"/>
          <w:numId w:val="13"/>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Los mecanismos para la administración de garantías, que consideren la constitución, sustitución, ejecución y liberación.</w:t>
      </w:r>
    </w:p>
    <w:p w14:paraId="59F46953" w14:textId="77777777" w:rsidR="00B83A10" w:rsidRPr="008B7FC3" w:rsidRDefault="00B83A10" w:rsidP="006C0BBB">
      <w:pPr>
        <w:numPr>
          <w:ilvl w:val="0"/>
          <w:numId w:val="13"/>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Que el plazo para otorgar garantías adicionales por llamadas a margen será improrrogable. </w:t>
      </w:r>
    </w:p>
    <w:p w14:paraId="1079888C" w14:textId="77777777" w:rsidR="00B83A10" w:rsidRPr="008B7FC3" w:rsidRDefault="00B83A10" w:rsidP="006C0BBB">
      <w:pPr>
        <w:numPr>
          <w:ilvl w:val="0"/>
          <w:numId w:val="13"/>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lastRenderedPageBreak/>
        <w:t>Procedimiento para la ejecución de garantías en caso de incumplimiento de cualquier obligación relacionada con las posiciones abiertas a plazo.</w:t>
      </w:r>
    </w:p>
    <w:p w14:paraId="21780BD9" w14:textId="77777777" w:rsidR="00B83A10" w:rsidRPr="008B7FC3" w:rsidRDefault="00B83A10" w:rsidP="006C0BBB">
      <w:pPr>
        <w:numPr>
          <w:ilvl w:val="0"/>
          <w:numId w:val="13"/>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Potestad del custodio de proceder a la ejecución de las garantías cuando se incumpla el aporte de garantías adicionales en el plazo establecido. </w:t>
      </w:r>
    </w:p>
    <w:p w14:paraId="156B4506" w14:textId="77777777" w:rsidR="00B83A10" w:rsidRPr="008B7FC3" w:rsidRDefault="00B83A10" w:rsidP="006C0BBB">
      <w:pPr>
        <w:numPr>
          <w:ilvl w:val="0"/>
          <w:numId w:val="13"/>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Mecanismos y procedimientos de cobro en caso de incidencias e incumplimientos de las obligaciones derivadas de la liquidación.</w:t>
      </w:r>
    </w:p>
    <w:p w14:paraId="4F43ABB4" w14:textId="77777777" w:rsidR="00B83A10" w:rsidRPr="008B7FC3" w:rsidRDefault="00B83A10" w:rsidP="006C0BBB">
      <w:pPr>
        <w:numPr>
          <w:ilvl w:val="0"/>
          <w:numId w:val="13"/>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Causales de incumplimiento de las operaciones abiertas a plazo que se pacten al amparo del contrato suscrito.</w:t>
      </w:r>
    </w:p>
    <w:p w14:paraId="721EFEE4" w14:textId="77777777" w:rsidR="00B83A10" w:rsidRPr="008B7FC3" w:rsidRDefault="00B83A10" w:rsidP="006C0BBB">
      <w:pPr>
        <w:numPr>
          <w:ilvl w:val="0"/>
          <w:numId w:val="13"/>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Que en caso de incidencias e incumplimientos se procederá de conformidad con los mecanismos y procedimientos para el cobro y ejecución de garantías dispuestos en el contrato.</w:t>
      </w:r>
    </w:p>
    <w:p w14:paraId="2A255D40" w14:textId="77777777" w:rsidR="00B83A10" w:rsidRPr="008B7FC3" w:rsidRDefault="00B83A10" w:rsidP="00B06721">
      <w:pPr>
        <w:jc w:val="both"/>
        <w:rPr>
          <w:rFonts w:ascii="Arial" w:hAnsi="Arial" w:cs="Arial"/>
          <w:color w:val="000000"/>
          <w:sz w:val="22"/>
          <w:szCs w:val="22"/>
          <w:lang w:val="es-CR"/>
        </w:rPr>
      </w:pPr>
    </w:p>
    <w:p w14:paraId="767733CB"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Los contratos generales de custodia y sus adenda o modificaciones deben estar disponibles en cualquier momento para la supervisión por parte de la Superintendencia General de Valores.</w:t>
      </w:r>
    </w:p>
    <w:p w14:paraId="560AE0E4" w14:textId="77777777" w:rsidR="00F47B77" w:rsidRDefault="00F47B77" w:rsidP="00B06721">
      <w:pPr>
        <w:jc w:val="both"/>
        <w:rPr>
          <w:rFonts w:ascii="Arial" w:hAnsi="Arial" w:cs="Arial"/>
          <w:color w:val="000000"/>
          <w:sz w:val="22"/>
          <w:szCs w:val="22"/>
          <w:lang w:val="es-CR"/>
        </w:rPr>
      </w:pPr>
    </w:p>
    <w:p w14:paraId="7A626543" w14:textId="77777777" w:rsidR="00026A9D" w:rsidRPr="00026A9D" w:rsidRDefault="00026A9D" w:rsidP="00026A9D">
      <w:pPr>
        <w:jc w:val="both"/>
        <w:rPr>
          <w:rFonts w:ascii="Arial" w:hAnsi="Arial" w:cs="Arial"/>
          <w:b/>
          <w:lang w:val="es-CR"/>
        </w:rPr>
      </w:pPr>
      <w:r w:rsidRPr="00026A9D">
        <w:rPr>
          <w:rFonts w:ascii="Arial" w:hAnsi="Arial" w:cs="Arial"/>
          <w:b/>
          <w:bCs/>
          <w:sz w:val="22"/>
          <w:szCs w:val="22"/>
          <w:lang w:val="es-CR"/>
        </w:rPr>
        <w:t>Artículo 7.  Comunicación de cambios en las tarifas</w:t>
      </w:r>
    </w:p>
    <w:p w14:paraId="2BD3C4C3" w14:textId="77777777" w:rsidR="00026A9D" w:rsidRPr="008B7FC3" w:rsidRDefault="00026A9D" w:rsidP="00B06721">
      <w:pPr>
        <w:jc w:val="both"/>
        <w:rPr>
          <w:rFonts w:ascii="Arial" w:hAnsi="Arial" w:cs="Arial"/>
          <w:color w:val="000000"/>
          <w:sz w:val="22"/>
          <w:szCs w:val="22"/>
          <w:lang w:val="es-CR"/>
        </w:rPr>
      </w:pPr>
    </w:p>
    <w:p w14:paraId="76302568"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Para efectos de lo dispuesto en el Reglamento con respecto a las tarifas, las entidades de custodia deben comunicar la aplicación de las tarifas a cobrar al iniciar la prestación de los servicios; así como en sus posteriores modificaciones.</w:t>
      </w:r>
    </w:p>
    <w:p w14:paraId="30180C4E" w14:textId="77777777" w:rsidR="00B83A10" w:rsidRPr="008B7FC3" w:rsidRDefault="00B83A10" w:rsidP="00B06721">
      <w:pPr>
        <w:jc w:val="both"/>
        <w:rPr>
          <w:rFonts w:ascii="Arial" w:hAnsi="Arial" w:cs="Arial"/>
          <w:color w:val="000000"/>
          <w:sz w:val="22"/>
          <w:szCs w:val="22"/>
          <w:lang w:val="es-CR"/>
        </w:rPr>
      </w:pPr>
    </w:p>
    <w:p w14:paraId="259CDA30"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 xml:space="preserve">Cualquier modificación en las tarifas debe ser comunicada con al menos treinta días naturales previos a su </w:t>
      </w:r>
      <w:proofErr w:type="gramStart"/>
      <w:r w:rsidRPr="008B7FC3">
        <w:rPr>
          <w:rFonts w:ascii="Arial" w:hAnsi="Arial" w:cs="Arial"/>
          <w:color w:val="000000"/>
          <w:sz w:val="22"/>
          <w:szCs w:val="22"/>
          <w:lang w:val="es-CR"/>
        </w:rPr>
        <w:t>entrada en vigencia</w:t>
      </w:r>
      <w:proofErr w:type="gramEnd"/>
      <w:r w:rsidRPr="008B7FC3">
        <w:rPr>
          <w:rFonts w:ascii="Arial" w:hAnsi="Arial" w:cs="Arial"/>
          <w:color w:val="000000"/>
          <w:sz w:val="22"/>
          <w:szCs w:val="22"/>
          <w:lang w:val="es-CR"/>
        </w:rPr>
        <w:t xml:space="preserve">, por los medios autorizados en el contrato suscrito entre las partes para la remisión de información periódica o comunicados de interés.  En la notificación que incluye las tarifas propuestas debe indicarse la fecha a partir de la cual </w:t>
      </w:r>
      <w:proofErr w:type="gramStart"/>
      <w:r w:rsidRPr="008B7FC3">
        <w:rPr>
          <w:rFonts w:ascii="Arial" w:hAnsi="Arial" w:cs="Arial"/>
          <w:color w:val="000000"/>
          <w:sz w:val="22"/>
          <w:szCs w:val="22"/>
          <w:lang w:val="es-CR"/>
        </w:rPr>
        <w:t>entran en vigencia</w:t>
      </w:r>
      <w:proofErr w:type="gramEnd"/>
      <w:r w:rsidRPr="008B7FC3">
        <w:rPr>
          <w:rFonts w:ascii="Arial" w:hAnsi="Arial" w:cs="Arial"/>
          <w:color w:val="000000"/>
          <w:sz w:val="22"/>
          <w:szCs w:val="22"/>
          <w:lang w:val="es-CR"/>
        </w:rPr>
        <w:t>.</w:t>
      </w:r>
    </w:p>
    <w:p w14:paraId="0D6B32B7" w14:textId="77777777" w:rsidR="00F47B77" w:rsidRPr="008B7FC3" w:rsidRDefault="00F47B77" w:rsidP="00B06721">
      <w:pPr>
        <w:jc w:val="both"/>
        <w:rPr>
          <w:rFonts w:ascii="Arial" w:hAnsi="Arial" w:cs="Arial"/>
          <w:color w:val="000000"/>
          <w:sz w:val="22"/>
          <w:szCs w:val="22"/>
          <w:lang w:val="es-CR"/>
        </w:rPr>
      </w:pPr>
    </w:p>
    <w:p w14:paraId="648550B3" w14:textId="77777777" w:rsidR="00026A9D" w:rsidRPr="00026A9D" w:rsidRDefault="00026A9D" w:rsidP="00026A9D">
      <w:pPr>
        <w:jc w:val="both"/>
        <w:rPr>
          <w:rFonts w:ascii="Century Gothic" w:hAnsi="Century Gothic" w:cs="Arial"/>
          <w:b/>
          <w:lang w:val="es-CR"/>
        </w:rPr>
      </w:pPr>
      <w:r w:rsidRPr="00026A9D">
        <w:rPr>
          <w:rFonts w:ascii="Century Gothic" w:hAnsi="Century Gothic" w:cs="Arial"/>
          <w:b/>
          <w:bCs/>
          <w:sz w:val="22"/>
          <w:szCs w:val="22"/>
          <w:lang w:val="es-CR"/>
        </w:rPr>
        <w:t>Artículo 8.  Órdenes de instrucción</w:t>
      </w:r>
    </w:p>
    <w:p w14:paraId="6975C209" w14:textId="77777777" w:rsidR="00B83A10" w:rsidRPr="008B7FC3" w:rsidRDefault="00B83A10" w:rsidP="00B06721">
      <w:pPr>
        <w:jc w:val="both"/>
        <w:rPr>
          <w:rFonts w:ascii="Arial" w:hAnsi="Arial" w:cs="Arial"/>
          <w:b/>
          <w:bCs/>
          <w:color w:val="000000"/>
          <w:sz w:val="22"/>
          <w:szCs w:val="22"/>
          <w:lang w:val="es-CR"/>
        </w:rPr>
      </w:pPr>
    </w:p>
    <w:p w14:paraId="65A1B965"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En todos los casos los medios aceptados para la recepción de instrucciones sobre los valores y el efectivo asociado objeto de custodia, deben constar en el contrato de servicios suscrito entre las partes.</w:t>
      </w:r>
    </w:p>
    <w:p w14:paraId="085247A3" w14:textId="77777777" w:rsidR="00B83A10" w:rsidRPr="008B7FC3" w:rsidRDefault="00B83A10" w:rsidP="00B06721">
      <w:pPr>
        <w:jc w:val="both"/>
        <w:rPr>
          <w:rFonts w:ascii="Arial" w:hAnsi="Arial" w:cs="Arial"/>
          <w:color w:val="000000"/>
          <w:sz w:val="22"/>
          <w:szCs w:val="22"/>
          <w:lang w:val="es-CR"/>
        </w:rPr>
      </w:pPr>
    </w:p>
    <w:p w14:paraId="5792F9ED"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 xml:space="preserve">Las entidades de custodia pueden acordar con sus clientes la emisión de instrucciones por cualquiera de los siguientes medios: </w:t>
      </w:r>
    </w:p>
    <w:p w14:paraId="3C8ADE67" w14:textId="77777777" w:rsidR="00B83A10" w:rsidRPr="008B7FC3" w:rsidRDefault="00B83A10" w:rsidP="00B06721">
      <w:pPr>
        <w:jc w:val="both"/>
        <w:rPr>
          <w:rFonts w:ascii="Arial" w:hAnsi="Arial" w:cs="Arial"/>
          <w:color w:val="000000"/>
          <w:sz w:val="22"/>
          <w:szCs w:val="22"/>
          <w:lang w:val="es-CR"/>
        </w:rPr>
      </w:pPr>
    </w:p>
    <w:p w14:paraId="3682DF13" w14:textId="77777777" w:rsidR="00B83A10" w:rsidRPr="008B7FC3" w:rsidRDefault="00B83A10" w:rsidP="006C0BBB">
      <w:pPr>
        <w:numPr>
          <w:ilvl w:val="0"/>
          <w:numId w:val="1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Documento firmado por el titular o el ordenante de la cuenta de valores y del efectivo asociado, como por ejemplo carta, memorando o formulario. </w:t>
      </w:r>
    </w:p>
    <w:p w14:paraId="55B4A495" w14:textId="77777777" w:rsidR="00B83A10" w:rsidRPr="008B7FC3" w:rsidRDefault="00B83A10" w:rsidP="006C0BBB">
      <w:pPr>
        <w:numPr>
          <w:ilvl w:val="0"/>
          <w:numId w:val="1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Mensaje de correo electrónico de una dirección autorizada por el titular o el ordenante.</w:t>
      </w:r>
    </w:p>
    <w:p w14:paraId="0E1AC950" w14:textId="77777777" w:rsidR="00B83A10" w:rsidRPr="008B7FC3" w:rsidRDefault="00B83A10" w:rsidP="006C0BBB">
      <w:pPr>
        <w:numPr>
          <w:ilvl w:val="0"/>
          <w:numId w:val="1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Archivo digital asociado a una firma digital certificada.</w:t>
      </w:r>
    </w:p>
    <w:p w14:paraId="34A9CC18" w14:textId="77777777" w:rsidR="00B83A10" w:rsidRPr="008B7FC3" w:rsidRDefault="00B83A10" w:rsidP="006C0BBB">
      <w:pPr>
        <w:numPr>
          <w:ilvl w:val="0"/>
          <w:numId w:val="1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Sistema de grabación telefónica.  En este caso las entidades de custodia deben contar con la autorización del titular para la grabación de la llamada, así como establecer los medios necesarios para identificar al titular de los valores u ordenante, según sea el caso y grabar la comunicación de la orden, conforme a un protocolo previamente definido por la Administración.  Asimismo, el mecanismo debe permitir identificar la hora y fecha de recepción de las instrucciones, así como contar con una herramienta para la búsqueda de llamadas.</w:t>
      </w:r>
    </w:p>
    <w:p w14:paraId="710779E0" w14:textId="77777777" w:rsidR="00B83A10" w:rsidRPr="008B7FC3" w:rsidRDefault="00B83A10" w:rsidP="006C0BBB">
      <w:pPr>
        <w:numPr>
          <w:ilvl w:val="0"/>
          <w:numId w:val="1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lastRenderedPageBreak/>
        <w:t>Servicios en línea. Para la recepción de instrucciones bajo esta modalidad las entidades de custodia deben tener capacidad técnica suficiente para garantizar la seguridad y confidencialidad de las transacciones.</w:t>
      </w:r>
    </w:p>
    <w:p w14:paraId="46DB7951" w14:textId="77777777" w:rsidR="00B83A10" w:rsidRPr="008B7FC3" w:rsidRDefault="00B83A10" w:rsidP="00B06721">
      <w:pPr>
        <w:jc w:val="both"/>
        <w:rPr>
          <w:rFonts w:ascii="Arial" w:hAnsi="Arial" w:cs="Arial"/>
          <w:color w:val="000000"/>
          <w:sz w:val="22"/>
          <w:szCs w:val="22"/>
          <w:lang w:val="es-CR"/>
        </w:rPr>
      </w:pPr>
    </w:p>
    <w:p w14:paraId="6CC9E47A"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Todas las entidades de custodia deben mantener disponibles para la supervisión por parte de la Superintendencia General de Valores, las órdenes de instrucción originales emitidas por los titulares de los valores u ordenantes.  Adicionalmente, las instrucciones deben considerar como mínimo la siguiente información:</w:t>
      </w:r>
    </w:p>
    <w:p w14:paraId="184F042C" w14:textId="77777777" w:rsidR="00B83A10" w:rsidRPr="008B7FC3" w:rsidRDefault="00B83A10" w:rsidP="00B06721">
      <w:pPr>
        <w:jc w:val="both"/>
        <w:rPr>
          <w:rFonts w:ascii="Arial" w:hAnsi="Arial" w:cs="Arial"/>
          <w:color w:val="000000"/>
          <w:sz w:val="22"/>
          <w:szCs w:val="22"/>
          <w:lang w:val="es-CR"/>
        </w:rPr>
      </w:pPr>
    </w:p>
    <w:p w14:paraId="2A5FDC89" w14:textId="77777777" w:rsidR="00B83A10" w:rsidRPr="008B7FC3" w:rsidRDefault="00B83A10" w:rsidP="006C0BBB">
      <w:pPr>
        <w:numPr>
          <w:ilvl w:val="0"/>
          <w:numId w:val="15"/>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Nombre completo del titular de los valores y el ordenante, cuando corresponda.</w:t>
      </w:r>
    </w:p>
    <w:p w14:paraId="3A9C315C" w14:textId="77777777" w:rsidR="00B83A10" w:rsidRPr="008B7FC3" w:rsidRDefault="00B83A10" w:rsidP="006C0BBB">
      <w:pPr>
        <w:numPr>
          <w:ilvl w:val="0"/>
          <w:numId w:val="15"/>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Identificación de la cuenta (nombre y código de cuenta).</w:t>
      </w:r>
    </w:p>
    <w:p w14:paraId="151E7C1A" w14:textId="77777777" w:rsidR="00B83A10" w:rsidRPr="008B7FC3" w:rsidRDefault="00B83A10" w:rsidP="006C0BBB">
      <w:pPr>
        <w:numPr>
          <w:ilvl w:val="0"/>
          <w:numId w:val="15"/>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Firma del titular u ordenante, la cual debe coincidir con la firma registrada por la entidad de custodia, cuando corresponda según el medio autorizado.</w:t>
      </w:r>
    </w:p>
    <w:p w14:paraId="4D8BB794" w14:textId="77777777" w:rsidR="00B83A10" w:rsidRPr="008B7FC3" w:rsidRDefault="00B83A10" w:rsidP="006C0BBB">
      <w:pPr>
        <w:numPr>
          <w:ilvl w:val="0"/>
          <w:numId w:val="15"/>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Fecha de la instrucción.</w:t>
      </w:r>
    </w:p>
    <w:p w14:paraId="040E8335" w14:textId="77777777" w:rsidR="00B83A10" w:rsidRPr="008B7FC3" w:rsidRDefault="00B83A10" w:rsidP="006C0BBB">
      <w:pPr>
        <w:numPr>
          <w:ilvl w:val="0"/>
          <w:numId w:val="15"/>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Tipo de movimiento (compra, venta, traspaso por recibir, traspaso por enviar)</w:t>
      </w:r>
    </w:p>
    <w:p w14:paraId="3BCC44F2" w14:textId="77777777" w:rsidR="00B83A10" w:rsidRPr="008B7FC3" w:rsidRDefault="00B83A10" w:rsidP="006C0BBB">
      <w:pPr>
        <w:numPr>
          <w:ilvl w:val="0"/>
          <w:numId w:val="15"/>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Instrucciones específicas sobre el efectivo y forma de liquidación.</w:t>
      </w:r>
    </w:p>
    <w:p w14:paraId="267DD6B3" w14:textId="77777777" w:rsidR="00B83A10" w:rsidRPr="008B7FC3" w:rsidRDefault="00B83A10" w:rsidP="006C0BBB">
      <w:pPr>
        <w:numPr>
          <w:ilvl w:val="0"/>
          <w:numId w:val="15"/>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Tipo de custodia (local o internacional).</w:t>
      </w:r>
    </w:p>
    <w:p w14:paraId="44A26240" w14:textId="77777777" w:rsidR="00B83A10" w:rsidRPr="008B7FC3" w:rsidRDefault="00B83A10" w:rsidP="006C0BBB">
      <w:pPr>
        <w:numPr>
          <w:ilvl w:val="0"/>
          <w:numId w:val="15"/>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Detalle de los valores (código ISIN, instrumento, emisor, valor facial, moneda).</w:t>
      </w:r>
    </w:p>
    <w:p w14:paraId="24A00732" w14:textId="77777777" w:rsidR="00B83A10" w:rsidRPr="008B7FC3" w:rsidRDefault="00B83A10" w:rsidP="006C0BBB">
      <w:pPr>
        <w:numPr>
          <w:ilvl w:val="0"/>
          <w:numId w:val="15"/>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Detalle del efectivo (monto a recibir o a liquidar y moneda), cuando corresponda. </w:t>
      </w:r>
    </w:p>
    <w:p w14:paraId="2A40C9C1" w14:textId="77777777" w:rsidR="00B83A10" w:rsidRPr="008B7FC3" w:rsidRDefault="00B83A10" w:rsidP="006C0BBB">
      <w:pPr>
        <w:numPr>
          <w:ilvl w:val="0"/>
          <w:numId w:val="15"/>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Fecha de liquidación.</w:t>
      </w:r>
    </w:p>
    <w:p w14:paraId="1288BA9F" w14:textId="77777777" w:rsidR="00B83A10" w:rsidRPr="008B7FC3" w:rsidRDefault="00B83A10" w:rsidP="00B06721">
      <w:pPr>
        <w:jc w:val="both"/>
        <w:rPr>
          <w:rFonts w:ascii="Arial" w:hAnsi="Arial" w:cs="Arial"/>
          <w:b/>
          <w:bCs/>
          <w:color w:val="000000"/>
          <w:sz w:val="22"/>
          <w:szCs w:val="22"/>
          <w:lang w:val="es-CR"/>
        </w:rPr>
      </w:pPr>
    </w:p>
    <w:p w14:paraId="226C2082" w14:textId="77777777" w:rsidR="00026A9D" w:rsidRPr="00026A9D" w:rsidRDefault="00026A9D" w:rsidP="00026A9D">
      <w:pPr>
        <w:jc w:val="both"/>
        <w:rPr>
          <w:rFonts w:ascii="Arial" w:hAnsi="Arial" w:cs="Arial"/>
          <w:b/>
          <w:lang w:val="es-CR"/>
        </w:rPr>
      </w:pPr>
      <w:r w:rsidRPr="00026A9D">
        <w:rPr>
          <w:rFonts w:ascii="Arial" w:hAnsi="Arial" w:cs="Arial"/>
          <w:b/>
          <w:bCs/>
          <w:sz w:val="22"/>
          <w:szCs w:val="22"/>
          <w:lang w:val="es-CR"/>
        </w:rPr>
        <w:t>Artículo 9.  Identificación de titulares</w:t>
      </w:r>
    </w:p>
    <w:p w14:paraId="2927DE4A" w14:textId="77777777" w:rsidR="00F47B77" w:rsidRPr="008B7FC3" w:rsidRDefault="00F47B77" w:rsidP="00B06721">
      <w:pPr>
        <w:jc w:val="both"/>
        <w:rPr>
          <w:rFonts w:ascii="Arial" w:hAnsi="Arial" w:cs="Arial"/>
          <w:b/>
          <w:bCs/>
          <w:color w:val="000000"/>
          <w:sz w:val="22"/>
          <w:szCs w:val="22"/>
          <w:lang w:val="es-CR"/>
        </w:rPr>
      </w:pPr>
    </w:p>
    <w:p w14:paraId="79878629"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Para efectos de lo dispuesto en el Reglamento, respecto a la identificación de los titulares se establecen los siguientes requerimientos:</w:t>
      </w:r>
    </w:p>
    <w:p w14:paraId="5F32C575" w14:textId="77777777" w:rsidR="00B83A10" w:rsidRPr="008B7FC3" w:rsidRDefault="00B83A10" w:rsidP="00B06721">
      <w:pPr>
        <w:jc w:val="both"/>
        <w:rPr>
          <w:rFonts w:ascii="Arial" w:hAnsi="Arial" w:cs="Arial"/>
          <w:color w:val="000000"/>
          <w:sz w:val="22"/>
          <w:szCs w:val="22"/>
          <w:lang w:val="es-CR"/>
        </w:rPr>
      </w:pPr>
    </w:p>
    <w:p w14:paraId="39CE0F5E" w14:textId="77777777" w:rsidR="00AA7244" w:rsidRPr="00F7093F" w:rsidRDefault="00AA7244" w:rsidP="00AA7244">
      <w:pPr>
        <w:pStyle w:val="Textonotapie"/>
        <w:numPr>
          <w:ilvl w:val="0"/>
          <w:numId w:val="34"/>
        </w:numPr>
        <w:spacing w:line="276" w:lineRule="auto"/>
        <w:jc w:val="both"/>
        <w:rPr>
          <w:rFonts w:ascii="Arial" w:hAnsi="Arial" w:cs="Arial"/>
          <w:b/>
          <w:sz w:val="22"/>
          <w:szCs w:val="22"/>
          <w:lang w:val="es-CR" w:eastAsia="es-ES"/>
        </w:rPr>
      </w:pPr>
      <w:r w:rsidRPr="00F7093F">
        <w:rPr>
          <w:rFonts w:ascii="Arial" w:hAnsi="Arial" w:cs="Arial"/>
          <w:sz w:val="22"/>
          <w:szCs w:val="22"/>
          <w:lang w:val="es-CR"/>
        </w:rPr>
        <w:t xml:space="preserve">La entidad de custodia debe identificar las cuentas de los titulares de los valores bajo custodia, tanto en sus registros internos como en los de las entidades de primer nivel del Sistema Nacional de Registro de Anotaciones en Cuenta, conforme lo dispuesto en </w:t>
      </w:r>
      <w:proofErr w:type="gramStart"/>
      <w:r w:rsidRPr="00F7093F">
        <w:rPr>
          <w:rFonts w:ascii="Arial" w:hAnsi="Arial" w:cs="Arial"/>
          <w:sz w:val="22"/>
          <w:szCs w:val="22"/>
          <w:lang w:val="es-CR"/>
        </w:rPr>
        <w:t>el  “</w:t>
      </w:r>
      <w:proofErr w:type="gramEnd"/>
      <w:r w:rsidRPr="00F7093F">
        <w:rPr>
          <w:rFonts w:ascii="Arial" w:hAnsi="Arial" w:cs="Arial"/>
          <w:i/>
          <w:sz w:val="22"/>
          <w:szCs w:val="22"/>
          <w:lang w:val="es-CR"/>
        </w:rPr>
        <w:t>SGV-A-223. Acuerdo para la identificación de los clientes titulares de las cuentas de valores en el Sistema Nacional de Registro de Anotaciones en Cuenta y la administración de cuentas de valores.</w:t>
      </w:r>
      <w:r>
        <w:rPr>
          <w:rFonts w:ascii="Arial" w:hAnsi="Arial" w:cs="Arial"/>
          <w:i/>
          <w:sz w:val="22"/>
          <w:szCs w:val="22"/>
          <w:lang w:val="es-CR"/>
        </w:rPr>
        <w:t xml:space="preserve"> </w:t>
      </w:r>
      <w:r>
        <w:rPr>
          <w:rStyle w:val="Refdenotaalpie"/>
          <w:rFonts w:ascii="Arial" w:hAnsi="Arial" w:cs="Arial"/>
          <w:i/>
          <w:sz w:val="22"/>
          <w:szCs w:val="22"/>
          <w:lang w:val="es-CR"/>
        </w:rPr>
        <w:footnoteReference w:id="2"/>
      </w:r>
    </w:p>
    <w:p w14:paraId="31305846" w14:textId="77777777" w:rsidR="00D044CF" w:rsidRPr="008B7FC3" w:rsidRDefault="00D044CF" w:rsidP="006C0BBB">
      <w:pPr>
        <w:ind w:left="567" w:hanging="567"/>
        <w:jc w:val="both"/>
        <w:rPr>
          <w:rFonts w:ascii="Arial" w:hAnsi="Arial" w:cs="Arial"/>
          <w:color w:val="000000"/>
          <w:sz w:val="22"/>
          <w:szCs w:val="22"/>
          <w:lang w:val="es-CR"/>
        </w:rPr>
      </w:pPr>
    </w:p>
    <w:p w14:paraId="26B74814" w14:textId="77777777" w:rsidR="00B83A10" w:rsidRPr="008B7FC3" w:rsidRDefault="00B83A10" w:rsidP="00AA7244">
      <w:pPr>
        <w:pStyle w:val="Textonotapie"/>
        <w:numPr>
          <w:ilvl w:val="0"/>
          <w:numId w:val="34"/>
        </w:numPr>
        <w:spacing w:line="276" w:lineRule="auto"/>
        <w:jc w:val="both"/>
        <w:rPr>
          <w:rFonts w:ascii="Arial" w:hAnsi="Arial" w:cs="Arial"/>
          <w:color w:val="000000"/>
          <w:sz w:val="22"/>
          <w:szCs w:val="22"/>
          <w:lang w:val="es-CR"/>
        </w:rPr>
      </w:pPr>
      <w:r w:rsidRPr="008B7FC3">
        <w:rPr>
          <w:rFonts w:ascii="Arial" w:hAnsi="Arial" w:cs="Arial"/>
          <w:color w:val="000000"/>
          <w:sz w:val="22"/>
          <w:szCs w:val="22"/>
          <w:lang w:val="es-CR"/>
        </w:rPr>
        <w:t>La entidad de custodia debe mantener un único expediente de registro del titular de los valores, el cual debe cumplir con lo establecido en la Normativa para el cumplimiento de la Ley 8204.</w:t>
      </w:r>
    </w:p>
    <w:p w14:paraId="6054E827" w14:textId="77777777" w:rsidR="00B83A10" w:rsidRPr="008B7FC3" w:rsidRDefault="00B83A10" w:rsidP="00B06721">
      <w:pPr>
        <w:jc w:val="both"/>
        <w:rPr>
          <w:rFonts w:ascii="Arial" w:hAnsi="Arial" w:cs="Arial"/>
          <w:color w:val="000000"/>
          <w:sz w:val="22"/>
          <w:szCs w:val="22"/>
          <w:lang w:val="es-CR"/>
        </w:rPr>
      </w:pPr>
    </w:p>
    <w:p w14:paraId="345B058C" w14:textId="77777777" w:rsidR="00B83A10"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 xml:space="preserve">La entidad de custodia debe contar con un registro de firmas actualizado de los titulares en el caso de clientes físicos, del representante legal en el caso de personas jurídicas, así como de los ordenantes y personas autorizadas para el retiro de cheques y otros documentos; así como copia legible del documento de identificación de estas personas.  Este registro de firmas puede mantenerse en documentos físicos o por medios </w:t>
      </w:r>
      <w:r w:rsidRPr="008B7FC3">
        <w:rPr>
          <w:rFonts w:ascii="Arial" w:hAnsi="Arial" w:cs="Arial"/>
          <w:color w:val="000000"/>
          <w:sz w:val="22"/>
          <w:szCs w:val="22"/>
          <w:lang w:val="es-CR"/>
        </w:rPr>
        <w:lastRenderedPageBreak/>
        <w:t xml:space="preserve">electrónicos, que cuenten con medidas de seguridad y cada cambio debe registrar la fecha a partir de la cual </w:t>
      </w:r>
      <w:proofErr w:type="gramStart"/>
      <w:r w:rsidRPr="008B7FC3">
        <w:rPr>
          <w:rFonts w:ascii="Arial" w:hAnsi="Arial" w:cs="Arial"/>
          <w:color w:val="000000"/>
          <w:sz w:val="22"/>
          <w:szCs w:val="22"/>
          <w:lang w:val="es-CR"/>
        </w:rPr>
        <w:t>entra en vigencia</w:t>
      </w:r>
      <w:proofErr w:type="gramEnd"/>
      <w:r w:rsidRPr="008B7FC3">
        <w:rPr>
          <w:rFonts w:ascii="Arial" w:hAnsi="Arial" w:cs="Arial"/>
          <w:color w:val="000000"/>
          <w:sz w:val="22"/>
          <w:szCs w:val="22"/>
          <w:lang w:val="es-CR"/>
        </w:rPr>
        <w:t xml:space="preserve"> la modificación de las condiciones.</w:t>
      </w:r>
    </w:p>
    <w:p w14:paraId="22F09C7C" w14:textId="77777777" w:rsidR="00AA7244" w:rsidRDefault="00AA7244" w:rsidP="00026A9D">
      <w:pPr>
        <w:jc w:val="both"/>
        <w:rPr>
          <w:rFonts w:ascii="Century Gothic" w:hAnsi="Century Gothic" w:cs="Arial"/>
          <w:b/>
          <w:bCs/>
          <w:sz w:val="22"/>
          <w:szCs w:val="22"/>
          <w:lang w:val="es-CR"/>
        </w:rPr>
      </w:pPr>
    </w:p>
    <w:p w14:paraId="03B0059C" w14:textId="77777777" w:rsidR="00026A9D" w:rsidRPr="00026A9D" w:rsidRDefault="00026A9D" w:rsidP="00026A9D">
      <w:pPr>
        <w:jc w:val="both"/>
        <w:rPr>
          <w:rFonts w:ascii="Century Gothic" w:hAnsi="Century Gothic" w:cs="Arial"/>
          <w:b/>
          <w:bCs/>
          <w:sz w:val="22"/>
          <w:szCs w:val="22"/>
          <w:lang w:val="es-CR"/>
        </w:rPr>
      </w:pPr>
      <w:r w:rsidRPr="00026A9D">
        <w:rPr>
          <w:rFonts w:ascii="Century Gothic" w:hAnsi="Century Gothic" w:cs="Arial"/>
          <w:b/>
          <w:bCs/>
          <w:sz w:val="22"/>
          <w:szCs w:val="22"/>
          <w:lang w:val="es-CR"/>
        </w:rPr>
        <w:t>Artículo 10.  Traspaso de valores</w:t>
      </w:r>
    </w:p>
    <w:p w14:paraId="12D3ECDE" w14:textId="77777777" w:rsidR="00B83A10" w:rsidRPr="008B7FC3" w:rsidRDefault="00B83A10" w:rsidP="00B06721">
      <w:pPr>
        <w:jc w:val="both"/>
        <w:rPr>
          <w:rFonts w:ascii="Arial" w:hAnsi="Arial" w:cs="Arial"/>
          <w:color w:val="000000"/>
          <w:sz w:val="22"/>
          <w:szCs w:val="22"/>
          <w:lang w:val="es-CR"/>
        </w:rPr>
      </w:pPr>
    </w:p>
    <w:p w14:paraId="6732C727"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 xml:space="preserve">Para efectos de lo dispuesto en el Reglamento, se autoriza </w:t>
      </w:r>
      <w:proofErr w:type="gramStart"/>
      <w:r w:rsidRPr="008B7FC3">
        <w:rPr>
          <w:rFonts w:ascii="Arial" w:hAnsi="Arial" w:cs="Arial"/>
          <w:color w:val="000000"/>
          <w:sz w:val="22"/>
          <w:szCs w:val="22"/>
          <w:lang w:val="es-CR"/>
        </w:rPr>
        <w:t>únicamente  la</w:t>
      </w:r>
      <w:proofErr w:type="gramEnd"/>
      <w:r w:rsidRPr="008B7FC3">
        <w:rPr>
          <w:rFonts w:ascii="Arial" w:hAnsi="Arial" w:cs="Arial"/>
          <w:color w:val="000000"/>
          <w:sz w:val="22"/>
          <w:szCs w:val="22"/>
          <w:lang w:val="es-CR"/>
        </w:rPr>
        <w:t xml:space="preserve"> realización de los siguientes tipos de traspasos de valores, los cuales deben ser comunicados a la Superintendencia General de Valores:</w:t>
      </w:r>
    </w:p>
    <w:p w14:paraId="220F2073" w14:textId="77777777" w:rsidR="005A41E3" w:rsidRPr="008B7FC3" w:rsidRDefault="005A41E3" w:rsidP="00026A9D">
      <w:pPr>
        <w:tabs>
          <w:tab w:val="left" w:pos="567"/>
        </w:tabs>
        <w:jc w:val="both"/>
        <w:rPr>
          <w:rFonts w:ascii="Arial" w:hAnsi="Arial" w:cs="Arial"/>
          <w:b/>
          <w:bCs/>
          <w:color w:val="000000"/>
          <w:sz w:val="22"/>
          <w:szCs w:val="22"/>
          <w:lang w:val="es-CR"/>
        </w:rPr>
      </w:pPr>
    </w:p>
    <w:p w14:paraId="395CAA3A" w14:textId="77777777" w:rsidR="00B83A10" w:rsidRDefault="00B83A10" w:rsidP="006C0BBB">
      <w:pPr>
        <w:numPr>
          <w:ilvl w:val="0"/>
          <w:numId w:val="31"/>
        </w:numPr>
        <w:tabs>
          <w:tab w:val="left" w:pos="567"/>
        </w:tabs>
        <w:ind w:left="567" w:hanging="567"/>
        <w:jc w:val="both"/>
        <w:rPr>
          <w:rFonts w:ascii="Arial" w:hAnsi="Arial" w:cs="Arial"/>
          <w:b/>
          <w:bCs/>
          <w:color w:val="000000"/>
          <w:sz w:val="22"/>
          <w:szCs w:val="22"/>
          <w:lang w:val="es-CR"/>
        </w:rPr>
      </w:pPr>
      <w:r w:rsidRPr="008B7FC3">
        <w:rPr>
          <w:rFonts w:ascii="Arial" w:hAnsi="Arial" w:cs="Arial"/>
          <w:b/>
          <w:bCs/>
          <w:color w:val="000000"/>
          <w:sz w:val="22"/>
          <w:szCs w:val="22"/>
          <w:lang w:val="es-CR"/>
        </w:rPr>
        <w:t xml:space="preserve">Traspasos no onerosos: </w:t>
      </w:r>
    </w:p>
    <w:p w14:paraId="32FB53BB" w14:textId="77777777" w:rsidR="00A9419C" w:rsidRPr="008B7FC3" w:rsidRDefault="00A9419C" w:rsidP="00A9419C">
      <w:pPr>
        <w:tabs>
          <w:tab w:val="left" w:pos="567"/>
        </w:tabs>
        <w:ind w:left="567"/>
        <w:jc w:val="both"/>
        <w:rPr>
          <w:rFonts w:ascii="Arial" w:hAnsi="Arial" w:cs="Arial"/>
          <w:b/>
          <w:bCs/>
          <w:color w:val="000000"/>
          <w:sz w:val="22"/>
          <w:szCs w:val="22"/>
          <w:lang w:val="es-CR"/>
        </w:rPr>
      </w:pPr>
    </w:p>
    <w:p w14:paraId="6EC7EC8C" w14:textId="77777777" w:rsidR="00B83A10" w:rsidRPr="008B7FC3" w:rsidRDefault="00B83A10" w:rsidP="006C0BBB">
      <w:pPr>
        <w:numPr>
          <w:ilvl w:val="0"/>
          <w:numId w:val="17"/>
        </w:numPr>
        <w:ind w:left="567" w:hanging="567"/>
        <w:jc w:val="both"/>
        <w:rPr>
          <w:rFonts w:ascii="Arial" w:hAnsi="Arial" w:cs="Arial"/>
          <w:color w:val="000000"/>
          <w:sz w:val="22"/>
          <w:szCs w:val="22"/>
          <w:lang w:val="es-CR"/>
        </w:rPr>
      </w:pPr>
      <w:r w:rsidRPr="008B7FC3">
        <w:rPr>
          <w:rFonts w:ascii="Arial" w:hAnsi="Arial" w:cs="Arial"/>
          <w:i/>
          <w:iCs/>
          <w:color w:val="000000"/>
          <w:sz w:val="22"/>
          <w:szCs w:val="22"/>
          <w:lang w:val="es-CR"/>
        </w:rPr>
        <w:t>Traspaso sin cambio de titularidad</w:t>
      </w:r>
      <w:r w:rsidRPr="008B7FC3">
        <w:rPr>
          <w:rFonts w:ascii="Arial" w:hAnsi="Arial" w:cs="Arial"/>
          <w:color w:val="000000"/>
          <w:sz w:val="22"/>
          <w:szCs w:val="22"/>
          <w:lang w:val="es-CR"/>
        </w:rPr>
        <w:t xml:space="preserve"> hacia otro custodio, para los cuales se debe contar con la autorización expresa del inversionista titular de los valores. Estos pueden ser:</w:t>
      </w:r>
    </w:p>
    <w:p w14:paraId="06CA98DF" w14:textId="77777777" w:rsidR="00B83A10" w:rsidRPr="008B7FC3" w:rsidRDefault="00B83A10" w:rsidP="00B06721">
      <w:pPr>
        <w:jc w:val="both"/>
        <w:rPr>
          <w:rFonts w:ascii="Arial" w:hAnsi="Arial" w:cs="Arial"/>
          <w:color w:val="000000"/>
          <w:sz w:val="22"/>
          <w:szCs w:val="22"/>
          <w:lang w:val="es-CR"/>
        </w:rPr>
      </w:pPr>
    </w:p>
    <w:p w14:paraId="2557469B" w14:textId="77777777" w:rsidR="009B6953" w:rsidRPr="008B7FC3" w:rsidRDefault="00B83A10" w:rsidP="006C0BBB">
      <w:pPr>
        <w:numPr>
          <w:ilvl w:val="0"/>
          <w:numId w:val="18"/>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Por voluntad del titular.</w:t>
      </w:r>
    </w:p>
    <w:p w14:paraId="203C6680" w14:textId="77777777" w:rsidR="00B83A10" w:rsidRPr="008B7FC3" w:rsidRDefault="00B83A10" w:rsidP="006C0BBB">
      <w:pPr>
        <w:numPr>
          <w:ilvl w:val="0"/>
          <w:numId w:val="18"/>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Por </w:t>
      </w:r>
      <w:proofErr w:type="spellStart"/>
      <w:r w:rsidRPr="008B7FC3">
        <w:rPr>
          <w:rFonts w:ascii="Arial" w:hAnsi="Arial" w:cs="Arial"/>
          <w:color w:val="000000"/>
          <w:sz w:val="22"/>
          <w:szCs w:val="22"/>
          <w:lang w:val="es-CR"/>
        </w:rPr>
        <w:t>desinscripción</w:t>
      </w:r>
      <w:proofErr w:type="spellEnd"/>
      <w:r w:rsidRPr="008B7FC3">
        <w:rPr>
          <w:rFonts w:ascii="Arial" w:hAnsi="Arial" w:cs="Arial"/>
          <w:color w:val="000000"/>
          <w:sz w:val="22"/>
          <w:szCs w:val="22"/>
          <w:lang w:val="es-CR"/>
        </w:rPr>
        <w:t xml:space="preserve"> de la entidad de custodia</w:t>
      </w:r>
      <w:r w:rsidRPr="008B7FC3">
        <w:rPr>
          <w:rFonts w:ascii="Arial" w:hAnsi="Arial" w:cs="Arial"/>
          <w:b/>
          <w:bCs/>
          <w:color w:val="000000"/>
          <w:sz w:val="22"/>
          <w:szCs w:val="22"/>
          <w:lang w:val="es-CR"/>
        </w:rPr>
        <w:t>.</w:t>
      </w:r>
    </w:p>
    <w:p w14:paraId="48350D33" w14:textId="77777777" w:rsidR="009B6953" w:rsidRPr="008B7FC3" w:rsidRDefault="009B6953" w:rsidP="00B06721">
      <w:pPr>
        <w:jc w:val="both"/>
        <w:rPr>
          <w:rFonts w:ascii="Arial" w:hAnsi="Arial" w:cs="Arial"/>
          <w:color w:val="000000"/>
          <w:sz w:val="22"/>
          <w:szCs w:val="22"/>
          <w:lang w:val="es-CR"/>
        </w:rPr>
      </w:pPr>
    </w:p>
    <w:p w14:paraId="3648290E" w14:textId="77777777" w:rsidR="00B83A10" w:rsidRPr="008B7FC3" w:rsidRDefault="00B83A10" w:rsidP="006C0BBB">
      <w:pPr>
        <w:numPr>
          <w:ilvl w:val="0"/>
          <w:numId w:val="17"/>
        </w:numPr>
        <w:ind w:left="567" w:hanging="567"/>
        <w:jc w:val="both"/>
        <w:rPr>
          <w:rFonts w:ascii="Arial" w:hAnsi="Arial" w:cs="Arial"/>
          <w:color w:val="000000"/>
          <w:sz w:val="22"/>
          <w:szCs w:val="22"/>
          <w:lang w:val="es-CR"/>
        </w:rPr>
      </w:pPr>
      <w:r w:rsidRPr="008B7FC3">
        <w:rPr>
          <w:rFonts w:ascii="Arial" w:hAnsi="Arial" w:cs="Arial"/>
          <w:i/>
          <w:iCs/>
          <w:color w:val="000000"/>
          <w:sz w:val="22"/>
          <w:szCs w:val="22"/>
          <w:lang w:val="es-CR"/>
        </w:rPr>
        <w:t>Traspaso con cambio de titularidad</w:t>
      </w:r>
      <w:r w:rsidRPr="008B7FC3">
        <w:rPr>
          <w:rFonts w:ascii="Arial" w:hAnsi="Arial" w:cs="Arial"/>
          <w:color w:val="000000"/>
          <w:sz w:val="22"/>
          <w:szCs w:val="22"/>
          <w:lang w:val="es-CR"/>
        </w:rPr>
        <w:t xml:space="preserve"> hacia otro custodio o en el mismo custodio, para los cuales se debe contar con la documentación legal necesaria que fundamente </w:t>
      </w:r>
      <w:proofErr w:type="gramStart"/>
      <w:r w:rsidRPr="008B7FC3">
        <w:rPr>
          <w:rFonts w:ascii="Arial" w:hAnsi="Arial" w:cs="Arial"/>
          <w:color w:val="000000"/>
          <w:sz w:val="22"/>
          <w:szCs w:val="22"/>
          <w:lang w:val="es-CR"/>
        </w:rPr>
        <w:t>el  origen</w:t>
      </w:r>
      <w:proofErr w:type="gramEnd"/>
      <w:r w:rsidRPr="008B7FC3">
        <w:rPr>
          <w:rFonts w:ascii="Arial" w:hAnsi="Arial" w:cs="Arial"/>
          <w:color w:val="000000"/>
          <w:sz w:val="22"/>
          <w:szCs w:val="22"/>
          <w:lang w:val="es-CR"/>
        </w:rPr>
        <w:t xml:space="preserve"> del traspaso.  Tales traspasos son los siguientes:</w:t>
      </w:r>
    </w:p>
    <w:p w14:paraId="095BDB86" w14:textId="77777777" w:rsidR="00B83A10" w:rsidRPr="008B7FC3" w:rsidRDefault="00B83A10" w:rsidP="00B06721">
      <w:pPr>
        <w:jc w:val="both"/>
        <w:rPr>
          <w:rFonts w:ascii="Arial" w:hAnsi="Arial" w:cs="Arial"/>
          <w:color w:val="000000"/>
          <w:sz w:val="22"/>
          <w:szCs w:val="22"/>
          <w:lang w:val="es-CR"/>
        </w:rPr>
      </w:pPr>
    </w:p>
    <w:p w14:paraId="24016A90" w14:textId="77777777" w:rsidR="009B6953" w:rsidRPr="008B7FC3" w:rsidRDefault="006C0BBB" w:rsidP="006C0BBB">
      <w:pPr>
        <w:numPr>
          <w:ilvl w:val="0"/>
          <w:numId w:val="19"/>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ab/>
      </w:r>
      <w:r w:rsidR="00B83A10" w:rsidRPr="008B7FC3">
        <w:rPr>
          <w:rFonts w:ascii="Arial" w:hAnsi="Arial" w:cs="Arial"/>
          <w:color w:val="000000"/>
          <w:sz w:val="22"/>
          <w:szCs w:val="22"/>
          <w:lang w:val="es-CR"/>
        </w:rPr>
        <w:t>Donaciones o cesiones gratuitas: Se debe contar con una copia certificada por Notario público de la escritura pública de donación o cesión gratuita, en la que se debe indicar claramente el o los valores que se traspasan (emisor y tipo de valor), las cuentas de los clientes involucrados (número y nombre) y el valor nominal o facial total traspasado.</w:t>
      </w:r>
    </w:p>
    <w:p w14:paraId="6561E9B5" w14:textId="77777777" w:rsidR="009B6953" w:rsidRPr="008B7FC3" w:rsidRDefault="009B6953" w:rsidP="006C0BBB">
      <w:pPr>
        <w:ind w:left="1134" w:hanging="567"/>
        <w:jc w:val="both"/>
        <w:rPr>
          <w:rFonts w:ascii="Arial" w:hAnsi="Arial" w:cs="Arial"/>
          <w:color w:val="000000"/>
          <w:sz w:val="22"/>
          <w:szCs w:val="22"/>
          <w:lang w:val="es-CR"/>
        </w:rPr>
      </w:pPr>
    </w:p>
    <w:p w14:paraId="784FA4F5" w14:textId="77777777" w:rsidR="00B83A10" w:rsidRDefault="00B83A10" w:rsidP="006C0BBB">
      <w:pPr>
        <w:numPr>
          <w:ilvl w:val="0"/>
          <w:numId w:val="19"/>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Fallecimiento del inversionista titular de la cuenta:</w:t>
      </w:r>
    </w:p>
    <w:p w14:paraId="227853E6" w14:textId="77777777" w:rsidR="00A9419C" w:rsidRDefault="00A9419C" w:rsidP="00A9419C">
      <w:pPr>
        <w:pStyle w:val="Prrafodelista"/>
        <w:rPr>
          <w:rFonts w:ascii="Arial" w:hAnsi="Arial" w:cs="Arial"/>
          <w:color w:val="000000"/>
          <w:sz w:val="22"/>
          <w:szCs w:val="22"/>
          <w:lang w:val="es-CR"/>
        </w:rPr>
      </w:pPr>
    </w:p>
    <w:p w14:paraId="7D3772FF" w14:textId="77777777" w:rsidR="00A9419C" w:rsidRPr="008B7FC3" w:rsidRDefault="00A9419C" w:rsidP="00A9419C">
      <w:pPr>
        <w:ind w:left="1134"/>
        <w:jc w:val="both"/>
        <w:rPr>
          <w:rFonts w:ascii="Arial" w:hAnsi="Arial" w:cs="Arial"/>
          <w:color w:val="000000"/>
          <w:sz w:val="22"/>
          <w:szCs w:val="22"/>
          <w:lang w:val="es-CR"/>
        </w:rPr>
      </w:pPr>
    </w:p>
    <w:p w14:paraId="534395AD" w14:textId="77777777" w:rsidR="009B6953" w:rsidRPr="008B7FC3" w:rsidRDefault="006C0BBB" w:rsidP="006C0BBB">
      <w:pPr>
        <w:numPr>
          <w:ilvl w:val="0"/>
          <w:numId w:val="20"/>
        </w:numPr>
        <w:ind w:left="1701" w:hanging="567"/>
        <w:jc w:val="both"/>
        <w:rPr>
          <w:rFonts w:ascii="Arial" w:hAnsi="Arial" w:cs="Arial"/>
          <w:color w:val="000000"/>
          <w:sz w:val="22"/>
          <w:szCs w:val="22"/>
          <w:lang w:val="es-CR"/>
        </w:rPr>
      </w:pPr>
      <w:r w:rsidRPr="008B7FC3">
        <w:rPr>
          <w:rFonts w:ascii="Arial" w:hAnsi="Arial" w:cs="Arial"/>
          <w:color w:val="000000"/>
          <w:sz w:val="22"/>
          <w:szCs w:val="22"/>
          <w:lang w:val="es-CR"/>
        </w:rPr>
        <w:tab/>
      </w:r>
      <w:r w:rsidR="00B83A10" w:rsidRPr="008B7FC3">
        <w:rPr>
          <w:rFonts w:ascii="Arial" w:hAnsi="Arial" w:cs="Arial"/>
          <w:color w:val="000000"/>
          <w:sz w:val="22"/>
          <w:szCs w:val="22"/>
          <w:lang w:val="es-CR"/>
        </w:rPr>
        <w:t xml:space="preserve">Por sucesión testamentaria o intestada, tramitada ante la Autoridad Judicial: Se debe contar con una certificación notarial de la resolución que adjudica los valores al solicitante, en la que </w:t>
      </w:r>
      <w:proofErr w:type="gramStart"/>
      <w:r w:rsidR="00B83A10" w:rsidRPr="008B7FC3">
        <w:rPr>
          <w:rFonts w:ascii="Arial" w:hAnsi="Arial" w:cs="Arial"/>
          <w:color w:val="000000"/>
          <w:sz w:val="22"/>
          <w:szCs w:val="22"/>
          <w:lang w:val="es-CR"/>
        </w:rPr>
        <w:t>conste</w:t>
      </w:r>
      <w:proofErr w:type="gramEnd"/>
      <w:r w:rsidR="00B83A10" w:rsidRPr="008B7FC3">
        <w:rPr>
          <w:rFonts w:ascii="Arial" w:hAnsi="Arial" w:cs="Arial"/>
          <w:color w:val="000000"/>
          <w:sz w:val="22"/>
          <w:szCs w:val="22"/>
          <w:lang w:val="es-CR"/>
        </w:rPr>
        <w:t xml:space="preserve"> además, que la misma se encuentra firme, es decir, que no ha sido apelada, o que siéndolo, el despacho superior confirmó la resolución original.</w:t>
      </w:r>
    </w:p>
    <w:p w14:paraId="62D1DD32" w14:textId="77777777" w:rsidR="009B6953" w:rsidRPr="008B7FC3" w:rsidRDefault="009B6953" w:rsidP="006C0BBB">
      <w:pPr>
        <w:ind w:left="1701" w:hanging="567"/>
        <w:jc w:val="both"/>
        <w:rPr>
          <w:rFonts w:ascii="Arial" w:hAnsi="Arial" w:cs="Arial"/>
          <w:color w:val="000000"/>
          <w:sz w:val="22"/>
          <w:szCs w:val="22"/>
          <w:lang w:val="es-CR"/>
        </w:rPr>
      </w:pPr>
    </w:p>
    <w:p w14:paraId="281FAEB7" w14:textId="77777777" w:rsidR="009B6953" w:rsidRPr="008B7FC3" w:rsidRDefault="006C0BBB" w:rsidP="006C0BBB">
      <w:pPr>
        <w:numPr>
          <w:ilvl w:val="0"/>
          <w:numId w:val="20"/>
        </w:numPr>
        <w:ind w:left="1701" w:hanging="567"/>
        <w:jc w:val="both"/>
        <w:rPr>
          <w:rFonts w:ascii="Arial" w:hAnsi="Arial" w:cs="Arial"/>
          <w:color w:val="000000"/>
          <w:sz w:val="22"/>
          <w:szCs w:val="22"/>
          <w:lang w:val="es-CR"/>
        </w:rPr>
      </w:pPr>
      <w:r w:rsidRPr="008B7FC3">
        <w:rPr>
          <w:rFonts w:ascii="Arial" w:hAnsi="Arial" w:cs="Arial"/>
          <w:color w:val="000000"/>
          <w:sz w:val="22"/>
          <w:szCs w:val="22"/>
          <w:lang w:val="es-CR"/>
        </w:rPr>
        <w:tab/>
      </w:r>
      <w:r w:rsidR="00B83A10" w:rsidRPr="008B7FC3">
        <w:rPr>
          <w:rFonts w:ascii="Arial" w:hAnsi="Arial" w:cs="Arial"/>
          <w:color w:val="000000"/>
          <w:sz w:val="22"/>
          <w:szCs w:val="22"/>
          <w:lang w:val="es-CR"/>
        </w:rPr>
        <w:t>Por sucesión testamentaria o intestada, tramitada ante Notario público: Se debe contar con una certificación notarial de la partición de bienes realizada, en la que se determine a quién fueron adjudicados los valores.</w:t>
      </w:r>
    </w:p>
    <w:p w14:paraId="627E7D5E" w14:textId="77777777" w:rsidR="009B6953" w:rsidRPr="008B7FC3" w:rsidRDefault="009B6953" w:rsidP="006C0BBB">
      <w:pPr>
        <w:pStyle w:val="Prrafodelista"/>
        <w:ind w:left="1701" w:hanging="567"/>
        <w:rPr>
          <w:rFonts w:ascii="Arial" w:hAnsi="Arial" w:cs="Arial"/>
          <w:color w:val="000000"/>
          <w:sz w:val="22"/>
          <w:szCs w:val="22"/>
          <w:lang w:val="es-CR"/>
        </w:rPr>
      </w:pPr>
    </w:p>
    <w:p w14:paraId="299C65A7" w14:textId="77777777" w:rsidR="00B83A10" w:rsidRDefault="006C0BBB" w:rsidP="006C0BBB">
      <w:pPr>
        <w:numPr>
          <w:ilvl w:val="0"/>
          <w:numId w:val="20"/>
        </w:numPr>
        <w:ind w:left="1701" w:hanging="567"/>
        <w:jc w:val="both"/>
        <w:rPr>
          <w:rFonts w:ascii="Arial" w:hAnsi="Arial" w:cs="Arial"/>
          <w:color w:val="000000"/>
          <w:sz w:val="22"/>
          <w:szCs w:val="22"/>
          <w:lang w:val="es-CR"/>
        </w:rPr>
      </w:pPr>
      <w:r w:rsidRPr="008B7FC3">
        <w:rPr>
          <w:rFonts w:ascii="Arial" w:hAnsi="Arial" w:cs="Arial"/>
          <w:color w:val="000000"/>
          <w:sz w:val="22"/>
          <w:szCs w:val="22"/>
          <w:lang w:val="es-CR"/>
        </w:rPr>
        <w:tab/>
      </w:r>
      <w:r w:rsidR="00B83A10" w:rsidRPr="008B7FC3">
        <w:rPr>
          <w:rFonts w:ascii="Arial" w:hAnsi="Arial" w:cs="Arial"/>
          <w:color w:val="000000"/>
          <w:sz w:val="22"/>
          <w:szCs w:val="22"/>
          <w:lang w:val="es-CR"/>
        </w:rPr>
        <w:t>Por ejecución de cláusula contenida en un fideicomiso testamentario: Se debe contar con una copia certificada por Notario público del contrato de fideicomiso.</w:t>
      </w:r>
    </w:p>
    <w:p w14:paraId="6FF47DB9" w14:textId="77777777" w:rsidR="00100CBA" w:rsidRDefault="00100CBA" w:rsidP="00100CBA">
      <w:pPr>
        <w:pStyle w:val="Prrafodelista"/>
        <w:rPr>
          <w:rFonts w:ascii="Arial" w:hAnsi="Arial" w:cs="Arial"/>
          <w:color w:val="000000"/>
          <w:sz w:val="22"/>
          <w:szCs w:val="22"/>
          <w:lang w:val="es-CR"/>
        </w:rPr>
      </w:pPr>
    </w:p>
    <w:p w14:paraId="11881C0B" w14:textId="77777777" w:rsidR="00100CBA" w:rsidRPr="00A15540" w:rsidRDefault="001E6CD7" w:rsidP="00720D4F">
      <w:pPr>
        <w:numPr>
          <w:ilvl w:val="0"/>
          <w:numId w:val="20"/>
        </w:numPr>
        <w:ind w:left="1701" w:hanging="567"/>
        <w:jc w:val="both"/>
        <w:rPr>
          <w:rFonts w:ascii="Arial" w:hAnsi="Arial" w:cs="Arial"/>
          <w:color w:val="000000"/>
          <w:sz w:val="22"/>
          <w:szCs w:val="22"/>
          <w:lang w:val="es-CR"/>
        </w:rPr>
      </w:pPr>
      <w:r w:rsidRPr="008B7FC3">
        <w:rPr>
          <w:rFonts w:ascii="Arial" w:hAnsi="Arial" w:cs="Arial"/>
          <w:color w:val="000000"/>
          <w:sz w:val="22"/>
          <w:szCs w:val="22"/>
          <w:lang w:val="es-CR"/>
        </w:rPr>
        <w:tab/>
      </w:r>
      <w:r w:rsidR="00100CBA" w:rsidRPr="00A15540">
        <w:rPr>
          <w:rFonts w:ascii="Arial" w:hAnsi="Arial" w:cs="Arial"/>
          <w:color w:val="000000"/>
          <w:sz w:val="22"/>
          <w:szCs w:val="22"/>
          <w:lang w:val="es-CR"/>
        </w:rPr>
        <w:t>Por nombramiento de beneficiarios según lo dispuesto e</w:t>
      </w:r>
      <w:r w:rsidR="00720D4F" w:rsidRPr="00A15540">
        <w:rPr>
          <w:rFonts w:ascii="Arial" w:hAnsi="Arial" w:cs="Arial"/>
          <w:color w:val="000000"/>
          <w:sz w:val="22"/>
          <w:szCs w:val="22"/>
          <w:lang w:val="es-CR"/>
        </w:rPr>
        <w:t xml:space="preserve">n el Artículo </w:t>
      </w:r>
      <w:r w:rsidR="00100CBA" w:rsidRPr="00A15540">
        <w:rPr>
          <w:rFonts w:ascii="Arial" w:hAnsi="Arial" w:cs="Arial"/>
          <w:color w:val="000000"/>
          <w:sz w:val="22"/>
          <w:szCs w:val="22"/>
          <w:lang w:val="es-CR"/>
        </w:rPr>
        <w:t xml:space="preserve">183 de la Ley Reguladora del Mercado de Valores: Formulario donde el titular designó a los beneficiarios debidamente firmado, copia </w:t>
      </w:r>
      <w:r w:rsidR="00100CBA" w:rsidRPr="00A15540">
        <w:rPr>
          <w:rFonts w:ascii="Arial" w:hAnsi="Arial" w:cs="Arial"/>
          <w:color w:val="000000"/>
          <w:sz w:val="22"/>
          <w:szCs w:val="22"/>
          <w:lang w:val="es-CR"/>
        </w:rPr>
        <w:lastRenderedPageBreak/>
        <w:t>de la cédula de identidad del beneficiario y copia certificada por Notario Público del acta de defunción del titular o certificación expedida por el Registro Civil en la que se haga constar la defunción</w:t>
      </w:r>
      <w:r w:rsidR="00100CBA" w:rsidRPr="00A15540">
        <w:rPr>
          <w:rFonts w:ascii="Arial" w:hAnsi="Arial" w:cs="Arial"/>
          <w:color w:val="000000"/>
          <w:sz w:val="20"/>
          <w:szCs w:val="20"/>
          <w:lang w:val="es-CR"/>
        </w:rPr>
        <w:t>.</w:t>
      </w:r>
      <w:r w:rsidR="00100CBA" w:rsidRPr="00A15540">
        <w:rPr>
          <w:rFonts w:ascii="Arial" w:hAnsi="Arial" w:cs="Arial"/>
          <w:sz w:val="20"/>
          <w:szCs w:val="20"/>
          <w:vertAlign w:val="superscript"/>
        </w:rPr>
        <w:footnoteReference w:id="3"/>
      </w:r>
    </w:p>
    <w:p w14:paraId="2DA892F6" w14:textId="77777777" w:rsidR="00B83A10" w:rsidRPr="008B7FC3" w:rsidRDefault="00B83A10" w:rsidP="00B06721">
      <w:pPr>
        <w:jc w:val="both"/>
        <w:rPr>
          <w:rFonts w:ascii="Arial" w:hAnsi="Arial" w:cs="Arial"/>
          <w:color w:val="000000"/>
          <w:sz w:val="22"/>
          <w:szCs w:val="22"/>
          <w:lang w:val="es-CR"/>
        </w:rPr>
      </w:pPr>
    </w:p>
    <w:p w14:paraId="371AAD5A" w14:textId="77777777" w:rsidR="009B6953" w:rsidRPr="008B7FC3" w:rsidRDefault="00B83A10" w:rsidP="006C0BBB">
      <w:pPr>
        <w:numPr>
          <w:ilvl w:val="0"/>
          <w:numId w:val="19"/>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Adjudicación judicial o extrajudicial en procesos de restitución de bienes, ejecución de garantías o distribución de bienes gananciales: Se debe contar con una certificación notarial o copia certificada por Notario público de la resolución del despacho judicial que tramitó el proceso, y en la cual consta a quién se le restituyeron los bienes o a quiénes corresponden los bienes gananciales, haciendo constar que la misma se encuentra firme.</w:t>
      </w:r>
    </w:p>
    <w:p w14:paraId="15792233" w14:textId="77777777" w:rsidR="00F47B77" w:rsidRPr="008B7FC3" w:rsidRDefault="00F47B77" w:rsidP="00F47B77">
      <w:pPr>
        <w:jc w:val="both"/>
        <w:rPr>
          <w:rFonts w:ascii="Arial" w:hAnsi="Arial" w:cs="Arial"/>
          <w:color w:val="000000"/>
          <w:sz w:val="22"/>
          <w:szCs w:val="22"/>
          <w:lang w:val="es-CR"/>
        </w:rPr>
      </w:pPr>
    </w:p>
    <w:p w14:paraId="6321C376" w14:textId="77777777" w:rsidR="009B6953" w:rsidRPr="008B7FC3" w:rsidRDefault="00B83A10" w:rsidP="006C0BBB">
      <w:pPr>
        <w:numPr>
          <w:ilvl w:val="0"/>
          <w:numId w:val="19"/>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Laudo arbitral: Se debe contar con una certificación notarial o copia certificada por Notario público del laudo arbitral respectivo.</w:t>
      </w:r>
    </w:p>
    <w:p w14:paraId="215463E8" w14:textId="77777777" w:rsidR="009B6953" w:rsidRPr="008B7FC3" w:rsidRDefault="009B6953" w:rsidP="006C0BBB">
      <w:pPr>
        <w:pStyle w:val="Prrafodelista"/>
        <w:ind w:left="1134" w:hanging="567"/>
        <w:rPr>
          <w:rFonts w:ascii="Arial" w:hAnsi="Arial" w:cs="Arial"/>
          <w:color w:val="000000"/>
          <w:sz w:val="22"/>
          <w:szCs w:val="22"/>
          <w:lang w:val="es-CR"/>
        </w:rPr>
      </w:pPr>
    </w:p>
    <w:p w14:paraId="3D896D2F" w14:textId="77777777" w:rsidR="009B6953" w:rsidRPr="008B7FC3" w:rsidRDefault="00B83A10" w:rsidP="006C0BBB">
      <w:pPr>
        <w:numPr>
          <w:ilvl w:val="0"/>
          <w:numId w:val="19"/>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Fusión o disolución de una sociedad: Para el caso de fusión, se debe contar con una certificación notarial o copia certificada notarialmente de la asamblea de accionistas en que se acordó y aprobó la fusión de cada una de las sociedades constituyentes debidamente inscrita en el Registro Mercantil. En el caso de disolución de la sociedad debe aportarse copia certificada notarialmente o certificación notarial del acuerdo de disolución tomado por los socios debidamente inscrito en el Registro Mercantil.</w:t>
      </w:r>
    </w:p>
    <w:p w14:paraId="5C2E7CDD" w14:textId="77777777" w:rsidR="009B6953" w:rsidRPr="008B7FC3" w:rsidRDefault="009B6953" w:rsidP="00B06721">
      <w:pPr>
        <w:pStyle w:val="Prrafodelista"/>
        <w:ind w:left="1418"/>
        <w:rPr>
          <w:rFonts w:ascii="Arial" w:hAnsi="Arial" w:cs="Arial"/>
          <w:color w:val="000000"/>
          <w:sz w:val="22"/>
          <w:szCs w:val="22"/>
          <w:lang w:val="es-CR"/>
        </w:rPr>
      </w:pPr>
    </w:p>
    <w:p w14:paraId="7E790D7D" w14:textId="77777777" w:rsidR="009B6953" w:rsidRPr="008B7FC3" w:rsidRDefault="00B83A10" w:rsidP="006C0BBB">
      <w:pPr>
        <w:numPr>
          <w:ilvl w:val="0"/>
          <w:numId w:val="19"/>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Aporte y devolución de valores al Fideicomiso de Garantía del Sistema de Pagos (SINPE).</w:t>
      </w:r>
    </w:p>
    <w:p w14:paraId="05076123" w14:textId="77777777" w:rsidR="009B6953" w:rsidRPr="008B7FC3" w:rsidRDefault="009B6953" w:rsidP="006C0BBB">
      <w:pPr>
        <w:pStyle w:val="Prrafodelista"/>
        <w:ind w:left="1134" w:hanging="567"/>
        <w:rPr>
          <w:rFonts w:ascii="Arial" w:hAnsi="Arial" w:cs="Arial"/>
          <w:color w:val="000000"/>
          <w:sz w:val="22"/>
          <w:szCs w:val="22"/>
          <w:lang w:val="es-CR"/>
        </w:rPr>
      </w:pPr>
    </w:p>
    <w:p w14:paraId="07261E69" w14:textId="77777777" w:rsidR="009B6953" w:rsidRPr="008B7FC3" w:rsidRDefault="00B83A10" w:rsidP="006C0BBB">
      <w:pPr>
        <w:numPr>
          <w:ilvl w:val="0"/>
          <w:numId w:val="19"/>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Aportes y devoluciones a fideicomisos de valores: Se debe contar con el contrato de constitución del fideicomiso o adendas donde se indique en detalle las características de los valores objeto de aporte.  En el caso de devolución, se debe contar con el finiquito del contrato correspondiente. </w:t>
      </w:r>
    </w:p>
    <w:p w14:paraId="5C695971" w14:textId="77777777" w:rsidR="009B6953" w:rsidRPr="008B7FC3" w:rsidRDefault="009B6953" w:rsidP="006C0BBB">
      <w:pPr>
        <w:pStyle w:val="Prrafodelista"/>
        <w:ind w:left="1134" w:hanging="567"/>
        <w:rPr>
          <w:rFonts w:ascii="Arial" w:hAnsi="Arial" w:cs="Arial"/>
          <w:color w:val="000000"/>
          <w:sz w:val="22"/>
          <w:szCs w:val="22"/>
          <w:lang w:val="es-CR"/>
        </w:rPr>
      </w:pPr>
    </w:p>
    <w:p w14:paraId="50991FD6" w14:textId="77777777" w:rsidR="00B83A10" w:rsidRDefault="00B83A10" w:rsidP="006C0BBB">
      <w:pPr>
        <w:numPr>
          <w:ilvl w:val="0"/>
          <w:numId w:val="19"/>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Traspasos de valores de fondos de pensión o de capitalización laboral, de conformidad con las instrucciones que al respecto emita la Superintendencia de Pensiones, originados por:</w:t>
      </w:r>
    </w:p>
    <w:p w14:paraId="1D674224" w14:textId="77777777" w:rsidR="00A15540" w:rsidRDefault="00A15540" w:rsidP="00A15540">
      <w:pPr>
        <w:pStyle w:val="Prrafodelista"/>
        <w:rPr>
          <w:rFonts w:ascii="Arial" w:hAnsi="Arial" w:cs="Arial"/>
          <w:color w:val="000000"/>
          <w:sz w:val="22"/>
          <w:szCs w:val="22"/>
          <w:lang w:val="es-CR"/>
        </w:rPr>
      </w:pPr>
    </w:p>
    <w:p w14:paraId="1D611A0D" w14:textId="77777777" w:rsidR="00A15540" w:rsidRPr="008B7FC3" w:rsidRDefault="00A15540" w:rsidP="00A15540">
      <w:pPr>
        <w:ind w:left="1134"/>
        <w:jc w:val="both"/>
        <w:rPr>
          <w:rFonts w:ascii="Arial" w:hAnsi="Arial" w:cs="Arial"/>
          <w:color w:val="000000"/>
          <w:sz w:val="22"/>
          <w:szCs w:val="22"/>
          <w:lang w:val="es-CR"/>
        </w:rPr>
      </w:pPr>
    </w:p>
    <w:p w14:paraId="31311654" w14:textId="77777777" w:rsidR="009B6953" w:rsidRPr="008B7FC3" w:rsidRDefault="006C0BBB" w:rsidP="006C0BBB">
      <w:pPr>
        <w:numPr>
          <w:ilvl w:val="0"/>
          <w:numId w:val="21"/>
        </w:numPr>
        <w:ind w:left="1701" w:hanging="567"/>
        <w:jc w:val="both"/>
        <w:rPr>
          <w:rFonts w:ascii="Arial" w:hAnsi="Arial" w:cs="Arial"/>
          <w:color w:val="000000"/>
          <w:sz w:val="22"/>
          <w:szCs w:val="22"/>
          <w:lang w:val="es-CR"/>
        </w:rPr>
      </w:pPr>
      <w:r w:rsidRPr="008B7FC3">
        <w:rPr>
          <w:rFonts w:ascii="Arial" w:hAnsi="Arial" w:cs="Arial"/>
          <w:color w:val="000000"/>
          <w:sz w:val="22"/>
          <w:szCs w:val="22"/>
          <w:lang w:val="es-CR"/>
        </w:rPr>
        <w:tab/>
      </w:r>
      <w:r w:rsidR="00B83A10" w:rsidRPr="008B7FC3">
        <w:rPr>
          <w:rFonts w:ascii="Arial" w:hAnsi="Arial" w:cs="Arial"/>
          <w:color w:val="000000"/>
          <w:sz w:val="22"/>
          <w:szCs w:val="22"/>
          <w:lang w:val="es-CR"/>
        </w:rPr>
        <w:t>Traslado del Fondo de Capitalización Laboral al Régimen obligatorio de pensiones, siempre y cuando el dinero se mantenga en la misma operadora de pensiones.</w:t>
      </w:r>
    </w:p>
    <w:p w14:paraId="4332516F" w14:textId="77777777" w:rsidR="009B6953" w:rsidRPr="008B7FC3" w:rsidRDefault="009B6953" w:rsidP="006C0BBB">
      <w:pPr>
        <w:ind w:left="1701" w:hanging="567"/>
        <w:jc w:val="both"/>
        <w:rPr>
          <w:rFonts w:ascii="Arial" w:hAnsi="Arial" w:cs="Arial"/>
          <w:color w:val="000000"/>
          <w:sz w:val="22"/>
          <w:szCs w:val="22"/>
          <w:lang w:val="es-CR"/>
        </w:rPr>
      </w:pPr>
    </w:p>
    <w:p w14:paraId="7C6ADCA6" w14:textId="77777777" w:rsidR="009B6953" w:rsidRPr="008B7FC3" w:rsidRDefault="006C0BBB" w:rsidP="006C0BBB">
      <w:pPr>
        <w:numPr>
          <w:ilvl w:val="0"/>
          <w:numId w:val="21"/>
        </w:numPr>
        <w:ind w:left="1701" w:hanging="567"/>
        <w:jc w:val="both"/>
        <w:rPr>
          <w:rFonts w:ascii="Arial" w:hAnsi="Arial" w:cs="Arial"/>
          <w:color w:val="000000"/>
          <w:sz w:val="22"/>
          <w:szCs w:val="22"/>
          <w:lang w:val="es-CR"/>
        </w:rPr>
      </w:pPr>
      <w:r w:rsidRPr="008B7FC3">
        <w:rPr>
          <w:rFonts w:ascii="Arial" w:hAnsi="Arial" w:cs="Arial"/>
          <w:color w:val="000000"/>
          <w:sz w:val="22"/>
          <w:szCs w:val="22"/>
          <w:lang w:val="es-CR"/>
        </w:rPr>
        <w:tab/>
      </w:r>
      <w:r w:rsidR="00B83A10" w:rsidRPr="008B7FC3">
        <w:rPr>
          <w:rFonts w:ascii="Arial" w:hAnsi="Arial" w:cs="Arial"/>
          <w:color w:val="000000"/>
          <w:sz w:val="22"/>
          <w:szCs w:val="22"/>
          <w:lang w:val="es-CR"/>
        </w:rPr>
        <w:t>Traslado del Fondo de pensiones complementario creado por ley especial, convención colectiva o normativa a la administración de una Operadora de Pensiones.</w:t>
      </w:r>
    </w:p>
    <w:p w14:paraId="2A9FB787" w14:textId="77777777" w:rsidR="009B6953" w:rsidRPr="008B7FC3" w:rsidRDefault="009B6953" w:rsidP="006C0BBB">
      <w:pPr>
        <w:ind w:left="1701" w:hanging="567"/>
        <w:jc w:val="both"/>
        <w:rPr>
          <w:rFonts w:ascii="Arial" w:hAnsi="Arial" w:cs="Arial"/>
          <w:color w:val="000000"/>
          <w:sz w:val="22"/>
          <w:szCs w:val="22"/>
          <w:lang w:val="es-CR"/>
        </w:rPr>
      </w:pPr>
    </w:p>
    <w:p w14:paraId="4C508D2F" w14:textId="77777777" w:rsidR="009B6953" w:rsidRPr="008B7FC3" w:rsidRDefault="006C0BBB" w:rsidP="006C0BBB">
      <w:pPr>
        <w:numPr>
          <w:ilvl w:val="0"/>
          <w:numId w:val="21"/>
        </w:numPr>
        <w:ind w:left="1701" w:hanging="567"/>
        <w:jc w:val="both"/>
        <w:rPr>
          <w:rFonts w:ascii="Arial" w:hAnsi="Arial" w:cs="Arial"/>
          <w:color w:val="000000"/>
          <w:sz w:val="22"/>
          <w:szCs w:val="22"/>
          <w:lang w:val="es-CR"/>
        </w:rPr>
      </w:pPr>
      <w:r w:rsidRPr="008B7FC3">
        <w:rPr>
          <w:rFonts w:ascii="Arial" w:hAnsi="Arial" w:cs="Arial"/>
          <w:color w:val="000000"/>
          <w:sz w:val="22"/>
          <w:szCs w:val="22"/>
          <w:lang w:val="es-CR"/>
        </w:rPr>
        <w:tab/>
      </w:r>
      <w:r w:rsidR="00B83A10" w:rsidRPr="008B7FC3">
        <w:rPr>
          <w:rFonts w:ascii="Arial" w:hAnsi="Arial" w:cs="Arial"/>
          <w:color w:val="000000"/>
          <w:sz w:val="22"/>
          <w:szCs w:val="22"/>
          <w:lang w:val="es-CR"/>
        </w:rPr>
        <w:t>Fusión o liquidación de una operadora de pensiones o de sus fondos administrados.</w:t>
      </w:r>
    </w:p>
    <w:p w14:paraId="4945276E" w14:textId="77777777" w:rsidR="009B6953" w:rsidRPr="008B7FC3" w:rsidRDefault="009B6953" w:rsidP="006C0BBB">
      <w:pPr>
        <w:ind w:left="1701" w:hanging="567"/>
        <w:jc w:val="both"/>
        <w:rPr>
          <w:rFonts w:ascii="Arial" w:hAnsi="Arial" w:cs="Arial"/>
          <w:color w:val="000000"/>
          <w:sz w:val="22"/>
          <w:szCs w:val="22"/>
          <w:lang w:val="es-CR"/>
        </w:rPr>
      </w:pPr>
    </w:p>
    <w:p w14:paraId="7D067B40" w14:textId="77777777" w:rsidR="00B83A10" w:rsidRDefault="006C0BBB" w:rsidP="006C0BBB">
      <w:pPr>
        <w:numPr>
          <w:ilvl w:val="0"/>
          <w:numId w:val="21"/>
        </w:numPr>
        <w:ind w:left="1701" w:hanging="567"/>
        <w:jc w:val="both"/>
        <w:rPr>
          <w:rFonts w:ascii="Arial" w:hAnsi="Arial" w:cs="Arial"/>
          <w:color w:val="000000"/>
          <w:sz w:val="22"/>
          <w:szCs w:val="22"/>
          <w:lang w:val="es-CR"/>
        </w:rPr>
      </w:pPr>
      <w:r w:rsidRPr="008B7FC3">
        <w:rPr>
          <w:rFonts w:ascii="Arial" w:hAnsi="Arial" w:cs="Arial"/>
          <w:color w:val="000000"/>
          <w:sz w:val="22"/>
          <w:szCs w:val="22"/>
          <w:lang w:val="es-CR"/>
        </w:rPr>
        <w:lastRenderedPageBreak/>
        <w:tab/>
      </w:r>
      <w:r w:rsidR="00B83A10" w:rsidRPr="008B7FC3">
        <w:rPr>
          <w:rFonts w:ascii="Arial" w:hAnsi="Arial" w:cs="Arial"/>
          <w:color w:val="000000"/>
          <w:sz w:val="22"/>
          <w:szCs w:val="22"/>
          <w:lang w:val="es-CR"/>
        </w:rPr>
        <w:t>Otros que determine el Superintendente de Pensiones mediante Acuerdo.</w:t>
      </w:r>
    </w:p>
    <w:p w14:paraId="7CB353B6" w14:textId="77777777" w:rsidR="00D4379E" w:rsidRDefault="00D4379E" w:rsidP="00D4379E">
      <w:pPr>
        <w:pStyle w:val="Prrafodelista"/>
        <w:rPr>
          <w:rFonts w:ascii="Arial" w:hAnsi="Arial" w:cs="Arial"/>
          <w:color w:val="000000"/>
          <w:sz w:val="22"/>
          <w:szCs w:val="22"/>
          <w:lang w:val="es-CR"/>
        </w:rPr>
      </w:pPr>
    </w:p>
    <w:p w14:paraId="069F6AED" w14:textId="77777777" w:rsidR="00D4379E" w:rsidRPr="00A15540" w:rsidRDefault="00EF2476" w:rsidP="00D4379E">
      <w:pPr>
        <w:numPr>
          <w:ilvl w:val="0"/>
          <w:numId w:val="21"/>
        </w:numPr>
        <w:tabs>
          <w:tab w:val="left" w:pos="1701"/>
        </w:tabs>
        <w:ind w:left="1701" w:hanging="567"/>
        <w:jc w:val="both"/>
        <w:rPr>
          <w:rFonts w:ascii="Arial" w:hAnsi="Arial" w:cs="Arial"/>
          <w:color w:val="000000"/>
          <w:sz w:val="22"/>
          <w:szCs w:val="22"/>
          <w:lang w:val="es-CR"/>
        </w:rPr>
      </w:pPr>
      <w:r w:rsidRPr="008B7FC3">
        <w:rPr>
          <w:rFonts w:ascii="Arial" w:hAnsi="Arial" w:cs="Arial"/>
          <w:color w:val="000000"/>
          <w:sz w:val="22"/>
          <w:szCs w:val="22"/>
          <w:lang w:val="es-CR"/>
        </w:rPr>
        <w:tab/>
      </w:r>
      <w:r w:rsidR="00D4379E" w:rsidRPr="00A15540">
        <w:rPr>
          <w:rFonts w:ascii="Arial" w:hAnsi="Arial" w:cs="Arial"/>
          <w:color w:val="000000"/>
          <w:sz w:val="22"/>
          <w:szCs w:val="22"/>
          <w:lang w:val="es-CR"/>
        </w:rPr>
        <w:t xml:space="preserve">Atención de necesidades extraordinarias de liquidez del Fondo de Capitalización Laboral durante la vigencia del Decreto Ejecutivo </w:t>
      </w:r>
      <w:proofErr w:type="spellStart"/>
      <w:r w:rsidR="00D4379E" w:rsidRPr="00A15540">
        <w:rPr>
          <w:rFonts w:ascii="Arial" w:hAnsi="Arial" w:cs="Arial"/>
          <w:color w:val="000000"/>
          <w:sz w:val="22"/>
          <w:szCs w:val="22"/>
          <w:lang w:val="es-CR"/>
        </w:rPr>
        <w:t>N.°</w:t>
      </w:r>
      <w:proofErr w:type="spellEnd"/>
      <w:r w:rsidR="00D4379E" w:rsidRPr="00A15540">
        <w:rPr>
          <w:rFonts w:ascii="Arial" w:hAnsi="Arial" w:cs="Arial"/>
          <w:color w:val="000000"/>
          <w:sz w:val="22"/>
          <w:szCs w:val="22"/>
          <w:lang w:val="es-CR"/>
        </w:rPr>
        <w:t xml:space="preserve"> 42227-MP-S, por medio del cual el Poder Ejecutivo declara estado de emergencia nacional en todo el territorio de la República de Costa Rica, debido a la situación de emergencia sanitaria provocada por la enfermedad COVID-19.</w:t>
      </w:r>
      <w:r w:rsidR="00D4379E" w:rsidRPr="00A15540">
        <w:rPr>
          <w:rFonts w:ascii="Arial" w:hAnsi="Arial" w:cs="Arial"/>
          <w:sz w:val="20"/>
          <w:szCs w:val="20"/>
          <w:vertAlign w:val="superscript"/>
        </w:rPr>
        <w:footnoteReference w:id="4"/>
      </w:r>
    </w:p>
    <w:p w14:paraId="2CD5B8AD" w14:textId="77777777" w:rsidR="00B83A10" w:rsidRPr="008B7FC3" w:rsidRDefault="00B83A10" w:rsidP="00B06721">
      <w:pPr>
        <w:jc w:val="both"/>
        <w:rPr>
          <w:rFonts w:ascii="Arial" w:hAnsi="Arial" w:cs="Arial"/>
          <w:color w:val="000000"/>
          <w:sz w:val="22"/>
          <w:szCs w:val="22"/>
          <w:lang w:val="es-CR"/>
        </w:rPr>
      </w:pPr>
    </w:p>
    <w:p w14:paraId="1E1A8FA1" w14:textId="77777777" w:rsidR="00D4379E" w:rsidRPr="00D4379E" w:rsidRDefault="00D4379E" w:rsidP="00D4379E">
      <w:pPr>
        <w:jc w:val="both"/>
        <w:rPr>
          <w:rFonts w:ascii="Arial" w:hAnsi="Arial" w:cs="Arial"/>
          <w:color w:val="000000"/>
          <w:sz w:val="22"/>
          <w:szCs w:val="22"/>
          <w:lang w:val="es-CR"/>
        </w:rPr>
      </w:pPr>
      <w:r w:rsidRPr="00A15540">
        <w:rPr>
          <w:rFonts w:ascii="Arial" w:hAnsi="Arial" w:cs="Arial"/>
          <w:color w:val="000000"/>
          <w:sz w:val="22"/>
          <w:szCs w:val="22"/>
          <w:lang w:val="es-CR"/>
        </w:rPr>
        <w:t xml:space="preserve">Todos estos traspasos que autorice la Superintendencia de Pensiones deberán ser reportados por la entidad de custodia ante la Superintendencia General de Valores de conformidad con lo dispuesto en el Acuerdo SGV-A-75 Suministro de información periódica. </w:t>
      </w:r>
      <w:r w:rsidRPr="00A15540">
        <w:rPr>
          <w:rStyle w:val="Refdenotaalpie"/>
          <w:rFonts w:ascii="Arial" w:hAnsi="Arial" w:cs="Arial"/>
          <w:color w:val="000000"/>
          <w:sz w:val="22"/>
          <w:szCs w:val="22"/>
          <w:lang w:val="es-CR"/>
        </w:rPr>
        <w:footnoteReference w:id="5"/>
      </w:r>
    </w:p>
    <w:p w14:paraId="7C04D19A" w14:textId="77777777" w:rsidR="00D4379E" w:rsidRPr="00D4379E" w:rsidRDefault="00D4379E" w:rsidP="00B06721">
      <w:pPr>
        <w:jc w:val="both"/>
        <w:rPr>
          <w:rFonts w:ascii="Arial" w:hAnsi="Arial" w:cs="Arial"/>
          <w:color w:val="000000"/>
          <w:sz w:val="22"/>
          <w:szCs w:val="22"/>
          <w:lang w:val="es-CR"/>
        </w:rPr>
      </w:pPr>
    </w:p>
    <w:p w14:paraId="5FE9F109" w14:textId="77777777" w:rsidR="00D4379E" w:rsidRPr="00A15540" w:rsidRDefault="00D4379E" w:rsidP="00D4379E">
      <w:pPr>
        <w:jc w:val="both"/>
        <w:rPr>
          <w:rFonts w:ascii="Arial" w:hAnsi="Arial" w:cs="Arial"/>
          <w:color w:val="000000"/>
          <w:sz w:val="22"/>
          <w:szCs w:val="22"/>
          <w:lang w:val="es-CR"/>
        </w:rPr>
      </w:pPr>
      <w:r w:rsidRPr="00D4379E">
        <w:rPr>
          <w:rFonts w:ascii="Arial" w:hAnsi="Arial" w:cs="Arial"/>
          <w:color w:val="000000"/>
          <w:sz w:val="22"/>
          <w:szCs w:val="22"/>
          <w:lang w:val="es-CR"/>
        </w:rPr>
        <w:t xml:space="preserve">Cualquier otro traslado relacionado con fondos de pensión o de capitalización laboral no contemplado en este Acuerdo debe ser autorizado previamente por la Superintendencia </w:t>
      </w:r>
      <w:r w:rsidRPr="00A15540">
        <w:rPr>
          <w:rFonts w:ascii="Arial" w:hAnsi="Arial" w:cs="Arial"/>
          <w:color w:val="000000"/>
          <w:sz w:val="22"/>
          <w:szCs w:val="22"/>
          <w:lang w:val="es-CR"/>
        </w:rPr>
        <w:t xml:space="preserve">de Pensiones (SUPEN).  </w:t>
      </w:r>
    </w:p>
    <w:p w14:paraId="2CD0DC48" w14:textId="77777777" w:rsidR="00D4379E" w:rsidRPr="00A15540" w:rsidRDefault="00D4379E" w:rsidP="00B06721">
      <w:pPr>
        <w:jc w:val="both"/>
        <w:rPr>
          <w:rFonts w:ascii="Arial" w:hAnsi="Arial" w:cs="Arial"/>
          <w:color w:val="000000"/>
          <w:sz w:val="22"/>
          <w:szCs w:val="22"/>
          <w:lang w:val="es-CR"/>
        </w:rPr>
      </w:pPr>
    </w:p>
    <w:p w14:paraId="639F9337" w14:textId="05FE99C5" w:rsidR="00D4379E" w:rsidRDefault="00D4379E" w:rsidP="00D4379E">
      <w:pPr>
        <w:numPr>
          <w:ilvl w:val="0"/>
          <w:numId w:val="19"/>
        </w:numPr>
        <w:ind w:left="1134" w:hanging="567"/>
        <w:jc w:val="both"/>
        <w:rPr>
          <w:rFonts w:ascii="Arial" w:hAnsi="Arial" w:cs="Arial"/>
          <w:color w:val="000000"/>
          <w:sz w:val="22"/>
          <w:szCs w:val="22"/>
          <w:lang w:val="es-CR"/>
        </w:rPr>
      </w:pPr>
      <w:r w:rsidRPr="00A15540">
        <w:rPr>
          <w:rFonts w:ascii="Arial" w:hAnsi="Arial" w:cs="Arial"/>
          <w:color w:val="000000"/>
          <w:sz w:val="22"/>
          <w:szCs w:val="22"/>
          <w:lang w:val="es-CR"/>
        </w:rPr>
        <w:t xml:space="preserve">Traspasos de valores en garantías mediante acuerdos de control que impliquen cambio instrumental de titularidad: Se debe contar con una copia certificada notarialmente del contrato del acuerdo de control suscrito entre las partes, donde se indique claramente el otorgamiento del control y cómo se gestionarán los valores objeto de garantía, inclusive antes de la finalización del contrato.  En el caso que el acuerdo de control se mantenga sobre la cuenta en titularidad del sujeto pasivo, la acreditación del otorgamiento del control se realizará únicamente en los casos de ejecución de traspasos de valores en ejercicio de este acuerdo. </w:t>
      </w:r>
      <w:r w:rsidR="00AE00EC" w:rsidRPr="00A15540">
        <w:rPr>
          <w:rStyle w:val="Refdenotaalpie"/>
          <w:rFonts w:ascii="Arial" w:hAnsi="Arial" w:cs="Arial"/>
          <w:color w:val="000000"/>
          <w:sz w:val="22"/>
          <w:szCs w:val="22"/>
          <w:lang w:val="es-CR"/>
        </w:rPr>
        <w:footnoteReference w:id="6"/>
      </w:r>
      <w:r w:rsidRPr="00A15540">
        <w:rPr>
          <w:rFonts w:ascii="Arial" w:hAnsi="Arial" w:cs="Arial"/>
          <w:color w:val="000000"/>
          <w:sz w:val="22"/>
          <w:szCs w:val="22"/>
          <w:lang w:val="es-CR"/>
        </w:rPr>
        <w:t xml:space="preserve"> </w:t>
      </w:r>
    </w:p>
    <w:p w14:paraId="135DD4F0" w14:textId="77777777" w:rsidR="003B012F" w:rsidRDefault="003B012F" w:rsidP="003B012F">
      <w:pPr>
        <w:ind w:left="1134"/>
        <w:jc w:val="both"/>
        <w:rPr>
          <w:rFonts w:ascii="Arial" w:hAnsi="Arial" w:cs="Arial"/>
          <w:color w:val="000000"/>
          <w:sz w:val="22"/>
          <w:szCs w:val="22"/>
          <w:lang w:val="es-CR"/>
        </w:rPr>
      </w:pPr>
    </w:p>
    <w:p w14:paraId="66ED98F5" w14:textId="33805296" w:rsidR="003B012F" w:rsidRPr="003B012F" w:rsidRDefault="003B012F" w:rsidP="003B012F">
      <w:pPr>
        <w:numPr>
          <w:ilvl w:val="0"/>
          <w:numId w:val="19"/>
        </w:numPr>
        <w:ind w:left="1134" w:hanging="567"/>
        <w:jc w:val="both"/>
        <w:rPr>
          <w:rFonts w:ascii="Arial" w:hAnsi="Arial" w:cs="Arial"/>
          <w:color w:val="000000"/>
          <w:sz w:val="22"/>
          <w:szCs w:val="22"/>
          <w:lang w:val="es-CR"/>
        </w:rPr>
      </w:pPr>
      <w:r w:rsidRPr="003B012F">
        <w:rPr>
          <w:rFonts w:ascii="Arial" w:hAnsi="Arial" w:cs="Arial"/>
          <w:color w:val="000000"/>
          <w:sz w:val="22"/>
          <w:szCs w:val="22"/>
          <w:lang w:val="es-CR"/>
        </w:rPr>
        <w:t>Traslado de valores de una cuenta especial de custodia de emisores accionarios a una cuenta de custodia de un inversionista.</w:t>
      </w:r>
      <w:r>
        <w:rPr>
          <w:rStyle w:val="Refdenotaalpie"/>
          <w:rFonts w:ascii="Arial" w:hAnsi="Arial" w:cs="Arial"/>
          <w:color w:val="000000"/>
          <w:sz w:val="22"/>
          <w:szCs w:val="22"/>
          <w:lang w:val="es-CR"/>
        </w:rPr>
        <w:footnoteReference w:id="7"/>
      </w:r>
    </w:p>
    <w:p w14:paraId="7CED5145" w14:textId="77777777" w:rsidR="003B012F" w:rsidRPr="00A15540" w:rsidRDefault="003B012F" w:rsidP="003B012F">
      <w:pPr>
        <w:ind w:left="1134"/>
        <w:jc w:val="both"/>
        <w:rPr>
          <w:rFonts w:ascii="Arial" w:hAnsi="Arial" w:cs="Arial"/>
          <w:color w:val="000000"/>
          <w:sz w:val="22"/>
          <w:szCs w:val="22"/>
          <w:lang w:val="es-CR"/>
        </w:rPr>
      </w:pPr>
    </w:p>
    <w:p w14:paraId="7BDF95BF" w14:textId="77777777" w:rsidR="00B83A10" w:rsidRPr="008B7FC3" w:rsidRDefault="00B83A10" w:rsidP="00B06721">
      <w:pPr>
        <w:jc w:val="both"/>
        <w:rPr>
          <w:rFonts w:ascii="Arial" w:hAnsi="Arial" w:cs="Arial"/>
          <w:b/>
          <w:bCs/>
          <w:color w:val="000000"/>
          <w:sz w:val="22"/>
          <w:szCs w:val="22"/>
          <w:lang w:val="es-CR"/>
        </w:rPr>
      </w:pPr>
    </w:p>
    <w:p w14:paraId="4B80A863" w14:textId="77777777" w:rsidR="00B83A10" w:rsidRPr="00A15540" w:rsidRDefault="00B83A10" w:rsidP="00A15540">
      <w:pPr>
        <w:numPr>
          <w:ilvl w:val="0"/>
          <w:numId w:val="31"/>
        </w:numPr>
        <w:tabs>
          <w:tab w:val="left" w:pos="567"/>
        </w:tabs>
        <w:ind w:left="567" w:hanging="567"/>
        <w:jc w:val="both"/>
        <w:rPr>
          <w:rFonts w:ascii="Arial" w:hAnsi="Arial" w:cs="Arial"/>
          <w:b/>
          <w:bCs/>
          <w:color w:val="000000"/>
          <w:sz w:val="22"/>
          <w:szCs w:val="22"/>
          <w:lang w:val="es-CR"/>
        </w:rPr>
      </w:pPr>
      <w:r w:rsidRPr="00A15540">
        <w:rPr>
          <w:rFonts w:ascii="Arial" w:hAnsi="Arial" w:cs="Arial"/>
          <w:b/>
          <w:bCs/>
          <w:color w:val="000000"/>
          <w:sz w:val="22"/>
          <w:szCs w:val="22"/>
          <w:lang w:val="es-CR"/>
        </w:rPr>
        <w:t xml:space="preserve">Traspasos onerosos diferentes de la </w:t>
      </w:r>
      <w:proofErr w:type="gramStart"/>
      <w:r w:rsidRPr="00A15540">
        <w:rPr>
          <w:rFonts w:ascii="Arial" w:hAnsi="Arial" w:cs="Arial"/>
          <w:b/>
          <w:bCs/>
          <w:color w:val="000000"/>
          <w:sz w:val="22"/>
          <w:szCs w:val="22"/>
          <w:lang w:val="es-CR"/>
        </w:rPr>
        <w:t>compra venta</w:t>
      </w:r>
      <w:proofErr w:type="gramEnd"/>
      <w:r w:rsidRPr="00A15540">
        <w:rPr>
          <w:rFonts w:ascii="Arial" w:hAnsi="Arial" w:cs="Arial"/>
          <w:b/>
          <w:bCs/>
          <w:color w:val="000000"/>
          <w:sz w:val="22"/>
          <w:szCs w:val="22"/>
          <w:lang w:val="es-CR"/>
        </w:rPr>
        <w:t xml:space="preserve"> y el reporto:</w:t>
      </w:r>
    </w:p>
    <w:p w14:paraId="21C8BC4D" w14:textId="77777777" w:rsidR="00A15540" w:rsidRPr="00A15540" w:rsidRDefault="00A15540" w:rsidP="00A15540">
      <w:pPr>
        <w:pStyle w:val="Prrafodelista"/>
        <w:tabs>
          <w:tab w:val="left" w:pos="567"/>
        </w:tabs>
        <w:jc w:val="both"/>
        <w:rPr>
          <w:rFonts w:ascii="Arial" w:hAnsi="Arial" w:cs="Arial"/>
          <w:b/>
          <w:bCs/>
          <w:color w:val="000000"/>
          <w:sz w:val="22"/>
          <w:szCs w:val="22"/>
          <w:lang w:val="es-CR"/>
        </w:rPr>
      </w:pPr>
    </w:p>
    <w:p w14:paraId="2CECA3C0" w14:textId="77777777" w:rsidR="00972660" w:rsidRPr="008B7FC3" w:rsidRDefault="00B83A10" w:rsidP="006C0BBB">
      <w:pPr>
        <w:numPr>
          <w:ilvl w:val="0"/>
          <w:numId w:val="22"/>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Dación en pago: Se debe acreditar la preexistencia de la respectiva obligación. Tal preexistencia podrá acreditarse mediante certificación de un contador público o a través de una declaración otorgada bajo la fe de juramento con fines exclusivamente probatorios, en las cuales conste la fecha de vencimiento de la </w:t>
      </w:r>
      <w:r w:rsidRPr="008B7FC3">
        <w:rPr>
          <w:rFonts w:ascii="Arial" w:hAnsi="Arial" w:cs="Arial"/>
          <w:color w:val="000000"/>
          <w:sz w:val="22"/>
          <w:szCs w:val="22"/>
          <w:lang w:val="es-CR"/>
        </w:rPr>
        <w:lastRenderedPageBreak/>
        <w:t xml:space="preserve">obligación y su cuantía, diferenciando claramente el monto que se adeuda por concepto de capital e intereses. Además, se debe adjuntar copia certificada notarialmente del contrato de dación en pago, el cual debe especificar los valores </w:t>
      </w:r>
      <w:r w:rsidRPr="008B7FC3">
        <w:rPr>
          <w:rFonts w:ascii="Arial" w:hAnsi="Arial" w:cs="Arial"/>
          <w:sz w:val="22"/>
          <w:szCs w:val="22"/>
          <w:lang w:val="es-CR"/>
        </w:rPr>
        <w:t>y sus características</w:t>
      </w:r>
      <w:r w:rsidR="0079409D" w:rsidRPr="008B7FC3">
        <w:rPr>
          <w:rFonts w:ascii="Arial" w:hAnsi="Arial" w:cs="Arial"/>
          <w:sz w:val="22"/>
          <w:szCs w:val="22"/>
          <w:lang w:val="es-CR"/>
        </w:rPr>
        <w:t xml:space="preserve"> (emisor, instrumento, código I</w:t>
      </w:r>
      <w:r w:rsidR="00B82586" w:rsidRPr="008B7FC3">
        <w:rPr>
          <w:rFonts w:ascii="Arial" w:hAnsi="Arial" w:cs="Arial"/>
          <w:sz w:val="22"/>
          <w:szCs w:val="22"/>
          <w:lang w:val="es-CR"/>
        </w:rPr>
        <w:t>SIN</w:t>
      </w:r>
      <w:r w:rsidRPr="008B7FC3">
        <w:rPr>
          <w:rFonts w:ascii="Arial" w:hAnsi="Arial" w:cs="Arial"/>
          <w:sz w:val="22"/>
          <w:szCs w:val="22"/>
          <w:lang w:val="es-CR"/>
        </w:rPr>
        <w:t>, valor facial)</w:t>
      </w:r>
      <w:r w:rsidRPr="008B7FC3">
        <w:rPr>
          <w:rFonts w:ascii="Arial" w:hAnsi="Arial" w:cs="Arial"/>
          <w:color w:val="000000"/>
          <w:sz w:val="22"/>
          <w:szCs w:val="22"/>
          <w:lang w:val="es-CR"/>
        </w:rPr>
        <w:t xml:space="preserve"> entregados como dación en pago.</w:t>
      </w:r>
    </w:p>
    <w:p w14:paraId="0D52C50F" w14:textId="77777777" w:rsidR="00972660" w:rsidRPr="008B7FC3" w:rsidRDefault="00972660" w:rsidP="006C0BBB">
      <w:pPr>
        <w:ind w:left="567" w:hanging="567"/>
        <w:jc w:val="both"/>
        <w:rPr>
          <w:rFonts w:ascii="Arial" w:hAnsi="Arial" w:cs="Arial"/>
          <w:color w:val="000000"/>
          <w:sz w:val="22"/>
          <w:szCs w:val="22"/>
          <w:lang w:val="es-CR"/>
        </w:rPr>
      </w:pPr>
    </w:p>
    <w:p w14:paraId="3B5E8ECA" w14:textId="77777777" w:rsidR="00972660" w:rsidRPr="008B7FC3" w:rsidRDefault="00B83A10" w:rsidP="006C0BBB">
      <w:pPr>
        <w:numPr>
          <w:ilvl w:val="0"/>
          <w:numId w:val="22"/>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Aporte o devolución de capital a una sociedad: Debe presentarse una certificación emitida por un Contador Público Autorizado, mediante la cual se dé fe pública del aporte o devolución respectiva. Esta certificación debe indicar claramente el o los valores que se traspasan y sus características (emisor, </w:t>
      </w:r>
      <w:r w:rsidR="0079409D" w:rsidRPr="008B7FC3">
        <w:rPr>
          <w:rFonts w:ascii="Arial" w:hAnsi="Arial" w:cs="Arial"/>
          <w:color w:val="000000"/>
          <w:sz w:val="22"/>
          <w:szCs w:val="22"/>
          <w:lang w:val="es-CR"/>
        </w:rPr>
        <w:t>instrumento, código I</w:t>
      </w:r>
      <w:r w:rsidR="00B82586" w:rsidRPr="008B7FC3">
        <w:rPr>
          <w:rFonts w:ascii="Arial" w:hAnsi="Arial" w:cs="Arial"/>
          <w:color w:val="000000"/>
          <w:sz w:val="22"/>
          <w:szCs w:val="22"/>
          <w:lang w:val="es-CR"/>
        </w:rPr>
        <w:t>SIN</w:t>
      </w:r>
      <w:r w:rsidRPr="008B7FC3">
        <w:rPr>
          <w:rFonts w:ascii="Arial" w:hAnsi="Arial" w:cs="Arial"/>
          <w:color w:val="000000"/>
          <w:sz w:val="22"/>
          <w:szCs w:val="22"/>
          <w:lang w:val="es-CR"/>
        </w:rPr>
        <w:t>, valor facial), las cuentas de los clientes involucrados (número y nombre). En el caso de aporte, también puede acreditarse mediante una fotocopia certificada notarialmente o una certificación notarial de la escritura pública de constitución de la sociedad o reforma donde conste el aporte.</w:t>
      </w:r>
    </w:p>
    <w:p w14:paraId="3598BA05" w14:textId="77777777" w:rsidR="00972660" w:rsidRPr="008B7FC3" w:rsidRDefault="00972660" w:rsidP="00B06721">
      <w:pPr>
        <w:pStyle w:val="Prrafodelista"/>
        <w:rPr>
          <w:rFonts w:ascii="Arial" w:hAnsi="Arial" w:cs="Arial"/>
          <w:color w:val="000000"/>
          <w:sz w:val="22"/>
          <w:szCs w:val="22"/>
          <w:lang w:val="es-CR"/>
        </w:rPr>
      </w:pPr>
    </w:p>
    <w:p w14:paraId="3F25151A" w14:textId="77777777" w:rsidR="00B83A10" w:rsidRDefault="00B83A10" w:rsidP="006C0BBB">
      <w:pPr>
        <w:numPr>
          <w:ilvl w:val="0"/>
          <w:numId w:val="22"/>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Préstamo de valores</w:t>
      </w:r>
      <w:r w:rsidRPr="008B7FC3">
        <w:rPr>
          <w:rFonts w:ascii="Arial" w:hAnsi="Arial" w:cs="Arial"/>
          <w:sz w:val="22"/>
          <w:szCs w:val="22"/>
          <w:lang w:val="es-CR"/>
        </w:rPr>
        <w:t>: Para acreditar este traspaso, se debe presentar la suscripción</w:t>
      </w:r>
      <w:r w:rsidRPr="008B7FC3">
        <w:rPr>
          <w:rFonts w:ascii="Arial" w:hAnsi="Arial" w:cs="Arial"/>
          <w:color w:val="000000"/>
          <w:sz w:val="22"/>
          <w:szCs w:val="22"/>
          <w:lang w:val="es-CR"/>
        </w:rPr>
        <w:t xml:space="preserve"> previa del contrato por el servicio de préstamo de valores; así como los movimientos que sustentan la operación.</w:t>
      </w:r>
    </w:p>
    <w:p w14:paraId="0CA764A2" w14:textId="77777777" w:rsidR="00AE00EC" w:rsidRDefault="00AE00EC" w:rsidP="00AE00EC">
      <w:pPr>
        <w:pStyle w:val="Prrafodelista"/>
        <w:rPr>
          <w:rFonts w:ascii="Arial" w:hAnsi="Arial" w:cs="Arial"/>
          <w:color w:val="000000"/>
          <w:sz w:val="22"/>
          <w:szCs w:val="22"/>
          <w:lang w:val="es-CR"/>
        </w:rPr>
      </w:pPr>
    </w:p>
    <w:p w14:paraId="0CCC5AB2" w14:textId="77777777" w:rsidR="00AE00EC" w:rsidRPr="00A15540" w:rsidRDefault="00AE00EC" w:rsidP="00AE00EC">
      <w:pPr>
        <w:numPr>
          <w:ilvl w:val="0"/>
          <w:numId w:val="22"/>
        </w:numPr>
        <w:ind w:left="567" w:hanging="567"/>
        <w:jc w:val="both"/>
        <w:rPr>
          <w:rFonts w:ascii="Arial" w:hAnsi="Arial" w:cs="Arial"/>
          <w:color w:val="000000"/>
          <w:sz w:val="22"/>
          <w:szCs w:val="22"/>
          <w:lang w:val="es-CR"/>
        </w:rPr>
      </w:pPr>
      <w:r w:rsidRPr="00A15540">
        <w:rPr>
          <w:rFonts w:ascii="Arial" w:hAnsi="Arial" w:cs="Arial"/>
          <w:color w:val="000000"/>
          <w:sz w:val="22"/>
          <w:szCs w:val="22"/>
          <w:lang w:val="es-CR"/>
        </w:rPr>
        <w:t>Planes de acciones o de opciones de compra de acciones que se dirija exclusivamente a los trabajadores de la empresa que las emite: Se debe contar con certificación notarial del acta de asamblea extraordinaria de accionistas o del acta de junta directiva, en la cual se toma el acuerdo y en donde se indique la lista de trabajadores a los que se les otorgará el beneficio o incentivo y la cantidad de acciones por trabajador.</w:t>
      </w:r>
      <w:r w:rsidRPr="00A15540">
        <w:rPr>
          <w:rStyle w:val="Refdenotaalpie"/>
          <w:rFonts w:ascii="Arial" w:hAnsi="Arial" w:cs="Arial"/>
          <w:color w:val="000000"/>
          <w:sz w:val="22"/>
          <w:szCs w:val="22"/>
          <w:lang w:val="es-CR"/>
        </w:rPr>
        <w:footnoteReference w:id="8"/>
      </w:r>
    </w:p>
    <w:p w14:paraId="16C008DA" w14:textId="77777777" w:rsidR="00B83A10" w:rsidRPr="008B7FC3" w:rsidRDefault="00B83A10" w:rsidP="00B06721">
      <w:pPr>
        <w:ind w:left="-43"/>
        <w:jc w:val="both"/>
        <w:rPr>
          <w:rFonts w:ascii="Arial" w:hAnsi="Arial" w:cs="Arial"/>
          <w:color w:val="000000"/>
          <w:sz w:val="22"/>
          <w:szCs w:val="22"/>
          <w:lang w:val="es-CR"/>
        </w:rPr>
      </w:pPr>
    </w:p>
    <w:p w14:paraId="602050C9"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 xml:space="preserve">Toda solicitud de traspaso de valores debe cumplir como </w:t>
      </w:r>
      <w:proofErr w:type="gramStart"/>
      <w:r w:rsidRPr="008B7FC3">
        <w:rPr>
          <w:rFonts w:ascii="Arial" w:hAnsi="Arial" w:cs="Arial"/>
          <w:color w:val="000000"/>
          <w:sz w:val="22"/>
          <w:szCs w:val="22"/>
          <w:lang w:val="es-CR"/>
        </w:rPr>
        <w:t>mínimo  con</w:t>
      </w:r>
      <w:proofErr w:type="gramEnd"/>
      <w:r w:rsidRPr="008B7FC3">
        <w:rPr>
          <w:rFonts w:ascii="Arial" w:hAnsi="Arial" w:cs="Arial"/>
          <w:color w:val="000000"/>
          <w:sz w:val="22"/>
          <w:szCs w:val="22"/>
          <w:lang w:val="es-CR"/>
        </w:rPr>
        <w:t xml:space="preserve"> lo siguiente:</w:t>
      </w:r>
    </w:p>
    <w:p w14:paraId="52C814B2" w14:textId="77777777" w:rsidR="00B83A10" w:rsidRPr="008B7FC3" w:rsidRDefault="00B83A10" w:rsidP="00B06721">
      <w:pPr>
        <w:jc w:val="both"/>
        <w:rPr>
          <w:rFonts w:ascii="Arial" w:hAnsi="Arial" w:cs="Arial"/>
          <w:color w:val="000000"/>
          <w:sz w:val="22"/>
          <w:szCs w:val="22"/>
          <w:lang w:val="es-CR"/>
        </w:rPr>
      </w:pPr>
    </w:p>
    <w:p w14:paraId="60CEDD29" w14:textId="77777777" w:rsidR="00B83A10" w:rsidRPr="008B7FC3" w:rsidRDefault="00B83A10" w:rsidP="00A15540">
      <w:pPr>
        <w:numPr>
          <w:ilvl w:val="0"/>
          <w:numId w:val="23"/>
        </w:numPr>
        <w:ind w:left="993" w:hanging="567"/>
        <w:jc w:val="both"/>
        <w:rPr>
          <w:rFonts w:ascii="Arial" w:hAnsi="Arial" w:cs="Arial"/>
          <w:color w:val="000000"/>
          <w:sz w:val="22"/>
          <w:szCs w:val="22"/>
          <w:lang w:val="es-CR"/>
        </w:rPr>
      </w:pPr>
      <w:r w:rsidRPr="008B7FC3">
        <w:rPr>
          <w:rFonts w:ascii="Arial" w:hAnsi="Arial" w:cs="Arial"/>
          <w:color w:val="000000"/>
          <w:sz w:val="22"/>
          <w:szCs w:val="22"/>
          <w:lang w:val="es-CR"/>
        </w:rPr>
        <w:t>Fecha de la solicitud del traspaso.</w:t>
      </w:r>
    </w:p>
    <w:p w14:paraId="7B074854" w14:textId="77777777" w:rsidR="00B83A10" w:rsidRPr="008B7FC3" w:rsidRDefault="00B83A10" w:rsidP="00A15540">
      <w:pPr>
        <w:numPr>
          <w:ilvl w:val="0"/>
          <w:numId w:val="23"/>
        </w:numPr>
        <w:ind w:left="993" w:hanging="567"/>
        <w:jc w:val="both"/>
        <w:rPr>
          <w:rFonts w:ascii="Arial" w:hAnsi="Arial" w:cs="Arial"/>
          <w:color w:val="000000"/>
          <w:sz w:val="22"/>
          <w:szCs w:val="22"/>
          <w:lang w:val="es-CR"/>
        </w:rPr>
      </w:pPr>
      <w:r w:rsidRPr="008B7FC3">
        <w:rPr>
          <w:rFonts w:ascii="Arial" w:hAnsi="Arial" w:cs="Arial"/>
          <w:color w:val="000000"/>
          <w:sz w:val="22"/>
          <w:szCs w:val="22"/>
          <w:lang w:val="es-CR"/>
        </w:rPr>
        <w:t>Explicación del motivo y documentación que fundamente el traspaso.</w:t>
      </w:r>
    </w:p>
    <w:p w14:paraId="616EC7EF" w14:textId="77777777" w:rsidR="00B83A10" w:rsidRPr="008B7FC3" w:rsidRDefault="00B83A10" w:rsidP="00A15540">
      <w:pPr>
        <w:numPr>
          <w:ilvl w:val="0"/>
          <w:numId w:val="23"/>
        </w:numPr>
        <w:ind w:left="993" w:hanging="567"/>
        <w:jc w:val="both"/>
        <w:rPr>
          <w:rFonts w:ascii="Arial" w:hAnsi="Arial" w:cs="Arial"/>
          <w:color w:val="000000"/>
          <w:sz w:val="22"/>
          <w:szCs w:val="22"/>
          <w:lang w:val="es-CR"/>
        </w:rPr>
      </w:pPr>
      <w:r w:rsidRPr="008B7FC3">
        <w:rPr>
          <w:rFonts w:ascii="Arial" w:hAnsi="Arial" w:cs="Arial"/>
          <w:color w:val="000000"/>
          <w:sz w:val="22"/>
          <w:szCs w:val="22"/>
          <w:lang w:val="es-CR"/>
        </w:rPr>
        <w:t>Identificación del código y nombre de la cuenta cliente registrado en la entidad de custodia origen y en la entidad de custodia destino.</w:t>
      </w:r>
    </w:p>
    <w:p w14:paraId="71F8FAC1" w14:textId="77777777" w:rsidR="00B83A10" w:rsidRPr="008B7FC3" w:rsidRDefault="00B83A10" w:rsidP="00A15540">
      <w:pPr>
        <w:numPr>
          <w:ilvl w:val="0"/>
          <w:numId w:val="23"/>
        </w:numPr>
        <w:ind w:left="993" w:hanging="567"/>
        <w:jc w:val="both"/>
        <w:rPr>
          <w:rFonts w:ascii="Arial" w:hAnsi="Arial" w:cs="Arial"/>
          <w:color w:val="000000"/>
          <w:sz w:val="22"/>
          <w:szCs w:val="22"/>
          <w:lang w:val="es-CR"/>
        </w:rPr>
      </w:pPr>
      <w:r w:rsidRPr="008B7FC3">
        <w:rPr>
          <w:rFonts w:ascii="Arial" w:hAnsi="Arial" w:cs="Arial"/>
          <w:color w:val="000000"/>
          <w:sz w:val="22"/>
          <w:szCs w:val="22"/>
          <w:lang w:val="es-CR"/>
        </w:rPr>
        <w:t>Identificación de la entidad de custodia origen y de la entidad de custodia destino.</w:t>
      </w:r>
    </w:p>
    <w:p w14:paraId="77B8C3A2" w14:textId="77777777" w:rsidR="00B83A10" w:rsidRPr="008B7FC3" w:rsidRDefault="00B83A10" w:rsidP="00A15540">
      <w:pPr>
        <w:numPr>
          <w:ilvl w:val="0"/>
          <w:numId w:val="23"/>
        </w:numPr>
        <w:ind w:left="993" w:hanging="567"/>
        <w:jc w:val="both"/>
        <w:rPr>
          <w:rFonts w:ascii="Arial" w:hAnsi="Arial" w:cs="Arial"/>
          <w:color w:val="000000"/>
          <w:sz w:val="22"/>
          <w:szCs w:val="22"/>
          <w:lang w:val="es-CR"/>
        </w:rPr>
      </w:pPr>
      <w:r w:rsidRPr="008B7FC3">
        <w:rPr>
          <w:rFonts w:ascii="Arial" w:hAnsi="Arial" w:cs="Arial"/>
          <w:color w:val="000000"/>
          <w:sz w:val="22"/>
          <w:szCs w:val="22"/>
          <w:lang w:val="es-CR"/>
        </w:rPr>
        <w:t>Identificación de los valores: código ISIN, valor facial, emisor, instrumento, moneda.</w:t>
      </w:r>
    </w:p>
    <w:p w14:paraId="06361212" w14:textId="77777777" w:rsidR="00B83A10" w:rsidRPr="008B7FC3" w:rsidRDefault="00B83A10" w:rsidP="00A15540">
      <w:pPr>
        <w:numPr>
          <w:ilvl w:val="0"/>
          <w:numId w:val="23"/>
        </w:numPr>
        <w:ind w:left="993" w:hanging="567"/>
        <w:jc w:val="both"/>
        <w:rPr>
          <w:rFonts w:ascii="Arial" w:hAnsi="Arial" w:cs="Arial"/>
          <w:color w:val="000000"/>
          <w:sz w:val="22"/>
          <w:szCs w:val="22"/>
          <w:lang w:val="es-CR"/>
        </w:rPr>
      </w:pPr>
      <w:r w:rsidRPr="008B7FC3">
        <w:rPr>
          <w:rFonts w:ascii="Arial" w:hAnsi="Arial" w:cs="Arial"/>
          <w:color w:val="000000"/>
          <w:sz w:val="22"/>
          <w:szCs w:val="22"/>
          <w:lang w:val="es-CR"/>
        </w:rPr>
        <w:t>El valor facial o cantidad de valores.</w:t>
      </w:r>
    </w:p>
    <w:p w14:paraId="635FE586" w14:textId="77777777" w:rsidR="00B83A10" w:rsidRPr="008B7FC3" w:rsidRDefault="00B83A10" w:rsidP="00A15540">
      <w:pPr>
        <w:numPr>
          <w:ilvl w:val="0"/>
          <w:numId w:val="23"/>
        </w:numPr>
        <w:ind w:left="993"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Firma, número y tipo del documento de identificación del titular de los valores u ordenante, según corresponda.  </w:t>
      </w:r>
    </w:p>
    <w:p w14:paraId="70F52D3A" w14:textId="77777777" w:rsidR="00B83A10" w:rsidRPr="008B7FC3" w:rsidRDefault="00B83A10" w:rsidP="00A15540">
      <w:pPr>
        <w:numPr>
          <w:ilvl w:val="0"/>
          <w:numId w:val="23"/>
        </w:numPr>
        <w:ind w:left="993" w:hanging="567"/>
        <w:jc w:val="both"/>
        <w:rPr>
          <w:rFonts w:ascii="Arial" w:hAnsi="Arial" w:cs="Arial"/>
          <w:color w:val="000000"/>
          <w:sz w:val="22"/>
          <w:szCs w:val="22"/>
          <w:lang w:val="es-CR"/>
        </w:rPr>
      </w:pPr>
      <w:r w:rsidRPr="008B7FC3">
        <w:rPr>
          <w:rFonts w:ascii="Arial" w:hAnsi="Arial" w:cs="Arial"/>
          <w:color w:val="000000"/>
          <w:sz w:val="22"/>
          <w:szCs w:val="22"/>
          <w:lang w:val="es-CR"/>
        </w:rPr>
        <w:t>En el caso de personas jurídicas, firma, número y tipo del documento de identificación, así como las calidades del representante legal o apoderado.</w:t>
      </w:r>
    </w:p>
    <w:p w14:paraId="08D50B53" w14:textId="77777777" w:rsidR="00B83A10" w:rsidRPr="008B7FC3" w:rsidRDefault="00B83A10" w:rsidP="00A15540">
      <w:pPr>
        <w:numPr>
          <w:ilvl w:val="0"/>
          <w:numId w:val="23"/>
        </w:numPr>
        <w:ind w:left="993" w:hanging="567"/>
        <w:jc w:val="both"/>
        <w:rPr>
          <w:rFonts w:ascii="Arial" w:hAnsi="Arial" w:cs="Arial"/>
          <w:color w:val="000000"/>
          <w:sz w:val="22"/>
          <w:szCs w:val="22"/>
          <w:lang w:val="es-CR"/>
        </w:rPr>
      </w:pPr>
      <w:r w:rsidRPr="008B7FC3">
        <w:rPr>
          <w:rFonts w:ascii="Arial" w:hAnsi="Arial" w:cs="Arial"/>
          <w:color w:val="000000"/>
          <w:sz w:val="22"/>
          <w:szCs w:val="22"/>
          <w:lang w:val="es-CR"/>
        </w:rPr>
        <w:t>Precio de liquidación, cuando aplique.</w:t>
      </w:r>
    </w:p>
    <w:p w14:paraId="70202F5D" w14:textId="77777777" w:rsidR="00B83A10" w:rsidRPr="008B7FC3" w:rsidRDefault="00B83A10" w:rsidP="00B06721">
      <w:pPr>
        <w:jc w:val="both"/>
        <w:rPr>
          <w:rFonts w:ascii="Arial" w:hAnsi="Arial" w:cs="Arial"/>
          <w:color w:val="000000"/>
          <w:sz w:val="22"/>
          <w:szCs w:val="22"/>
          <w:lang w:val="es-CR"/>
        </w:rPr>
      </w:pPr>
    </w:p>
    <w:p w14:paraId="1DC5F62D"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 xml:space="preserve">La entidad de custodia debe mantener disponible para las revisiones de auditorías internas, externas y de Sugeval, las solicitudes de traspasos de valores junto con la </w:t>
      </w:r>
      <w:r w:rsidRPr="008B7FC3">
        <w:rPr>
          <w:rFonts w:ascii="Arial" w:hAnsi="Arial" w:cs="Arial"/>
          <w:color w:val="000000"/>
          <w:sz w:val="22"/>
          <w:szCs w:val="22"/>
          <w:lang w:val="es-CR"/>
        </w:rPr>
        <w:lastRenderedPageBreak/>
        <w:t>documentación legal necesaria de respaldo que corresponda, por el plazo dispuesto en el Reglamento de Custodia.</w:t>
      </w:r>
    </w:p>
    <w:p w14:paraId="4E81EBB2" w14:textId="77777777" w:rsidR="00B83A10" w:rsidRPr="008B7FC3" w:rsidRDefault="00B83A10" w:rsidP="00B06721">
      <w:pPr>
        <w:jc w:val="both"/>
        <w:rPr>
          <w:rFonts w:ascii="Arial" w:hAnsi="Arial" w:cs="Arial"/>
          <w:color w:val="000000"/>
          <w:sz w:val="22"/>
          <w:szCs w:val="22"/>
          <w:lang w:val="es-CR"/>
        </w:rPr>
      </w:pPr>
    </w:p>
    <w:p w14:paraId="693BF336"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 xml:space="preserve">Para cualquier otro supuesto no indicado expresamente en este artículo, la entidad de custodia de previo a la ejecución de cada traspaso de </w:t>
      </w:r>
      <w:proofErr w:type="gramStart"/>
      <w:r w:rsidRPr="008B7FC3">
        <w:rPr>
          <w:rFonts w:ascii="Arial" w:hAnsi="Arial" w:cs="Arial"/>
          <w:color w:val="000000"/>
          <w:sz w:val="22"/>
          <w:szCs w:val="22"/>
          <w:lang w:val="es-CR"/>
        </w:rPr>
        <w:t>valores,</w:t>
      </w:r>
      <w:proofErr w:type="gramEnd"/>
      <w:r w:rsidRPr="008B7FC3">
        <w:rPr>
          <w:rFonts w:ascii="Arial" w:hAnsi="Arial" w:cs="Arial"/>
          <w:color w:val="000000"/>
          <w:sz w:val="22"/>
          <w:szCs w:val="22"/>
          <w:lang w:val="es-CR"/>
        </w:rPr>
        <w:t xml:space="preserve"> debe remitir a la Sugeval el criterio legal respectivo y la documentación que lo sustente, para su evaluación y autorización. </w:t>
      </w:r>
    </w:p>
    <w:p w14:paraId="3BEE5FDE" w14:textId="77777777" w:rsidR="00AA7244" w:rsidRDefault="00AA7244" w:rsidP="00B06721">
      <w:pPr>
        <w:jc w:val="both"/>
        <w:rPr>
          <w:rFonts w:ascii="Arial" w:hAnsi="Arial" w:cs="Arial"/>
          <w:sz w:val="22"/>
          <w:szCs w:val="22"/>
          <w:lang w:val="es-CR"/>
        </w:rPr>
      </w:pPr>
    </w:p>
    <w:p w14:paraId="42E0AE27" w14:textId="77777777" w:rsidR="00026A9D" w:rsidRPr="00026A9D" w:rsidRDefault="00026A9D" w:rsidP="00026A9D">
      <w:pPr>
        <w:jc w:val="both"/>
        <w:rPr>
          <w:rFonts w:ascii="Arial" w:hAnsi="Arial" w:cs="Arial"/>
          <w:b/>
          <w:bCs/>
          <w:sz w:val="22"/>
          <w:szCs w:val="22"/>
          <w:lang w:val="es-CR"/>
        </w:rPr>
      </w:pPr>
      <w:r w:rsidRPr="00026A9D">
        <w:rPr>
          <w:rFonts w:ascii="Arial" w:hAnsi="Arial" w:cs="Arial"/>
          <w:b/>
          <w:bCs/>
          <w:sz w:val="22"/>
          <w:szCs w:val="22"/>
          <w:lang w:val="es-CR"/>
        </w:rPr>
        <w:t>Artículo 11.  Estados de cuenta</w:t>
      </w:r>
    </w:p>
    <w:p w14:paraId="4085D43A" w14:textId="77777777" w:rsidR="005F5822" w:rsidRPr="008B7FC3" w:rsidRDefault="005F5822" w:rsidP="00B06721">
      <w:pPr>
        <w:jc w:val="both"/>
        <w:rPr>
          <w:rFonts w:ascii="Arial" w:hAnsi="Arial" w:cs="Arial"/>
          <w:sz w:val="22"/>
          <w:szCs w:val="22"/>
          <w:lang w:val="es-CR"/>
        </w:rPr>
      </w:pPr>
    </w:p>
    <w:p w14:paraId="692B888A"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Todas las entidades de custodia deben remitir un estado de cuenta mensual a cada titular de una cuenta.  Estos deben ser enviados a la dirección autorizada para recibir información periódica y por los medios autorizados en el contrato suscrito dentro del plazo de diez días hábiles posteriores al cierre de cada mes, deben contener como mínimo:</w:t>
      </w:r>
    </w:p>
    <w:p w14:paraId="4621FD4F" w14:textId="77777777" w:rsidR="00B83A10" w:rsidRPr="008B7FC3" w:rsidRDefault="00B83A10" w:rsidP="00B06721">
      <w:pPr>
        <w:jc w:val="both"/>
        <w:rPr>
          <w:rFonts w:ascii="Arial" w:hAnsi="Arial" w:cs="Arial"/>
          <w:color w:val="000000"/>
          <w:sz w:val="22"/>
          <w:szCs w:val="22"/>
          <w:lang w:val="es-CR"/>
        </w:rPr>
      </w:pPr>
    </w:p>
    <w:p w14:paraId="20FF9E1C" w14:textId="77777777" w:rsidR="00B83A10" w:rsidRPr="008B7FC3" w:rsidRDefault="00B83A10" w:rsidP="006C0BBB">
      <w:pPr>
        <w:numPr>
          <w:ilvl w:val="0"/>
          <w:numId w:val="2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Nombre de reporte “Estado de Cuenta”.</w:t>
      </w:r>
    </w:p>
    <w:p w14:paraId="09616CEB" w14:textId="77777777" w:rsidR="00B83A10" w:rsidRPr="008B7FC3" w:rsidRDefault="00B83A10" w:rsidP="006C0BBB">
      <w:pPr>
        <w:numPr>
          <w:ilvl w:val="0"/>
          <w:numId w:val="2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Nombre y logo de la entidad de custodia.</w:t>
      </w:r>
    </w:p>
    <w:p w14:paraId="799C378D" w14:textId="77777777" w:rsidR="00B83A10" w:rsidRPr="008B7FC3" w:rsidRDefault="00B83A10" w:rsidP="006C0BBB">
      <w:pPr>
        <w:numPr>
          <w:ilvl w:val="0"/>
          <w:numId w:val="2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Fecha de corte del estado de cuenta.</w:t>
      </w:r>
    </w:p>
    <w:p w14:paraId="790C27A9" w14:textId="77777777" w:rsidR="00B83A10" w:rsidRPr="008B7FC3" w:rsidRDefault="00B83A10" w:rsidP="006C0BBB">
      <w:pPr>
        <w:numPr>
          <w:ilvl w:val="0"/>
          <w:numId w:val="2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Dirección física exacta, número de fax o dirección electrónica a la que se remite el estado de cuenta según se haya acordado contractualmente.</w:t>
      </w:r>
    </w:p>
    <w:p w14:paraId="625A7FF2" w14:textId="77777777" w:rsidR="00B83A10" w:rsidRPr="008B7FC3" w:rsidRDefault="00B83A10" w:rsidP="006C0BBB">
      <w:pPr>
        <w:numPr>
          <w:ilvl w:val="0"/>
          <w:numId w:val="2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Número o código de identificación de la cuenta.</w:t>
      </w:r>
    </w:p>
    <w:p w14:paraId="44EB4300" w14:textId="77777777" w:rsidR="00B83A10" w:rsidRPr="008B7FC3" w:rsidRDefault="00B83A10" w:rsidP="006C0BBB">
      <w:pPr>
        <w:numPr>
          <w:ilvl w:val="0"/>
          <w:numId w:val="2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Nombre del titular de la cuenta.</w:t>
      </w:r>
    </w:p>
    <w:p w14:paraId="107639E9" w14:textId="77777777" w:rsidR="00B83A10" w:rsidRPr="008B7FC3" w:rsidRDefault="00B83A10" w:rsidP="006C0BBB">
      <w:pPr>
        <w:numPr>
          <w:ilvl w:val="0"/>
          <w:numId w:val="2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Saldo global de los valores bajo custodia, clasificados por central de </w:t>
      </w:r>
      <w:proofErr w:type="gramStart"/>
      <w:r w:rsidRPr="008B7FC3">
        <w:rPr>
          <w:rFonts w:ascii="Arial" w:hAnsi="Arial" w:cs="Arial"/>
          <w:color w:val="000000"/>
          <w:sz w:val="22"/>
          <w:szCs w:val="22"/>
          <w:lang w:val="es-CR"/>
        </w:rPr>
        <w:t>valores  o</w:t>
      </w:r>
      <w:proofErr w:type="gramEnd"/>
      <w:r w:rsidRPr="008B7FC3">
        <w:rPr>
          <w:rFonts w:ascii="Arial" w:hAnsi="Arial" w:cs="Arial"/>
          <w:color w:val="000000"/>
          <w:sz w:val="22"/>
          <w:szCs w:val="22"/>
          <w:lang w:val="es-CR"/>
        </w:rPr>
        <w:t xml:space="preserve"> custodio en el extranjero, por estado de los valores (disponibles, bloqueados, dados en garantía MEDI, dados en garantía MIL y pignorados), por moneda, el cual debe considerar:</w:t>
      </w:r>
    </w:p>
    <w:p w14:paraId="22984A22" w14:textId="77777777" w:rsidR="00B83A10" w:rsidRPr="008B7FC3" w:rsidRDefault="00B83A10" w:rsidP="00B06721">
      <w:pPr>
        <w:jc w:val="both"/>
        <w:rPr>
          <w:rFonts w:ascii="Arial" w:hAnsi="Arial" w:cs="Arial"/>
          <w:sz w:val="22"/>
          <w:szCs w:val="22"/>
          <w:lang w:val="es-CR"/>
        </w:rPr>
      </w:pPr>
    </w:p>
    <w:p w14:paraId="4760AD74" w14:textId="77777777" w:rsidR="00B83A10" w:rsidRPr="008B7FC3" w:rsidRDefault="00B83A10" w:rsidP="006C0BBB">
      <w:pPr>
        <w:numPr>
          <w:ilvl w:val="0"/>
          <w:numId w:val="25"/>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Código ISIN de los valores en custodia.</w:t>
      </w:r>
    </w:p>
    <w:p w14:paraId="62EB1055" w14:textId="77777777" w:rsidR="00B83A10" w:rsidRPr="008B7FC3" w:rsidRDefault="00B83A10" w:rsidP="006C0BBB">
      <w:pPr>
        <w:numPr>
          <w:ilvl w:val="0"/>
          <w:numId w:val="25"/>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Instrumento de los valores en custodia.</w:t>
      </w:r>
    </w:p>
    <w:p w14:paraId="6EDE7ADF" w14:textId="77777777" w:rsidR="00B83A10" w:rsidRPr="008B7FC3" w:rsidRDefault="00B83A10" w:rsidP="006C0BBB">
      <w:pPr>
        <w:numPr>
          <w:ilvl w:val="0"/>
          <w:numId w:val="25"/>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Emisor de los valores en custodia.</w:t>
      </w:r>
    </w:p>
    <w:p w14:paraId="681CAFBA" w14:textId="77777777" w:rsidR="00B83A10" w:rsidRPr="008B7FC3" w:rsidRDefault="00B83A10" w:rsidP="006C0BBB">
      <w:pPr>
        <w:numPr>
          <w:ilvl w:val="0"/>
          <w:numId w:val="25"/>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Valor facial, cantidad de acciones, participaciones o unidades de desarrollo de los valores en custodia, según corresponda.</w:t>
      </w:r>
    </w:p>
    <w:p w14:paraId="2F8E5002" w14:textId="77777777" w:rsidR="00D55527" w:rsidRPr="008B7FC3" w:rsidRDefault="005C0FD9" w:rsidP="006C0BBB">
      <w:pPr>
        <w:numPr>
          <w:ilvl w:val="0"/>
          <w:numId w:val="25"/>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Precio de mercado a la fecha de corte de emisión del estado de cuenta y p</w:t>
      </w:r>
      <w:r w:rsidR="00D55527" w:rsidRPr="008B7FC3">
        <w:rPr>
          <w:rFonts w:ascii="Arial" w:hAnsi="Arial" w:cs="Arial"/>
          <w:color w:val="000000"/>
          <w:sz w:val="22"/>
          <w:szCs w:val="22"/>
          <w:lang w:val="es-CR"/>
        </w:rPr>
        <w:t>recio</w:t>
      </w:r>
      <w:r w:rsidR="00786276" w:rsidRPr="008B7FC3">
        <w:rPr>
          <w:rFonts w:ascii="Arial" w:hAnsi="Arial" w:cs="Arial"/>
          <w:color w:val="000000"/>
          <w:sz w:val="22"/>
          <w:szCs w:val="22"/>
          <w:lang w:val="es-CR"/>
        </w:rPr>
        <w:t xml:space="preserve"> promedio</w:t>
      </w:r>
      <w:r w:rsidR="00E55194" w:rsidRPr="008B7FC3">
        <w:rPr>
          <w:rFonts w:ascii="Arial" w:hAnsi="Arial" w:cs="Arial"/>
          <w:color w:val="000000"/>
          <w:sz w:val="22"/>
          <w:szCs w:val="22"/>
          <w:lang w:val="es-CR"/>
        </w:rPr>
        <w:t xml:space="preserve"> de liquidación</w:t>
      </w:r>
      <w:r w:rsidR="00D55527" w:rsidRPr="008B7FC3">
        <w:rPr>
          <w:rFonts w:ascii="Arial" w:hAnsi="Arial" w:cs="Arial"/>
          <w:color w:val="000000"/>
          <w:sz w:val="22"/>
          <w:szCs w:val="22"/>
          <w:lang w:val="es-CR"/>
        </w:rPr>
        <w:t xml:space="preserve"> a la fecha de corte de emisión del</w:t>
      </w:r>
      <w:r w:rsidR="00A373FF" w:rsidRPr="008B7FC3">
        <w:rPr>
          <w:rFonts w:ascii="Arial" w:hAnsi="Arial" w:cs="Arial"/>
          <w:color w:val="000000"/>
          <w:sz w:val="22"/>
          <w:szCs w:val="22"/>
          <w:lang w:val="es-CR"/>
        </w:rPr>
        <w:t xml:space="preserve"> estado de cuenta o el precio de recepción del valor</w:t>
      </w:r>
      <w:r w:rsidR="0075228B" w:rsidRPr="008B7FC3">
        <w:rPr>
          <w:rFonts w:ascii="Arial" w:hAnsi="Arial" w:cs="Arial"/>
          <w:color w:val="000000"/>
          <w:sz w:val="22"/>
          <w:szCs w:val="22"/>
          <w:lang w:val="es-CR"/>
        </w:rPr>
        <w:t xml:space="preserve"> en caso de no contar con el precio de liquidación</w:t>
      </w:r>
      <w:r w:rsidR="00A373FF" w:rsidRPr="008B7FC3">
        <w:rPr>
          <w:rFonts w:ascii="Arial" w:hAnsi="Arial" w:cs="Arial"/>
          <w:color w:val="000000"/>
          <w:sz w:val="22"/>
          <w:szCs w:val="22"/>
          <w:lang w:val="es-CR"/>
        </w:rPr>
        <w:t>.</w:t>
      </w:r>
      <w:r w:rsidR="00786276" w:rsidRPr="008B7FC3">
        <w:rPr>
          <w:rFonts w:ascii="Arial" w:hAnsi="Arial" w:cs="Arial"/>
          <w:color w:val="000000"/>
          <w:sz w:val="22"/>
          <w:szCs w:val="22"/>
          <w:lang w:val="es-CR"/>
        </w:rPr>
        <w:t xml:space="preserve"> </w:t>
      </w:r>
    </w:p>
    <w:p w14:paraId="01A0239D" w14:textId="77777777" w:rsidR="00B83A10" w:rsidRPr="008B7FC3" w:rsidRDefault="00B83A10" w:rsidP="006C0BBB">
      <w:pPr>
        <w:numPr>
          <w:ilvl w:val="0"/>
          <w:numId w:val="25"/>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Fecha de vencimiento.</w:t>
      </w:r>
    </w:p>
    <w:p w14:paraId="7782EB10" w14:textId="77777777" w:rsidR="00B83A10" w:rsidRPr="008B7FC3" w:rsidRDefault="00B83A10" w:rsidP="00B06721">
      <w:pPr>
        <w:jc w:val="both"/>
        <w:rPr>
          <w:rFonts w:ascii="Arial" w:hAnsi="Arial" w:cs="Arial"/>
          <w:bCs/>
          <w:color w:val="000000"/>
          <w:sz w:val="22"/>
          <w:szCs w:val="22"/>
          <w:lang w:val="es-CR"/>
        </w:rPr>
      </w:pPr>
    </w:p>
    <w:p w14:paraId="7480CB62" w14:textId="77777777" w:rsidR="00B83A10" w:rsidRPr="008B7FC3" w:rsidRDefault="00B83A10" w:rsidP="006C0BBB">
      <w:pPr>
        <w:numPr>
          <w:ilvl w:val="0"/>
          <w:numId w:val="2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Detalle de los movimientos de valores bajo custodia del mes, segregando las entradas de las salidas, identificando si los valores se mantienen en centrales de valores locales o en custodios en el extranjero, por moneda, indicando el código ISIN y el estado de los valores (disponibles, bloqueados, dados en garantía MEDI, dados en garantía MIL y pignorados), el detalle además debe incluir:</w:t>
      </w:r>
    </w:p>
    <w:p w14:paraId="0C075CAD" w14:textId="77777777" w:rsidR="00B83A10" w:rsidRPr="008B7FC3" w:rsidRDefault="00B83A10" w:rsidP="00B06721">
      <w:pPr>
        <w:jc w:val="both"/>
        <w:rPr>
          <w:rFonts w:ascii="Arial" w:hAnsi="Arial" w:cs="Arial"/>
          <w:color w:val="000000"/>
          <w:sz w:val="22"/>
          <w:szCs w:val="22"/>
          <w:lang w:val="es-CR"/>
        </w:rPr>
      </w:pPr>
    </w:p>
    <w:p w14:paraId="117B05E2" w14:textId="77777777" w:rsidR="004E45C1" w:rsidRPr="008B7FC3" w:rsidRDefault="00B83A10" w:rsidP="006C0BBB">
      <w:pPr>
        <w:numPr>
          <w:ilvl w:val="0"/>
          <w:numId w:val="26"/>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Saldo inicial.</w:t>
      </w:r>
    </w:p>
    <w:p w14:paraId="379D68F2" w14:textId="77777777" w:rsidR="004E45C1" w:rsidRPr="008B7FC3" w:rsidRDefault="00B83A10" w:rsidP="006C0BBB">
      <w:pPr>
        <w:numPr>
          <w:ilvl w:val="0"/>
          <w:numId w:val="26"/>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Movimientos del mes </w:t>
      </w:r>
      <w:r w:rsidRPr="008B7FC3">
        <w:rPr>
          <w:rFonts w:ascii="Arial" w:hAnsi="Arial" w:cs="Arial"/>
          <w:bCs/>
          <w:color w:val="000000"/>
          <w:sz w:val="22"/>
          <w:szCs w:val="22"/>
          <w:lang w:val="es-CR"/>
        </w:rPr>
        <w:t xml:space="preserve">que al menos debe considerar fecha del movimiento, descripción del movimiento, número de contrato de operación (cuando aplique), </w:t>
      </w:r>
      <w:r w:rsidR="00786276" w:rsidRPr="008B7FC3">
        <w:rPr>
          <w:rFonts w:ascii="Arial" w:hAnsi="Arial" w:cs="Arial"/>
          <w:bCs/>
          <w:sz w:val="22"/>
          <w:szCs w:val="22"/>
          <w:lang w:val="es-CR"/>
        </w:rPr>
        <w:t>valor</w:t>
      </w:r>
      <w:r w:rsidR="00A373FF" w:rsidRPr="008B7FC3">
        <w:rPr>
          <w:rFonts w:ascii="Arial" w:hAnsi="Arial" w:cs="Arial"/>
          <w:bCs/>
          <w:sz w:val="22"/>
          <w:szCs w:val="22"/>
          <w:lang w:val="es-CR"/>
        </w:rPr>
        <w:t xml:space="preserve"> de liquidación</w:t>
      </w:r>
      <w:r w:rsidRPr="008B7FC3">
        <w:rPr>
          <w:rFonts w:ascii="Arial" w:hAnsi="Arial" w:cs="Arial"/>
          <w:bCs/>
          <w:sz w:val="22"/>
          <w:szCs w:val="22"/>
          <w:lang w:val="es-CR"/>
        </w:rPr>
        <w:t>, valor facial y descripción de limitaciones o gravámenes.</w:t>
      </w:r>
    </w:p>
    <w:p w14:paraId="2CCFEE72" w14:textId="77777777" w:rsidR="00B83A10" w:rsidRPr="008B7FC3" w:rsidRDefault="00B83A10" w:rsidP="006C0BBB">
      <w:pPr>
        <w:numPr>
          <w:ilvl w:val="0"/>
          <w:numId w:val="26"/>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lastRenderedPageBreak/>
        <w:t>Saldo final.</w:t>
      </w:r>
    </w:p>
    <w:p w14:paraId="3FFB5FC9" w14:textId="77777777" w:rsidR="00B83A10" w:rsidRPr="008B7FC3" w:rsidRDefault="00B83A10" w:rsidP="00B06721">
      <w:pPr>
        <w:jc w:val="both"/>
        <w:rPr>
          <w:rFonts w:ascii="Arial" w:hAnsi="Arial" w:cs="Arial"/>
          <w:sz w:val="22"/>
          <w:szCs w:val="22"/>
          <w:lang w:val="es-CR"/>
        </w:rPr>
      </w:pPr>
    </w:p>
    <w:p w14:paraId="299669BA" w14:textId="77777777" w:rsidR="00C6111B" w:rsidRPr="008B7FC3" w:rsidRDefault="00B83A10" w:rsidP="006C0BBB">
      <w:pPr>
        <w:numPr>
          <w:ilvl w:val="0"/>
          <w:numId w:val="2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Composición del saldo de valores pignorado con descripción de limitaciones, gravámenes o embargos.</w:t>
      </w:r>
    </w:p>
    <w:p w14:paraId="0A62D7E5" w14:textId="77777777" w:rsidR="00C6111B" w:rsidRPr="008B7FC3" w:rsidRDefault="00C6111B" w:rsidP="006C0BBB">
      <w:pPr>
        <w:ind w:left="567" w:hanging="567"/>
        <w:jc w:val="both"/>
        <w:rPr>
          <w:rFonts w:ascii="Arial" w:hAnsi="Arial" w:cs="Arial"/>
          <w:color w:val="000000"/>
          <w:sz w:val="22"/>
          <w:szCs w:val="22"/>
          <w:lang w:val="es-CR"/>
        </w:rPr>
      </w:pPr>
    </w:p>
    <w:p w14:paraId="0D011F12" w14:textId="77777777" w:rsidR="00C6111B" w:rsidRPr="008B7FC3" w:rsidRDefault="00B83A10" w:rsidP="006C0BBB">
      <w:pPr>
        <w:numPr>
          <w:ilvl w:val="0"/>
          <w:numId w:val="24"/>
        </w:numPr>
        <w:ind w:left="567" w:hanging="567"/>
        <w:jc w:val="both"/>
        <w:rPr>
          <w:rFonts w:ascii="Arial" w:hAnsi="Arial" w:cs="Arial"/>
          <w:color w:val="000000"/>
          <w:sz w:val="22"/>
          <w:szCs w:val="22"/>
          <w:lang w:val="es-CR"/>
        </w:rPr>
      </w:pPr>
      <w:r w:rsidRPr="008B7FC3">
        <w:rPr>
          <w:rFonts w:ascii="Arial" w:hAnsi="Arial" w:cs="Arial"/>
          <w:sz w:val="22"/>
          <w:szCs w:val="22"/>
          <w:lang w:val="es-CR"/>
        </w:rPr>
        <w:t>S</w:t>
      </w:r>
      <w:r w:rsidRPr="008B7FC3">
        <w:rPr>
          <w:rFonts w:ascii="Arial" w:hAnsi="Arial" w:cs="Arial"/>
          <w:color w:val="000000"/>
          <w:sz w:val="22"/>
          <w:szCs w:val="22"/>
          <w:lang w:val="es-CR"/>
        </w:rPr>
        <w:t xml:space="preserve">aldos del </w:t>
      </w:r>
      <w:proofErr w:type="gramStart"/>
      <w:r w:rsidRPr="008B7FC3">
        <w:rPr>
          <w:rFonts w:ascii="Arial" w:hAnsi="Arial" w:cs="Arial"/>
          <w:color w:val="000000"/>
          <w:sz w:val="22"/>
          <w:szCs w:val="22"/>
          <w:lang w:val="es-CR"/>
        </w:rPr>
        <w:t>efectivo  bajo</w:t>
      </w:r>
      <w:proofErr w:type="gramEnd"/>
      <w:r w:rsidRPr="008B7FC3">
        <w:rPr>
          <w:rFonts w:ascii="Arial" w:hAnsi="Arial" w:cs="Arial"/>
          <w:color w:val="000000"/>
          <w:sz w:val="22"/>
          <w:szCs w:val="22"/>
          <w:lang w:val="es-CR"/>
        </w:rPr>
        <w:t xml:space="preserve"> custodia, clasificado por moneda y por estado (disponible, bloqueado, en tránsito y pignorado).</w:t>
      </w:r>
    </w:p>
    <w:p w14:paraId="7F11B5D3" w14:textId="77777777" w:rsidR="00C6111B" w:rsidRPr="008B7FC3" w:rsidRDefault="00C6111B" w:rsidP="006C0BBB">
      <w:pPr>
        <w:pStyle w:val="Prrafodelista"/>
        <w:ind w:left="567" w:hanging="567"/>
        <w:rPr>
          <w:rFonts w:ascii="Arial" w:hAnsi="Arial" w:cs="Arial"/>
          <w:color w:val="000000"/>
          <w:sz w:val="22"/>
          <w:szCs w:val="22"/>
          <w:lang w:val="es-CR"/>
        </w:rPr>
      </w:pPr>
    </w:p>
    <w:p w14:paraId="65795A02" w14:textId="77777777" w:rsidR="00B83A10" w:rsidRPr="008B7FC3" w:rsidRDefault="00B83A10" w:rsidP="006C0BBB">
      <w:pPr>
        <w:numPr>
          <w:ilvl w:val="0"/>
          <w:numId w:val="2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Detalle de los movimientos (entradas y salidas) del efectivo del mes bajo custodia por moneda y el estado del efectivo (disponible, bloqueado, en tránsito y pi</w:t>
      </w:r>
      <w:r w:rsidRPr="008B7FC3">
        <w:rPr>
          <w:rFonts w:ascii="Arial" w:hAnsi="Arial" w:cs="Arial"/>
          <w:sz w:val="22"/>
          <w:szCs w:val="22"/>
          <w:lang w:val="es-CR"/>
        </w:rPr>
        <w:t>g</w:t>
      </w:r>
      <w:r w:rsidRPr="008B7FC3">
        <w:rPr>
          <w:rFonts w:ascii="Arial" w:hAnsi="Arial" w:cs="Arial"/>
          <w:color w:val="000000"/>
          <w:sz w:val="22"/>
          <w:szCs w:val="22"/>
          <w:lang w:val="es-CR"/>
        </w:rPr>
        <w:t>norado), el cual debe considerar:</w:t>
      </w:r>
    </w:p>
    <w:p w14:paraId="7B7EF064" w14:textId="77777777" w:rsidR="00B83A10" w:rsidRPr="008B7FC3" w:rsidRDefault="00B83A10" w:rsidP="00B06721">
      <w:pPr>
        <w:jc w:val="both"/>
        <w:rPr>
          <w:rFonts w:ascii="Arial" w:hAnsi="Arial" w:cs="Arial"/>
          <w:color w:val="000000"/>
          <w:sz w:val="22"/>
          <w:szCs w:val="22"/>
          <w:lang w:val="es-CR"/>
        </w:rPr>
      </w:pPr>
    </w:p>
    <w:p w14:paraId="4FD91B39" w14:textId="77777777" w:rsidR="00204B7D" w:rsidRPr="008B7FC3" w:rsidRDefault="00B83A10" w:rsidP="006C0BBB">
      <w:pPr>
        <w:numPr>
          <w:ilvl w:val="0"/>
          <w:numId w:val="27"/>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Saldo inicial.</w:t>
      </w:r>
    </w:p>
    <w:p w14:paraId="56F62CF4" w14:textId="77777777" w:rsidR="00204B7D" w:rsidRPr="008B7FC3" w:rsidRDefault="00B83A10" w:rsidP="006C0BBB">
      <w:pPr>
        <w:numPr>
          <w:ilvl w:val="0"/>
          <w:numId w:val="27"/>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Movimientos del mes </w:t>
      </w:r>
      <w:r w:rsidRPr="008B7FC3">
        <w:rPr>
          <w:rFonts w:ascii="Arial" w:hAnsi="Arial" w:cs="Arial"/>
          <w:bCs/>
          <w:color w:val="000000"/>
          <w:sz w:val="22"/>
          <w:szCs w:val="22"/>
          <w:lang w:val="es-CR"/>
        </w:rPr>
        <w:t>que al menos deben considerar fecha del movimiento, descripción del movimiento, número de contrato de operación (cuando aplique), monto y descripción de limitaciones o gravámenes y c</w:t>
      </w:r>
      <w:r w:rsidRPr="008B7FC3">
        <w:rPr>
          <w:rFonts w:ascii="Arial" w:hAnsi="Arial" w:cs="Arial"/>
          <w:color w:val="000000"/>
          <w:sz w:val="22"/>
          <w:szCs w:val="22"/>
          <w:lang w:val="es-CR"/>
        </w:rPr>
        <w:t xml:space="preserve">omisiones, tanto las cobradas por el servicio de custodia, como las comisiones cobradas por intermediación </w:t>
      </w:r>
      <w:r w:rsidRPr="008B7FC3">
        <w:rPr>
          <w:rFonts w:ascii="Arial" w:hAnsi="Arial" w:cs="Arial"/>
          <w:bCs/>
          <w:color w:val="000000"/>
          <w:sz w:val="22"/>
          <w:szCs w:val="22"/>
          <w:lang w:val="es-CR"/>
        </w:rPr>
        <w:t>cuando aplique y se cuente con la información</w:t>
      </w:r>
      <w:r w:rsidRPr="008B7FC3">
        <w:rPr>
          <w:rFonts w:ascii="Arial" w:hAnsi="Arial" w:cs="Arial"/>
          <w:color w:val="000000"/>
          <w:sz w:val="22"/>
          <w:szCs w:val="22"/>
          <w:lang w:val="es-CR"/>
        </w:rPr>
        <w:t>.</w:t>
      </w:r>
    </w:p>
    <w:p w14:paraId="3D275EEA" w14:textId="77777777" w:rsidR="00B83A10" w:rsidRPr="008B7FC3" w:rsidRDefault="00B83A10" w:rsidP="006C0BBB">
      <w:pPr>
        <w:numPr>
          <w:ilvl w:val="0"/>
          <w:numId w:val="27"/>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Saldo final.</w:t>
      </w:r>
    </w:p>
    <w:p w14:paraId="2A70FB6B" w14:textId="77777777" w:rsidR="00C6111B" w:rsidRPr="008B7FC3" w:rsidRDefault="00C6111B" w:rsidP="00B06721">
      <w:pPr>
        <w:jc w:val="both"/>
        <w:rPr>
          <w:rFonts w:ascii="Arial" w:hAnsi="Arial" w:cs="Arial"/>
          <w:color w:val="000000"/>
          <w:sz w:val="22"/>
          <w:szCs w:val="22"/>
          <w:lang w:val="es-CR"/>
        </w:rPr>
      </w:pPr>
    </w:p>
    <w:p w14:paraId="4B6A0B7E" w14:textId="77777777" w:rsidR="00C6111B" w:rsidRPr="008B7FC3" w:rsidRDefault="00B83A10" w:rsidP="006C0BBB">
      <w:pPr>
        <w:numPr>
          <w:ilvl w:val="0"/>
          <w:numId w:val="2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Composición del saldo del efectivo pignorado con descripción de las limitaciones, gravámenes o embargos.</w:t>
      </w:r>
    </w:p>
    <w:p w14:paraId="3E47AF86" w14:textId="77777777" w:rsidR="00C6111B" w:rsidRPr="008B7FC3" w:rsidRDefault="00C6111B" w:rsidP="006C0BBB">
      <w:pPr>
        <w:ind w:left="567" w:hanging="567"/>
        <w:jc w:val="both"/>
        <w:rPr>
          <w:rFonts w:ascii="Arial" w:hAnsi="Arial" w:cs="Arial"/>
          <w:color w:val="000000"/>
          <w:sz w:val="22"/>
          <w:szCs w:val="22"/>
          <w:lang w:val="es-CR"/>
        </w:rPr>
      </w:pPr>
    </w:p>
    <w:p w14:paraId="5F257DD8" w14:textId="77777777" w:rsidR="00B83A10" w:rsidRPr="008B7FC3" w:rsidRDefault="00B83A10" w:rsidP="006C0BBB">
      <w:pPr>
        <w:numPr>
          <w:ilvl w:val="0"/>
          <w:numId w:val="24"/>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 xml:space="preserve">Estado de las posiciones </w:t>
      </w:r>
      <w:r w:rsidRPr="008B7FC3">
        <w:rPr>
          <w:rFonts w:ascii="Arial" w:hAnsi="Arial" w:cs="Arial"/>
          <w:bCs/>
          <w:color w:val="000000"/>
          <w:sz w:val="22"/>
          <w:szCs w:val="22"/>
          <w:lang w:val="es-CR"/>
        </w:rPr>
        <w:t>abiertas a plazo</w:t>
      </w:r>
      <w:r w:rsidRPr="008B7FC3">
        <w:rPr>
          <w:rFonts w:ascii="Arial" w:hAnsi="Arial" w:cs="Arial"/>
          <w:color w:val="000000"/>
          <w:sz w:val="22"/>
          <w:szCs w:val="22"/>
          <w:lang w:val="es-CR"/>
        </w:rPr>
        <w:t>, el cual debe considerar:</w:t>
      </w:r>
    </w:p>
    <w:p w14:paraId="3C59C353" w14:textId="77777777" w:rsidR="00B83A10" w:rsidRPr="008B7FC3" w:rsidRDefault="00B83A10" w:rsidP="00B06721">
      <w:pPr>
        <w:jc w:val="both"/>
        <w:rPr>
          <w:rFonts w:ascii="Arial" w:hAnsi="Arial" w:cs="Arial"/>
          <w:color w:val="000000"/>
          <w:sz w:val="22"/>
          <w:szCs w:val="22"/>
          <w:lang w:val="es-CR"/>
        </w:rPr>
      </w:pPr>
    </w:p>
    <w:p w14:paraId="5AA72AA8" w14:textId="77777777" w:rsidR="003955B3" w:rsidRPr="008B7FC3" w:rsidRDefault="00B83A10" w:rsidP="006C0BBB">
      <w:pPr>
        <w:numPr>
          <w:ilvl w:val="0"/>
          <w:numId w:val="28"/>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Información de operación a hoy (fecha, número, monto, posición (compradora o vendedora).</w:t>
      </w:r>
    </w:p>
    <w:p w14:paraId="5A1C5143" w14:textId="77777777" w:rsidR="003955B3" w:rsidRPr="008B7FC3" w:rsidRDefault="00B83A10" w:rsidP="006C0BBB">
      <w:pPr>
        <w:numPr>
          <w:ilvl w:val="0"/>
          <w:numId w:val="28"/>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Información de operación a plazo (fecha vencimiento, número, monto, posición (compradora o vendedora).</w:t>
      </w:r>
    </w:p>
    <w:p w14:paraId="0B665634" w14:textId="77777777" w:rsidR="003955B3" w:rsidRPr="008B7FC3" w:rsidRDefault="00B83A10" w:rsidP="006C0BBB">
      <w:pPr>
        <w:numPr>
          <w:ilvl w:val="0"/>
          <w:numId w:val="28"/>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Días pacto.</w:t>
      </w:r>
    </w:p>
    <w:p w14:paraId="7005BAB7" w14:textId="77777777" w:rsidR="003955B3" w:rsidRPr="008B7FC3" w:rsidRDefault="00B83A10" w:rsidP="006C0BBB">
      <w:pPr>
        <w:numPr>
          <w:ilvl w:val="0"/>
          <w:numId w:val="28"/>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Rendimiento.</w:t>
      </w:r>
    </w:p>
    <w:p w14:paraId="26D8F6AB" w14:textId="77777777" w:rsidR="00B83A10" w:rsidRPr="008B7FC3" w:rsidRDefault="00B83A10" w:rsidP="006C0BBB">
      <w:pPr>
        <w:numPr>
          <w:ilvl w:val="0"/>
          <w:numId w:val="28"/>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Información del subyacente (código ISIN, instrumento, emisor, facial).</w:t>
      </w:r>
    </w:p>
    <w:p w14:paraId="6C7BBF15" w14:textId="77777777" w:rsidR="005F5822" w:rsidRPr="008B7FC3" w:rsidRDefault="005F5822" w:rsidP="00B06721">
      <w:pPr>
        <w:jc w:val="both"/>
        <w:rPr>
          <w:rFonts w:ascii="Arial" w:hAnsi="Arial" w:cs="Arial"/>
          <w:b/>
          <w:bCs/>
          <w:color w:val="000000"/>
          <w:sz w:val="22"/>
          <w:szCs w:val="22"/>
          <w:lang w:val="es-CR"/>
        </w:rPr>
      </w:pPr>
    </w:p>
    <w:p w14:paraId="625E74F9" w14:textId="77777777" w:rsidR="00026A9D" w:rsidRPr="00026A9D" w:rsidRDefault="00026A9D" w:rsidP="00026A9D">
      <w:pPr>
        <w:jc w:val="both"/>
        <w:rPr>
          <w:rFonts w:ascii="Arial" w:hAnsi="Arial" w:cs="Arial"/>
          <w:b/>
          <w:bCs/>
          <w:sz w:val="22"/>
          <w:szCs w:val="22"/>
          <w:lang w:val="es-CR"/>
        </w:rPr>
      </w:pPr>
      <w:r w:rsidRPr="00026A9D">
        <w:rPr>
          <w:rFonts w:ascii="Arial" w:hAnsi="Arial" w:cs="Arial"/>
          <w:b/>
          <w:bCs/>
          <w:sz w:val="22"/>
          <w:szCs w:val="22"/>
          <w:lang w:val="es-CR"/>
        </w:rPr>
        <w:t>Artículo 12.  Contenido mínimo de las constancias de titularidad</w:t>
      </w:r>
    </w:p>
    <w:p w14:paraId="5CBA6778" w14:textId="77777777" w:rsidR="005F5822" w:rsidRPr="008B7FC3" w:rsidRDefault="005F5822" w:rsidP="00B06721">
      <w:pPr>
        <w:jc w:val="both"/>
        <w:rPr>
          <w:rFonts w:ascii="Arial" w:hAnsi="Arial" w:cs="Arial"/>
          <w:b/>
          <w:bCs/>
          <w:color w:val="000000"/>
          <w:sz w:val="22"/>
          <w:szCs w:val="22"/>
          <w:lang w:val="es-CR"/>
        </w:rPr>
      </w:pPr>
    </w:p>
    <w:p w14:paraId="76205FD3"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 xml:space="preserve">Para efectos de lo dispuesto en el Reglamento en relación con las constancias de titularidad, estas deben contener como mínimo: </w:t>
      </w:r>
    </w:p>
    <w:p w14:paraId="53091DCF" w14:textId="77777777" w:rsidR="00B83A10" w:rsidRPr="008B7FC3" w:rsidRDefault="00B83A10" w:rsidP="00B06721">
      <w:pPr>
        <w:jc w:val="both"/>
        <w:rPr>
          <w:rFonts w:ascii="Arial" w:hAnsi="Arial" w:cs="Arial"/>
          <w:color w:val="000000"/>
          <w:sz w:val="22"/>
          <w:szCs w:val="22"/>
          <w:lang w:val="es-CR"/>
        </w:rPr>
      </w:pPr>
    </w:p>
    <w:p w14:paraId="1FC9674B" w14:textId="77777777" w:rsidR="00B83A10" w:rsidRPr="008B7FC3" w:rsidRDefault="00B83A10" w:rsidP="006C0BBB">
      <w:pPr>
        <w:numPr>
          <w:ilvl w:val="0"/>
          <w:numId w:val="29"/>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Nombre de reporte “Constancia de titularidad”.</w:t>
      </w:r>
    </w:p>
    <w:p w14:paraId="0C8C5A9A" w14:textId="77777777" w:rsidR="00B83A10" w:rsidRPr="008B7FC3" w:rsidRDefault="00B83A10" w:rsidP="006C0BBB">
      <w:pPr>
        <w:numPr>
          <w:ilvl w:val="0"/>
          <w:numId w:val="29"/>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Nombre y logo de la entidad de custodia.</w:t>
      </w:r>
    </w:p>
    <w:p w14:paraId="7F7C7BD1" w14:textId="77777777" w:rsidR="00B83A10" w:rsidRPr="008B7FC3" w:rsidRDefault="00B83A10" w:rsidP="006C0BBB">
      <w:pPr>
        <w:numPr>
          <w:ilvl w:val="0"/>
          <w:numId w:val="29"/>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Número o código de identificación de la cuenta.</w:t>
      </w:r>
    </w:p>
    <w:p w14:paraId="65A6F1C4" w14:textId="77777777" w:rsidR="00B83A10" w:rsidRPr="008B7FC3" w:rsidRDefault="00B83A10" w:rsidP="006C0BBB">
      <w:pPr>
        <w:numPr>
          <w:ilvl w:val="0"/>
          <w:numId w:val="29"/>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Nombre del titular de la cuenta.</w:t>
      </w:r>
    </w:p>
    <w:p w14:paraId="5095DB52" w14:textId="77777777" w:rsidR="00B83A10" w:rsidRPr="008B7FC3" w:rsidRDefault="00B83A10" w:rsidP="006C0BBB">
      <w:pPr>
        <w:numPr>
          <w:ilvl w:val="0"/>
          <w:numId w:val="29"/>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Saldo global de los valores en custodia, clasificados por central de valores local o entidad de custodia en el extranjero, por estado de los valores (disponibles, bloqueados, dados en garantía MEDI, dados en garantía MIL y pignorados) y por moneda, el cual debe considerar al menos:</w:t>
      </w:r>
    </w:p>
    <w:p w14:paraId="200BC0F1" w14:textId="77777777" w:rsidR="00B83A10" w:rsidRPr="008B7FC3" w:rsidRDefault="00B83A10" w:rsidP="00B06721">
      <w:pPr>
        <w:jc w:val="both"/>
        <w:rPr>
          <w:rFonts w:ascii="Arial" w:hAnsi="Arial" w:cs="Arial"/>
          <w:color w:val="000000"/>
          <w:sz w:val="22"/>
          <w:szCs w:val="22"/>
          <w:lang w:val="es-CR"/>
        </w:rPr>
      </w:pPr>
    </w:p>
    <w:p w14:paraId="7DF5A375" w14:textId="77777777" w:rsidR="00B83A10" w:rsidRPr="008B7FC3" w:rsidRDefault="00B83A10" w:rsidP="006C0BBB">
      <w:pPr>
        <w:numPr>
          <w:ilvl w:val="0"/>
          <w:numId w:val="30"/>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Código ISIN de los valores en custodia.</w:t>
      </w:r>
    </w:p>
    <w:p w14:paraId="538CAB66" w14:textId="77777777" w:rsidR="00B83A10" w:rsidRPr="008B7FC3" w:rsidRDefault="00B83A10" w:rsidP="006C0BBB">
      <w:pPr>
        <w:numPr>
          <w:ilvl w:val="0"/>
          <w:numId w:val="30"/>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Instrumento de los valores en custodia.</w:t>
      </w:r>
    </w:p>
    <w:p w14:paraId="56985779" w14:textId="77777777" w:rsidR="00B83A10" w:rsidRPr="008B7FC3" w:rsidRDefault="00B83A10" w:rsidP="006C0BBB">
      <w:pPr>
        <w:numPr>
          <w:ilvl w:val="0"/>
          <w:numId w:val="30"/>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lastRenderedPageBreak/>
        <w:t>Emisor de los valores en custodia.</w:t>
      </w:r>
    </w:p>
    <w:p w14:paraId="2D609A9E" w14:textId="77777777" w:rsidR="00B83A10" w:rsidRPr="008B7FC3" w:rsidRDefault="00B83A10" w:rsidP="006C0BBB">
      <w:pPr>
        <w:numPr>
          <w:ilvl w:val="0"/>
          <w:numId w:val="30"/>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Valor facial, cantidad de acciones, participaciones o unidades de desarrollo de los valores en custodia, según corresponda.</w:t>
      </w:r>
    </w:p>
    <w:p w14:paraId="6E187B2F" w14:textId="77777777" w:rsidR="00B83A10" w:rsidRPr="008B7FC3" w:rsidRDefault="00B83A10" w:rsidP="006C0BBB">
      <w:pPr>
        <w:numPr>
          <w:ilvl w:val="0"/>
          <w:numId w:val="30"/>
        </w:numPr>
        <w:ind w:left="1134" w:hanging="567"/>
        <w:jc w:val="both"/>
        <w:rPr>
          <w:rFonts w:ascii="Arial" w:hAnsi="Arial" w:cs="Arial"/>
          <w:color w:val="000000"/>
          <w:sz w:val="22"/>
          <w:szCs w:val="22"/>
          <w:lang w:val="es-CR"/>
        </w:rPr>
      </w:pPr>
      <w:r w:rsidRPr="008B7FC3">
        <w:rPr>
          <w:rFonts w:ascii="Arial" w:hAnsi="Arial" w:cs="Arial"/>
          <w:color w:val="000000"/>
          <w:sz w:val="22"/>
          <w:szCs w:val="22"/>
          <w:lang w:val="es-CR"/>
        </w:rPr>
        <w:t>Fecha de vencimiento.</w:t>
      </w:r>
    </w:p>
    <w:p w14:paraId="3C3AA778" w14:textId="77777777" w:rsidR="00B83A10" w:rsidRPr="008B7FC3" w:rsidRDefault="00B83A10" w:rsidP="00B06721">
      <w:pPr>
        <w:jc w:val="both"/>
        <w:rPr>
          <w:rFonts w:ascii="Arial" w:hAnsi="Arial" w:cs="Arial"/>
          <w:color w:val="000000"/>
          <w:sz w:val="22"/>
          <w:szCs w:val="22"/>
          <w:lang w:val="es-CR"/>
        </w:rPr>
      </w:pPr>
    </w:p>
    <w:p w14:paraId="313787ED" w14:textId="77777777" w:rsidR="00B83A10" w:rsidRPr="008B7FC3" w:rsidRDefault="00B83A10" w:rsidP="006C0BBB">
      <w:pPr>
        <w:numPr>
          <w:ilvl w:val="0"/>
          <w:numId w:val="29"/>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Monto y estado del efectivo (disponible, bloqueado, en tránsito y pignorado) en custodia por moneda.</w:t>
      </w:r>
    </w:p>
    <w:p w14:paraId="3A666710" w14:textId="77777777" w:rsidR="00B83A10" w:rsidRPr="008B7FC3" w:rsidRDefault="00B83A10" w:rsidP="006C0BBB">
      <w:pPr>
        <w:numPr>
          <w:ilvl w:val="0"/>
          <w:numId w:val="29"/>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Detalle de las posiciones abiertas a plazo.</w:t>
      </w:r>
    </w:p>
    <w:p w14:paraId="058CB419" w14:textId="77777777" w:rsidR="00B83A10" w:rsidRPr="008B7FC3" w:rsidRDefault="00B83A10" w:rsidP="006C0BBB">
      <w:pPr>
        <w:numPr>
          <w:ilvl w:val="0"/>
          <w:numId w:val="29"/>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Existencia y descripción de limitaciones o gravámenes a los valores en custodia.</w:t>
      </w:r>
    </w:p>
    <w:p w14:paraId="01E5CA0D" w14:textId="77777777" w:rsidR="00B83A10" w:rsidRPr="008B7FC3" w:rsidRDefault="00B83A10" w:rsidP="006C0BBB">
      <w:pPr>
        <w:numPr>
          <w:ilvl w:val="0"/>
          <w:numId w:val="29"/>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Fecha de emisión y hora de expedición de la constancia.</w:t>
      </w:r>
    </w:p>
    <w:p w14:paraId="6784F337" w14:textId="77777777" w:rsidR="00B83A10" w:rsidRPr="008B7FC3" w:rsidRDefault="00B83A10" w:rsidP="006C0BBB">
      <w:pPr>
        <w:numPr>
          <w:ilvl w:val="0"/>
          <w:numId w:val="29"/>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Indicación expresa de la no negociabilidad de la constancia.</w:t>
      </w:r>
    </w:p>
    <w:p w14:paraId="72738269" w14:textId="77777777" w:rsidR="00B83A10" w:rsidRPr="008B7FC3" w:rsidRDefault="00B83A10" w:rsidP="006C0BBB">
      <w:pPr>
        <w:numPr>
          <w:ilvl w:val="0"/>
          <w:numId w:val="29"/>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Indicación expresa que serán nulos los actos de disposición que tenga por objeto la constancia, de acuerdo con lo establecido en el artículo 125 de la LRMV.</w:t>
      </w:r>
    </w:p>
    <w:p w14:paraId="545EE988" w14:textId="77777777" w:rsidR="00B83A10" w:rsidRPr="008B7FC3" w:rsidRDefault="00B83A10" w:rsidP="006C0BBB">
      <w:pPr>
        <w:numPr>
          <w:ilvl w:val="0"/>
          <w:numId w:val="29"/>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Firma del funcionario encargado debidamente autorizado por el representante legal para emitir la constancia, la cual podrá emitirse mediante firma digital en el caso de constancias electrónicas.</w:t>
      </w:r>
    </w:p>
    <w:p w14:paraId="5831FC1E" w14:textId="233F9F4E" w:rsidR="00B83A10" w:rsidRDefault="00B83A10" w:rsidP="006C0BBB">
      <w:pPr>
        <w:numPr>
          <w:ilvl w:val="0"/>
          <w:numId w:val="29"/>
        </w:numPr>
        <w:ind w:left="567" w:hanging="567"/>
        <w:jc w:val="both"/>
        <w:rPr>
          <w:rFonts w:ascii="Arial" w:hAnsi="Arial" w:cs="Arial"/>
          <w:color w:val="000000"/>
          <w:sz w:val="22"/>
          <w:szCs w:val="22"/>
          <w:lang w:val="es-CR"/>
        </w:rPr>
      </w:pPr>
      <w:r w:rsidRPr="008B7FC3">
        <w:rPr>
          <w:rFonts w:ascii="Arial" w:hAnsi="Arial" w:cs="Arial"/>
          <w:color w:val="000000"/>
          <w:sz w:val="22"/>
          <w:szCs w:val="22"/>
          <w:lang w:val="es-CR"/>
        </w:rPr>
        <w:t>Sello de la entidad de custodia, en el caso de constancias emitidas físicamente.</w:t>
      </w:r>
    </w:p>
    <w:p w14:paraId="5ACF495A" w14:textId="04DC760E" w:rsidR="0075062C" w:rsidRDefault="0075062C" w:rsidP="0075062C">
      <w:pPr>
        <w:ind w:left="567"/>
        <w:jc w:val="both"/>
        <w:rPr>
          <w:rFonts w:ascii="Arial" w:hAnsi="Arial" w:cs="Arial"/>
          <w:color w:val="000000"/>
          <w:sz w:val="22"/>
          <w:szCs w:val="22"/>
          <w:lang w:val="es-CR"/>
        </w:rPr>
      </w:pPr>
    </w:p>
    <w:p w14:paraId="190240F1" w14:textId="77777777" w:rsidR="0075062C" w:rsidRPr="008B7FC3" w:rsidRDefault="0075062C" w:rsidP="0075062C">
      <w:pPr>
        <w:ind w:left="567"/>
        <w:jc w:val="both"/>
        <w:rPr>
          <w:rFonts w:ascii="Arial" w:hAnsi="Arial" w:cs="Arial"/>
          <w:color w:val="000000"/>
          <w:sz w:val="22"/>
          <w:szCs w:val="22"/>
          <w:lang w:val="es-CR"/>
        </w:rPr>
      </w:pPr>
    </w:p>
    <w:p w14:paraId="10A1F274" w14:textId="77777777" w:rsidR="00B83A10" w:rsidRPr="0075062C" w:rsidRDefault="00B83A10" w:rsidP="005F5822">
      <w:pPr>
        <w:rPr>
          <w:rFonts w:ascii="Arial" w:hAnsi="Arial" w:cs="Arial"/>
          <w:color w:val="000000"/>
          <w:sz w:val="22"/>
          <w:szCs w:val="22"/>
          <w:lang w:val="es-CR"/>
        </w:rPr>
      </w:pPr>
    </w:p>
    <w:p w14:paraId="28AE2D5A" w14:textId="77777777" w:rsidR="0075062C" w:rsidRPr="0075062C" w:rsidRDefault="00026A9D" w:rsidP="0075062C">
      <w:pPr>
        <w:rPr>
          <w:rFonts w:ascii="Arial" w:hAnsi="Arial" w:cs="Arial"/>
          <w:b/>
          <w:bCs/>
          <w:sz w:val="22"/>
          <w:szCs w:val="22"/>
          <w:lang w:val="es-ES"/>
        </w:rPr>
      </w:pPr>
      <w:r w:rsidRPr="0075062C">
        <w:rPr>
          <w:rFonts w:ascii="Arial" w:hAnsi="Arial" w:cs="Arial"/>
          <w:b/>
          <w:bCs/>
          <w:sz w:val="22"/>
          <w:szCs w:val="22"/>
          <w:lang w:val="es-CR"/>
        </w:rPr>
        <w:t xml:space="preserve">Artículo 13.  </w:t>
      </w:r>
      <w:r w:rsidR="0075062C" w:rsidRPr="0075062C">
        <w:rPr>
          <w:rFonts w:ascii="Arial" w:hAnsi="Arial" w:cs="Arial"/>
          <w:b/>
          <w:bCs/>
          <w:sz w:val="22"/>
          <w:szCs w:val="22"/>
          <w:lang w:val="es-ES"/>
        </w:rPr>
        <w:t>Cuentas de custodia especial para emisores accionarios</w:t>
      </w:r>
    </w:p>
    <w:p w14:paraId="19296043" w14:textId="77777777" w:rsidR="006C0BBB" w:rsidRPr="008B7FC3" w:rsidRDefault="006C0BBB" w:rsidP="005F5822">
      <w:pPr>
        <w:rPr>
          <w:rFonts w:ascii="Arial" w:hAnsi="Arial" w:cs="Arial"/>
          <w:color w:val="000000"/>
          <w:sz w:val="22"/>
          <w:szCs w:val="22"/>
          <w:lang w:val="es-CR"/>
        </w:rPr>
      </w:pPr>
    </w:p>
    <w:p w14:paraId="6DB8EE39" w14:textId="5E9A15FE" w:rsidR="0075062C" w:rsidRDefault="0075062C" w:rsidP="0075062C">
      <w:pPr>
        <w:widowControl w:val="0"/>
        <w:ind w:right="-93"/>
        <w:jc w:val="both"/>
        <w:rPr>
          <w:rFonts w:ascii="Arial" w:eastAsia="Calibri" w:hAnsi="Arial" w:cs="Arial"/>
          <w:lang w:val="es-ES"/>
        </w:rPr>
      </w:pPr>
      <w:r w:rsidRPr="0075062C">
        <w:rPr>
          <w:rFonts w:ascii="Arial" w:eastAsia="Calibri" w:hAnsi="Arial" w:cs="Arial"/>
          <w:lang w:val="es-ES"/>
        </w:rPr>
        <w:t xml:space="preserve">En las cuentas de custodia especial para emisores accionarios, que mantengan las entidades de custodia, solo pueden registrarse las acciones, cuyos inversionistas titulares no se han apersonado ante el emisor, para realizar el trámite de desmaterialización. </w:t>
      </w:r>
    </w:p>
    <w:p w14:paraId="584AA7E2" w14:textId="77777777" w:rsidR="0075062C" w:rsidRPr="0075062C" w:rsidRDefault="0075062C" w:rsidP="0075062C">
      <w:pPr>
        <w:widowControl w:val="0"/>
        <w:ind w:right="-93"/>
        <w:jc w:val="both"/>
        <w:rPr>
          <w:rFonts w:ascii="Arial" w:eastAsia="Calibri" w:hAnsi="Arial" w:cs="Arial"/>
          <w:lang w:val="es-ES"/>
        </w:rPr>
      </w:pPr>
    </w:p>
    <w:p w14:paraId="6A97E628" w14:textId="4317778C" w:rsidR="0075062C" w:rsidRDefault="0075062C" w:rsidP="0075062C">
      <w:pPr>
        <w:widowControl w:val="0"/>
        <w:ind w:right="-93"/>
        <w:jc w:val="both"/>
        <w:rPr>
          <w:rFonts w:ascii="Arial" w:eastAsia="Calibri" w:hAnsi="Arial" w:cs="Arial"/>
          <w:lang w:val="es-ES"/>
        </w:rPr>
      </w:pPr>
      <w:r w:rsidRPr="0075062C">
        <w:rPr>
          <w:rFonts w:ascii="Arial" w:eastAsia="Calibri" w:hAnsi="Arial" w:cs="Arial"/>
          <w:lang w:val="es-ES"/>
        </w:rPr>
        <w:t xml:space="preserve">Estos valores se deben registrar en estado inmovilizado, por lo que los derechos patrimoniales, podrán hacerse efectivos hasta tanto los sujetos legitimados para ello realicen el trámite de desmaterialización ante el emisor; cualquier pago en efectivo que se genere deben registrarse en cuenta por pagar. </w:t>
      </w:r>
    </w:p>
    <w:p w14:paraId="765205A8" w14:textId="77777777" w:rsidR="0075062C" w:rsidRPr="0075062C" w:rsidRDefault="0075062C" w:rsidP="0075062C">
      <w:pPr>
        <w:widowControl w:val="0"/>
        <w:ind w:right="-93"/>
        <w:jc w:val="both"/>
        <w:rPr>
          <w:rFonts w:ascii="Arial" w:eastAsia="Calibri" w:hAnsi="Arial" w:cs="Arial"/>
          <w:lang w:val="es-ES"/>
        </w:rPr>
      </w:pPr>
    </w:p>
    <w:p w14:paraId="60658AA2" w14:textId="43AFE907" w:rsidR="0075062C" w:rsidRDefault="0075062C" w:rsidP="0075062C">
      <w:pPr>
        <w:widowControl w:val="0"/>
        <w:jc w:val="both"/>
        <w:rPr>
          <w:rFonts w:ascii="Arial" w:eastAsia="Calibri" w:hAnsi="Arial" w:cs="Arial"/>
          <w:lang w:val="es-ES"/>
        </w:rPr>
      </w:pPr>
      <w:r w:rsidRPr="0075062C">
        <w:rPr>
          <w:rFonts w:ascii="Arial" w:eastAsia="Calibri" w:hAnsi="Arial" w:cs="Arial"/>
          <w:lang w:val="es-ES"/>
        </w:rPr>
        <w:t>En todo momento los valores deben mantenerse en registros individuales a nombre del titular.</w:t>
      </w:r>
    </w:p>
    <w:p w14:paraId="4E8B9A11" w14:textId="77777777" w:rsidR="0075062C" w:rsidRPr="0075062C" w:rsidRDefault="0075062C" w:rsidP="0075062C">
      <w:pPr>
        <w:widowControl w:val="0"/>
        <w:jc w:val="both"/>
        <w:rPr>
          <w:rFonts w:ascii="Arial" w:eastAsia="Calibri" w:hAnsi="Arial" w:cs="Arial"/>
          <w:lang w:val="es-ES"/>
        </w:rPr>
      </w:pPr>
    </w:p>
    <w:p w14:paraId="32845D97" w14:textId="5CA266ED" w:rsidR="0075062C" w:rsidRDefault="0075062C" w:rsidP="0075062C">
      <w:pPr>
        <w:widowControl w:val="0"/>
        <w:ind w:right="-93"/>
        <w:jc w:val="both"/>
        <w:rPr>
          <w:rFonts w:ascii="Arial" w:eastAsia="Calibri" w:hAnsi="Arial" w:cs="Arial"/>
          <w:lang w:val="es-ES"/>
        </w:rPr>
      </w:pPr>
      <w:r w:rsidRPr="0075062C">
        <w:rPr>
          <w:rFonts w:ascii="Arial" w:eastAsia="Calibri" w:hAnsi="Arial" w:cs="Arial"/>
          <w:lang w:val="es-ES"/>
        </w:rPr>
        <w:t>En el momento que el legitimado realice el trámite de desmaterialización, el emisor deberá solicitar a la entidad de custodia el traslado de las acciones a la cuenta de custodia que el legitimado le indique.</w:t>
      </w:r>
    </w:p>
    <w:p w14:paraId="5D536963" w14:textId="77777777" w:rsidR="0075062C" w:rsidRPr="0075062C" w:rsidRDefault="0075062C" w:rsidP="0075062C">
      <w:pPr>
        <w:widowControl w:val="0"/>
        <w:ind w:right="-93"/>
        <w:jc w:val="both"/>
        <w:rPr>
          <w:rFonts w:ascii="Arial" w:eastAsia="Calibri" w:hAnsi="Arial" w:cs="Arial"/>
          <w:lang w:val="es-ES"/>
        </w:rPr>
      </w:pPr>
    </w:p>
    <w:p w14:paraId="1B07438C" w14:textId="63FEEC41" w:rsidR="0075062C" w:rsidRPr="0075062C" w:rsidRDefault="0075062C" w:rsidP="0075062C">
      <w:pPr>
        <w:widowControl w:val="0"/>
        <w:ind w:right="-93"/>
        <w:jc w:val="both"/>
        <w:rPr>
          <w:rFonts w:eastAsia="Calibri"/>
          <w:lang w:val="es-ES"/>
        </w:rPr>
      </w:pPr>
      <w:r w:rsidRPr="0075062C">
        <w:rPr>
          <w:rFonts w:ascii="Arial" w:eastAsia="Calibri" w:hAnsi="Arial" w:cs="Arial"/>
          <w:lang w:val="es-ES"/>
        </w:rPr>
        <w:t>Este traslado de valores debe realizarse bajo el mecanismo de traspaso no oneroso con cambio de titularidad</w:t>
      </w:r>
      <w:r w:rsidRPr="0075062C">
        <w:rPr>
          <w:rFonts w:eastAsia="Calibri"/>
          <w:lang w:val="es-ES"/>
        </w:rPr>
        <w:t>.</w:t>
      </w:r>
      <w:r>
        <w:rPr>
          <w:rStyle w:val="Refdenotaalpie"/>
          <w:rFonts w:eastAsia="Calibri"/>
          <w:lang w:val="es-ES"/>
        </w:rPr>
        <w:footnoteReference w:id="9"/>
      </w:r>
    </w:p>
    <w:p w14:paraId="42A20C86" w14:textId="77777777" w:rsidR="005F5822" w:rsidRPr="0075062C" w:rsidRDefault="005F5822" w:rsidP="005F5822">
      <w:pPr>
        <w:rPr>
          <w:rFonts w:ascii="Arial" w:hAnsi="Arial" w:cs="Arial"/>
          <w:b/>
          <w:bCs/>
          <w:color w:val="000000"/>
          <w:sz w:val="22"/>
          <w:szCs w:val="22"/>
          <w:lang w:val="es-ES"/>
        </w:rPr>
      </w:pPr>
    </w:p>
    <w:p w14:paraId="5DC757DB" w14:textId="786C0E1B" w:rsidR="00026A9D" w:rsidRDefault="00026A9D" w:rsidP="00026A9D">
      <w:pPr>
        <w:jc w:val="both"/>
        <w:rPr>
          <w:rFonts w:ascii="Arial" w:hAnsi="Arial" w:cs="Arial"/>
          <w:b/>
          <w:bCs/>
          <w:sz w:val="22"/>
          <w:szCs w:val="22"/>
          <w:lang w:val="es-CR"/>
        </w:rPr>
      </w:pPr>
      <w:r w:rsidRPr="00026A9D">
        <w:rPr>
          <w:rFonts w:ascii="Arial" w:hAnsi="Arial" w:cs="Arial"/>
          <w:b/>
          <w:bCs/>
          <w:sz w:val="22"/>
          <w:szCs w:val="22"/>
          <w:lang w:val="es-CR"/>
        </w:rPr>
        <w:lastRenderedPageBreak/>
        <w:t xml:space="preserve">Artículo 14.  </w:t>
      </w:r>
      <w:r w:rsidR="0075062C">
        <w:rPr>
          <w:rFonts w:ascii="Arial" w:hAnsi="Arial" w:cs="Arial"/>
          <w:b/>
          <w:bCs/>
          <w:sz w:val="22"/>
          <w:szCs w:val="22"/>
          <w:lang w:val="es-CR"/>
        </w:rPr>
        <w:t>Derogatorias</w:t>
      </w:r>
      <w:r w:rsidR="003B012F">
        <w:rPr>
          <w:rStyle w:val="Refdenotaalpie"/>
          <w:rFonts w:ascii="Arial" w:hAnsi="Arial" w:cs="Arial"/>
          <w:b/>
          <w:bCs/>
          <w:sz w:val="22"/>
          <w:szCs w:val="22"/>
          <w:lang w:val="es-CR"/>
        </w:rPr>
        <w:footnoteReference w:id="10"/>
      </w:r>
    </w:p>
    <w:p w14:paraId="018306FA" w14:textId="77777777" w:rsidR="0075062C" w:rsidRDefault="0075062C" w:rsidP="00026A9D">
      <w:pPr>
        <w:jc w:val="both"/>
        <w:rPr>
          <w:rFonts w:ascii="Arial" w:hAnsi="Arial" w:cs="Arial"/>
          <w:b/>
          <w:bCs/>
          <w:sz w:val="22"/>
          <w:szCs w:val="22"/>
          <w:lang w:val="es-CR"/>
        </w:rPr>
      </w:pPr>
    </w:p>
    <w:p w14:paraId="0F9F50A1" w14:textId="77777777" w:rsidR="0075062C" w:rsidRPr="008B7FC3" w:rsidRDefault="0075062C" w:rsidP="0075062C">
      <w:pPr>
        <w:jc w:val="both"/>
        <w:rPr>
          <w:rFonts w:ascii="Arial" w:hAnsi="Arial" w:cs="Arial"/>
          <w:color w:val="000000"/>
          <w:sz w:val="22"/>
          <w:szCs w:val="22"/>
          <w:lang w:val="es-CR"/>
        </w:rPr>
      </w:pPr>
      <w:r w:rsidRPr="008B7FC3">
        <w:rPr>
          <w:rFonts w:ascii="Arial" w:hAnsi="Arial" w:cs="Arial"/>
          <w:color w:val="000000"/>
          <w:sz w:val="22"/>
          <w:szCs w:val="22"/>
          <w:lang w:val="es-CR"/>
        </w:rPr>
        <w:t>Se deroga totalmente el SGV-A-130 Acuerdo para la implantación del Reglamento de Custodia (con las reformas del SGV-A-137, SGV-A-144, SGV-A-149, SGV-A-160 y SGV-A-173), aprobado por el Despacho del Superintendente a las 15 horas del veintiséis de febrero del dos mil siete.</w:t>
      </w:r>
    </w:p>
    <w:p w14:paraId="236761BD" w14:textId="77777777" w:rsidR="0075062C" w:rsidRDefault="0075062C" w:rsidP="00026A9D">
      <w:pPr>
        <w:jc w:val="both"/>
        <w:rPr>
          <w:rFonts w:ascii="Arial" w:hAnsi="Arial" w:cs="Arial"/>
          <w:b/>
          <w:bCs/>
          <w:sz w:val="22"/>
          <w:szCs w:val="22"/>
          <w:lang w:val="es-CR"/>
        </w:rPr>
      </w:pPr>
    </w:p>
    <w:p w14:paraId="48AE55E0" w14:textId="1F6018F9" w:rsidR="0075062C" w:rsidRDefault="0075062C" w:rsidP="00026A9D">
      <w:pPr>
        <w:jc w:val="both"/>
        <w:rPr>
          <w:rFonts w:ascii="Arial" w:hAnsi="Arial" w:cs="Arial"/>
          <w:b/>
          <w:bCs/>
          <w:sz w:val="22"/>
          <w:szCs w:val="22"/>
          <w:lang w:val="es-CR"/>
        </w:rPr>
      </w:pPr>
    </w:p>
    <w:p w14:paraId="44AAC90C" w14:textId="7D82003C" w:rsidR="0075062C" w:rsidRPr="00026A9D" w:rsidRDefault="0075062C" w:rsidP="00026A9D">
      <w:pPr>
        <w:jc w:val="both"/>
        <w:rPr>
          <w:rFonts w:ascii="Arial" w:hAnsi="Arial" w:cs="Arial"/>
          <w:b/>
          <w:lang w:val="es-CR"/>
        </w:rPr>
      </w:pPr>
      <w:r>
        <w:rPr>
          <w:rFonts w:ascii="Arial" w:hAnsi="Arial" w:cs="Arial"/>
          <w:b/>
          <w:bCs/>
          <w:sz w:val="22"/>
          <w:szCs w:val="22"/>
          <w:lang w:val="es-CR"/>
        </w:rPr>
        <w:t>Artículo 15. Vigencia</w:t>
      </w:r>
      <w:r w:rsidR="003B012F">
        <w:rPr>
          <w:rStyle w:val="Refdenotaalpie"/>
          <w:rFonts w:ascii="Arial" w:hAnsi="Arial" w:cs="Arial"/>
          <w:b/>
          <w:bCs/>
          <w:sz w:val="22"/>
          <w:szCs w:val="22"/>
          <w:lang w:val="es-CR"/>
        </w:rPr>
        <w:footnoteReference w:id="11"/>
      </w:r>
    </w:p>
    <w:p w14:paraId="43824AF8" w14:textId="77777777" w:rsidR="00B83A10" w:rsidRPr="008B7FC3" w:rsidRDefault="00B83A10" w:rsidP="00B06721">
      <w:pPr>
        <w:jc w:val="both"/>
        <w:rPr>
          <w:rFonts w:ascii="Arial" w:hAnsi="Arial" w:cs="Arial"/>
          <w:b/>
          <w:bCs/>
          <w:color w:val="000000"/>
          <w:sz w:val="22"/>
          <w:szCs w:val="22"/>
          <w:lang w:val="es-CR"/>
        </w:rPr>
      </w:pPr>
    </w:p>
    <w:p w14:paraId="7882E0D6" w14:textId="77777777" w:rsidR="00B83A10" w:rsidRPr="008B7FC3" w:rsidRDefault="00340984" w:rsidP="00B06721">
      <w:pPr>
        <w:jc w:val="both"/>
        <w:rPr>
          <w:rFonts w:ascii="Arial" w:hAnsi="Arial" w:cs="Arial"/>
          <w:color w:val="000000"/>
          <w:sz w:val="22"/>
          <w:szCs w:val="22"/>
          <w:lang w:val="es-CR"/>
        </w:rPr>
      </w:pPr>
      <w:r w:rsidRPr="008B7FC3">
        <w:rPr>
          <w:rFonts w:ascii="Arial" w:hAnsi="Arial" w:cs="Arial"/>
          <w:color w:val="000000"/>
          <w:sz w:val="22"/>
          <w:szCs w:val="22"/>
          <w:lang w:val="es-CR"/>
        </w:rPr>
        <w:t>Rige a partir del 7 de setiembre del 2015</w:t>
      </w:r>
      <w:r w:rsidR="00B83A10" w:rsidRPr="008B7FC3">
        <w:rPr>
          <w:rFonts w:ascii="Arial" w:hAnsi="Arial" w:cs="Arial"/>
          <w:color w:val="000000"/>
          <w:sz w:val="22"/>
          <w:szCs w:val="22"/>
          <w:lang w:val="es-CR"/>
        </w:rPr>
        <w:t>.</w:t>
      </w:r>
    </w:p>
    <w:p w14:paraId="4FF85C4A" w14:textId="77777777" w:rsidR="00B83A10" w:rsidRPr="008B7FC3" w:rsidRDefault="00B83A10" w:rsidP="00B06721">
      <w:pPr>
        <w:jc w:val="both"/>
        <w:rPr>
          <w:rFonts w:ascii="Arial" w:hAnsi="Arial" w:cs="Arial"/>
          <w:b/>
          <w:bCs/>
          <w:color w:val="000000"/>
          <w:sz w:val="22"/>
          <w:szCs w:val="22"/>
          <w:lang w:val="es-CR"/>
        </w:rPr>
      </w:pPr>
    </w:p>
    <w:p w14:paraId="05F9681D" w14:textId="77777777" w:rsidR="00B83A10" w:rsidRPr="008B7FC3" w:rsidRDefault="00B83A10" w:rsidP="00515108">
      <w:pPr>
        <w:pStyle w:val="Ttulo1"/>
        <w:rPr>
          <w:rFonts w:ascii="Arial" w:hAnsi="Arial" w:cs="Arial"/>
          <w:b w:val="0"/>
          <w:bCs/>
          <w:color w:val="000000"/>
          <w:sz w:val="22"/>
          <w:szCs w:val="22"/>
        </w:rPr>
      </w:pPr>
      <w:r w:rsidRPr="008B7FC3">
        <w:rPr>
          <w:rFonts w:ascii="Arial" w:hAnsi="Arial" w:cs="Arial"/>
          <w:bCs/>
          <w:color w:val="000000"/>
          <w:sz w:val="22"/>
          <w:szCs w:val="22"/>
        </w:rPr>
        <w:t>Transitorio I</w:t>
      </w:r>
      <w:r w:rsidR="00515108">
        <w:rPr>
          <w:rFonts w:ascii="Arial" w:hAnsi="Arial" w:cs="Arial"/>
          <w:bCs/>
          <w:color w:val="000000"/>
          <w:sz w:val="22"/>
          <w:szCs w:val="22"/>
        </w:rPr>
        <w:t xml:space="preserve"> </w:t>
      </w:r>
      <w:r w:rsidR="00515108">
        <w:rPr>
          <w:rStyle w:val="Refdenotaalpie"/>
          <w:rFonts w:ascii="Arial" w:hAnsi="Arial" w:cs="Arial"/>
          <w:bCs/>
          <w:color w:val="000000"/>
          <w:sz w:val="22"/>
          <w:szCs w:val="22"/>
        </w:rPr>
        <w:footnoteReference w:id="12"/>
      </w:r>
    </w:p>
    <w:p w14:paraId="4C1BE339" w14:textId="77777777" w:rsidR="00515108" w:rsidRPr="00515108" w:rsidRDefault="00515108" w:rsidP="00515108">
      <w:pPr>
        <w:pStyle w:val="Textoindependiente"/>
        <w:contextualSpacing/>
        <w:jc w:val="both"/>
        <w:rPr>
          <w:rFonts w:ascii="Arial" w:hAnsi="Arial" w:cs="Arial"/>
          <w:sz w:val="22"/>
          <w:szCs w:val="22"/>
          <w:lang w:val="es-ES"/>
        </w:rPr>
      </w:pPr>
      <w:r w:rsidRPr="00515108">
        <w:rPr>
          <w:rFonts w:ascii="Arial" w:hAnsi="Arial" w:cs="Arial"/>
          <w:sz w:val="22"/>
          <w:szCs w:val="22"/>
          <w:lang w:val="es-ES"/>
        </w:rPr>
        <w:t>Las entidades de custodia cuentan con un plazo de 8 meses contados a partir del 30 de junio de 2016 para actualizar los contratos con sus clientes, si esto se requiere para que ostenten las facultades necesarias para la prestación de los servicios, en consideración de las disposiciones aprobadas en el Reglamento de Intermediación de Valores y Actividades Complementarias.</w:t>
      </w:r>
    </w:p>
    <w:p w14:paraId="64E8CE82" w14:textId="77777777" w:rsidR="00515108" w:rsidRPr="00515108" w:rsidRDefault="00515108" w:rsidP="00515108">
      <w:pPr>
        <w:pStyle w:val="Ttulo1"/>
        <w:rPr>
          <w:rFonts w:ascii="Arial" w:hAnsi="Arial" w:cs="Arial"/>
          <w:b w:val="0"/>
          <w:color w:val="000000"/>
          <w:sz w:val="22"/>
          <w:szCs w:val="22"/>
          <w:lang w:val="es-ES" w:eastAsia="en-US"/>
        </w:rPr>
      </w:pPr>
    </w:p>
    <w:p w14:paraId="52473208" w14:textId="77777777" w:rsidR="00B83A10" w:rsidRPr="008B7FC3" w:rsidRDefault="00B83A10" w:rsidP="00515108">
      <w:pPr>
        <w:pStyle w:val="Ttulo1"/>
        <w:rPr>
          <w:rFonts w:ascii="Arial" w:hAnsi="Arial" w:cs="Arial"/>
          <w:b w:val="0"/>
          <w:bCs/>
          <w:color w:val="000000"/>
          <w:sz w:val="22"/>
          <w:szCs w:val="22"/>
        </w:rPr>
      </w:pPr>
      <w:r w:rsidRPr="008B7FC3">
        <w:rPr>
          <w:rFonts w:ascii="Arial" w:hAnsi="Arial" w:cs="Arial"/>
          <w:bCs/>
          <w:color w:val="000000"/>
          <w:sz w:val="22"/>
          <w:szCs w:val="22"/>
        </w:rPr>
        <w:t>Transitorio II</w:t>
      </w:r>
    </w:p>
    <w:p w14:paraId="105750D3" w14:textId="77777777" w:rsidR="00B83A10" w:rsidRPr="008B7FC3" w:rsidRDefault="00B83A10" w:rsidP="00B06721">
      <w:pPr>
        <w:jc w:val="both"/>
        <w:rPr>
          <w:rFonts w:ascii="Arial" w:hAnsi="Arial" w:cs="Arial"/>
          <w:color w:val="000000"/>
          <w:sz w:val="22"/>
          <w:szCs w:val="22"/>
          <w:lang w:val="es-CR"/>
        </w:rPr>
      </w:pPr>
      <w:r w:rsidRPr="008B7FC3">
        <w:rPr>
          <w:rFonts w:ascii="Arial" w:hAnsi="Arial" w:cs="Arial"/>
          <w:color w:val="000000"/>
          <w:sz w:val="22"/>
          <w:szCs w:val="22"/>
          <w:lang w:val="es-CR"/>
        </w:rPr>
        <w:t xml:space="preserve">Las entidades de custodia cuentan con un plazo de 9 meses a partir de la </w:t>
      </w:r>
      <w:proofErr w:type="gramStart"/>
      <w:r w:rsidRPr="008B7FC3">
        <w:rPr>
          <w:rFonts w:ascii="Arial" w:hAnsi="Arial" w:cs="Arial"/>
          <w:color w:val="000000"/>
          <w:sz w:val="22"/>
          <w:szCs w:val="22"/>
          <w:lang w:val="es-CR"/>
        </w:rPr>
        <w:t>entrada en vigencia</w:t>
      </w:r>
      <w:proofErr w:type="gramEnd"/>
      <w:r w:rsidRPr="008B7FC3">
        <w:rPr>
          <w:rFonts w:ascii="Arial" w:hAnsi="Arial" w:cs="Arial"/>
          <w:color w:val="000000"/>
          <w:sz w:val="22"/>
          <w:szCs w:val="22"/>
          <w:lang w:val="es-CR"/>
        </w:rPr>
        <w:t xml:space="preserve"> de este Acuerdo para cumplir con el contenido mínimo del estado de cuenta.</w:t>
      </w:r>
    </w:p>
    <w:p w14:paraId="00C4620F" w14:textId="77777777" w:rsidR="00515108" w:rsidRDefault="00515108" w:rsidP="00515108">
      <w:pPr>
        <w:pStyle w:val="Ttulo1"/>
        <w:rPr>
          <w:rFonts w:ascii="Arial" w:hAnsi="Arial" w:cs="Arial"/>
          <w:b w:val="0"/>
          <w:color w:val="000000"/>
          <w:sz w:val="22"/>
          <w:szCs w:val="22"/>
          <w:lang w:eastAsia="en-US"/>
        </w:rPr>
      </w:pPr>
    </w:p>
    <w:p w14:paraId="08F27DCB" w14:textId="77777777" w:rsidR="00B83A10" w:rsidRPr="008B7FC3" w:rsidRDefault="00B83A10" w:rsidP="00515108">
      <w:pPr>
        <w:pStyle w:val="Ttulo1"/>
        <w:rPr>
          <w:rFonts w:ascii="Arial" w:hAnsi="Arial" w:cs="Arial"/>
          <w:b w:val="0"/>
          <w:color w:val="000000"/>
          <w:sz w:val="22"/>
          <w:szCs w:val="22"/>
        </w:rPr>
      </w:pPr>
      <w:r w:rsidRPr="008B7FC3">
        <w:rPr>
          <w:rFonts w:ascii="Arial" w:hAnsi="Arial" w:cs="Arial"/>
          <w:color w:val="000000"/>
          <w:sz w:val="22"/>
          <w:szCs w:val="22"/>
        </w:rPr>
        <w:t>Transitorio III</w:t>
      </w:r>
    </w:p>
    <w:p w14:paraId="59D08BE5" w14:textId="77777777" w:rsidR="00B83A10" w:rsidRPr="008B7FC3" w:rsidRDefault="00B83A10" w:rsidP="00B06721">
      <w:pPr>
        <w:jc w:val="both"/>
        <w:rPr>
          <w:rFonts w:ascii="Arial" w:hAnsi="Arial" w:cs="Arial"/>
          <w:sz w:val="22"/>
          <w:szCs w:val="22"/>
          <w:lang w:val="es-CR"/>
        </w:rPr>
      </w:pPr>
      <w:r w:rsidRPr="008B7FC3">
        <w:rPr>
          <w:rFonts w:ascii="Arial" w:hAnsi="Arial" w:cs="Arial"/>
          <w:sz w:val="22"/>
          <w:szCs w:val="22"/>
          <w:lang w:val="es-CR"/>
        </w:rPr>
        <w:t xml:space="preserve">Las entidades de custodia, así como las centrales de valores cuentan con un plazo de 3 meses a partir de la </w:t>
      </w:r>
      <w:proofErr w:type="gramStart"/>
      <w:r w:rsidRPr="008B7FC3">
        <w:rPr>
          <w:rFonts w:ascii="Arial" w:hAnsi="Arial" w:cs="Arial"/>
          <w:sz w:val="22"/>
          <w:szCs w:val="22"/>
          <w:lang w:val="es-CR"/>
        </w:rPr>
        <w:t>entrada en vigencia</w:t>
      </w:r>
      <w:proofErr w:type="gramEnd"/>
      <w:r w:rsidRPr="008B7FC3">
        <w:rPr>
          <w:rFonts w:ascii="Arial" w:hAnsi="Arial" w:cs="Arial"/>
          <w:sz w:val="22"/>
          <w:szCs w:val="22"/>
          <w:lang w:val="es-CR"/>
        </w:rPr>
        <w:t xml:space="preserve"> de este Acuerdo, para cumplir con las disposiciones establecidas para la identificación de titulares de los valores y el efectivo asociado.</w:t>
      </w:r>
    </w:p>
    <w:p w14:paraId="3093A98B" w14:textId="77777777" w:rsidR="00AE6B83" w:rsidRPr="008B7FC3" w:rsidRDefault="00AE6B83" w:rsidP="00B06721">
      <w:pPr>
        <w:jc w:val="both"/>
        <w:rPr>
          <w:rFonts w:ascii="Arial" w:hAnsi="Arial" w:cs="Arial"/>
          <w:sz w:val="22"/>
          <w:szCs w:val="22"/>
          <w:lang w:val="es-CR"/>
        </w:rPr>
      </w:pPr>
    </w:p>
    <w:p w14:paraId="2BDC1775" w14:textId="77777777" w:rsidR="00B21A4C" w:rsidRPr="008B7FC3" w:rsidRDefault="00B21A4C" w:rsidP="00515108">
      <w:pPr>
        <w:pStyle w:val="Ttulo1"/>
        <w:rPr>
          <w:rFonts w:ascii="Arial" w:hAnsi="Arial" w:cs="Arial"/>
          <w:b w:val="0"/>
          <w:color w:val="000000"/>
          <w:sz w:val="22"/>
          <w:szCs w:val="22"/>
        </w:rPr>
      </w:pPr>
      <w:r w:rsidRPr="008B7FC3">
        <w:rPr>
          <w:rFonts w:ascii="Arial" w:hAnsi="Arial" w:cs="Arial"/>
          <w:color w:val="000000"/>
          <w:sz w:val="22"/>
          <w:szCs w:val="22"/>
        </w:rPr>
        <w:t>Transitorio IV</w:t>
      </w:r>
    </w:p>
    <w:p w14:paraId="357CB4CD" w14:textId="77777777" w:rsidR="00B21A4C" w:rsidRDefault="00B21A4C" w:rsidP="00B06721">
      <w:pPr>
        <w:jc w:val="both"/>
        <w:rPr>
          <w:rFonts w:ascii="Arial" w:hAnsi="Arial" w:cs="Arial"/>
          <w:sz w:val="22"/>
          <w:szCs w:val="22"/>
          <w:lang w:val="es-CR"/>
        </w:rPr>
      </w:pPr>
      <w:r w:rsidRPr="008B7FC3">
        <w:rPr>
          <w:rFonts w:ascii="Arial" w:hAnsi="Arial" w:cs="Arial"/>
          <w:color w:val="000000"/>
          <w:sz w:val="22"/>
          <w:szCs w:val="22"/>
          <w:lang w:val="es-CR"/>
        </w:rPr>
        <w:t xml:space="preserve">En relación con </w:t>
      </w:r>
      <w:r w:rsidRPr="008B7FC3">
        <w:rPr>
          <w:rFonts w:ascii="Arial" w:hAnsi="Arial" w:cs="Arial"/>
          <w:sz w:val="22"/>
          <w:szCs w:val="22"/>
          <w:lang w:val="es-CR"/>
        </w:rPr>
        <w:t xml:space="preserve">las políticas sobre </w:t>
      </w:r>
      <w:r w:rsidRPr="008B7FC3">
        <w:rPr>
          <w:rFonts w:ascii="Arial" w:hAnsi="Arial" w:cs="Arial"/>
          <w:color w:val="000000"/>
          <w:sz w:val="22"/>
          <w:szCs w:val="22"/>
          <w:lang w:val="es-CR"/>
        </w:rPr>
        <w:t xml:space="preserve">el servicio de control y liquidación de posiciones, sean estas </w:t>
      </w:r>
      <w:r w:rsidRPr="008B7FC3">
        <w:rPr>
          <w:rFonts w:ascii="Arial" w:hAnsi="Arial" w:cs="Arial"/>
          <w:bCs/>
          <w:color w:val="000000"/>
          <w:sz w:val="22"/>
          <w:szCs w:val="22"/>
          <w:lang w:val="es-CR"/>
        </w:rPr>
        <w:t>operaciones pendientes de liquidar de contado u operaciones a plazo</w:t>
      </w:r>
      <w:r w:rsidRPr="008B7FC3">
        <w:rPr>
          <w:rFonts w:ascii="Arial" w:hAnsi="Arial" w:cs="Arial"/>
          <w:color w:val="000000"/>
          <w:sz w:val="22"/>
          <w:szCs w:val="22"/>
          <w:lang w:val="es-CR"/>
        </w:rPr>
        <w:t>, requeridas en el artículo 3 del presente Acuerdo, l</w:t>
      </w:r>
      <w:r w:rsidRPr="008B7FC3">
        <w:rPr>
          <w:rFonts w:ascii="Arial" w:hAnsi="Arial" w:cs="Arial"/>
          <w:sz w:val="22"/>
          <w:szCs w:val="22"/>
          <w:lang w:val="es-CR"/>
        </w:rPr>
        <w:t xml:space="preserve">as entidades de custodia cuentan con un plazo de 3 meses a partir de la </w:t>
      </w:r>
      <w:proofErr w:type="gramStart"/>
      <w:r w:rsidRPr="008B7FC3">
        <w:rPr>
          <w:rFonts w:ascii="Arial" w:hAnsi="Arial" w:cs="Arial"/>
          <w:sz w:val="22"/>
          <w:szCs w:val="22"/>
          <w:lang w:val="es-CR"/>
        </w:rPr>
        <w:t>entrada en vigencia</w:t>
      </w:r>
      <w:proofErr w:type="gramEnd"/>
      <w:r w:rsidRPr="008B7FC3">
        <w:rPr>
          <w:rFonts w:ascii="Arial" w:hAnsi="Arial" w:cs="Arial"/>
          <w:sz w:val="22"/>
          <w:szCs w:val="22"/>
          <w:lang w:val="es-CR"/>
        </w:rPr>
        <w:t xml:space="preserve"> de este Acuerdo, para </w:t>
      </w:r>
      <w:r w:rsidR="00537862" w:rsidRPr="008B7FC3">
        <w:rPr>
          <w:rFonts w:ascii="Arial" w:hAnsi="Arial" w:cs="Arial"/>
          <w:sz w:val="22"/>
          <w:szCs w:val="22"/>
          <w:lang w:val="es-CR"/>
        </w:rPr>
        <w:t xml:space="preserve">establecer las políticas necesarias para </w:t>
      </w:r>
      <w:r w:rsidRPr="008B7FC3">
        <w:rPr>
          <w:rFonts w:ascii="Arial" w:hAnsi="Arial" w:cs="Arial"/>
          <w:sz w:val="22"/>
          <w:szCs w:val="22"/>
          <w:lang w:val="es-CR"/>
        </w:rPr>
        <w:t>cumplir con las disposiciones establecidas.</w:t>
      </w:r>
    </w:p>
    <w:p w14:paraId="0C30F963" w14:textId="77777777" w:rsidR="00515108" w:rsidRDefault="00515108" w:rsidP="00B06721">
      <w:pPr>
        <w:jc w:val="both"/>
        <w:rPr>
          <w:rFonts w:ascii="Arial" w:hAnsi="Arial" w:cs="Arial"/>
          <w:sz w:val="22"/>
          <w:szCs w:val="22"/>
          <w:lang w:val="es-CR"/>
        </w:rPr>
      </w:pPr>
    </w:p>
    <w:p w14:paraId="4DDC076E" w14:textId="77777777" w:rsidR="00515108" w:rsidRPr="00515108" w:rsidRDefault="00515108" w:rsidP="00515108">
      <w:pPr>
        <w:pStyle w:val="Ttulo1"/>
        <w:rPr>
          <w:rFonts w:ascii="Arial" w:hAnsi="Arial" w:cs="Arial"/>
          <w:color w:val="000000"/>
          <w:sz w:val="22"/>
          <w:szCs w:val="22"/>
        </w:rPr>
      </w:pPr>
      <w:r w:rsidRPr="00515108">
        <w:rPr>
          <w:rFonts w:ascii="Arial" w:hAnsi="Arial" w:cs="Arial"/>
          <w:color w:val="000000"/>
          <w:sz w:val="22"/>
          <w:szCs w:val="22"/>
        </w:rPr>
        <w:lastRenderedPageBreak/>
        <w:t>Transitorio V</w:t>
      </w:r>
      <w:r>
        <w:rPr>
          <w:rStyle w:val="Refdenotaalpie"/>
          <w:rFonts w:ascii="Arial" w:hAnsi="Arial" w:cs="Arial"/>
          <w:color w:val="000000"/>
          <w:sz w:val="22"/>
          <w:szCs w:val="22"/>
        </w:rPr>
        <w:footnoteReference w:id="13"/>
      </w:r>
    </w:p>
    <w:p w14:paraId="0D15F735" w14:textId="77777777" w:rsidR="00515108" w:rsidRDefault="00515108" w:rsidP="00515108">
      <w:pPr>
        <w:pStyle w:val="Textoindependiente"/>
        <w:contextualSpacing/>
        <w:rPr>
          <w:rFonts w:ascii="Arial" w:hAnsi="Arial" w:cs="Arial"/>
          <w:sz w:val="22"/>
          <w:szCs w:val="22"/>
          <w:lang w:val="es-ES"/>
        </w:rPr>
      </w:pPr>
      <w:r w:rsidRPr="00515108">
        <w:rPr>
          <w:rFonts w:ascii="Arial" w:hAnsi="Arial" w:cs="Arial"/>
          <w:sz w:val="22"/>
          <w:szCs w:val="22"/>
          <w:lang w:val="es-CR"/>
        </w:rPr>
        <w:t xml:space="preserve">Al vencimiento del </w:t>
      </w:r>
      <w:r w:rsidRPr="00515108">
        <w:rPr>
          <w:rFonts w:ascii="Arial" w:hAnsi="Arial" w:cs="Arial"/>
          <w:sz w:val="22"/>
          <w:szCs w:val="22"/>
          <w:lang w:val="es-ES"/>
        </w:rPr>
        <w:t xml:space="preserve">Transitorio I cada entidad debe remitir un plan de actualización para los contratos de los clientes activos para su autorización a la Superintendencia General de Valores. </w:t>
      </w:r>
    </w:p>
    <w:p w14:paraId="1EB9637A" w14:textId="77777777" w:rsidR="00AE00EC" w:rsidRDefault="00AE00EC" w:rsidP="00515108">
      <w:pPr>
        <w:pStyle w:val="Textoindependiente"/>
        <w:contextualSpacing/>
        <w:rPr>
          <w:rFonts w:ascii="Arial" w:hAnsi="Arial" w:cs="Arial"/>
          <w:sz w:val="22"/>
          <w:szCs w:val="22"/>
          <w:lang w:val="es-ES"/>
        </w:rPr>
      </w:pPr>
    </w:p>
    <w:p w14:paraId="492A1424" w14:textId="77777777" w:rsidR="00AE00EC" w:rsidRPr="00A15540" w:rsidRDefault="00AE00EC" w:rsidP="00AE00EC">
      <w:pPr>
        <w:pStyle w:val="Textoindependiente"/>
        <w:spacing w:line="276" w:lineRule="auto"/>
        <w:contextualSpacing/>
        <w:rPr>
          <w:rFonts w:ascii="Arial" w:hAnsi="Arial" w:cs="Arial"/>
          <w:b/>
          <w:color w:val="000000"/>
          <w:sz w:val="22"/>
          <w:szCs w:val="22"/>
          <w:lang w:val="es-CR" w:eastAsia="es-ES"/>
        </w:rPr>
      </w:pPr>
      <w:r w:rsidRPr="00A15540">
        <w:rPr>
          <w:rFonts w:ascii="Arial" w:hAnsi="Arial" w:cs="Arial"/>
          <w:b/>
          <w:color w:val="000000"/>
          <w:sz w:val="22"/>
          <w:szCs w:val="22"/>
          <w:lang w:val="es-CR" w:eastAsia="es-ES"/>
        </w:rPr>
        <w:t>Transitorio VI</w:t>
      </w:r>
      <w:r w:rsidRPr="00A15540">
        <w:rPr>
          <w:rStyle w:val="Refdenotaalpie"/>
          <w:rFonts w:ascii="Arial" w:hAnsi="Arial" w:cs="Arial"/>
          <w:b/>
          <w:color w:val="000000"/>
          <w:sz w:val="22"/>
          <w:szCs w:val="22"/>
          <w:lang w:val="es-CR" w:eastAsia="es-ES"/>
        </w:rPr>
        <w:footnoteReference w:id="14"/>
      </w:r>
    </w:p>
    <w:p w14:paraId="6E53743B" w14:textId="77777777" w:rsidR="00AE00EC" w:rsidRDefault="00AE00EC" w:rsidP="00AE00EC">
      <w:pPr>
        <w:pStyle w:val="Textoindependiente"/>
        <w:spacing w:line="276" w:lineRule="auto"/>
        <w:contextualSpacing/>
        <w:jc w:val="both"/>
        <w:rPr>
          <w:rFonts w:ascii="Arial" w:hAnsi="Arial" w:cs="Arial"/>
          <w:sz w:val="22"/>
          <w:szCs w:val="22"/>
          <w:lang w:val="es-ES"/>
        </w:rPr>
      </w:pPr>
      <w:r w:rsidRPr="00A15540">
        <w:rPr>
          <w:rFonts w:ascii="Arial" w:hAnsi="Arial" w:cs="Arial"/>
          <w:sz w:val="22"/>
          <w:szCs w:val="22"/>
          <w:lang w:val="es-ES"/>
        </w:rPr>
        <w:t>Las entidades responsables del registro contable de los valores representados por medio de anotaciones electrónicas en cuenta, tendrán 30 días naturales, a partir de la entrada en vigencia del presente Acuerdo, para incluir en los sistemas de información los nuevos motivos para la realización de traspasos no onerosos y onerosos con cambio de titularidad introducidos por esta norma, de tal manera que las entidades de custodia puedan proceder con la ejecución de los traspasos cuando sea requerido.</w:t>
      </w:r>
      <w:r>
        <w:rPr>
          <w:rFonts w:ascii="Arial" w:hAnsi="Arial" w:cs="Arial"/>
          <w:sz w:val="22"/>
          <w:szCs w:val="22"/>
          <w:lang w:val="es-ES"/>
        </w:rPr>
        <w:t xml:space="preserve"> </w:t>
      </w:r>
    </w:p>
    <w:p w14:paraId="129EDC65" w14:textId="77777777" w:rsidR="00AE00EC" w:rsidRPr="00515108" w:rsidRDefault="00AE00EC" w:rsidP="00515108">
      <w:pPr>
        <w:pStyle w:val="Textoindependiente"/>
        <w:contextualSpacing/>
        <w:rPr>
          <w:rFonts w:ascii="Arial" w:hAnsi="Arial" w:cs="Arial"/>
          <w:sz w:val="22"/>
          <w:szCs w:val="22"/>
          <w:lang w:val="es-ES"/>
        </w:rPr>
      </w:pPr>
    </w:p>
    <w:p w14:paraId="7379C3F6" w14:textId="77777777" w:rsidR="00515108" w:rsidRPr="00515108" w:rsidRDefault="00515108" w:rsidP="00B06721">
      <w:pPr>
        <w:jc w:val="both"/>
        <w:rPr>
          <w:rFonts w:ascii="Arial" w:hAnsi="Arial" w:cs="Arial"/>
          <w:b/>
          <w:color w:val="000000"/>
          <w:sz w:val="22"/>
          <w:szCs w:val="22"/>
          <w:lang w:val="es-ES"/>
        </w:rPr>
      </w:pPr>
    </w:p>
    <w:p w14:paraId="215FBA31" w14:textId="5C4F4E74" w:rsidR="002B097A" w:rsidRPr="008B7FC3" w:rsidRDefault="002B097A" w:rsidP="00B06721">
      <w:pPr>
        <w:rPr>
          <w:rFonts w:ascii="Arial" w:eastAsia="Calibri" w:hAnsi="Arial" w:cs="Arial"/>
          <w:sz w:val="22"/>
          <w:szCs w:val="22"/>
        </w:rPr>
      </w:pPr>
    </w:p>
    <w:p w14:paraId="7076AD29" w14:textId="77777777" w:rsidR="002B097A" w:rsidRPr="008B7FC3" w:rsidRDefault="002B097A" w:rsidP="00B06721">
      <w:pPr>
        <w:rPr>
          <w:rFonts w:ascii="Arial" w:eastAsia="Calibri" w:hAnsi="Arial" w:cs="Arial"/>
          <w:sz w:val="22"/>
          <w:szCs w:val="22"/>
        </w:rPr>
      </w:pPr>
    </w:p>
    <w:p w14:paraId="13DDE30D" w14:textId="77777777" w:rsidR="002B097A" w:rsidRPr="008B7FC3" w:rsidRDefault="002B097A" w:rsidP="00B06721">
      <w:pPr>
        <w:jc w:val="both"/>
        <w:rPr>
          <w:rFonts w:ascii="Arial" w:hAnsi="Arial" w:cs="Arial"/>
          <w:sz w:val="22"/>
          <w:szCs w:val="22"/>
          <w:lang w:val="es-CR"/>
        </w:rPr>
      </w:pPr>
    </w:p>
    <w:sectPr w:rsidR="002B097A" w:rsidRPr="008B7FC3" w:rsidSect="008B7FC3">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BC772" w14:textId="77777777" w:rsidR="00E77B7C" w:rsidRDefault="00E77B7C">
      <w:r>
        <w:separator/>
      </w:r>
    </w:p>
  </w:endnote>
  <w:endnote w:type="continuationSeparator" w:id="0">
    <w:p w14:paraId="5246EADD" w14:textId="77777777" w:rsidR="00E77B7C" w:rsidRDefault="00E7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PCL6)">
    <w:altName w:val="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661F0" w14:textId="77777777" w:rsidR="00D36856" w:rsidRDefault="00D368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DC47" w14:textId="77777777" w:rsidR="00720D4F" w:rsidRPr="00DB7129" w:rsidRDefault="00720D4F">
    <w:pPr>
      <w:pStyle w:val="Piedepgina"/>
      <w:rPr>
        <w:rFonts w:ascii="Arial" w:hAnsi="Arial" w:cs="Arial"/>
        <w:color w:val="1B75BB"/>
        <w:sz w:val="22"/>
        <w:szCs w:val="22"/>
      </w:rPr>
    </w:pPr>
    <w:r w:rsidRPr="00DB7129">
      <w:rPr>
        <w:rFonts w:ascii="Arial" w:hAnsi="Arial" w:cs="Arial"/>
        <w:color w:val="1B75BB"/>
        <w:sz w:val="22"/>
        <w:szCs w:val="22"/>
      </w:rPr>
      <w:t xml:space="preserve">| </w:t>
    </w:r>
    <w:r w:rsidRPr="00DB7129">
      <w:rPr>
        <w:rFonts w:ascii="Arial" w:hAnsi="Arial" w:cs="Arial"/>
        <w:color w:val="1B75BB"/>
        <w:sz w:val="22"/>
        <w:szCs w:val="22"/>
      </w:rPr>
      <w:fldChar w:fldCharType="begin"/>
    </w:r>
    <w:r w:rsidRPr="00DB7129">
      <w:rPr>
        <w:rFonts w:ascii="Arial" w:hAnsi="Arial" w:cs="Arial"/>
        <w:color w:val="1B75BB"/>
        <w:sz w:val="22"/>
        <w:szCs w:val="22"/>
      </w:rPr>
      <w:instrText xml:space="preserve"> PAGE   \* MERGEFORMAT </w:instrText>
    </w:r>
    <w:r w:rsidRPr="00DB7129">
      <w:rPr>
        <w:rFonts w:ascii="Arial" w:hAnsi="Arial" w:cs="Arial"/>
        <w:color w:val="1B75BB"/>
        <w:sz w:val="22"/>
        <w:szCs w:val="22"/>
      </w:rPr>
      <w:fldChar w:fldCharType="separate"/>
    </w:r>
    <w:r w:rsidR="00BE2EFF">
      <w:rPr>
        <w:rFonts w:ascii="Arial" w:hAnsi="Arial" w:cs="Arial"/>
        <w:noProof/>
        <w:color w:val="1B75BB"/>
        <w:sz w:val="22"/>
        <w:szCs w:val="22"/>
      </w:rPr>
      <w:t>2</w:t>
    </w:r>
    <w:r w:rsidRPr="00DB7129">
      <w:rPr>
        <w:rFonts w:ascii="Arial" w:hAnsi="Arial" w:cs="Arial"/>
        <w:noProof/>
        <w:color w:val="1B75BB"/>
        <w:sz w:val="22"/>
        <w:szCs w:val="22"/>
      </w:rPr>
      <w:fldChar w:fldCharType="end"/>
    </w:r>
  </w:p>
  <w:p w14:paraId="54DE83B5" w14:textId="77777777" w:rsidR="00720D4F" w:rsidRDefault="00720D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11526" w14:textId="77777777" w:rsidR="00D36856" w:rsidRDefault="00D368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A2248" w14:textId="77777777" w:rsidR="00E77B7C" w:rsidRDefault="00E77B7C">
      <w:r>
        <w:separator/>
      </w:r>
    </w:p>
  </w:footnote>
  <w:footnote w:type="continuationSeparator" w:id="0">
    <w:p w14:paraId="189AAFE8" w14:textId="77777777" w:rsidR="00E77B7C" w:rsidRDefault="00E77B7C">
      <w:r>
        <w:continuationSeparator/>
      </w:r>
    </w:p>
  </w:footnote>
  <w:footnote w:id="1">
    <w:p w14:paraId="476D55D4" w14:textId="77777777" w:rsidR="00720D4F" w:rsidRPr="008B7FC3" w:rsidRDefault="00720D4F" w:rsidP="005259F7">
      <w:pPr>
        <w:pStyle w:val="Textonotapie"/>
        <w:jc w:val="both"/>
        <w:rPr>
          <w:rFonts w:ascii="Arial" w:hAnsi="Arial" w:cs="Arial"/>
          <w:sz w:val="22"/>
          <w:szCs w:val="22"/>
          <w:lang w:val="es-CR"/>
        </w:rPr>
      </w:pPr>
      <w:r w:rsidRPr="008B7FC3">
        <w:rPr>
          <w:rStyle w:val="Refdenotaalpie"/>
          <w:rFonts w:ascii="Arial" w:hAnsi="Arial" w:cs="Arial"/>
          <w:sz w:val="22"/>
          <w:szCs w:val="22"/>
        </w:rPr>
        <w:footnoteRef/>
      </w:r>
      <w:r w:rsidRPr="008B7FC3">
        <w:rPr>
          <w:rFonts w:ascii="Arial" w:hAnsi="Arial" w:cs="Arial"/>
          <w:sz w:val="22"/>
          <w:szCs w:val="22"/>
          <w:lang w:val="es-CR"/>
        </w:rPr>
        <w:t xml:space="preserve"> </w:t>
      </w:r>
      <w:r w:rsidRPr="008B7FC3">
        <w:rPr>
          <w:rFonts w:ascii="Arial" w:hAnsi="Arial" w:cs="Arial"/>
          <w:sz w:val="22"/>
          <w:szCs w:val="22"/>
          <w:lang w:val="es-MX"/>
        </w:rPr>
        <w:t xml:space="preserve">Superintendencia General de Valores.  Despacho del Superintendente.  A las quince horas del cuatro de setiembre del dos mil quince. </w:t>
      </w:r>
      <w:r w:rsidRPr="008B7FC3">
        <w:rPr>
          <w:rFonts w:ascii="Arial" w:hAnsi="Arial" w:cs="Arial"/>
          <w:sz w:val="22"/>
          <w:szCs w:val="22"/>
          <w:lang w:val="es-CR"/>
        </w:rPr>
        <w:t>Publicado en el Diario Oficial La Gaceta No. 214 del 4 de noviembre del 2015.</w:t>
      </w:r>
    </w:p>
    <w:p w14:paraId="48828327" w14:textId="77777777" w:rsidR="00720D4F" w:rsidRPr="005259F7" w:rsidRDefault="00720D4F" w:rsidP="00E774B1">
      <w:pPr>
        <w:jc w:val="both"/>
        <w:rPr>
          <w:rFonts w:ascii="Century Gothic" w:hAnsi="Century Gothic" w:cs="Arial"/>
          <w:sz w:val="20"/>
          <w:szCs w:val="20"/>
          <w:lang w:val="es-CR"/>
        </w:rPr>
      </w:pPr>
    </w:p>
    <w:p w14:paraId="51EE408A" w14:textId="77777777" w:rsidR="00720D4F" w:rsidRPr="00E774B1" w:rsidRDefault="00720D4F">
      <w:pPr>
        <w:pStyle w:val="Textonotapie"/>
        <w:rPr>
          <w:lang w:val="es-MX"/>
        </w:rPr>
      </w:pPr>
    </w:p>
  </w:footnote>
  <w:footnote w:id="2">
    <w:p w14:paraId="3C2ED203" w14:textId="77777777" w:rsidR="00720D4F" w:rsidRPr="00F7093F" w:rsidRDefault="00720D4F" w:rsidP="00AA7244">
      <w:pPr>
        <w:widowControl w:val="0"/>
        <w:jc w:val="both"/>
        <w:rPr>
          <w:rFonts w:ascii="Arial" w:hAnsi="Arial" w:cs="Arial"/>
          <w:sz w:val="22"/>
          <w:szCs w:val="22"/>
          <w:lang w:val="es-CR" w:eastAsia="es-ES"/>
        </w:rPr>
      </w:pPr>
      <w:r>
        <w:rPr>
          <w:rStyle w:val="Refdenotaalpie"/>
        </w:rPr>
        <w:footnoteRef/>
      </w:r>
      <w:r w:rsidRPr="00AA7244">
        <w:rPr>
          <w:lang w:val="es-CR"/>
        </w:rPr>
        <w:t xml:space="preserve"> </w:t>
      </w:r>
      <w:r w:rsidRPr="00AA7244">
        <w:rPr>
          <w:rFonts w:ascii="Arial" w:hAnsi="Arial" w:cs="Arial"/>
          <w:sz w:val="22"/>
          <w:szCs w:val="22"/>
          <w:lang w:val="es-CR"/>
        </w:rPr>
        <w:t xml:space="preserve">Párrafo modificado por el Acuerdo del Superintendente SGV-A-223 del </w:t>
      </w:r>
      <w:r w:rsidRPr="00AA7244">
        <w:rPr>
          <w:rFonts w:ascii="Arial" w:hAnsi="Arial" w:cs="Arial"/>
          <w:sz w:val="22"/>
          <w:szCs w:val="22"/>
          <w:lang w:val="es-CR" w:eastAsia="es-ES"/>
        </w:rPr>
        <w:t>veintiocho de marzo del dos mil diecisiete. Publicado en el Diario Oficial La Gaceta No. 99 del 26 de mayo del 2017.</w:t>
      </w:r>
    </w:p>
    <w:p w14:paraId="6B3B9BCC" w14:textId="77777777" w:rsidR="00720D4F" w:rsidRPr="00AA7244" w:rsidRDefault="00720D4F">
      <w:pPr>
        <w:pStyle w:val="Textonotapie"/>
        <w:rPr>
          <w:lang w:val="es-CR"/>
        </w:rPr>
      </w:pPr>
    </w:p>
  </w:footnote>
  <w:footnote w:id="3">
    <w:p w14:paraId="68D4D1B9" w14:textId="77777777" w:rsidR="00720D4F" w:rsidRPr="00100CBA" w:rsidRDefault="00720D4F" w:rsidP="00D4379E">
      <w:pPr>
        <w:pStyle w:val="Textonotapie"/>
        <w:jc w:val="both"/>
        <w:rPr>
          <w:lang w:val="es-CR"/>
        </w:rPr>
      </w:pPr>
      <w:r>
        <w:rPr>
          <w:rStyle w:val="Refdenotaalpie"/>
        </w:rPr>
        <w:footnoteRef/>
      </w:r>
      <w:r w:rsidRPr="00100CBA">
        <w:rPr>
          <w:lang w:val="es-CR"/>
        </w:rPr>
        <w:t xml:space="preserve"> </w:t>
      </w:r>
      <w:r w:rsidRPr="00AE00EC">
        <w:rPr>
          <w:rFonts w:ascii="Arial" w:hAnsi="Arial" w:cs="Arial"/>
          <w:sz w:val="22"/>
          <w:szCs w:val="22"/>
          <w:lang w:val="es-CR"/>
        </w:rPr>
        <w:t>Inciso adicionado por el Acuerdo de la Superintendente SGV-A-241 del 2 de junio del 2020. Rige a partir del 15 de junio del 2020.</w:t>
      </w:r>
    </w:p>
  </w:footnote>
  <w:footnote w:id="4">
    <w:p w14:paraId="477EA6B5" w14:textId="77777777" w:rsidR="00720D4F" w:rsidRPr="00AE00EC" w:rsidRDefault="00720D4F" w:rsidP="00AE00EC">
      <w:pPr>
        <w:pStyle w:val="Textonotapie"/>
        <w:jc w:val="both"/>
        <w:rPr>
          <w:rFonts w:ascii="Arial" w:hAnsi="Arial" w:cs="Arial"/>
          <w:sz w:val="22"/>
          <w:szCs w:val="22"/>
          <w:lang w:val="es-CR"/>
        </w:rPr>
      </w:pPr>
      <w:r w:rsidRPr="00AE00EC">
        <w:rPr>
          <w:rStyle w:val="Refdenotaalpie"/>
          <w:rFonts w:ascii="Arial" w:hAnsi="Arial" w:cs="Arial"/>
          <w:sz w:val="22"/>
          <w:szCs w:val="22"/>
        </w:rPr>
        <w:footnoteRef/>
      </w:r>
      <w:r w:rsidRPr="00AE00EC">
        <w:rPr>
          <w:rFonts w:ascii="Arial" w:hAnsi="Arial" w:cs="Arial"/>
          <w:sz w:val="22"/>
          <w:szCs w:val="22"/>
          <w:lang w:val="es-CR"/>
        </w:rPr>
        <w:t xml:space="preserve"> Inciso adicionado por el Acuerdo de la Superintendente SGV-A-241 del 2 de junio del 2020. Rige a partir del 15 de junio del 2020.</w:t>
      </w:r>
    </w:p>
  </w:footnote>
  <w:footnote w:id="5">
    <w:p w14:paraId="60CE5B4C" w14:textId="77777777" w:rsidR="00720D4F" w:rsidRPr="00AE00EC" w:rsidRDefault="00720D4F" w:rsidP="00AE00EC">
      <w:pPr>
        <w:pStyle w:val="Textonotapie"/>
        <w:jc w:val="both"/>
        <w:rPr>
          <w:rFonts w:ascii="Arial" w:hAnsi="Arial" w:cs="Arial"/>
          <w:sz w:val="22"/>
          <w:szCs w:val="22"/>
          <w:lang w:val="es-CR"/>
        </w:rPr>
      </w:pPr>
      <w:r w:rsidRPr="00AE00EC">
        <w:rPr>
          <w:rStyle w:val="Refdenotaalpie"/>
          <w:rFonts w:ascii="Arial" w:hAnsi="Arial" w:cs="Arial"/>
          <w:sz w:val="22"/>
          <w:szCs w:val="22"/>
        </w:rPr>
        <w:footnoteRef/>
      </w:r>
      <w:r w:rsidRPr="00AE00EC">
        <w:rPr>
          <w:rFonts w:ascii="Arial" w:hAnsi="Arial" w:cs="Arial"/>
          <w:sz w:val="22"/>
          <w:szCs w:val="22"/>
          <w:lang w:val="es-CR"/>
        </w:rPr>
        <w:t xml:space="preserve"> Párrafo adicionado por el Acuerdo de la Superintendente SGV-A-241 del 2 de junio del 2020. Rige a partir del 15 de junio del 2020.</w:t>
      </w:r>
    </w:p>
  </w:footnote>
  <w:footnote w:id="6">
    <w:p w14:paraId="679161E0" w14:textId="77777777" w:rsidR="00720D4F" w:rsidRPr="00AE00EC" w:rsidRDefault="00720D4F" w:rsidP="00AE00EC">
      <w:pPr>
        <w:pStyle w:val="Textonotapie"/>
        <w:jc w:val="both"/>
        <w:rPr>
          <w:lang w:val="es-CR"/>
        </w:rPr>
      </w:pPr>
      <w:r w:rsidRPr="00AE00EC">
        <w:rPr>
          <w:rStyle w:val="Refdenotaalpie"/>
          <w:rFonts w:ascii="Arial" w:hAnsi="Arial" w:cs="Arial"/>
          <w:sz w:val="22"/>
          <w:szCs w:val="22"/>
        </w:rPr>
        <w:footnoteRef/>
      </w:r>
      <w:r w:rsidRPr="00AE00EC">
        <w:rPr>
          <w:rFonts w:ascii="Arial" w:hAnsi="Arial" w:cs="Arial"/>
          <w:sz w:val="22"/>
          <w:szCs w:val="22"/>
          <w:lang w:val="es-CR"/>
        </w:rPr>
        <w:t xml:space="preserve"> Inciso adicionado por el Acuerdo de la Superintendente SGV-A-241 del 2 de junio del 2020. Rige a partir del 15 de junio del 2020.</w:t>
      </w:r>
    </w:p>
  </w:footnote>
  <w:footnote w:id="7">
    <w:p w14:paraId="0833DFF5" w14:textId="2224F28A" w:rsidR="003B012F" w:rsidRPr="003B012F" w:rsidRDefault="003B012F" w:rsidP="003B012F">
      <w:pPr>
        <w:rPr>
          <w:rFonts w:ascii="Calibri" w:eastAsia="Calibri" w:hAnsi="Calibri"/>
          <w:sz w:val="22"/>
          <w:szCs w:val="22"/>
          <w:lang w:val="es-ES"/>
        </w:rPr>
      </w:pPr>
      <w:r>
        <w:rPr>
          <w:rStyle w:val="Refdenotaalpie"/>
        </w:rPr>
        <w:footnoteRef/>
      </w:r>
      <w:r w:rsidRPr="003B012F">
        <w:rPr>
          <w:lang w:val="es-ES"/>
        </w:rPr>
        <w:t xml:space="preserve"> </w:t>
      </w:r>
      <w:r>
        <w:rPr>
          <w:rFonts w:ascii="Arial" w:eastAsia="Calibri" w:hAnsi="Arial" w:cs="Arial"/>
          <w:sz w:val="22"/>
          <w:szCs w:val="22"/>
          <w:lang w:val="es-CR" w:eastAsia="es-ES"/>
        </w:rPr>
        <w:t>Inciso adicionado</w:t>
      </w:r>
      <w:r w:rsidRPr="003B012F">
        <w:rPr>
          <w:rFonts w:ascii="Arial" w:eastAsia="Calibri" w:hAnsi="Arial" w:cs="Arial"/>
          <w:sz w:val="22"/>
          <w:szCs w:val="22"/>
          <w:lang w:val="es-CR" w:eastAsia="es-ES"/>
        </w:rPr>
        <w:t xml:space="preserve"> por el Acuerdo de la Superintendente SGV-A-26</w:t>
      </w:r>
      <w:r>
        <w:rPr>
          <w:rFonts w:ascii="Arial" w:eastAsia="Calibri" w:hAnsi="Arial" w:cs="Arial"/>
          <w:sz w:val="22"/>
          <w:szCs w:val="22"/>
          <w:lang w:val="es-CR" w:eastAsia="es-ES"/>
        </w:rPr>
        <w:t>5</w:t>
      </w:r>
      <w:r w:rsidRPr="003B012F">
        <w:rPr>
          <w:rFonts w:ascii="Arial" w:eastAsia="Calibri" w:hAnsi="Arial" w:cs="Arial"/>
          <w:sz w:val="22"/>
          <w:szCs w:val="22"/>
          <w:lang w:val="es-CR" w:eastAsia="es-ES"/>
        </w:rPr>
        <w:t xml:space="preserve"> del 4 de mayo del 2</w:t>
      </w:r>
      <w:r w:rsidRPr="003E5C14">
        <w:rPr>
          <w:rFonts w:ascii="Arial" w:eastAsia="Calibri" w:hAnsi="Arial" w:cs="Arial"/>
          <w:sz w:val="22"/>
          <w:szCs w:val="22"/>
          <w:lang w:val="es-CR" w:eastAsia="es-ES"/>
        </w:rPr>
        <w:t>022.</w:t>
      </w:r>
      <w:r w:rsidR="005C573E" w:rsidRPr="003E5C14">
        <w:rPr>
          <w:rFonts w:ascii="Arial" w:eastAsia="Calibri" w:hAnsi="Arial" w:cs="Arial"/>
          <w:sz w:val="22"/>
          <w:szCs w:val="22"/>
          <w:lang w:val="es-CR" w:eastAsia="es-ES"/>
        </w:rPr>
        <w:t xml:space="preserve">  Rige a partir del </w:t>
      </w:r>
      <w:r w:rsidR="005225B4" w:rsidRPr="003E5C14">
        <w:rPr>
          <w:rFonts w:ascii="Arial" w:eastAsia="Calibri" w:hAnsi="Arial" w:cs="Arial"/>
          <w:sz w:val="22"/>
          <w:szCs w:val="22"/>
          <w:lang w:val="es-CR" w:eastAsia="es-ES"/>
        </w:rPr>
        <w:t>04</w:t>
      </w:r>
      <w:r w:rsidR="005C573E" w:rsidRPr="003E5C14">
        <w:rPr>
          <w:rFonts w:ascii="Arial" w:eastAsia="Calibri" w:hAnsi="Arial" w:cs="Arial"/>
          <w:sz w:val="22"/>
          <w:szCs w:val="22"/>
          <w:lang w:val="es-CR" w:eastAsia="es-ES"/>
        </w:rPr>
        <w:t xml:space="preserve"> de mayo del 2022.</w:t>
      </w:r>
    </w:p>
    <w:p w14:paraId="5CED0DFF" w14:textId="49237C8B" w:rsidR="003B012F" w:rsidRPr="003B012F" w:rsidRDefault="003B012F">
      <w:pPr>
        <w:pStyle w:val="Textonotapie"/>
        <w:rPr>
          <w:lang w:val="es-ES"/>
        </w:rPr>
      </w:pPr>
    </w:p>
  </w:footnote>
  <w:footnote w:id="8">
    <w:p w14:paraId="4F64C476" w14:textId="77777777" w:rsidR="00720D4F" w:rsidRPr="00AE00EC" w:rsidRDefault="00720D4F" w:rsidP="00AE00EC">
      <w:pPr>
        <w:pStyle w:val="Textonotapie"/>
        <w:jc w:val="both"/>
        <w:rPr>
          <w:lang w:val="es-CR"/>
        </w:rPr>
      </w:pPr>
      <w:r>
        <w:rPr>
          <w:rStyle w:val="Refdenotaalpie"/>
        </w:rPr>
        <w:footnoteRef/>
      </w:r>
      <w:r w:rsidRPr="00AE00EC">
        <w:rPr>
          <w:lang w:val="es-CR"/>
        </w:rPr>
        <w:t xml:space="preserve"> </w:t>
      </w:r>
      <w:r w:rsidRPr="00AE00EC">
        <w:rPr>
          <w:rFonts w:ascii="Arial" w:hAnsi="Arial" w:cs="Arial"/>
          <w:sz w:val="22"/>
          <w:szCs w:val="22"/>
          <w:lang w:val="es-CR"/>
        </w:rPr>
        <w:t>Inciso adicionado por el Acuerdo de la Superintendente SGV-A-241 del 2 de junio del 2020. Rige a partir del 15 de junio del 2020.</w:t>
      </w:r>
      <w:r>
        <w:rPr>
          <w:lang w:val="es-CR"/>
        </w:rPr>
        <w:t xml:space="preserve"> </w:t>
      </w:r>
    </w:p>
  </w:footnote>
  <w:footnote w:id="9">
    <w:p w14:paraId="44FD8E11" w14:textId="4E119786" w:rsidR="0075062C" w:rsidRPr="0075062C" w:rsidRDefault="0075062C" w:rsidP="0075062C">
      <w:pPr>
        <w:rPr>
          <w:rFonts w:ascii="Calibri" w:eastAsia="Calibri" w:hAnsi="Calibri"/>
          <w:sz w:val="22"/>
          <w:szCs w:val="22"/>
          <w:lang w:val="es-ES"/>
        </w:rPr>
      </w:pPr>
      <w:r>
        <w:rPr>
          <w:rStyle w:val="Refdenotaalpie"/>
        </w:rPr>
        <w:footnoteRef/>
      </w:r>
      <w:r w:rsidRPr="0075062C">
        <w:rPr>
          <w:lang w:val="es-ES"/>
        </w:rPr>
        <w:t xml:space="preserve"> </w:t>
      </w:r>
      <w:r w:rsidRPr="0075062C">
        <w:rPr>
          <w:rFonts w:ascii="Arial" w:eastAsia="Calibri" w:hAnsi="Arial" w:cs="Arial"/>
          <w:sz w:val="22"/>
          <w:szCs w:val="22"/>
          <w:lang w:val="es-CR" w:eastAsia="es-ES"/>
        </w:rPr>
        <w:t xml:space="preserve">Artículo </w:t>
      </w:r>
      <w:r>
        <w:rPr>
          <w:rFonts w:ascii="Arial" w:eastAsia="Calibri" w:hAnsi="Arial" w:cs="Arial"/>
          <w:sz w:val="22"/>
          <w:szCs w:val="22"/>
          <w:lang w:val="es-CR" w:eastAsia="es-ES"/>
        </w:rPr>
        <w:t>adicionado</w:t>
      </w:r>
      <w:r w:rsidRPr="0075062C">
        <w:rPr>
          <w:rFonts w:ascii="Arial" w:eastAsia="Calibri" w:hAnsi="Arial" w:cs="Arial"/>
          <w:sz w:val="22"/>
          <w:szCs w:val="22"/>
          <w:lang w:val="es-CR" w:eastAsia="es-ES"/>
        </w:rPr>
        <w:t xml:space="preserve"> por el Acuerdo de la Superintendente SGV-A-26</w:t>
      </w:r>
      <w:r>
        <w:rPr>
          <w:rFonts w:ascii="Arial" w:eastAsia="Calibri" w:hAnsi="Arial" w:cs="Arial"/>
          <w:sz w:val="22"/>
          <w:szCs w:val="22"/>
          <w:lang w:val="es-CR" w:eastAsia="es-ES"/>
        </w:rPr>
        <w:t>5</w:t>
      </w:r>
      <w:r w:rsidRPr="0075062C">
        <w:rPr>
          <w:rFonts w:ascii="Arial" w:eastAsia="Calibri" w:hAnsi="Arial" w:cs="Arial"/>
          <w:sz w:val="22"/>
          <w:szCs w:val="22"/>
          <w:lang w:val="es-CR" w:eastAsia="es-ES"/>
        </w:rPr>
        <w:t xml:space="preserve"> del 4 de mayo del 2022</w:t>
      </w:r>
      <w:r w:rsidRPr="003E5C14">
        <w:rPr>
          <w:rFonts w:ascii="Arial" w:eastAsia="Calibri" w:hAnsi="Arial" w:cs="Arial"/>
          <w:sz w:val="22"/>
          <w:szCs w:val="22"/>
          <w:lang w:val="es-CR" w:eastAsia="es-ES"/>
        </w:rPr>
        <w:t>.</w:t>
      </w:r>
      <w:r w:rsidR="005C573E" w:rsidRPr="003E5C14">
        <w:rPr>
          <w:rFonts w:ascii="Arial" w:eastAsia="Calibri" w:hAnsi="Arial" w:cs="Arial"/>
          <w:sz w:val="22"/>
          <w:szCs w:val="22"/>
          <w:lang w:val="es-CR" w:eastAsia="es-ES"/>
        </w:rPr>
        <w:t xml:space="preserve"> Rige a partir del </w:t>
      </w:r>
      <w:r w:rsidR="005225B4" w:rsidRPr="003E5C14">
        <w:rPr>
          <w:rFonts w:ascii="Arial" w:eastAsia="Calibri" w:hAnsi="Arial" w:cs="Arial"/>
          <w:sz w:val="22"/>
          <w:szCs w:val="22"/>
          <w:lang w:val="es-CR" w:eastAsia="es-ES"/>
        </w:rPr>
        <w:t>04</w:t>
      </w:r>
      <w:r w:rsidR="005C573E" w:rsidRPr="003E5C14">
        <w:rPr>
          <w:rFonts w:ascii="Arial" w:eastAsia="Calibri" w:hAnsi="Arial" w:cs="Arial"/>
          <w:sz w:val="22"/>
          <w:szCs w:val="22"/>
          <w:lang w:val="es-CR" w:eastAsia="es-ES"/>
        </w:rPr>
        <w:t xml:space="preserve"> de mayo del 2022.</w:t>
      </w:r>
    </w:p>
    <w:p w14:paraId="45BA6C07" w14:textId="4E3FF040" w:rsidR="0075062C" w:rsidRPr="0075062C" w:rsidRDefault="0075062C">
      <w:pPr>
        <w:pStyle w:val="Textonotapie"/>
        <w:rPr>
          <w:lang w:val="es-ES"/>
        </w:rPr>
      </w:pPr>
    </w:p>
  </w:footnote>
  <w:footnote w:id="10">
    <w:p w14:paraId="64661053" w14:textId="2ABE7F78" w:rsidR="003B012F" w:rsidRPr="003E5C14" w:rsidRDefault="003B012F">
      <w:pPr>
        <w:pStyle w:val="Textonotapie"/>
        <w:rPr>
          <w:lang w:val="es-ES"/>
        </w:rPr>
      </w:pPr>
      <w:r>
        <w:rPr>
          <w:rStyle w:val="Refdenotaalpie"/>
        </w:rPr>
        <w:footnoteRef/>
      </w:r>
      <w:r w:rsidRPr="003B012F">
        <w:rPr>
          <w:lang w:val="es-ES"/>
        </w:rPr>
        <w:t xml:space="preserve"> </w:t>
      </w:r>
      <w:r w:rsidR="00BE3F9C" w:rsidRPr="00BE3F9C">
        <w:rPr>
          <w:rFonts w:ascii="Arial" w:hAnsi="Arial" w:cs="Arial"/>
          <w:sz w:val="22"/>
          <w:szCs w:val="22"/>
          <w:lang w:val="es-ES"/>
        </w:rPr>
        <w:t>Antiguo artículo 13, n</w:t>
      </w:r>
      <w:r w:rsidRPr="00BE3F9C">
        <w:rPr>
          <w:rFonts w:ascii="Arial" w:hAnsi="Arial" w:cs="Arial"/>
          <w:sz w:val="22"/>
          <w:szCs w:val="22"/>
          <w:lang w:val="es-ES"/>
        </w:rPr>
        <w:t>umeración</w:t>
      </w:r>
      <w:r>
        <w:rPr>
          <w:rFonts w:ascii="Arial" w:eastAsia="Calibri" w:hAnsi="Arial" w:cs="Arial"/>
          <w:sz w:val="22"/>
          <w:szCs w:val="22"/>
          <w:lang w:val="es-CR" w:eastAsia="es-ES"/>
        </w:rPr>
        <w:t xml:space="preserve"> modificada</w:t>
      </w:r>
      <w:r w:rsidRPr="0075062C">
        <w:rPr>
          <w:rFonts w:ascii="Arial" w:eastAsia="Calibri" w:hAnsi="Arial" w:cs="Arial"/>
          <w:sz w:val="22"/>
          <w:szCs w:val="22"/>
          <w:lang w:val="es-CR" w:eastAsia="es-ES"/>
        </w:rPr>
        <w:t xml:space="preserve"> por el Acuerdo de la Superintendente SGV-A-26</w:t>
      </w:r>
      <w:r>
        <w:rPr>
          <w:rFonts w:ascii="Arial" w:eastAsia="Calibri" w:hAnsi="Arial" w:cs="Arial"/>
          <w:sz w:val="22"/>
          <w:szCs w:val="22"/>
          <w:lang w:val="es-CR" w:eastAsia="es-ES"/>
        </w:rPr>
        <w:t>5</w:t>
      </w:r>
      <w:r w:rsidRPr="0075062C">
        <w:rPr>
          <w:rFonts w:ascii="Arial" w:eastAsia="Calibri" w:hAnsi="Arial" w:cs="Arial"/>
          <w:sz w:val="22"/>
          <w:szCs w:val="22"/>
          <w:lang w:val="es-CR" w:eastAsia="es-ES"/>
        </w:rPr>
        <w:t xml:space="preserve"> del 4 de mayo del </w:t>
      </w:r>
      <w:r w:rsidRPr="003E5C14">
        <w:rPr>
          <w:rFonts w:ascii="Arial" w:eastAsia="Calibri" w:hAnsi="Arial" w:cs="Arial"/>
          <w:sz w:val="22"/>
          <w:szCs w:val="22"/>
          <w:lang w:val="es-CR" w:eastAsia="es-ES"/>
        </w:rPr>
        <w:t>2022</w:t>
      </w:r>
      <w:r w:rsidR="005C573E" w:rsidRPr="003E5C14">
        <w:rPr>
          <w:rFonts w:ascii="Arial" w:eastAsia="Calibri" w:hAnsi="Arial" w:cs="Arial"/>
          <w:sz w:val="22"/>
          <w:szCs w:val="22"/>
          <w:lang w:val="es-CR" w:eastAsia="es-ES"/>
        </w:rPr>
        <w:t xml:space="preserve">.  Rige a partir del </w:t>
      </w:r>
      <w:r w:rsidR="005225B4" w:rsidRPr="003E5C14">
        <w:rPr>
          <w:rFonts w:ascii="Arial" w:eastAsia="Calibri" w:hAnsi="Arial" w:cs="Arial"/>
          <w:sz w:val="22"/>
          <w:szCs w:val="22"/>
          <w:lang w:val="es-CR" w:eastAsia="es-ES"/>
        </w:rPr>
        <w:t>04</w:t>
      </w:r>
      <w:r w:rsidR="005C573E" w:rsidRPr="003E5C14">
        <w:rPr>
          <w:rFonts w:ascii="Arial" w:eastAsia="Calibri" w:hAnsi="Arial" w:cs="Arial"/>
          <w:sz w:val="22"/>
          <w:szCs w:val="22"/>
          <w:lang w:val="es-CR" w:eastAsia="es-ES"/>
        </w:rPr>
        <w:t xml:space="preserve"> de mayo del 2022.</w:t>
      </w:r>
    </w:p>
  </w:footnote>
  <w:footnote w:id="11">
    <w:p w14:paraId="7F4FEDF6" w14:textId="1DA9E2D6" w:rsidR="003B012F" w:rsidRPr="003B012F" w:rsidRDefault="003B012F">
      <w:pPr>
        <w:pStyle w:val="Textonotapie"/>
        <w:rPr>
          <w:lang w:val="es-ES"/>
        </w:rPr>
      </w:pPr>
      <w:r w:rsidRPr="003E5C14">
        <w:rPr>
          <w:rStyle w:val="Refdenotaalpie"/>
        </w:rPr>
        <w:footnoteRef/>
      </w:r>
      <w:r w:rsidRPr="003E5C14">
        <w:rPr>
          <w:lang w:val="es-ES"/>
        </w:rPr>
        <w:t xml:space="preserve"> </w:t>
      </w:r>
      <w:r w:rsidR="00BE3F9C" w:rsidRPr="003E5C14">
        <w:rPr>
          <w:rFonts w:ascii="Arial" w:hAnsi="Arial" w:cs="Arial"/>
          <w:sz w:val="22"/>
          <w:szCs w:val="22"/>
          <w:lang w:val="es-ES"/>
        </w:rPr>
        <w:t>Antiguo artículo 14, numeración</w:t>
      </w:r>
      <w:r w:rsidR="00BE3F9C" w:rsidRPr="003E5C14">
        <w:rPr>
          <w:rFonts w:ascii="Arial" w:eastAsia="Calibri" w:hAnsi="Arial" w:cs="Arial"/>
          <w:sz w:val="22"/>
          <w:szCs w:val="22"/>
          <w:lang w:val="es-CR" w:eastAsia="es-ES"/>
        </w:rPr>
        <w:t xml:space="preserve"> modificada por el Acuerdo de la Superintendente SGV-A-265 del 4 de mayo del 2022</w:t>
      </w:r>
      <w:r w:rsidR="005C573E" w:rsidRPr="003E5C14">
        <w:rPr>
          <w:rFonts w:ascii="Arial" w:eastAsia="Calibri" w:hAnsi="Arial" w:cs="Arial"/>
          <w:sz w:val="22"/>
          <w:szCs w:val="22"/>
          <w:lang w:val="es-CR" w:eastAsia="es-ES"/>
        </w:rPr>
        <w:t xml:space="preserve">.  Rige a partir del </w:t>
      </w:r>
      <w:r w:rsidR="005225B4" w:rsidRPr="003E5C14">
        <w:rPr>
          <w:rFonts w:ascii="Arial" w:eastAsia="Calibri" w:hAnsi="Arial" w:cs="Arial"/>
          <w:sz w:val="22"/>
          <w:szCs w:val="22"/>
          <w:lang w:val="es-CR" w:eastAsia="es-ES"/>
        </w:rPr>
        <w:t>04</w:t>
      </w:r>
      <w:r w:rsidR="005C573E" w:rsidRPr="003E5C14">
        <w:rPr>
          <w:rFonts w:ascii="Arial" w:eastAsia="Calibri" w:hAnsi="Arial" w:cs="Arial"/>
          <w:sz w:val="22"/>
          <w:szCs w:val="22"/>
          <w:lang w:val="es-CR" w:eastAsia="es-ES"/>
        </w:rPr>
        <w:t xml:space="preserve"> de mayo del 2022.</w:t>
      </w:r>
    </w:p>
  </w:footnote>
  <w:footnote w:id="12">
    <w:p w14:paraId="67D1C6E5" w14:textId="77777777" w:rsidR="00720D4F" w:rsidRPr="00AE00EC" w:rsidRDefault="00720D4F" w:rsidP="00AE00EC">
      <w:pPr>
        <w:pStyle w:val="Textonotapie"/>
        <w:jc w:val="both"/>
        <w:rPr>
          <w:rFonts w:ascii="Arial" w:hAnsi="Arial" w:cs="Arial"/>
          <w:lang w:val="es-CR"/>
        </w:rPr>
      </w:pPr>
      <w:r w:rsidRPr="00515108">
        <w:rPr>
          <w:rStyle w:val="Refdenotaalpie"/>
          <w:rFonts w:ascii="Arial" w:hAnsi="Arial" w:cs="Arial"/>
          <w:sz w:val="22"/>
          <w:szCs w:val="22"/>
        </w:rPr>
        <w:footnoteRef/>
      </w:r>
      <w:r w:rsidRPr="00515108">
        <w:rPr>
          <w:rFonts w:ascii="Arial" w:hAnsi="Arial" w:cs="Arial"/>
          <w:sz w:val="22"/>
          <w:szCs w:val="22"/>
          <w:lang w:val="es-CR"/>
        </w:rPr>
        <w:t xml:space="preserve"> </w:t>
      </w:r>
      <w:r w:rsidRPr="00AE00EC">
        <w:rPr>
          <w:rFonts w:ascii="Arial" w:hAnsi="Arial" w:cs="Arial"/>
          <w:sz w:val="22"/>
          <w:szCs w:val="22"/>
          <w:lang w:val="es-CR"/>
        </w:rPr>
        <w:t>Transitorio modificado por el Acuerdo del Superintendente SGV-A-217 del 28 de junio del 2016. Rige a partir del 30 de junio del 2016</w:t>
      </w:r>
      <w:r w:rsidRPr="00AE00EC">
        <w:rPr>
          <w:rFonts w:ascii="Arial" w:hAnsi="Arial" w:cs="Arial"/>
          <w:lang w:val="es-CR"/>
        </w:rPr>
        <w:t xml:space="preserve"> </w:t>
      </w:r>
    </w:p>
  </w:footnote>
  <w:footnote w:id="13">
    <w:p w14:paraId="75C82BD6" w14:textId="77777777" w:rsidR="00720D4F" w:rsidRPr="00515108" w:rsidRDefault="00720D4F">
      <w:pPr>
        <w:pStyle w:val="Textonotapie"/>
        <w:rPr>
          <w:lang w:val="es-ES"/>
        </w:rPr>
      </w:pPr>
      <w:r>
        <w:rPr>
          <w:rStyle w:val="Refdenotaalpie"/>
        </w:rPr>
        <w:footnoteRef/>
      </w:r>
      <w:r w:rsidRPr="00515108">
        <w:rPr>
          <w:lang w:val="es-CR"/>
        </w:rPr>
        <w:t xml:space="preserve"> </w:t>
      </w:r>
      <w:r w:rsidRPr="00515108">
        <w:rPr>
          <w:rFonts w:ascii="Arial" w:hAnsi="Arial" w:cs="Arial"/>
          <w:sz w:val="22"/>
          <w:szCs w:val="22"/>
          <w:lang w:val="es-CR"/>
        </w:rPr>
        <w:t xml:space="preserve">Transitorio </w:t>
      </w:r>
      <w:r>
        <w:rPr>
          <w:rFonts w:ascii="Arial" w:hAnsi="Arial" w:cs="Arial"/>
          <w:sz w:val="22"/>
          <w:szCs w:val="22"/>
          <w:lang w:val="es-CR"/>
        </w:rPr>
        <w:t>adicionado</w:t>
      </w:r>
      <w:r w:rsidRPr="00515108">
        <w:rPr>
          <w:rFonts w:ascii="Arial" w:hAnsi="Arial" w:cs="Arial"/>
          <w:sz w:val="22"/>
          <w:szCs w:val="22"/>
          <w:lang w:val="es-CR"/>
        </w:rPr>
        <w:t xml:space="preserve"> por el Acuerdo del Superintendente SGV-A-217 del 28 de junio del 2016. Rige a partir del 30 de junio del 2016</w:t>
      </w:r>
    </w:p>
  </w:footnote>
  <w:footnote w:id="14">
    <w:p w14:paraId="1B46991F" w14:textId="77777777" w:rsidR="00720D4F" w:rsidRPr="00AE00EC" w:rsidRDefault="00720D4F">
      <w:pPr>
        <w:pStyle w:val="Textonotapie"/>
        <w:rPr>
          <w:lang w:val="es-CR"/>
        </w:rPr>
      </w:pPr>
      <w:r>
        <w:rPr>
          <w:rStyle w:val="Refdenotaalpie"/>
        </w:rPr>
        <w:footnoteRef/>
      </w:r>
      <w:r w:rsidRPr="00AE00EC">
        <w:rPr>
          <w:lang w:val="es-CR"/>
        </w:rPr>
        <w:t xml:space="preserve"> </w:t>
      </w:r>
      <w:r w:rsidRPr="00AE00EC">
        <w:rPr>
          <w:rFonts w:ascii="Arial" w:hAnsi="Arial" w:cs="Arial"/>
          <w:sz w:val="22"/>
          <w:szCs w:val="22"/>
          <w:lang w:val="es-CR"/>
        </w:rPr>
        <w:t xml:space="preserve">Transitorio adicionado por el Acuerdo de la </w:t>
      </w:r>
      <w:proofErr w:type="spellStart"/>
      <w:r w:rsidRPr="00AE00EC">
        <w:rPr>
          <w:rFonts w:ascii="Arial" w:hAnsi="Arial" w:cs="Arial"/>
          <w:sz w:val="22"/>
          <w:szCs w:val="22"/>
          <w:lang w:val="es-CR"/>
        </w:rPr>
        <w:t>Superintendete</w:t>
      </w:r>
      <w:proofErr w:type="spellEnd"/>
      <w:r w:rsidRPr="00AE00EC">
        <w:rPr>
          <w:rFonts w:ascii="Arial" w:hAnsi="Arial" w:cs="Arial"/>
          <w:sz w:val="22"/>
          <w:szCs w:val="22"/>
          <w:lang w:val="es-CR"/>
        </w:rPr>
        <w:t xml:space="preserve"> SGV-A-241 del 2 de junio del 2020. Rige a partir del 15 de junio del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9FDE" w14:textId="77777777" w:rsidR="00D36856" w:rsidRDefault="00D368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7E159" w14:textId="77777777" w:rsidR="00720D4F" w:rsidRDefault="00720D4F">
    <w:pPr>
      <w:pStyle w:val="Encabezado"/>
    </w:pPr>
  </w:p>
  <w:p w14:paraId="669CF88F" w14:textId="77777777" w:rsidR="00720D4F" w:rsidRDefault="00720D4F" w:rsidP="008B7FC3">
    <w:pPr>
      <w:pStyle w:val="Encabezado"/>
      <w:jc w:val="right"/>
      <w:rPr>
        <w:lang w:val="es-MX"/>
      </w:rPr>
    </w:pPr>
    <w:r>
      <w:rPr>
        <w:noProof/>
        <w:lang w:val="es-CR" w:eastAsia="es-CR"/>
      </w:rPr>
      <mc:AlternateContent>
        <mc:Choice Requires="wps">
          <w:drawing>
            <wp:anchor distT="4294967292" distB="4294967292" distL="114300" distR="114300" simplePos="0" relativeHeight="251657728" behindDoc="0" locked="0" layoutInCell="1" allowOverlap="1" wp14:anchorId="53954C5E" wp14:editId="219F8E50">
              <wp:simplePos x="0" y="0"/>
              <wp:positionH relativeFrom="margin">
                <wp:posOffset>-9525</wp:posOffset>
              </wp:positionH>
              <wp:positionV relativeFrom="paragraph">
                <wp:posOffset>384174</wp:posOffset>
              </wp:positionV>
              <wp:extent cx="5488305" cy="9525"/>
              <wp:effectExtent l="0" t="0" r="36195"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8305" cy="9525"/>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07045" id="Straight Connector 11"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5pt,30.25pt" to="431.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Z5LAIAAEYEAAAOAAAAZHJzL2Uyb0RvYy54bWysU8GO2jAQvVfqP1i5QxI22YWIsKoS6GXb&#10;IrHt3dhOYtWxLdsQUNV/79gBWtpLVfWS2J6Z5zdvnpfPp16gIzOWK1lG6TSJEJNEUS7bMvr8upnM&#10;I2QdlhQLJVkZnZmNnldv3ywHXbCZ6pSgzCAAkbYYdBl1zukiji3pWI/tVGkmIdgo02MHW9PG1OAB&#10;0HsRz5LkMR6UodoowqyF03oMRquA3zSMuE9NY5lDooyAmwtfE757/41XS1y0BuuOkwsN/A8seswl&#10;XHqDqrHD6GD4H1A9J0ZZ1bgpUX2smoYTFnqAbtLkt252HdYs9ALiWH2Tyf4/WPLxuDWIU5hdGiGJ&#10;e5jRzhnM286hSkkJCiqDIAhKDdoWUFDJrfG9kpPc6RdFvlokVdVh2bLA+PWsASVUxHclfmM13Lcf&#10;PigKOfjgVJDt1JgeNYLrL77Qg4M06BTmdL7NiZ0cInCYZ/P5Q5JHiEBskc9yTy7GhUfxtdpY956p&#10;HvlFGQkuvYq4wMcX68bUa4o/lmrDhQhOEBINwGCR5EmosEpw6qM+z5p2XwmDjtibKXlKquAfuPgu&#10;zaiDpAGtY5iuL2uHuRjXkC+kx4N2gM9lNbrl2yJZrOfreTbJZo/rSZbU9eTdpsomj5v0Ka8f6qqq&#10;0++eWpoVHaeUSc/u6tw0+ztnXN7Q6Lmbd286xPfoQVsge/0H0mGyfpijLfaKnrfGa+uHDGYNyZeH&#10;5V/Dr/uQ9fP5r34AAAD//wMAUEsDBBQABgAIAAAAIQB5HsOd3QAAAAgBAAAPAAAAZHJzL2Rvd25y&#10;ZXYueG1sTI9BT8MwDIXvSPyHyEjctnRlVFtpOiEYEjfE4LKb15i2onGqJu0Kvx5zgpNlv6fn7xW7&#10;2XVqoiG0ng2slgko4srblmsD729Piw2oEJEtdp7JwBcF2JWXFwXm1p/5laZDrJWEcMjRQBNjn2sd&#10;qoYchqXviUX78IPDKOtQazvgWcJdp9MkybTDluVDgz09NFR9HkZnII7P+/TliNPe2vU6zv673t48&#10;GnN9Nd/fgYo0xz8z/OILOpTCdPIj26A6A4vVrTgNZIlM0TdZKlVOckgT0GWh/xcofwAAAP//AwBQ&#10;SwECLQAUAAYACAAAACEAtoM4kv4AAADhAQAAEwAAAAAAAAAAAAAAAAAAAAAAW0NvbnRlbnRfVHlw&#10;ZXNdLnhtbFBLAQItABQABgAIAAAAIQA4/SH/1gAAAJQBAAALAAAAAAAAAAAAAAAAAC8BAABfcmVs&#10;cy8ucmVsc1BLAQItABQABgAIAAAAIQDxt8Z5LAIAAEYEAAAOAAAAAAAAAAAAAAAAAC4CAABkcnMv&#10;ZTJvRG9jLnhtbFBLAQItABQABgAIAAAAIQB5HsOd3QAAAAgBAAAPAAAAAAAAAAAAAAAAAIYEAABk&#10;cnMvZG93bnJldi54bWxQSwUGAAAAAAQABADzAAAAkAUAAAAA&#10;" strokecolor="#0070c0" strokeweight="1.5pt">
              <w10:wrap anchorx="margin"/>
            </v:line>
          </w:pict>
        </mc:Fallback>
      </mc:AlternateContent>
    </w:r>
    <w:r>
      <w:rPr>
        <w:noProof/>
        <w:lang w:val="es-CR" w:eastAsia="es-CR"/>
      </w:rPr>
      <w:drawing>
        <wp:inline distT="0" distB="0" distL="0" distR="0" wp14:anchorId="01235694" wp14:editId="43BD1221">
          <wp:extent cx="1581150" cy="390525"/>
          <wp:effectExtent l="0" t="0" r="0" b="9525"/>
          <wp:docPr id="2" name="Picture 2"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2EF86F00" w14:textId="77777777" w:rsidR="00720D4F" w:rsidRPr="004A1D9A" w:rsidRDefault="00720D4F" w:rsidP="008B7FC3">
    <w:pPr>
      <w:pStyle w:val="Encabezado"/>
      <w:jc w:val="right"/>
      <w:rPr>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407D2" w14:textId="77777777" w:rsidR="00D36856" w:rsidRDefault="00D368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2111"/>
    <w:multiLevelType w:val="hybridMultilevel"/>
    <w:tmpl w:val="83D4D5BC"/>
    <w:lvl w:ilvl="0" w:tplc="244A8306">
      <w:start w:val="1"/>
      <w:numFmt w:val="upperRoman"/>
      <w:lvlText w:val="%1."/>
      <w:lvlJc w:val="left"/>
      <w:pPr>
        <w:tabs>
          <w:tab w:val="num" w:pos="1260"/>
        </w:tabs>
        <w:ind w:left="720" w:hanging="18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0159D"/>
    <w:multiLevelType w:val="hybridMultilevel"/>
    <w:tmpl w:val="D3A02484"/>
    <w:lvl w:ilvl="0" w:tplc="BC3E2494">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AA9296D"/>
    <w:multiLevelType w:val="hybridMultilevel"/>
    <w:tmpl w:val="F59AE0BA"/>
    <w:lvl w:ilvl="0" w:tplc="140A0005">
      <w:start w:val="1"/>
      <w:numFmt w:val="bullet"/>
      <w:lvlText w:val=""/>
      <w:lvlJc w:val="left"/>
      <w:pPr>
        <w:ind w:left="810" w:hanging="360"/>
      </w:pPr>
      <w:rPr>
        <w:rFonts w:ascii="Wingdings" w:hAnsi="Wingdings" w:hint="default"/>
      </w:rPr>
    </w:lvl>
    <w:lvl w:ilvl="1" w:tplc="140A0003" w:tentative="1">
      <w:start w:val="1"/>
      <w:numFmt w:val="bullet"/>
      <w:lvlText w:val="o"/>
      <w:lvlJc w:val="left"/>
      <w:pPr>
        <w:ind w:left="1530" w:hanging="360"/>
      </w:pPr>
      <w:rPr>
        <w:rFonts w:ascii="Courier New" w:hAnsi="Courier New" w:cs="Courier New" w:hint="default"/>
      </w:rPr>
    </w:lvl>
    <w:lvl w:ilvl="2" w:tplc="140A0005" w:tentative="1">
      <w:start w:val="1"/>
      <w:numFmt w:val="bullet"/>
      <w:lvlText w:val=""/>
      <w:lvlJc w:val="left"/>
      <w:pPr>
        <w:ind w:left="2250" w:hanging="360"/>
      </w:pPr>
      <w:rPr>
        <w:rFonts w:ascii="Wingdings" w:hAnsi="Wingdings" w:hint="default"/>
      </w:rPr>
    </w:lvl>
    <w:lvl w:ilvl="3" w:tplc="140A0001" w:tentative="1">
      <w:start w:val="1"/>
      <w:numFmt w:val="bullet"/>
      <w:lvlText w:val=""/>
      <w:lvlJc w:val="left"/>
      <w:pPr>
        <w:ind w:left="2970" w:hanging="360"/>
      </w:pPr>
      <w:rPr>
        <w:rFonts w:ascii="Symbol" w:hAnsi="Symbol" w:hint="default"/>
      </w:rPr>
    </w:lvl>
    <w:lvl w:ilvl="4" w:tplc="140A0003" w:tentative="1">
      <w:start w:val="1"/>
      <w:numFmt w:val="bullet"/>
      <w:lvlText w:val="o"/>
      <w:lvlJc w:val="left"/>
      <w:pPr>
        <w:ind w:left="3690" w:hanging="360"/>
      </w:pPr>
      <w:rPr>
        <w:rFonts w:ascii="Courier New" w:hAnsi="Courier New" w:cs="Courier New" w:hint="default"/>
      </w:rPr>
    </w:lvl>
    <w:lvl w:ilvl="5" w:tplc="140A0005" w:tentative="1">
      <w:start w:val="1"/>
      <w:numFmt w:val="bullet"/>
      <w:lvlText w:val=""/>
      <w:lvlJc w:val="left"/>
      <w:pPr>
        <w:ind w:left="4410" w:hanging="360"/>
      </w:pPr>
      <w:rPr>
        <w:rFonts w:ascii="Wingdings" w:hAnsi="Wingdings" w:hint="default"/>
      </w:rPr>
    </w:lvl>
    <w:lvl w:ilvl="6" w:tplc="140A0001" w:tentative="1">
      <w:start w:val="1"/>
      <w:numFmt w:val="bullet"/>
      <w:lvlText w:val=""/>
      <w:lvlJc w:val="left"/>
      <w:pPr>
        <w:ind w:left="5130" w:hanging="360"/>
      </w:pPr>
      <w:rPr>
        <w:rFonts w:ascii="Symbol" w:hAnsi="Symbol" w:hint="default"/>
      </w:rPr>
    </w:lvl>
    <w:lvl w:ilvl="7" w:tplc="140A0003" w:tentative="1">
      <w:start w:val="1"/>
      <w:numFmt w:val="bullet"/>
      <w:lvlText w:val="o"/>
      <w:lvlJc w:val="left"/>
      <w:pPr>
        <w:ind w:left="5850" w:hanging="360"/>
      </w:pPr>
      <w:rPr>
        <w:rFonts w:ascii="Courier New" w:hAnsi="Courier New" w:cs="Courier New" w:hint="default"/>
      </w:rPr>
    </w:lvl>
    <w:lvl w:ilvl="8" w:tplc="140A0005" w:tentative="1">
      <w:start w:val="1"/>
      <w:numFmt w:val="bullet"/>
      <w:lvlText w:val=""/>
      <w:lvlJc w:val="left"/>
      <w:pPr>
        <w:ind w:left="6570" w:hanging="360"/>
      </w:pPr>
      <w:rPr>
        <w:rFonts w:ascii="Wingdings" w:hAnsi="Wingdings" w:hint="default"/>
      </w:rPr>
    </w:lvl>
  </w:abstractNum>
  <w:abstractNum w:abstractNumId="3" w15:restartNumberingAfterBreak="0">
    <w:nsid w:val="0FDC10F5"/>
    <w:multiLevelType w:val="hybridMultilevel"/>
    <w:tmpl w:val="658E54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0A9639C"/>
    <w:multiLevelType w:val="hybridMultilevel"/>
    <w:tmpl w:val="6590E0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263044E"/>
    <w:multiLevelType w:val="hybridMultilevel"/>
    <w:tmpl w:val="C29207AE"/>
    <w:lvl w:ilvl="0" w:tplc="332C6928">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94D4934"/>
    <w:multiLevelType w:val="hybridMultilevel"/>
    <w:tmpl w:val="12DE19B4"/>
    <w:lvl w:ilvl="0" w:tplc="BC3E2494">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AEE57E0"/>
    <w:multiLevelType w:val="hybridMultilevel"/>
    <w:tmpl w:val="FE800A66"/>
    <w:lvl w:ilvl="0" w:tplc="BC3E2494">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C442405"/>
    <w:multiLevelType w:val="hybridMultilevel"/>
    <w:tmpl w:val="2E0611C8"/>
    <w:lvl w:ilvl="0" w:tplc="140A0001">
      <w:start w:val="1"/>
      <w:numFmt w:val="bullet"/>
      <w:lvlText w:val=""/>
      <w:lvlJc w:val="left"/>
      <w:pPr>
        <w:ind w:left="1636" w:hanging="360"/>
      </w:pPr>
      <w:rPr>
        <w:rFonts w:ascii="Symbol" w:hAnsi="Symbol" w:hint="default"/>
      </w:rPr>
    </w:lvl>
    <w:lvl w:ilvl="1" w:tplc="140A0003">
      <w:start w:val="1"/>
      <w:numFmt w:val="bullet"/>
      <w:lvlText w:val="o"/>
      <w:lvlJc w:val="left"/>
      <w:pPr>
        <w:ind w:left="2356" w:hanging="360"/>
      </w:pPr>
      <w:rPr>
        <w:rFonts w:ascii="Courier New" w:hAnsi="Courier New" w:cs="Courier New" w:hint="default"/>
      </w:rPr>
    </w:lvl>
    <w:lvl w:ilvl="2" w:tplc="140A0005" w:tentative="1">
      <w:start w:val="1"/>
      <w:numFmt w:val="bullet"/>
      <w:lvlText w:val=""/>
      <w:lvlJc w:val="left"/>
      <w:pPr>
        <w:ind w:left="3076" w:hanging="360"/>
      </w:pPr>
      <w:rPr>
        <w:rFonts w:ascii="Wingdings" w:hAnsi="Wingdings" w:hint="default"/>
      </w:rPr>
    </w:lvl>
    <w:lvl w:ilvl="3" w:tplc="140A0001" w:tentative="1">
      <w:start w:val="1"/>
      <w:numFmt w:val="bullet"/>
      <w:lvlText w:val=""/>
      <w:lvlJc w:val="left"/>
      <w:pPr>
        <w:ind w:left="3796" w:hanging="360"/>
      </w:pPr>
      <w:rPr>
        <w:rFonts w:ascii="Symbol" w:hAnsi="Symbol" w:hint="default"/>
      </w:rPr>
    </w:lvl>
    <w:lvl w:ilvl="4" w:tplc="140A0003" w:tentative="1">
      <w:start w:val="1"/>
      <w:numFmt w:val="bullet"/>
      <w:lvlText w:val="o"/>
      <w:lvlJc w:val="left"/>
      <w:pPr>
        <w:ind w:left="4516" w:hanging="360"/>
      </w:pPr>
      <w:rPr>
        <w:rFonts w:ascii="Courier New" w:hAnsi="Courier New" w:cs="Courier New" w:hint="default"/>
      </w:rPr>
    </w:lvl>
    <w:lvl w:ilvl="5" w:tplc="140A0005" w:tentative="1">
      <w:start w:val="1"/>
      <w:numFmt w:val="bullet"/>
      <w:lvlText w:val=""/>
      <w:lvlJc w:val="left"/>
      <w:pPr>
        <w:ind w:left="5236" w:hanging="360"/>
      </w:pPr>
      <w:rPr>
        <w:rFonts w:ascii="Wingdings" w:hAnsi="Wingdings" w:hint="default"/>
      </w:rPr>
    </w:lvl>
    <w:lvl w:ilvl="6" w:tplc="140A0001" w:tentative="1">
      <w:start w:val="1"/>
      <w:numFmt w:val="bullet"/>
      <w:lvlText w:val=""/>
      <w:lvlJc w:val="left"/>
      <w:pPr>
        <w:ind w:left="5956" w:hanging="360"/>
      </w:pPr>
      <w:rPr>
        <w:rFonts w:ascii="Symbol" w:hAnsi="Symbol" w:hint="default"/>
      </w:rPr>
    </w:lvl>
    <w:lvl w:ilvl="7" w:tplc="140A0003" w:tentative="1">
      <w:start w:val="1"/>
      <w:numFmt w:val="bullet"/>
      <w:lvlText w:val="o"/>
      <w:lvlJc w:val="left"/>
      <w:pPr>
        <w:ind w:left="6676" w:hanging="360"/>
      </w:pPr>
      <w:rPr>
        <w:rFonts w:ascii="Courier New" w:hAnsi="Courier New" w:cs="Courier New" w:hint="default"/>
      </w:rPr>
    </w:lvl>
    <w:lvl w:ilvl="8" w:tplc="140A0005" w:tentative="1">
      <w:start w:val="1"/>
      <w:numFmt w:val="bullet"/>
      <w:lvlText w:val=""/>
      <w:lvlJc w:val="left"/>
      <w:pPr>
        <w:ind w:left="7396" w:hanging="360"/>
      </w:pPr>
      <w:rPr>
        <w:rFonts w:ascii="Wingdings" w:hAnsi="Wingdings" w:hint="default"/>
      </w:rPr>
    </w:lvl>
  </w:abstractNum>
  <w:abstractNum w:abstractNumId="9" w15:restartNumberingAfterBreak="0">
    <w:nsid w:val="1C693125"/>
    <w:multiLevelType w:val="hybridMultilevel"/>
    <w:tmpl w:val="0C74384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F14766D"/>
    <w:multiLevelType w:val="hybridMultilevel"/>
    <w:tmpl w:val="A64AE5DC"/>
    <w:lvl w:ilvl="0" w:tplc="F3D601A0">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1FA1CB7"/>
    <w:multiLevelType w:val="hybridMultilevel"/>
    <w:tmpl w:val="B39041C4"/>
    <w:lvl w:ilvl="0" w:tplc="84C2949A">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5FA3328"/>
    <w:multiLevelType w:val="hybridMultilevel"/>
    <w:tmpl w:val="7B3AD1E4"/>
    <w:lvl w:ilvl="0" w:tplc="BC3E2494">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8737329"/>
    <w:multiLevelType w:val="hybridMultilevel"/>
    <w:tmpl w:val="09488A58"/>
    <w:lvl w:ilvl="0" w:tplc="CF94D528">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92A6CF7"/>
    <w:multiLevelType w:val="hybridMultilevel"/>
    <w:tmpl w:val="3A24099A"/>
    <w:lvl w:ilvl="0" w:tplc="0A92F19A">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F0173EA"/>
    <w:multiLevelType w:val="hybridMultilevel"/>
    <w:tmpl w:val="2F821D5E"/>
    <w:lvl w:ilvl="0" w:tplc="AB963764">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F992F2D"/>
    <w:multiLevelType w:val="hybridMultilevel"/>
    <w:tmpl w:val="B8123400"/>
    <w:lvl w:ilvl="0" w:tplc="140A0017">
      <w:start w:val="4"/>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9BA45EC"/>
    <w:multiLevelType w:val="hybridMultilevel"/>
    <w:tmpl w:val="82D813C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DBE50DD"/>
    <w:multiLevelType w:val="hybridMultilevel"/>
    <w:tmpl w:val="F03E3FBE"/>
    <w:lvl w:ilvl="0" w:tplc="AA3EBF7C">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1272422"/>
    <w:multiLevelType w:val="hybridMultilevel"/>
    <w:tmpl w:val="DB6C4236"/>
    <w:lvl w:ilvl="0" w:tplc="BC3E2494">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29224D3"/>
    <w:multiLevelType w:val="hybridMultilevel"/>
    <w:tmpl w:val="4C582936"/>
    <w:lvl w:ilvl="0" w:tplc="4394E4BA">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8006131"/>
    <w:multiLevelType w:val="hybridMultilevel"/>
    <w:tmpl w:val="BDC6F1F6"/>
    <w:lvl w:ilvl="0" w:tplc="05E44A44">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A5A1055"/>
    <w:multiLevelType w:val="hybridMultilevel"/>
    <w:tmpl w:val="82DCC8B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0743D8F"/>
    <w:multiLevelType w:val="hybridMultilevel"/>
    <w:tmpl w:val="CFBE4518"/>
    <w:lvl w:ilvl="0" w:tplc="BC3E2494">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1BB2B24"/>
    <w:multiLevelType w:val="hybridMultilevel"/>
    <w:tmpl w:val="9F1EF31C"/>
    <w:lvl w:ilvl="0" w:tplc="F3EAE852">
      <w:start w:val="1"/>
      <w:numFmt w:val="bullet"/>
      <w:lvlText w:val=""/>
      <w:lvlJc w:val="left"/>
      <w:pPr>
        <w:ind w:left="720" w:hanging="360"/>
      </w:pPr>
      <w:rPr>
        <w:rFonts w:ascii="Wingdings" w:hAnsi="Wingdings" w:hint="default"/>
        <w:color w:val="808080"/>
        <w:sz w:val="3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2357916"/>
    <w:multiLevelType w:val="hybridMultilevel"/>
    <w:tmpl w:val="2898BA9A"/>
    <w:lvl w:ilvl="0" w:tplc="6DAA9C82">
      <w:start w:val="1"/>
      <w:numFmt w:val="lowerLetter"/>
      <w:lvlText w:val="%1)"/>
      <w:lvlJc w:val="left"/>
      <w:pPr>
        <w:ind w:left="1287" w:hanging="360"/>
      </w:pPr>
      <w:rPr>
        <w:rFonts w:ascii="Arial" w:hAnsi="Arial" w:hint="default"/>
        <w:b w:val="0"/>
        <w:i w:val="0"/>
        <w:sz w:val="22"/>
        <w:szCs w:val="22"/>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26" w15:restartNumberingAfterBreak="0">
    <w:nsid w:val="5C4F0F4E"/>
    <w:multiLevelType w:val="hybridMultilevel"/>
    <w:tmpl w:val="A9B28AF0"/>
    <w:lvl w:ilvl="0" w:tplc="20B4E4D8">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05E3D52"/>
    <w:multiLevelType w:val="hybridMultilevel"/>
    <w:tmpl w:val="7294F75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1733644"/>
    <w:multiLevelType w:val="hybridMultilevel"/>
    <w:tmpl w:val="2FD210E8"/>
    <w:lvl w:ilvl="0" w:tplc="BC3E2494">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1E9785B"/>
    <w:multiLevelType w:val="hybridMultilevel"/>
    <w:tmpl w:val="04A45330"/>
    <w:lvl w:ilvl="0" w:tplc="A79CB582">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84D3288"/>
    <w:multiLevelType w:val="hybridMultilevel"/>
    <w:tmpl w:val="816A349A"/>
    <w:lvl w:ilvl="0" w:tplc="369EAD52">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8A5429E"/>
    <w:multiLevelType w:val="hybridMultilevel"/>
    <w:tmpl w:val="C1D6E7A4"/>
    <w:lvl w:ilvl="0" w:tplc="BC3E2494">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C000ED0"/>
    <w:multiLevelType w:val="hybridMultilevel"/>
    <w:tmpl w:val="FE8284F4"/>
    <w:lvl w:ilvl="0" w:tplc="BC3E2494">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CF70AAB"/>
    <w:multiLevelType w:val="hybridMultilevel"/>
    <w:tmpl w:val="DF68592E"/>
    <w:lvl w:ilvl="0" w:tplc="BC3E2494">
      <w:start w:val="1"/>
      <w:numFmt w:val="lowerLetter"/>
      <w:lvlText w:val="%1)"/>
      <w:lvlJc w:val="left"/>
      <w:pPr>
        <w:ind w:left="720" w:hanging="360"/>
      </w:pPr>
      <w:rPr>
        <w:rFonts w:ascii="Arial" w:hAnsi="Arial" w:hint="default"/>
        <w:b w:val="0"/>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D134A02"/>
    <w:multiLevelType w:val="hybridMultilevel"/>
    <w:tmpl w:val="085E7D38"/>
    <w:lvl w:ilvl="0" w:tplc="36A81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6"/>
  </w:num>
  <w:num w:numId="6">
    <w:abstractNumId w:val="23"/>
  </w:num>
  <w:num w:numId="7">
    <w:abstractNumId w:val="17"/>
  </w:num>
  <w:num w:numId="8">
    <w:abstractNumId w:val="33"/>
  </w:num>
  <w:num w:numId="9">
    <w:abstractNumId w:val="19"/>
  </w:num>
  <w:num w:numId="10">
    <w:abstractNumId w:val="32"/>
  </w:num>
  <w:num w:numId="11">
    <w:abstractNumId w:val="31"/>
  </w:num>
  <w:num w:numId="12">
    <w:abstractNumId w:val="28"/>
  </w:num>
  <w:num w:numId="13">
    <w:abstractNumId w:val="18"/>
  </w:num>
  <w:num w:numId="14">
    <w:abstractNumId w:val="12"/>
  </w:num>
  <w:num w:numId="15">
    <w:abstractNumId w:val="20"/>
  </w:num>
  <w:num w:numId="16">
    <w:abstractNumId w:val="3"/>
  </w:num>
  <w:num w:numId="17">
    <w:abstractNumId w:val="7"/>
  </w:num>
  <w:num w:numId="18">
    <w:abstractNumId w:val="10"/>
  </w:num>
  <w:num w:numId="19">
    <w:abstractNumId w:val="13"/>
  </w:num>
  <w:num w:numId="20">
    <w:abstractNumId w:val="8"/>
  </w:num>
  <w:num w:numId="21">
    <w:abstractNumId w:val="27"/>
  </w:num>
  <w:num w:numId="22">
    <w:abstractNumId w:val="30"/>
  </w:num>
  <w:num w:numId="23">
    <w:abstractNumId w:val="25"/>
  </w:num>
  <w:num w:numId="24">
    <w:abstractNumId w:val="9"/>
  </w:num>
  <w:num w:numId="25">
    <w:abstractNumId w:val="11"/>
  </w:num>
  <w:num w:numId="26">
    <w:abstractNumId w:val="26"/>
  </w:num>
  <w:num w:numId="27">
    <w:abstractNumId w:val="21"/>
  </w:num>
  <w:num w:numId="28">
    <w:abstractNumId w:val="15"/>
  </w:num>
  <w:num w:numId="29">
    <w:abstractNumId w:val="22"/>
  </w:num>
  <w:num w:numId="30">
    <w:abstractNumId w:val="14"/>
  </w:num>
  <w:num w:numId="31">
    <w:abstractNumId w:val="34"/>
  </w:num>
  <w:num w:numId="32">
    <w:abstractNumId w:val="2"/>
  </w:num>
  <w:num w:numId="33">
    <w:abstractNumId w:val="24"/>
  </w:num>
  <w:num w:numId="34">
    <w:abstractNumId w:val="29"/>
  </w:num>
  <w:num w:numId="3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D9B"/>
    <w:rsid w:val="0000175B"/>
    <w:rsid w:val="000017CE"/>
    <w:rsid w:val="000049A3"/>
    <w:rsid w:val="000049EF"/>
    <w:rsid w:val="00011A31"/>
    <w:rsid w:val="00012B55"/>
    <w:rsid w:val="000135CB"/>
    <w:rsid w:val="0001638A"/>
    <w:rsid w:val="00016BCD"/>
    <w:rsid w:val="00026A9D"/>
    <w:rsid w:val="000351C4"/>
    <w:rsid w:val="00040A1D"/>
    <w:rsid w:val="00041427"/>
    <w:rsid w:val="00044E87"/>
    <w:rsid w:val="000464C8"/>
    <w:rsid w:val="000515B4"/>
    <w:rsid w:val="00053195"/>
    <w:rsid w:val="00053E6D"/>
    <w:rsid w:val="00060725"/>
    <w:rsid w:val="00066553"/>
    <w:rsid w:val="00066757"/>
    <w:rsid w:val="00071A08"/>
    <w:rsid w:val="000731A5"/>
    <w:rsid w:val="00075815"/>
    <w:rsid w:val="00080910"/>
    <w:rsid w:val="00081E2F"/>
    <w:rsid w:val="00082FC4"/>
    <w:rsid w:val="000907C2"/>
    <w:rsid w:val="00096157"/>
    <w:rsid w:val="000961A6"/>
    <w:rsid w:val="000965C3"/>
    <w:rsid w:val="000A7518"/>
    <w:rsid w:val="000B2A50"/>
    <w:rsid w:val="000B2DFA"/>
    <w:rsid w:val="000B42D3"/>
    <w:rsid w:val="000B4647"/>
    <w:rsid w:val="000B4B62"/>
    <w:rsid w:val="000C38ED"/>
    <w:rsid w:val="000C4CB5"/>
    <w:rsid w:val="000D639E"/>
    <w:rsid w:val="000D738C"/>
    <w:rsid w:val="000D73E8"/>
    <w:rsid w:val="000E100C"/>
    <w:rsid w:val="000E20CF"/>
    <w:rsid w:val="000E2222"/>
    <w:rsid w:val="000E3FCB"/>
    <w:rsid w:val="000E6FEA"/>
    <w:rsid w:val="000E72D0"/>
    <w:rsid w:val="000F1E2C"/>
    <w:rsid w:val="000F3974"/>
    <w:rsid w:val="000F3EBE"/>
    <w:rsid w:val="000F3F99"/>
    <w:rsid w:val="000F5DE1"/>
    <w:rsid w:val="000F6195"/>
    <w:rsid w:val="00100CBA"/>
    <w:rsid w:val="00102778"/>
    <w:rsid w:val="00105418"/>
    <w:rsid w:val="00111DA1"/>
    <w:rsid w:val="0011614C"/>
    <w:rsid w:val="00121E41"/>
    <w:rsid w:val="00124FD1"/>
    <w:rsid w:val="00127057"/>
    <w:rsid w:val="00130421"/>
    <w:rsid w:val="00130964"/>
    <w:rsid w:val="00134111"/>
    <w:rsid w:val="00135759"/>
    <w:rsid w:val="00143FEE"/>
    <w:rsid w:val="001524EB"/>
    <w:rsid w:val="00153B44"/>
    <w:rsid w:val="00156224"/>
    <w:rsid w:val="00157C7C"/>
    <w:rsid w:val="00160ABB"/>
    <w:rsid w:val="00160EAF"/>
    <w:rsid w:val="001616B8"/>
    <w:rsid w:val="00164B50"/>
    <w:rsid w:val="00164E30"/>
    <w:rsid w:val="001673ED"/>
    <w:rsid w:val="00177A93"/>
    <w:rsid w:val="001817FB"/>
    <w:rsid w:val="001820EF"/>
    <w:rsid w:val="001863D8"/>
    <w:rsid w:val="001926F3"/>
    <w:rsid w:val="00195274"/>
    <w:rsid w:val="00195F78"/>
    <w:rsid w:val="00197327"/>
    <w:rsid w:val="001977B5"/>
    <w:rsid w:val="001A22C5"/>
    <w:rsid w:val="001A3670"/>
    <w:rsid w:val="001A5059"/>
    <w:rsid w:val="001A639A"/>
    <w:rsid w:val="001A67EC"/>
    <w:rsid w:val="001B1531"/>
    <w:rsid w:val="001B4A7C"/>
    <w:rsid w:val="001C10E1"/>
    <w:rsid w:val="001C21B5"/>
    <w:rsid w:val="001D3228"/>
    <w:rsid w:val="001D4C31"/>
    <w:rsid w:val="001D71FC"/>
    <w:rsid w:val="001E2208"/>
    <w:rsid w:val="001E57C6"/>
    <w:rsid w:val="001E603F"/>
    <w:rsid w:val="001E616F"/>
    <w:rsid w:val="001E6CD7"/>
    <w:rsid w:val="001F0B48"/>
    <w:rsid w:val="001F3825"/>
    <w:rsid w:val="001F6F66"/>
    <w:rsid w:val="002024A1"/>
    <w:rsid w:val="00204B7D"/>
    <w:rsid w:val="00204C94"/>
    <w:rsid w:val="00206DD8"/>
    <w:rsid w:val="002102DB"/>
    <w:rsid w:val="00210770"/>
    <w:rsid w:val="00211F8C"/>
    <w:rsid w:val="0021491F"/>
    <w:rsid w:val="002225FD"/>
    <w:rsid w:val="0022652D"/>
    <w:rsid w:val="00226BB6"/>
    <w:rsid w:val="00232324"/>
    <w:rsid w:val="00232435"/>
    <w:rsid w:val="002354E1"/>
    <w:rsid w:val="00237F78"/>
    <w:rsid w:val="002414C7"/>
    <w:rsid w:val="002446E0"/>
    <w:rsid w:val="0025200C"/>
    <w:rsid w:val="00253485"/>
    <w:rsid w:val="00253F2E"/>
    <w:rsid w:val="00256127"/>
    <w:rsid w:val="00256FC1"/>
    <w:rsid w:val="00260FE6"/>
    <w:rsid w:val="00261ED4"/>
    <w:rsid w:val="002641BA"/>
    <w:rsid w:val="002649A6"/>
    <w:rsid w:val="002661E0"/>
    <w:rsid w:val="00272700"/>
    <w:rsid w:val="002770E6"/>
    <w:rsid w:val="00277AD7"/>
    <w:rsid w:val="002804CD"/>
    <w:rsid w:val="0028210F"/>
    <w:rsid w:val="00283E98"/>
    <w:rsid w:val="0029585C"/>
    <w:rsid w:val="002B097A"/>
    <w:rsid w:val="002B1D4A"/>
    <w:rsid w:val="002B7601"/>
    <w:rsid w:val="002B7A62"/>
    <w:rsid w:val="002C236D"/>
    <w:rsid w:val="002C2B57"/>
    <w:rsid w:val="002C589F"/>
    <w:rsid w:val="002D061B"/>
    <w:rsid w:val="002D18F2"/>
    <w:rsid w:val="002D28B8"/>
    <w:rsid w:val="002D4DD9"/>
    <w:rsid w:val="002D5B4C"/>
    <w:rsid w:val="002E111B"/>
    <w:rsid w:val="002E1A3A"/>
    <w:rsid w:val="002E3469"/>
    <w:rsid w:val="002E34C0"/>
    <w:rsid w:val="002E3B44"/>
    <w:rsid w:val="002E4216"/>
    <w:rsid w:val="002E6466"/>
    <w:rsid w:val="002F7420"/>
    <w:rsid w:val="00301CFF"/>
    <w:rsid w:val="003030A5"/>
    <w:rsid w:val="0031398B"/>
    <w:rsid w:val="00313E1D"/>
    <w:rsid w:val="00315BF8"/>
    <w:rsid w:val="00317155"/>
    <w:rsid w:val="00322CEF"/>
    <w:rsid w:val="0032452C"/>
    <w:rsid w:val="003305D2"/>
    <w:rsid w:val="00332698"/>
    <w:rsid w:val="00334764"/>
    <w:rsid w:val="00336E8A"/>
    <w:rsid w:val="00340984"/>
    <w:rsid w:val="003426D8"/>
    <w:rsid w:val="0034570D"/>
    <w:rsid w:val="0034617A"/>
    <w:rsid w:val="003502E3"/>
    <w:rsid w:val="00353B20"/>
    <w:rsid w:val="0035421E"/>
    <w:rsid w:val="003568CD"/>
    <w:rsid w:val="0035741B"/>
    <w:rsid w:val="003600F3"/>
    <w:rsid w:val="00360AA2"/>
    <w:rsid w:val="003611D1"/>
    <w:rsid w:val="00361BAA"/>
    <w:rsid w:val="00365524"/>
    <w:rsid w:val="003659EB"/>
    <w:rsid w:val="00366D8C"/>
    <w:rsid w:val="00367F08"/>
    <w:rsid w:val="00377B86"/>
    <w:rsid w:val="00384FEA"/>
    <w:rsid w:val="00391B0F"/>
    <w:rsid w:val="003955B3"/>
    <w:rsid w:val="003B012F"/>
    <w:rsid w:val="003B0F4C"/>
    <w:rsid w:val="003B340E"/>
    <w:rsid w:val="003B4A5B"/>
    <w:rsid w:val="003B55EE"/>
    <w:rsid w:val="003B65DE"/>
    <w:rsid w:val="003C3C27"/>
    <w:rsid w:val="003C7764"/>
    <w:rsid w:val="003D3FC5"/>
    <w:rsid w:val="003D5385"/>
    <w:rsid w:val="003D6716"/>
    <w:rsid w:val="003D70C3"/>
    <w:rsid w:val="003E1E04"/>
    <w:rsid w:val="003E2CC1"/>
    <w:rsid w:val="003E431C"/>
    <w:rsid w:val="003E4679"/>
    <w:rsid w:val="003E5AC2"/>
    <w:rsid w:val="003E5C14"/>
    <w:rsid w:val="003E5D03"/>
    <w:rsid w:val="003F1BA7"/>
    <w:rsid w:val="003F20E4"/>
    <w:rsid w:val="003F565C"/>
    <w:rsid w:val="00400951"/>
    <w:rsid w:val="00402117"/>
    <w:rsid w:val="00402AA2"/>
    <w:rsid w:val="00411722"/>
    <w:rsid w:val="00412B34"/>
    <w:rsid w:val="00416181"/>
    <w:rsid w:val="00423F50"/>
    <w:rsid w:val="00430B01"/>
    <w:rsid w:val="00430E31"/>
    <w:rsid w:val="00432C23"/>
    <w:rsid w:val="00432D84"/>
    <w:rsid w:val="00434D5D"/>
    <w:rsid w:val="0043565C"/>
    <w:rsid w:val="00436D90"/>
    <w:rsid w:val="00441A08"/>
    <w:rsid w:val="00441E09"/>
    <w:rsid w:val="00441F23"/>
    <w:rsid w:val="0045204C"/>
    <w:rsid w:val="00452C4A"/>
    <w:rsid w:val="0045785D"/>
    <w:rsid w:val="004709EF"/>
    <w:rsid w:val="004749DE"/>
    <w:rsid w:val="004760EB"/>
    <w:rsid w:val="00477FB3"/>
    <w:rsid w:val="0048168B"/>
    <w:rsid w:val="0048247C"/>
    <w:rsid w:val="0048319A"/>
    <w:rsid w:val="00486C07"/>
    <w:rsid w:val="00494E50"/>
    <w:rsid w:val="00494F5B"/>
    <w:rsid w:val="00495F18"/>
    <w:rsid w:val="00496DD8"/>
    <w:rsid w:val="004A1D9A"/>
    <w:rsid w:val="004A2BA5"/>
    <w:rsid w:val="004A7552"/>
    <w:rsid w:val="004B082C"/>
    <w:rsid w:val="004B2FA0"/>
    <w:rsid w:val="004B4169"/>
    <w:rsid w:val="004C078D"/>
    <w:rsid w:val="004C27EE"/>
    <w:rsid w:val="004C2DB5"/>
    <w:rsid w:val="004C3EB2"/>
    <w:rsid w:val="004C4B74"/>
    <w:rsid w:val="004D002A"/>
    <w:rsid w:val="004D3CD7"/>
    <w:rsid w:val="004D7010"/>
    <w:rsid w:val="004D7FC4"/>
    <w:rsid w:val="004E45C1"/>
    <w:rsid w:val="004E4845"/>
    <w:rsid w:val="004E4F59"/>
    <w:rsid w:val="004E672E"/>
    <w:rsid w:val="004F4318"/>
    <w:rsid w:val="004F44F3"/>
    <w:rsid w:val="004F6913"/>
    <w:rsid w:val="00500974"/>
    <w:rsid w:val="00501883"/>
    <w:rsid w:val="005028AC"/>
    <w:rsid w:val="00511B67"/>
    <w:rsid w:val="00513E93"/>
    <w:rsid w:val="005149A2"/>
    <w:rsid w:val="00515108"/>
    <w:rsid w:val="005164EB"/>
    <w:rsid w:val="0051731E"/>
    <w:rsid w:val="005225B4"/>
    <w:rsid w:val="00525424"/>
    <w:rsid w:val="005259F7"/>
    <w:rsid w:val="00537862"/>
    <w:rsid w:val="00540E2B"/>
    <w:rsid w:val="005419BF"/>
    <w:rsid w:val="0055365D"/>
    <w:rsid w:val="00561BBE"/>
    <w:rsid w:val="005656E9"/>
    <w:rsid w:val="00567999"/>
    <w:rsid w:val="00573122"/>
    <w:rsid w:val="00575FDF"/>
    <w:rsid w:val="00575FFF"/>
    <w:rsid w:val="005A41E3"/>
    <w:rsid w:val="005A564A"/>
    <w:rsid w:val="005B159A"/>
    <w:rsid w:val="005C0FD9"/>
    <w:rsid w:val="005C4DB5"/>
    <w:rsid w:val="005C573E"/>
    <w:rsid w:val="005D2DC5"/>
    <w:rsid w:val="005D78EB"/>
    <w:rsid w:val="005E067C"/>
    <w:rsid w:val="005E655F"/>
    <w:rsid w:val="005F0FDB"/>
    <w:rsid w:val="005F1439"/>
    <w:rsid w:val="005F3EF0"/>
    <w:rsid w:val="005F5822"/>
    <w:rsid w:val="00606339"/>
    <w:rsid w:val="006115E0"/>
    <w:rsid w:val="00622B9F"/>
    <w:rsid w:val="006254C4"/>
    <w:rsid w:val="00626503"/>
    <w:rsid w:val="0063074B"/>
    <w:rsid w:val="00635059"/>
    <w:rsid w:val="00635946"/>
    <w:rsid w:val="006430C3"/>
    <w:rsid w:val="006431C2"/>
    <w:rsid w:val="00643DE0"/>
    <w:rsid w:val="00644038"/>
    <w:rsid w:val="0064501D"/>
    <w:rsid w:val="00647027"/>
    <w:rsid w:val="006472C4"/>
    <w:rsid w:val="00647DEB"/>
    <w:rsid w:val="00655CF5"/>
    <w:rsid w:val="0065672B"/>
    <w:rsid w:val="0066008D"/>
    <w:rsid w:val="0066045A"/>
    <w:rsid w:val="006625AE"/>
    <w:rsid w:val="006729B1"/>
    <w:rsid w:val="00693175"/>
    <w:rsid w:val="006942CD"/>
    <w:rsid w:val="00695773"/>
    <w:rsid w:val="006964C1"/>
    <w:rsid w:val="00697E48"/>
    <w:rsid w:val="006A05D5"/>
    <w:rsid w:val="006A0E0D"/>
    <w:rsid w:val="006A1BEE"/>
    <w:rsid w:val="006A22D0"/>
    <w:rsid w:val="006A2E47"/>
    <w:rsid w:val="006A30BA"/>
    <w:rsid w:val="006A32C2"/>
    <w:rsid w:val="006B0D73"/>
    <w:rsid w:val="006B1C17"/>
    <w:rsid w:val="006B2CC5"/>
    <w:rsid w:val="006B478D"/>
    <w:rsid w:val="006B577C"/>
    <w:rsid w:val="006B66C7"/>
    <w:rsid w:val="006B792F"/>
    <w:rsid w:val="006C0BBB"/>
    <w:rsid w:val="006C2B78"/>
    <w:rsid w:val="006D047E"/>
    <w:rsid w:val="006D279E"/>
    <w:rsid w:val="006D343E"/>
    <w:rsid w:val="006D3CA7"/>
    <w:rsid w:val="006D3EAD"/>
    <w:rsid w:val="006E2950"/>
    <w:rsid w:val="006F2181"/>
    <w:rsid w:val="006F35B2"/>
    <w:rsid w:val="006F46F5"/>
    <w:rsid w:val="006F6F26"/>
    <w:rsid w:val="00701CA6"/>
    <w:rsid w:val="00705237"/>
    <w:rsid w:val="007067CD"/>
    <w:rsid w:val="00711342"/>
    <w:rsid w:val="00711B15"/>
    <w:rsid w:val="00713975"/>
    <w:rsid w:val="00714E29"/>
    <w:rsid w:val="00715193"/>
    <w:rsid w:val="00715743"/>
    <w:rsid w:val="0071640B"/>
    <w:rsid w:val="007177A7"/>
    <w:rsid w:val="00717D5F"/>
    <w:rsid w:val="00720D4F"/>
    <w:rsid w:val="00722921"/>
    <w:rsid w:val="0073182D"/>
    <w:rsid w:val="00733A12"/>
    <w:rsid w:val="007424B9"/>
    <w:rsid w:val="00743A88"/>
    <w:rsid w:val="00744472"/>
    <w:rsid w:val="00747486"/>
    <w:rsid w:val="007502FB"/>
    <w:rsid w:val="0075062C"/>
    <w:rsid w:val="00752075"/>
    <w:rsid w:val="0075228B"/>
    <w:rsid w:val="007603BD"/>
    <w:rsid w:val="007606D6"/>
    <w:rsid w:val="007616E0"/>
    <w:rsid w:val="007708E7"/>
    <w:rsid w:val="0077300C"/>
    <w:rsid w:val="0077562E"/>
    <w:rsid w:val="00786276"/>
    <w:rsid w:val="0078702C"/>
    <w:rsid w:val="00787A1A"/>
    <w:rsid w:val="007916B5"/>
    <w:rsid w:val="0079409D"/>
    <w:rsid w:val="00796701"/>
    <w:rsid w:val="007A180F"/>
    <w:rsid w:val="007A254C"/>
    <w:rsid w:val="007A691A"/>
    <w:rsid w:val="007B35AA"/>
    <w:rsid w:val="007B4141"/>
    <w:rsid w:val="007B4830"/>
    <w:rsid w:val="007B5C42"/>
    <w:rsid w:val="007C1126"/>
    <w:rsid w:val="007C1277"/>
    <w:rsid w:val="007C7E60"/>
    <w:rsid w:val="007D761D"/>
    <w:rsid w:val="007E6D4A"/>
    <w:rsid w:val="007F286F"/>
    <w:rsid w:val="007F4178"/>
    <w:rsid w:val="00805187"/>
    <w:rsid w:val="00813C1F"/>
    <w:rsid w:val="0083123E"/>
    <w:rsid w:val="0083248F"/>
    <w:rsid w:val="00837CF5"/>
    <w:rsid w:val="00853DF3"/>
    <w:rsid w:val="00855301"/>
    <w:rsid w:val="0085570D"/>
    <w:rsid w:val="00855B45"/>
    <w:rsid w:val="00857B3F"/>
    <w:rsid w:val="00860D7D"/>
    <w:rsid w:val="00861B1F"/>
    <w:rsid w:val="0086568A"/>
    <w:rsid w:val="00874FF4"/>
    <w:rsid w:val="008768DE"/>
    <w:rsid w:val="00887092"/>
    <w:rsid w:val="00894BC1"/>
    <w:rsid w:val="008950E7"/>
    <w:rsid w:val="00895777"/>
    <w:rsid w:val="008958D9"/>
    <w:rsid w:val="00897D83"/>
    <w:rsid w:val="008A027F"/>
    <w:rsid w:val="008A0FD8"/>
    <w:rsid w:val="008A60FB"/>
    <w:rsid w:val="008A6900"/>
    <w:rsid w:val="008A7FF5"/>
    <w:rsid w:val="008B0ECF"/>
    <w:rsid w:val="008B1D43"/>
    <w:rsid w:val="008B3104"/>
    <w:rsid w:val="008B7FC3"/>
    <w:rsid w:val="008C1AC5"/>
    <w:rsid w:val="008C31B6"/>
    <w:rsid w:val="008C35D7"/>
    <w:rsid w:val="008D1882"/>
    <w:rsid w:val="008D4870"/>
    <w:rsid w:val="008D6493"/>
    <w:rsid w:val="008E4269"/>
    <w:rsid w:val="008E5CC1"/>
    <w:rsid w:val="008F5586"/>
    <w:rsid w:val="008F6249"/>
    <w:rsid w:val="00904252"/>
    <w:rsid w:val="009044C3"/>
    <w:rsid w:val="00905A45"/>
    <w:rsid w:val="00910713"/>
    <w:rsid w:val="00920291"/>
    <w:rsid w:val="00921065"/>
    <w:rsid w:val="00924F65"/>
    <w:rsid w:val="009315B8"/>
    <w:rsid w:val="00931769"/>
    <w:rsid w:val="009409B2"/>
    <w:rsid w:val="009418CA"/>
    <w:rsid w:val="00943FDB"/>
    <w:rsid w:val="00947173"/>
    <w:rsid w:val="009476EF"/>
    <w:rsid w:val="009521A9"/>
    <w:rsid w:val="00955A5F"/>
    <w:rsid w:val="0095751A"/>
    <w:rsid w:val="009603AC"/>
    <w:rsid w:val="009625A0"/>
    <w:rsid w:val="0096268B"/>
    <w:rsid w:val="0096323A"/>
    <w:rsid w:val="0096496D"/>
    <w:rsid w:val="0096688C"/>
    <w:rsid w:val="0097120C"/>
    <w:rsid w:val="00972660"/>
    <w:rsid w:val="009743B6"/>
    <w:rsid w:val="009757E3"/>
    <w:rsid w:val="00976E1F"/>
    <w:rsid w:val="00977C20"/>
    <w:rsid w:val="009804AD"/>
    <w:rsid w:val="009831A4"/>
    <w:rsid w:val="00984A5A"/>
    <w:rsid w:val="0099171D"/>
    <w:rsid w:val="009A1A92"/>
    <w:rsid w:val="009A2F4F"/>
    <w:rsid w:val="009A761F"/>
    <w:rsid w:val="009B0188"/>
    <w:rsid w:val="009B147D"/>
    <w:rsid w:val="009B1D2E"/>
    <w:rsid w:val="009B635A"/>
    <w:rsid w:val="009B6953"/>
    <w:rsid w:val="009C076E"/>
    <w:rsid w:val="009C1A6A"/>
    <w:rsid w:val="009C4006"/>
    <w:rsid w:val="009C46D6"/>
    <w:rsid w:val="009C6D87"/>
    <w:rsid w:val="009C77AE"/>
    <w:rsid w:val="009D1BC1"/>
    <w:rsid w:val="009D213C"/>
    <w:rsid w:val="009D7CE1"/>
    <w:rsid w:val="009E08BC"/>
    <w:rsid w:val="009E29B2"/>
    <w:rsid w:val="009E4E94"/>
    <w:rsid w:val="009E5778"/>
    <w:rsid w:val="009E5934"/>
    <w:rsid w:val="009F1D4C"/>
    <w:rsid w:val="009F6FE9"/>
    <w:rsid w:val="00A01BFE"/>
    <w:rsid w:val="00A02C64"/>
    <w:rsid w:val="00A04D9B"/>
    <w:rsid w:val="00A101F8"/>
    <w:rsid w:val="00A129D9"/>
    <w:rsid w:val="00A146AD"/>
    <w:rsid w:val="00A15540"/>
    <w:rsid w:val="00A301D9"/>
    <w:rsid w:val="00A312BB"/>
    <w:rsid w:val="00A317DE"/>
    <w:rsid w:val="00A34280"/>
    <w:rsid w:val="00A36205"/>
    <w:rsid w:val="00A373FF"/>
    <w:rsid w:val="00A4202B"/>
    <w:rsid w:val="00A442B8"/>
    <w:rsid w:val="00A45E78"/>
    <w:rsid w:val="00A513FA"/>
    <w:rsid w:val="00A521CB"/>
    <w:rsid w:val="00A5269E"/>
    <w:rsid w:val="00A55CBA"/>
    <w:rsid w:val="00A62741"/>
    <w:rsid w:val="00A71B74"/>
    <w:rsid w:val="00A779CC"/>
    <w:rsid w:val="00A91381"/>
    <w:rsid w:val="00A915C0"/>
    <w:rsid w:val="00A92B7C"/>
    <w:rsid w:val="00A93E4C"/>
    <w:rsid w:val="00A9419C"/>
    <w:rsid w:val="00AA0309"/>
    <w:rsid w:val="00AA43CB"/>
    <w:rsid w:val="00AA5CB2"/>
    <w:rsid w:val="00AA6D75"/>
    <w:rsid w:val="00AA7244"/>
    <w:rsid w:val="00AA7BD5"/>
    <w:rsid w:val="00AA7D9E"/>
    <w:rsid w:val="00AB1A66"/>
    <w:rsid w:val="00AC2F6A"/>
    <w:rsid w:val="00AC347E"/>
    <w:rsid w:val="00AC4AF8"/>
    <w:rsid w:val="00AD207D"/>
    <w:rsid w:val="00AD2605"/>
    <w:rsid w:val="00AD2646"/>
    <w:rsid w:val="00AD4AD5"/>
    <w:rsid w:val="00AD5155"/>
    <w:rsid w:val="00AD57F8"/>
    <w:rsid w:val="00AD7316"/>
    <w:rsid w:val="00AE00EC"/>
    <w:rsid w:val="00AE2613"/>
    <w:rsid w:val="00AE6B83"/>
    <w:rsid w:val="00AF2F5B"/>
    <w:rsid w:val="00B049F9"/>
    <w:rsid w:val="00B06721"/>
    <w:rsid w:val="00B1061C"/>
    <w:rsid w:val="00B17BD2"/>
    <w:rsid w:val="00B21A4C"/>
    <w:rsid w:val="00B21D17"/>
    <w:rsid w:val="00B227D3"/>
    <w:rsid w:val="00B26652"/>
    <w:rsid w:val="00B26D70"/>
    <w:rsid w:val="00B30634"/>
    <w:rsid w:val="00B417D9"/>
    <w:rsid w:val="00B444C2"/>
    <w:rsid w:val="00B451E0"/>
    <w:rsid w:val="00B45C4F"/>
    <w:rsid w:val="00B532E5"/>
    <w:rsid w:val="00B53BF4"/>
    <w:rsid w:val="00B54917"/>
    <w:rsid w:val="00B636DF"/>
    <w:rsid w:val="00B64497"/>
    <w:rsid w:val="00B65ABD"/>
    <w:rsid w:val="00B6711E"/>
    <w:rsid w:val="00B67642"/>
    <w:rsid w:val="00B71415"/>
    <w:rsid w:val="00B71FC3"/>
    <w:rsid w:val="00B7255D"/>
    <w:rsid w:val="00B72CB9"/>
    <w:rsid w:val="00B82586"/>
    <w:rsid w:val="00B83A10"/>
    <w:rsid w:val="00B84190"/>
    <w:rsid w:val="00B84869"/>
    <w:rsid w:val="00B85A09"/>
    <w:rsid w:val="00B97440"/>
    <w:rsid w:val="00B97BB5"/>
    <w:rsid w:val="00BA0C12"/>
    <w:rsid w:val="00BA51BD"/>
    <w:rsid w:val="00BA7E17"/>
    <w:rsid w:val="00BB3DD9"/>
    <w:rsid w:val="00BB4C77"/>
    <w:rsid w:val="00BC171B"/>
    <w:rsid w:val="00BC4AE1"/>
    <w:rsid w:val="00BC6986"/>
    <w:rsid w:val="00BC7942"/>
    <w:rsid w:val="00BD4995"/>
    <w:rsid w:val="00BD4F92"/>
    <w:rsid w:val="00BE0613"/>
    <w:rsid w:val="00BE0697"/>
    <w:rsid w:val="00BE2C72"/>
    <w:rsid w:val="00BE2EFF"/>
    <w:rsid w:val="00BE3F9C"/>
    <w:rsid w:val="00BE5206"/>
    <w:rsid w:val="00BF6883"/>
    <w:rsid w:val="00BF6C43"/>
    <w:rsid w:val="00C00D28"/>
    <w:rsid w:val="00C00DC2"/>
    <w:rsid w:val="00C00F56"/>
    <w:rsid w:val="00C04BD9"/>
    <w:rsid w:val="00C05619"/>
    <w:rsid w:val="00C057E9"/>
    <w:rsid w:val="00C05E16"/>
    <w:rsid w:val="00C1109B"/>
    <w:rsid w:val="00C15331"/>
    <w:rsid w:val="00C15DF4"/>
    <w:rsid w:val="00C21F0E"/>
    <w:rsid w:val="00C2496F"/>
    <w:rsid w:val="00C30A8D"/>
    <w:rsid w:val="00C3739B"/>
    <w:rsid w:val="00C37BC2"/>
    <w:rsid w:val="00C40940"/>
    <w:rsid w:val="00C46ECA"/>
    <w:rsid w:val="00C523C6"/>
    <w:rsid w:val="00C52C9F"/>
    <w:rsid w:val="00C60F19"/>
    <w:rsid w:val="00C6111B"/>
    <w:rsid w:val="00C614C5"/>
    <w:rsid w:val="00C6486E"/>
    <w:rsid w:val="00C70E67"/>
    <w:rsid w:val="00C72F6D"/>
    <w:rsid w:val="00C7402A"/>
    <w:rsid w:val="00C752EE"/>
    <w:rsid w:val="00C8023C"/>
    <w:rsid w:val="00C82561"/>
    <w:rsid w:val="00C82D1E"/>
    <w:rsid w:val="00C83DD7"/>
    <w:rsid w:val="00CA011E"/>
    <w:rsid w:val="00CA125E"/>
    <w:rsid w:val="00CA231F"/>
    <w:rsid w:val="00CB1A41"/>
    <w:rsid w:val="00CB2BDF"/>
    <w:rsid w:val="00CC0F2C"/>
    <w:rsid w:val="00CC16B8"/>
    <w:rsid w:val="00CC1FF6"/>
    <w:rsid w:val="00CC398B"/>
    <w:rsid w:val="00CC3DD4"/>
    <w:rsid w:val="00CC4433"/>
    <w:rsid w:val="00CC44E6"/>
    <w:rsid w:val="00CC620B"/>
    <w:rsid w:val="00CD10A8"/>
    <w:rsid w:val="00CD1A42"/>
    <w:rsid w:val="00CD1BEB"/>
    <w:rsid w:val="00CD574D"/>
    <w:rsid w:val="00CE1600"/>
    <w:rsid w:val="00CE4B6C"/>
    <w:rsid w:val="00CF6307"/>
    <w:rsid w:val="00D001A3"/>
    <w:rsid w:val="00D02908"/>
    <w:rsid w:val="00D044CF"/>
    <w:rsid w:val="00D04BAF"/>
    <w:rsid w:val="00D05C18"/>
    <w:rsid w:val="00D07600"/>
    <w:rsid w:val="00D1087A"/>
    <w:rsid w:val="00D13793"/>
    <w:rsid w:val="00D15B21"/>
    <w:rsid w:val="00D17B49"/>
    <w:rsid w:val="00D20790"/>
    <w:rsid w:val="00D20A7B"/>
    <w:rsid w:val="00D20CBB"/>
    <w:rsid w:val="00D2225B"/>
    <w:rsid w:val="00D2474F"/>
    <w:rsid w:val="00D261FA"/>
    <w:rsid w:val="00D36856"/>
    <w:rsid w:val="00D37A9B"/>
    <w:rsid w:val="00D4379E"/>
    <w:rsid w:val="00D4574A"/>
    <w:rsid w:val="00D458CD"/>
    <w:rsid w:val="00D46553"/>
    <w:rsid w:val="00D4674A"/>
    <w:rsid w:val="00D55527"/>
    <w:rsid w:val="00D6323B"/>
    <w:rsid w:val="00D67ED8"/>
    <w:rsid w:val="00D74152"/>
    <w:rsid w:val="00D83127"/>
    <w:rsid w:val="00D83781"/>
    <w:rsid w:val="00D87F2B"/>
    <w:rsid w:val="00D96020"/>
    <w:rsid w:val="00D97C6F"/>
    <w:rsid w:val="00DA01F7"/>
    <w:rsid w:val="00DA143C"/>
    <w:rsid w:val="00DB01B1"/>
    <w:rsid w:val="00DB1638"/>
    <w:rsid w:val="00DB1E4B"/>
    <w:rsid w:val="00DB2209"/>
    <w:rsid w:val="00DB7129"/>
    <w:rsid w:val="00DB741D"/>
    <w:rsid w:val="00DC2C27"/>
    <w:rsid w:val="00DD06CC"/>
    <w:rsid w:val="00DD233F"/>
    <w:rsid w:val="00DD5835"/>
    <w:rsid w:val="00DD6066"/>
    <w:rsid w:val="00DD6B4C"/>
    <w:rsid w:val="00DE0734"/>
    <w:rsid w:val="00DE25B3"/>
    <w:rsid w:val="00DF4F25"/>
    <w:rsid w:val="00DF5B3F"/>
    <w:rsid w:val="00E01BEA"/>
    <w:rsid w:val="00E116BA"/>
    <w:rsid w:val="00E177FE"/>
    <w:rsid w:val="00E17F0E"/>
    <w:rsid w:val="00E22CAE"/>
    <w:rsid w:val="00E25529"/>
    <w:rsid w:val="00E257AF"/>
    <w:rsid w:val="00E25A30"/>
    <w:rsid w:val="00E33C8C"/>
    <w:rsid w:val="00E35069"/>
    <w:rsid w:val="00E37B38"/>
    <w:rsid w:val="00E43FEF"/>
    <w:rsid w:val="00E54FB9"/>
    <w:rsid w:val="00E55194"/>
    <w:rsid w:val="00E559B8"/>
    <w:rsid w:val="00E5778F"/>
    <w:rsid w:val="00E751C6"/>
    <w:rsid w:val="00E774B1"/>
    <w:rsid w:val="00E775E5"/>
    <w:rsid w:val="00E77B7C"/>
    <w:rsid w:val="00E80062"/>
    <w:rsid w:val="00E862FC"/>
    <w:rsid w:val="00E95665"/>
    <w:rsid w:val="00E96D37"/>
    <w:rsid w:val="00E97E61"/>
    <w:rsid w:val="00EA0F57"/>
    <w:rsid w:val="00EA52CA"/>
    <w:rsid w:val="00EA5E06"/>
    <w:rsid w:val="00EA6384"/>
    <w:rsid w:val="00EB0B99"/>
    <w:rsid w:val="00EB3DB8"/>
    <w:rsid w:val="00EB5311"/>
    <w:rsid w:val="00EB6F67"/>
    <w:rsid w:val="00EC08F8"/>
    <w:rsid w:val="00EC6434"/>
    <w:rsid w:val="00ED061B"/>
    <w:rsid w:val="00ED0C8C"/>
    <w:rsid w:val="00ED0DE8"/>
    <w:rsid w:val="00ED5742"/>
    <w:rsid w:val="00ED78D1"/>
    <w:rsid w:val="00EE282F"/>
    <w:rsid w:val="00EE638D"/>
    <w:rsid w:val="00EE7CD7"/>
    <w:rsid w:val="00EF1C39"/>
    <w:rsid w:val="00EF2476"/>
    <w:rsid w:val="00EF3E08"/>
    <w:rsid w:val="00EF7706"/>
    <w:rsid w:val="00F007C0"/>
    <w:rsid w:val="00F059A4"/>
    <w:rsid w:val="00F110C8"/>
    <w:rsid w:val="00F11788"/>
    <w:rsid w:val="00F132F2"/>
    <w:rsid w:val="00F160BB"/>
    <w:rsid w:val="00F21610"/>
    <w:rsid w:val="00F216F8"/>
    <w:rsid w:val="00F25817"/>
    <w:rsid w:val="00F33C26"/>
    <w:rsid w:val="00F35400"/>
    <w:rsid w:val="00F372B2"/>
    <w:rsid w:val="00F41A5C"/>
    <w:rsid w:val="00F42AAC"/>
    <w:rsid w:val="00F4385B"/>
    <w:rsid w:val="00F45FD5"/>
    <w:rsid w:val="00F47B77"/>
    <w:rsid w:val="00F51747"/>
    <w:rsid w:val="00F54E58"/>
    <w:rsid w:val="00F64302"/>
    <w:rsid w:val="00F65BC1"/>
    <w:rsid w:val="00F70FC9"/>
    <w:rsid w:val="00F711E6"/>
    <w:rsid w:val="00F71639"/>
    <w:rsid w:val="00F72FE5"/>
    <w:rsid w:val="00F755D6"/>
    <w:rsid w:val="00F85DCA"/>
    <w:rsid w:val="00F8631C"/>
    <w:rsid w:val="00F90923"/>
    <w:rsid w:val="00FA56D6"/>
    <w:rsid w:val="00FA5726"/>
    <w:rsid w:val="00FA720F"/>
    <w:rsid w:val="00FB4E88"/>
    <w:rsid w:val="00FB5F0C"/>
    <w:rsid w:val="00FC1906"/>
    <w:rsid w:val="00FC2047"/>
    <w:rsid w:val="00FC455A"/>
    <w:rsid w:val="00FC6B48"/>
    <w:rsid w:val="00FD0174"/>
    <w:rsid w:val="00FE4602"/>
    <w:rsid w:val="00FE5E7E"/>
    <w:rsid w:val="00FE6126"/>
    <w:rsid w:val="00FF4B0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C89BD"/>
  <w15:docId w15:val="{D26BA7B3-1943-4072-8781-A3096309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D9B"/>
    <w:rPr>
      <w:sz w:val="24"/>
      <w:szCs w:val="24"/>
      <w:lang w:val="en-US" w:eastAsia="en-US"/>
    </w:rPr>
  </w:style>
  <w:style w:type="paragraph" w:styleId="Ttulo1">
    <w:name w:val="heading 1"/>
    <w:basedOn w:val="Normal"/>
    <w:next w:val="Normal"/>
    <w:link w:val="Ttulo1Car"/>
    <w:qFormat/>
    <w:rsid w:val="00635059"/>
    <w:pPr>
      <w:keepNext/>
      <w:jc w:val="both"/>
      <w:outlineLvl w:val="0"/>
    </w:pPr>
    <w:rPr>
      <w:rFonts w:ascii="Century Gothic" w:hAnsi="Century Gothic"/>
      <w:b/>
      <w:sz w:val="20"/>
      <w:szCs w:val="20"/>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1CarCar">
    <w:name w:val="Char Char1 Car Car"/>
    <w:basedOn w:val="Normal"/>
    <w:rsid w:val="00A04D9B"/>
    <w:pPr>
      <w:spacing w:after="160" w:line="240" w:lineRule="exact"/>
    </w:pPr>
    <w:rPr>
      <w:rFonts w:ascii="Arial" w:eastAsia="MS Mincho" w:hAnsi="Arial"/>
      <w:sz w:val="20"/>
      <w:szCs w:val="20"/>
      <w:lang w:val="es-ES"/>
    </w:rPr>
  </w:style>
  <w:style w:type="paragraph" w:styleId="Textoindependiente2">
    <w:name w:val="Body Text 2"/>
    <w:basedOn w:val="Normal"/>
    <w:rsid w:val="00A04D9B"/>
    <w:pPr>
      <w:spacing w:after="120" w:line="480" w:lineRule="auto"/>
    </w:pPr>
  </w:style>
  <w:style w:type="paragraph" w:customStyle="1" w:styleId="BodyText21">
    <w:name w:val="Body Text 21"/>
    <w:basedOn w:val="Normal"/>
    <w:rsid w:val="00A04D9B"/>
    <w:pPr>
      <w:widowControl w:val="0"/>
      <w:jc w:val="both"/>
    </w:pPr>
    <w:rPr>
      <w:szCs w:val="20"/>
      <w:lang w:val="es-CR"/>
    </w:rPr>
  </w:style>
  <w:style w:type="table" w:styleId="Tablaconcuadrcula">
    <w:name w:val="Table Grid"/>
    <w:basedOn w:val="Tablanormal"/>
    <w:uiPriority w:val="59"/>
    <w:rsid w:val="00A04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402AA2"/>
    <w:pPr>
      <w:spacing w:after="120"/>
    </w:pPr>
    <w:rPr>
      <w:sz w:val="16"/>
      <w:szCs w:val="16"/>
    </w:rPr>
  </w:style>
  <w:style w:type="paragraph" w:styleId="Encabezado">
    <w:name w:val="header"/>
    <w:basedOn w:val="Normal"/>
    <w:link w:val="EncabezadoCar"/>
    <w:uiPriority w:val="99"/>
    <w:rsid w:val="0073182D"/>
    <w:pPr>
      <w:tabs>
        <w:tab w:val="center" w:pos="4320"/>
        <w:tab w:val="right" w:pos="8640"/>
      </w:tabs>
    </w:pPr>
  </w:style>
  <w:style w:type="paragraph" w:styleId="Piedepgina">
    <w:name w:val="footer"/>
    <w:basedOn w:val="Normal"/>
    <w:link w:val="PiedepginaCar"/>
    <w:uiPriority w:val="99"/>
    <w:rsid w:val="0073182D"/>
    <w:pPr>
      <w:tabs>
        <w:tab w:val="center" w:pos="4320"/>
        <w:tab w:val="right" w:pos="8640"/>
      </w:tabs>
    </w:pPr>
  </w:style>
  <w:style w:type="paragraph" w:styleId="Textonotapie">
    <w:name w:val="footnote text"/>
    <w:basedOn w:val="Normal"/>
    <w:link w:val="TextonotapieCar"/>
    <w:rsid w:val="00860D7D"/>
    <w:rPr>
      <w:sz w:val="20"/>
      <w:szCs w:val="20"/>
    </w:rPr>
  </w:style>
  <w:style w:type="character" w:styleId="Refdenotaalpie">
    <w:name w:val="footnote reference"/>
    <w:semiHidden/>
    <w:rsid w:val="00860D7D"/>
    <w:rPr>
      <w:vertAlign w:val="superscript"/>
    </w:rPr>
  </w:style>
  <w:style w:type="paragraph" w:customStyle="1" w:styleId="Char2">
    <w:name w:val="Char2"/>
    <w:basedOn w:val="Normal"/>
    <w:rsid w:val="00C40940"/>
    <w:pPr>
      <w:spacing w:after="160" w:line="240" w:lineRule="exact"/>
    </w:pPr>
    <w:rPr>
      <w:rFonts w:ascii="Verdana" w:hAnsi="Verdana"/>
      <w:sz w:val="20"/>
      <w:szCs w:val="20"/>
      <w:lang w:val="es-CR"/>
    </w:rPr>
  </w:style>
  <w:style w:type="character" w:customStyle="1" w:styleId="PiedepginaCar">
    <w:name w:val="Pie de página Car"/>
    <w:link w:val="Piedepgina"/>
    <w:uiPriority w:val="99"/>
    <w:rsid w:val="007F286F"/>
    <w:rPr>
      <w:sz w:val="24"/>
      <w:szCs w:val="24"/>
      <w:lang w:val="en-US" w:eastAsia="en-US" w:bidi="ar-SA"/>
    </w:rPr>
  </w:style>
  <w:style w:type="character" w:styleId="Refdecomentario">
    <w:name w:val="annotation reference"/>
    <w:semiHidden/>
    <w:rsid w:val="00441A08"/>
    <w:rPr>
      <w:sz w:val="16"/>
      <w:szCs w:val="16"/>
    </w:rPr>
  </w:style>
  <w:style w:type="paragraph" w:styleId="Textocomentario">
    <w:name w:val="annotation text"/>
    <w:basedOn w:val="Normal"/>
    <w:link w:val="TextocomentarioCar"/>
    <w:semiHidden/>
    <w:rsid w:val="00441A08"/>
    <w:rPr>
      <w:sz w:val="20"/>
      <w:szCs w:val="20"/>
    </w:rPr>
  </w:style>
  <w:style w:type="paragraph" w:styleId="Asuntodelcomentario">
    <w:name w:val="annotation subject"/>
    <w:basedOn w:val="Textocomentario"/>
    <w:next w:val="Textocomentario"/>
    <w:semiHidden/>
    <w:rsid w:val="00441A08"/>
    <w:rPr>
      <w:b/>
      <w:bCs/>
    </w:rPr>
  </w:style>
  <w:style w:type="paragraph" w:styleId="Textodeglobo">
    <w:name w:val="Balloon Text"/>
    <w:basedOn w:val="Normal"/>
    <w:semiHidden/>
    <w:rsid w:val="00441A08"/>
    <w:rPr>
      <w:rFonts w:ascii="Tahoma" w:hAnsi="Tahoma" w:cs="Tahoma"/>
      <w:sz w:val="16"/>
      <w:szCs w:val="16"/>
    </w:rPr>
  </w:style>
  <w:style w:type="paragraph" w:styleId="Prrafodelista">
    <w:name w:val="List Paragraph"/>
    <w:basedOn w:val="Normal"/>
    <w:link w:val="PrrafodelistaCar"/>
    <w:uiPriority w:val="34"/>
    <w:qFormat/>
    <w:rsid w:val="002D4DD9"/>
    <w:pPr>
      <w:ind w:left="720"/>
    </w:pPr>
  </w:style>
  <w:style w:type="character" w:customStyle="1" w:styleId="Ttulo1Car">
    <w:name w:val="Título 1 Car"/>
    <w:link w:val="Ttulo1"/>
    <w:rsid w:val="00635059"/>
    <w:rPr>
      <w:rFonts w:ascii="Century Gothic" w:hAnsi="Century Gothic"/>
      <w:b/>
      <w:lang w:eastAsia="es-ES"/>
    </w:rPr>
  </w:style>
  <w:style w:type="paragraph" w:styleId="Sangra2detindependiente">
    <w:name w:val="Body Text Indent 2"/>
    <w:basedOn w:val="Normal"/>
    <w:link w:val="Sangra2detindependienteCar"/>
    <w:rsid w:val="00837CF5"/>
    <w:pPr>
      <w:spacing w:after="120" w:line="480" w:lineRule="auto"/>
      <w:ind w:left="360"/>
    </w:pPr>
  </w:style>
  <w:style w:type="character" w:customStyle="1" w:styleId="Sangra2detindependienteCar">
    <w:name w:val="Sangría 2 de t. independiente Car"/>
    <w:link w:val="Sangra2detindependiente"/>
    <w:rsid w:val="00837CF5"/>
    <w:rPr>
      <w:sz w:val="24"/>
      <w:szCs w:val="24"/>
    </w:rPr>
  </w:style>
  <w:style w:type="character" w:customStyle="1" w:styleId="TextocomentarioCar">
    <w:name w:val="Texto comentario Car"/>
    <w:link w:val="Textocomentario"/>
    <w:semiHidden/>
    <w:rsid w:val="00837CF5"/>
  </w:style>
  <w:style w:type="character" w:customStyle="1" w:styleId="EncabezadoCar">
    <w:name w:val="Encabezado Car"/>
    <w:link w:val="Encabezado"/>
    <w:uiPriority w:val="99"/>
    <w:rsid w:val="004A1D9A"/>
    <w:rPr>
      <w:sz w:val="24"/>
      <w:szCs w:val="24"/>
      <w:lang w:val="en-US" w:eastAsia="en-US"/>
    </w:rPr>
  </w:style>
  <w:style w:type="character" w:customStyle="1" w:styleId="PrrafodelistaCar">
    <w:name w:val="Párrafo de lista Car"/>
    <w:link w:val="Prrafodelista"/>
    <w:uiPriority w:val="34"/>
    <w:rsid w:val="007B35AA"/>
    <w:rPr>
      <w:sz w:val="24"/>
      <w:szCs w:val="24"/>
      <w:lang w:val="en-US" w:eastAsia="en-US"/>
    </w:rPr>
  </w:style>
  <w:style w:type="paragraph" w:customStyle="1" w:styleId="Default">
    <w:name w:val="Default"/>
    <w:rsid w:val="00697E48"/>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2B097A"/>
    <w:rPr>
      <w:color w:val="0000FF"/>
      <w:u w:val="single"/>
    </w:rPr>
  </w:style>
  <w:style w:type="character" w:customStyle="1" w:styleId="TextonotapieCar">
    <w:name w:val="Texto nota pie Car"/>
    <w:link w:val="Textonotapie"/>
    <w:rsid w:val="005259F7"/>
    <w:rPr>
      <w:lang w:val="en-US" w:eastAsia="en-US"/>
    </w:rPr>
  </w:style>
  <w:style w:type="paragraph" w:styleId="Textoindependiente">
    <w:name w:val="Body Text"/>
    <w:basedOn w:val="Normal"/>
    <w:link w:val="TextoindependienteCar"/>
    <w:semiHidden/>
    <w:unhideWhenUsed/>
    <w:rsid w:val="00515108"/>
    <w:pPr>
      <w:spacing w:after="120"/>
    </w:pPr>
  </w:style>
  <w:style w:type="character" w:customStyle="1" w:styleId="TextoindependienteCar">
    <w:name w:val="Texto independiente Car"/>
    <w:link w:val="Textoindependiente"/>
    <w:semiHidden/>
    <w:rsid w:val="0051510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51326">
      <w:bodyDiv w:val="1"/>
      <w:marLeft w:val="0"/>
      <w:marRight w:val="0"/>
      <w:marTop w:val="0"/>
      <w:marBottom w:val="0"/>
      <w:divBdr>
        <w:top w:val="none" w:sz="0" w:space="0" w:color="auto"/>
        <w:left w:val="none" w:sz="0" w:space="0" w:color="auto"/>
        <w:bottom w:val="none" w:sz="0" w:space="0" w:color="auto"/>
        <w:right w:val="none" w:sz="0" w:space="0" w:color="auto"/>
      </w:divBdr>
    </w:div>
    <w:div w:id="422798593">
      <w:bodyDiv w:val="1"/>
      <w:marLeft w:val="0"/>
      <w:marRight w:val="0"/>
      <w:marTop w:val="0"/>
      <w:marBottom w:val="0"/>
      <w:divBdr>
        <w:top w:val="none" w:sz="0" w:space="0" w:color="auto"/>
        <w:left w:val="none" w:sz="0" w:space="0" w:color="auto"/>
        <w:bottom w:val="none" w:sz="0" w:space="0" w:color="auto"/>
        <w:right w:val="none" w:sz="0" w:space="0" w:color="auto"/>
      </w:divBdr>
    </w:div>
    <w:div w:id="805395629">
      <w:bodyDiv w:val="1"/>
      <w:marLeft w:val="0"/>
      <w:marRight w:val="0"/>
      <w:marTop w:val="0"/>
      <w:marBottom w:val="0"/>
      <w:divBdr>
        <w:top w:val="none" w:sz="0" w:space="0" w:color="auto"/>
        <w:left w:val="none" w:sz="0" w:space="0" w:color="auto"/>
        <w:bottom w:val="none" w:sz="0" w:space="0" w:color="auto"/>
        <w:right w:val="none" w:sz="0" w:space="0" w:color="auto"/>
      </w:divBdr>
    </w:div>
    <w:div w:id="1104306235">
      <w:bodyDiv w:val="1"/>
      <w:marLeft w:val="0"/>
      <w:marRight w:val="0"/>
      <w:marTop w:val="0"/>
      <w:marBottom w:val="0"/>
      <w:divBdr>
        <w:top w:val="none" w:sz="0" w:space="0" w:color="auto"/>
        <w:left w:val="none" w:sz="0" w:space="0" w:color="auto"/>
        <w:bottom w:val="none" w:sz="0" w:space="0" w:color="auto"/>
        <w:right w:val="none" w:sz="0" w:space="0" w:color="auto"/>
      </w:divBdr>
    </w:div>
    <w:div w:id="1291203616">
      <w:bodyDiv w:val="1"/>
      <w:marLeft w:val="0"/>
      <w:marRight w:val="0"/>
      <w:marTop w:val="0"/>
      <w:marBottom w:val="0"/>
      <w:divBdr>
        <w:top w:val="none" w:sz="0" w:space="0" w:color="auto"/>
        <w:left w:val="none" w:sz="0" w:space="0" w:color="auto"/>
        <w:bottom w:val="none" w:sz="0" w:space="0" w:color="auto"/>
        <w:right w:val="none" w:sz="0" w:space="0" w:color="auto"/>
      </w:divBdr>
    </w:div>
    <w:div w:id="1593585368">
      <w:bodyDiv w:val="1"/>
      <w:marLeft w:val="0"/>
      <w:marRight w:val="0"/>
      <w:marTop w:val="0"/>
      <w:marBottom w:val="0"/>
      <w:divBdr>
        <w:top w:val="none" w:sz="0" w:space="0" w:color="auto"/>
        <w:left w:val="none" w:sz="0" w:space="0" w:color="auto"/>
        <w:bottom w:val="none" w:sz="0" w:space="0" w:color="auto"/>
        <w:right w:val="none" w:sz="0" w:space="0" w:color="auto"/>
      </w:divBdr>
    </w:div>
    <w:div w:id="1819103451">
      <w:bodyDiv w:val="1"/>
      <w:marLeft w:val="0"/>
      <w:marRight w:val="0"/>
      <w:marTop w:val="0"/>
      <w:marBottom w:val="0"/>
      <w:divBdr>
        <w:top w:val="none" w:sz="0" w:space="0" w:color="auto"/>
        <w:left w:val="none" w:sz="0" w:space="0" w:color="auto"/>
        <w:bottom w:val="none" w:sz="0" w:space="0" w:color="auto"/>
        <w:right w:val="none" w:sz="0" w:space="0" w:color="auto"/>
      </w:divBdr>
    </w:div>
    <w:div w:id="203321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8467E-5639-4EC3-94C8-76A96B9FC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A79A7-247E-4F1F-ACDB-33046C36C2C4}">
  <ds:schemaRefs>
    <ds:schemaRef ds:uri="http://schemas.microsoft.com/sharepoint/v3/contenttype/forms"/>
  </ds:schemaRefs>
</ds:datastoreItem>
</file>

<file path=customXml/itemProps3.xml><?xml version="1.0" encoding="utf-8"?>
<ds:datastoreItem xmlns:ds="http://schemas.openxmlformats.org/officeDocument/2006/customXml" ds:itemID="{0D9C2F7D-2216-438C-8C96-5A5C919975B9}">
  <ds:schemaRefs>
    <ds:schemaRef ds:uri="http://schemas.microsoft.com/office/2006/metadata/properties"/>
    <ds:schemaRef ds:uri="315842a7-4cff-4ca6-8fb0-a6562d7ae952"/>
    <ds:schemaRef ds:uri="fc66ef79-2d66-4fa3-90bd-e4f186d8d369"/>
  </ds:schemaRefs>
</ds:datastoreItem>
</file>

<file path=customXml/itemProps4.xml><?xml version="1.0" encoding="utf-8"?>
<ds:datastoreItem xmlns:ds="http://schemas.openxmlformats.org/officeDocument/2006/customXml" ds:itemID="{826A1DFC-5905-43F9-8E7A-106DD570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5647</Words>
  <Characters>31063</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Acuerdo del Superintendente aprobado el 4 de setiembre del 2015</vt:lpstr>
    </vt:vector>
  </TitlesOfParts>
  <Company>SUGEVAL</Company>
  <LinksUpToDate>false</LinksUpToDate>
  <CharactersWithSpaces>36637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del Superintendente aprobado el 4 de setiembre del 2015</dc:title>
  <dc:subject>Acuerdos del Superintendente</dc:subject>
  <dc:creator>SUGEVAL</dc:creator>
  <dc:description>Véase además el SGV-A-137 del 10-09-07 y el SGV-A-144 del 12-03-08</dc:description>
  <cp:lastModifiedBy>TAN CHAN ISABEL MARIA</cp:lastModifiedBy>
  <cp:revision>6</cp:revision>
  <cp:lastPrinted>2015-08-14T15:32:00Z</cp:lastPrinted>
  <dcterms:created xsi:type="dcterms:W3CDTF">2022-05-20T22:28:00Z</dcterms:created>
  <dcterms:modified xsi:type="dcterms:W3CDTF">2022-05-31T23:34:00Z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-1643078399</vt:i4>
  </property>
  <property fmtid="{D5CDD505-2E9C-101B-9397-08002B2CF9AE}" pid="3" name="ContentTypeId">
    <vt:lpwstr>0x010100C66477CF232ACD46B93353E93693837C</vt:lpwstr>
  </property>
  <property fmtid="{D5CDD505-2E9C-101B-9397-08002B2CF9AE}" pid="4" name="Firmado">
    <vt:lpwstr>false</vt:lpwstr>
  </property>
  <property fmtid="{D5CDD505-2E9C-101B-9397-08002B2CF9AE}" pid="5" name="Firmantes">
    <vt:lpwstr>SUGEVAL\ariaspc221SUGEVAL\sandiam83</vt:lpwstr>
  </property>
  <property fmtid="{D5CDD505-2E9C-101B-9397-08002B2CF9AE}" pid="6" name="FileLeafRef">
    <vt:lpwstr>SGV-A-198TexRef.docx</vt:lpwstr>
  </property>
</Properties>
</file>