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A2808" w:rsidP="00655200" w:rsidRDefault="005A2808" w14:paraId="4C3E98DC" w14:textId="77777777">
      <w:pPr>
        <w:jc w:val="both"/>
        <w:rPr>
          <w:rFonts w:ascii="Arial" w:hAnsi="Arial" w:cs="Arial"/>
          <w:b/>
        </w:rPr>
      </w:pPr>
    </w:p>
    <w:p w:rsidRPr="005C14FE" w:rsidR="00F651FF" w:rsidP="00655200" w:rsidRDefault="005A2808" w14:paraId="314CB8F8" w14:textId="1EC6C4F9">
      <w:pPr>
        <w:jc w:val="both"/>
        <w:rPr>
          <w:rFonts w:ascii="Roboto" w:hAnsi="Roboto" w:cs="Arial"/>
        </w:rPr>
      </w:pPr>
      <w:r>
        <w:rPr>
          <w:rFonts w:ascii="Arial" w:hAnsi="Arial" w:cs="Arial"/>
          <w:b/>
        </w:rPr>
        <w:t xml:space="preserve">SGV-A-2-2025. </w:t>
      </w:r>
      <w:r w:rsidRPr="005C14FE" w:rsidR="005C14FE">
        <w:rPr>
          <w:rFonts w:ascii="Roboto" w:hAnsi="Roboto" w:cs="Arial"/>
          <w:b/>
          <w:bCs/>
        </w:rPr>
        <w:t xml:space="preserve">INCLUSION DE LAS FUNCIONES DELEGADAS AL INTENDENTE EN EL ACUERDO SGV-A-176 DELEGACIÓN DE COMPETENCIAS. </w:t>
      </w:r>
      <w:r w:rsidR="00145A6E">
        <w:rPr>
          <w:rStyle w:val="Refdenotaalpie"/>
          <w:rFonts w:ascii="Roboto" w:hAnsi="Roboto" w:cs="Arial"/>
          <w:b/>
          <w:bCs/>
        </w:rPr>
        <w:footnoteReference w:id="1"/>
      </w:r>
    </w:p>
    <w:p w:rsidRPr="005C14FE" w:rsidR="00E26C36" w:rsidRDefault="00E26C36" w14:paraId="7E56EC89" w14:textId="67BD482A">
      <w:pPr>
        <w:rPr>
          <w:rFonts w:ascii="Roboto" w:hAnsi="Roboto" w:cs="Arial"/>
          <w:b/>
          <w:bCs/>
        </w:rPr>
      </w:pPr>
    </w:p>
    <w:p w:rsidRPr="005C14FE" w:rsidR="00E26C36" w:rsidP="00E26C36" w:rsidRDefault="00E26C36" w14:paraId="455F8DA0" w14:textId="77777777">
      <w:pPr>
        <w:spacing w:after="0" w:line="276" w:lineRule="auto"/>
        <w:jc w:val="both"/>
        <w:rPr>
          <w:rFonts w:ascii="Roboto" w:hAnsi="Roboto" w:eastAsia="Arial Unicode MS" w:cs="Arial"/>
          <w:b/>
          <w:color w:val="000000"/>
          <w:lang w:val="es-ES"/>
        </w:rPr>
      </w:pPr>
      <w:r w:rsidRPr="005C14FE">
        <w:rPr>
          <w:rFonts w:ascii="Roboto" w:hAnsi="Roboto" w:eastAsia="Arial Unicode MS" w:cs="Arial"/>
          <w:b/>
          <w:color w:val="000000"/>
          <w:lang w:val="es-ES"/>
        </w:rPr>
        <w:t>Considerando que:</w:t>
      </w:r>
    </w:p>
    <w:p w:rsidRPr="005C14FE" w:rsidR="00E26C36" w:rsidRDefault="00E26C36" w14:paraId="22B8CBC9" w14:textId="596F0FA2">
      <w:pPr>
        <w:rPr>
          <w:rFonts w:ascii="Roboto" w:hAnsi="Roboto" w:cs="Arial"/>
          <w:b/>
          <w:bCs/>
        </w:rPr>
      </w:pPr>
    </w:p>
    <w:p w:rsidRPr="005C14FE" w:rsidR="00474AD3" w:rsidP="00474AD3" w:rsidRDefault="005131FB" w14:paraId="2F00A631" w14:textId="3A5BA692">
      <w:pPr>
        <w:jc w:val="both"/>
        <w:rPr>
          <w:rFonts w:ascii="Roboto" w:hAnsi="Roboto" w:cs="Arial"/>
        </w:rPr>
      </w:pPr>
      <w:r w:rsidRPr="005C14FE">
        <w:rPr>
          <w:rFonts w:ascii="Roboto" w:hAnsi="Roboto" w:cs="Arial"/>
          <w:b/>
          <w:bCs/>
        </w:rPr>
        <w:t>PRIMERO</w:t>
      </w:r>
      <w:r w:rsidRPr="005C14FE" w:rsidR="00474AD3">
        <w:rPr>
          <w:rFonts w:ascii="Roboto" w:hAnsi="Roboto" w:cs="Arial"/>
        </w:rPr>
        <w:t>: El artículo 3 de la Ley Reguladora del Mercado de Valores</w:t>
      </w:r>
      <w:r w:rsidRPr="005C14FE" w:rsidR="00F306AC">
        <w:rPr>
          <w:rFonts w:ascii="Roboto" w:hAnsi="Roboto" w:cs="Arial"/>
        </w:rPr>
        <w:t>, Ley N° 7732</w:t>
      </w:r>
      <w:r w:rsidRPr="005C14FE" w:rsidR="00474AD3">
        <w:rPr>
          <w:rFonts w:ascii="Roboto" w:hAnsi="Roboto" w:cs="Arial"/>
        </w:rPr>
        <w:t xml:space="preserve"> (LRMV) señala que corresponde</w:t>
      </w:r>
      <w:r w:rsidRPr="005C14FE" w:rsidR="00252381">
        <w:rPr>
          <w:rFonts w:ascii="Roboto" w:hAnsi="Roboto" w:cs="Arial"/>
        </w:rPr>
        <w:t xml:space="preserve"> </w:t>
      </w:r>
      <w:r w:rsidRPr="005C14FE" w:rsidR="00474AD3">
        <w:rPr>
          <w:rFonts w:ascii="Roboto" w:hAnsi="Roboto" w:cs="Arial"/>
        </w:rPr>
        <w:t xml:space="preserve">a la Superintendencia: “La Superintendencia velará por la transparencia de los mercados de valores, la formación correcta de los precios en ellos, la protección de los inversionistas y la difusión de la información necesaria para asegurar la consecución de estos fines.” </w:t>
      </w:r>
    </w:p>
    <w:p w:rsidRPr="005C14FE" w:rsidR="00474AD3" w:rsidP="00474AD3" w:rsidRDefault="005131FB" w14:paraId="1B2358AB" w14:textId="2CA0002B">
      <w:pPr>
        <w:jc w:val="both"/>
        <w:rPr>
          <w:rFonts w:ascii="Roboto" w:hAnsi="Roboto" w:cs="Arial"/>
        </w:rPr>
      </w:pPr>
      <w:r w:rsidRPr="005C14FE">
        <w:rPr>
          <w:rFonts w:ascii="Roboto" w:hAnsi="Roboto" w:cs="Arial"/>
          <w:b/>
          <w:bCs/>
        </w:rPr>
        <w:t>SEGUNDO</w:t>
      </w:r>
      <w:r w:rsidRPr="005C14FE" w:rsidR="00474AD3">
        <w:rPr>
          <w:rFonts w:ascii="Roboto" w:hAnsi="Roboto" w:cs="Arial"/>
        </w:rPr>
        <w:t>: El artículo 8 de la LRMV señala las atribuciones del Superintendente, dentro de las que nos interesa la establecida en el inciso f): “Ejercer las potestades de jerarca administrativo de la Superintendencia y agotar la vía administrativa en materia de personal. Tratándose del personal de la auditoría interna, el Superintendente deberá consultar al auditor interno.</w:t>
      </w:r>
    </w:p>
    <w:p w:rsidRPr="005C14FE" w:rsidR="00626C60" w:rsidP="00626C60" w:rsidRDefault="005131FB" w14:paraId="6D9655AA" w14:textId="73169B23">
      <w:pPr>
        <w:jc w:val="both"/>
        <w:rPr>
          <w:rFonts w:ascii="Roboto" w:hAnsi="Roboto" w:cs="Arial"/>
        </w:rPr>
      </w:pPr>
      <w:r w:rsidRPr="005C14FE">
        <w:rPr>
          <w:rFonts w:ascii="Roboto" w:hAnsi="Roboto" w:cs="Arial"/>
          <w:b/>
          <w:bCs/>
        </w:rPr>
        <w:t>TERCERO</w:t>
      </w:r>
      <w:r w:rsidRPr="005C14FE" w:rsidR="00626C60">
        <w:rPr>
          <w:rFonts w:ascii="Roboto" w:hAnsi="Roboto" w:cs="Arial"/>
        </w:rPr>
        <w:t>: Una vez nombrado el Intendente, éste forma parte de la estructura funcional de la Superintendencia, siendo por ello aplicables las normas administrativas internas emitidas por el Superintendente.</w:t>
      </w:r>
    </w:p>
    <w:p w:rsidRPr="005C14FE" w:rsidR="007F3B4F" w:rsidP="007F3B4F" w:rsidRDefault="005131FB" w14:paraId="00A0B45F" w14:textId="0EA88D20">
      <w:pPr>
        <w:jc w:val="both"/>
        <w:rPr>
          <w:rFonts w:ascii="Roboto" w:hAnsi="Roboto" w:cs="Arial"/>
        </w:rPr>
      </w:pPr>
      <w:r w:rsidRPr="005C14FE">
        <w:rPr>
          <w:rFonts w:ascii="Roboto" w:hAnsi="Roboto" w:cs="Arial"/>
          <w:b/>
          <w:bCs/>
        </w:rPr>
        <w:t>CUARTO</w:t>
      </w:r>
      <w:r w:rsidRPr="005C14FE" w:rsidR="00626C60">
        <w:rPr>
          <w:rFonts w:ascii="Roboto" w:hAnsi="Roboto" w:cs="Arial"/>
        </w:rPr>
        <w:t xml:space="preserve">: Dispone el artículo 70 de la </w:t>
      </w:r>
      <w:r w:rsidRPr="005C14FE" w:rsidR="00EF56D8">
        <w:rPr>
          <w:rFonts w:ascii="Roboto" w:hAnsi="Roboto" w:cs="Arial"/>
        </w:rPr>
        <w:t xml:space="preserve">Ley General de la Administración Pública (LGAP) </w:t>
      </w:r>
      <w:r w:rsidRPr="005C14FE" w:rsidR="00626C60">
        <w:rPr>
          <w:rFonts w:ascii="Roboto" w:hAnsi="Roboto" w:cs="Arial"/>
        </w:rPr>
        <w:t xml:space="preserve">que: </w:t>
      </w:r>
      <w:r w:rsidRPr="005C14FE" w:rsidR="00626C60">
        <w:rPr>
          <w:rFonts w:ascii="Roboto" w:hAnsi="Roboto" w:cs="Arial"/>
          <w:i/>
          <w:iCs/>
        </w:rPr>
        <w:t>“La competencia será ejercida por el titular del órgano respectivo, salvo caso de delegación, avocación, sustitución o subrogación, en las condiciones y límites indicados por esta ley.”</w:t>
      </w:r>
      <w:r w:rsidRPr="005C14FE" w:rsidR="00626C60">
        <w:rPr>
          <w:rFonts w:ascii="Roboto" w:hAnsi="Roboto" w:cs="Arial"/>
        </w:rPr>
        <w:t xml:space="preserve"> </w:t>
      </w:r>
      <w:r w:rsidRPr="005C14FE" w:rsidR="007F3B4F">
        <w:rPr>
          <w:rFonts w:ascii="Roboto" w:hAnsi="Roboto" w:cs="Arial"/>
        </w:rPr>
        <w:t xml:space="preserve">El artículo 84 inciso a) de </w:t>
      </w:r>
      <w:r w:rsidRPr="005C14FE" w:rsidR="00C5426D">
        <w:rPr>
          <w:rFonts w:ascii="Roboto" w:hAnsi="Roboto" w:cs="Arial"/>
        </w:rPr>
        <w:t xml:space="preserve">la </w:t>
      </w:r>
      <w:r w:rsidRPr="005C14FE" w:rsidR="007F3B4F">
        <w:rPr>
          <w:rFonts w:ascii="Roboto" w:hAnsi="Roboto" w:cs="Arial"/>
        </w:rPr>
        <w:t xml:space="preserve">LGAP dispone que las competencias administrativas o su ejercicio podrán ser transferidas mediante la figura de la Delegación. </w:t>
      </w:r>
    </w:p>
    <w:p w:rsidRPr="005C14FE" w:rsidR="00626C60" w:rsidP="007F3B4F" w:rsidRDefault="007F3B4F" w14:paraId="3B613E30" w14:textId="4597404E">
      <w:pPr>
        <w:jc w:val="both"/>
        <w:rPr>
          <w:rFonts w:ascii="Roboto" w:hAnsi="Roboto" w:cs="Arial"/>
        </w:rPr>
      </w:pPr>
      <w:r w:rsidRPr="005C14FE">
        <w:rPr>
          <w:rFonts w:ascii="Roboto" w:hAnsi="Roboto" w:cs="Arial"/>
        </w:rPr>
        <w:t>Sobre este aspecto, señala el numeral 89.1 de la LGAP que “todo servidor podrá delegar sus funciones propias en su inmediato inferior, cuando ambos tengan funciones de igual naturaleza.” Asimismo, como límite a esta figura, el artículo 90 inciso a) de la LGAP señala que “La delegación podrá ser revocada en cualquier momento por el órgano que la ha conferido” Por último el artículo 91 dispone, en lo que nos interesa para que “El delegante tendrá siempre la obligación de vigilar la gestión del delegado”</w:t>
      </w:r>
      <w:r w:rsidRPr="005C14FE" w:rsidR="004C7AD3">
        <w:rPr>
          <w:rFonts w:ascii="Roboto" w:hAnsi="Roboto" w:cs="Arial"/>
        </w:rPr>
        <w:t>.</w:t>
      </w:r>
      <w:r w:rsidRPr="005C14FE" w:rsidR="00EF56D8">
        <w:rPr>
          <w:rFonts w:ascii="Roboto" w:hAnsi="Roboto" w:cs="Arial"/>
        </w:rPr>
        <w:t xml:space="preserve"> </w:t>
      </w:r>
    </w:p>
    <w:p w:rsidR="005F090F" w:rsidP="005A2808" w:rsidRDefault="00626C60" w14:paraId="59A97DA4" w14:textId="4F8BFDFF">
      <w:pPr>
        <w:jc w:val="both"/>
        <w:rPr>
          <w:rFonts w:ascii="Roboto" w:hAnsi="Roboto" w:cs="Arial"/>
        </w:rPr>
      </w:pPr>
      <w:r w:rsidRPr="005C14FE">
        <w:rPr>
          <w:rFonts w:ascii="Roboto" w:hAnsi="Roboto" w:cs="Arial"/>
        </w:rPr>
        <w:t>Debido a lo anterior, en el ejercicio de sus competencias, el Superintendente puede hacer efectiva la figura de la delegación, siendo ello aplicable según las reglas de la técnica y los principios generales de lógica y conveniencia aplicables al ejercicio eficiente de sus funciones y al uso eficiente de los recursos público</w:t>
      </w:r>
      <w:r w:rsidRPr="005C14FE" w:rsidR="00314745">
        <w:rPr>
          <w:rFonts w:ascii="Roboto" w:hAnsi="Roboto" w:cs="Arial"/>
        </w:rPr>
        <w:t>s</w:t>
      </w:r>
      <w:r w:rsidRPr="005C14FE">
        <w:rPr>
          <w:rFonts w:ascii="Roboto" w:hAnsi="Roboto" w:cs="Arial"/>
        </w:rPr>
        <w:t>.</w:t>
      </w:r>
    </w:p>
    <w:p w:rsidRPr="005A2808" w:rsidR="005A2808" w:rsidP="005A2808" w:rsidRDefault="005A2808" w14:paraId="25B84CB9" w14:textId="77777777">
      <w:pPr>
        <w:jc w:val="both"/>
        <w:rPr>
          <w:rFonts w:ascii="Roboto" w:hAnsi="Roboto" w:cs="Arial"/>
        </w:rPr>
      </w:pPr>
    </w:p>
    <w:p w:rsidR="005A2808" w:rsidP="00E26C36" w:rsidRDefault="005A2808" w14:paraId="5DAD70B7" w14:textId="77777777">
      <w:pPr>
        <w:spacing w:after="0" w:line="240" w:lineRule="auto"/>
        <w:rPr>
          <w:rFonts w:ascii="Roboto" w:hAnsi="Roboto" w:eastAsia="Arial Unicode MS" w:cs="Arial"/>
          <w:b/>
          <w:color w:val="000000"/>
          <w:lang w:val="es-ES"/>
        </w:rPr>
      </w:pPr>
    </w:p>
    <w:p w:rsidRPr="00987442" w:rsidR="00E26C36" w:rsidP="00E26C36" w:rsidRDefault="00E26C36" w14:paraId="262DE99E" w14:textId="2A641CB1">
      <w:pPr>
        <w:spacing w:after="0" w:line="240" w:lineRule="auto"/>
        <w:rPr>
          <w:rFonts w:ascii="Roboto" w:hAnsi="Roboto" w:eastAsia="Arial Unicode MS" w:cs="Arial"/>
          <w:bCs/>
          <w:color w:val="000000"/>
          <w:lang w:val="es-ES"/>
        </w:rPr>
      </w:pPr>
      <w:r w:rsidRPr="00987442">
        <w:rPr>
          <w:rFonts w:ascii="Roboto" w:hAnsi="Roboto" w:eastAsia="Arial Unicode MS" w:cs="Arial"/>
          <w:bCs/>
          <w:color w:val="000000"/>
          <w:lang w:val="es-ES"/>
        </w:rPr>
        <w:t>Por tanto, se acuerda lo siguiente:</w:t>
      </w:r>
    </w:p>
    <w:p w:rsidR="005C14FE" w:rsidP="00E26C36" w:rsidRDefault="005C14FE" w14:paraId="753C21D9" w14:textId="77777777">
      <w:pPr>
        <w:spacing w:after="0" w:line="240" w:lineRule="auto"/>
        <w:rPr>
          <w:rFonts w:ascii="Arial" w:hAnsi="Arial" w:eastAsia="Arial Unicode MS" w:cs="Arial"/>
          <w:b/>
          <w:color w:val="000000"/>
          <w:lang w:val="es-ES"/>
        </w:rPr>
      </w:pPr>
    </w:p>
    <w:p w:rsidR="7206D3A6" w:rsidRDefault="7206D3A6" w14:paraId="055A2097" w14:textId="7544BC39">
      <w:r>
        <w:br w:type="page"/>
      </w:r>
    </w:p>
    <w:p w:rsidRPr="005C14FE" w:rsidR="005C14FE" w:rsidP="00B36FEA" w:rsidRDefault="005A2808" w14:paraId="5F1FA940" w14:textId="1E521F6B">
      <w:pPr>
        <w:jc w:val="center"/>
        <w:rPr>
          <w:rFonts w:ascii="Roboto" w:hAnsi="Roboto" w:cs="Arial"/>
          <w:b/>
        </w:rPr>
      </w:pPr>
      <w:r>
        <w:rPr>
          <w:rFonts w:ascii="Arial" w:hAnsi="Arial" w:cs="Arial"/>
          <w:b/>
        </w:rPr>
        <w:t xml:space="preserve">SGV-A-2-2025. </w:t>
      </w:r>
      <w:r w:rsidRPr="005C14FE" w:rsidR="005C14FE">
        <w:rPr>
          <w:rFonts w:ascii="Roboto" w:hAnsi="Roboto" w:cs="Arial"/>
          <w:b/>
          <w:bCs/>
        </w:rPr>
        <w:t>INCLUSION DE LAS FUNCIONES DELEGADAS AL INTENDENTE EN EL ACUERDO SGV-A-176 DELEGACIÓN DE COMPETENCIAS.</w:t>
      </w:r>
    </w:p>
    <w:p w:rsidRPr="005C14FE" w:rsidR="00E26C36" w:rsidP="00E26C36" w:rsidRDefault="00E26C36" w14:paraId="0DD41231" w14:textId="40EA169F">
      <w:pPr>
        <w:spacing w:after="0" w:line="240" w:lineRule="auto"/>
        <w:rPr>
          <w:rFonts w:ascii="Roboto" w:hAnsi="Roboto" w:eastAsia="Arial Unicode MS" w:cs="Arial"/>
          <w:b/>
          <w:color w:val="000000"/>
          <w:lang w:val="es-ES"/>
        </w:rPr>
      </w:pPr>
    </w:p>
    <w:p w:rsidRPr="005C14FE" w:rsidR="00E26C36" w:rsidP="00E26C36" w:rsidRDefault="00E26C36" w14:paraId="315CA1BD" w14:textId="3B5648B0">
      <w:pPr>
        <w:pStyle w:val="Textodereglamento"/>
        <w:numPr>
          <w:ilvl w:val="0"/>
          <w:numId w:val="2"/>
        </w:numPr>
        <w:spacing w:before="0" w:line="276" w:lineRule="auto"/>
        <w:ind w:left="567" w:hanging="567"/>
        <w:rPr>
          <w:rFonts w:ascii="Roboto" w:hAnsi="Roboto" w:cs="Arial" w:eastAsiaTheme="minorHAnsi"/>
          <w:szCs w:val="22"/>
          <w:lang w:val="es-CR" w:eastAsia="en-US"/>
        </w:rPr>
      </w:pPr>
      <w:r w:rsidRPr="005C14FE">
        <w:rPr>
          <w:rFonts w:ascii="Roboto" w:hAnsi="Roboto" w:cs="Arial" w:eastAsiaTheme="minorHAnsi"/>
          <w:szCs w:val="22"/>
          <w:lang w:val="es-CR" w:eastAsia="en-US"/>
        </w:rPr>
        <w:t>Reformar el texto del SGV-A-</w:t>
      </w:r>
      <w:r w:rsidRPr="005C14FE" w:rsidR="00151B8C">
        <w:rPr>
          <w:rFonts w:ascii="Roboto" w:hAnsi="Roboto" w:cs="Arial" w:eastAsiaTheme="minorHAnsi"/>
          <w:szCs w:val="22"/>
          <w:lang w:val="es-CR" w:eastAsia="en-US"/>
        </w:rPr>
        <w:t>176</w:t>
      </w:r>
      <w:r w:rsidRPr="005C14FE">
        <w:rPr>
          <w:rFonts w:ascii="Roboto" w:hAnsi="Roboto" w:cs="Arial" w:eastAsiaTheme="minorHAnsi"/>
          <w:szCs w:val="22"/>
          <w:lang w:val="es-CR" w:eastAsia="en-US"/>
        </w:rPr>
        <w:t xml:space="preserve">, para </w:t>
      </w:r>
      <w:r w:rsidRPr="005C14FE" w:rsidR="00B348C5">
        <w:rPr>
          <w:rFonts w:ascii="Roboto" w:hAnsi="Roboto" w:cs="Arial" w:eastAsiaTheme="minorHAnsi"/>
          <w:szCs w:val="22"/>
          <w:lang w:val="es-CR" w:eastAsia="en-US"/>
        </w:rPr>
        <w:t xml:space="preserve">adicionar un artículo </w:t>
      </w:r>
      <w:r w:rsidRPr="005C14FE">
        <w:rPr>
          <w:rFonts w:ascii="Roboto" w:hAnsi="Roboto" w:cs="Arial" w:eastAsiaTheme="minorHAnsi"/>
          <w:szCs w:val="22"/>
          <w:lang w:val="es-CR" w:eastAsia="en-US"/>
        </w:rPr>
        <w:t xml:space="preserve">que en adelante se lea de la siguiente forma: </w:t>
      </w:r>
    </w:p>
    <w:p w:rsidRPr="005C14FE" w:rsidR="00E26C36" w:rsidP="00E26C36" w:rsidRDefault="00E26C36" w14:paraId="0C9B9CCD" w14:textId="48DB2596">
      <w:pPr>
        <w:pStyle w:val="Textodereglamento"/>
        <w:spacing w:before="0" w:line="276" w:lineRule="auto"/>
        <w:rPr>
          <w:rFonts w:ascii="Roboto" w:hAnsi="Roboto" w:cs="Arial" w:eastAsiaTheme="minorHAnsi"/>
          <w:szCs w:val="22"/>
          <w:lang w:val="es-CR" w:eastAsia="en-US"/>
        </w:rPr>
      </w:pPr>
    </w:p>
    <w:p w:rsidRPr="005C14FE" w:rsidR="00E26C36" w:rsidP="00E26C36" w:rsidRDefault="00E26C36" w14:paraId="31F21158" w14:textId="197012D7">
      <w:pPr>
        <w:spacing w:line="276" w:lineRule="auto"/>
        <w:jc w:val="both"/>
        <w:rPr>
          <w:rFonts w:ascii="Roboto" w:hAnsi="Roboto" w:cs="Arial"/>
          <w:b/>
          <w:bCs/>
        </w:rPr>
      </w:pPr>
      <w:r w:rsidRPr="005C14FE">
        <w:rPr>
          <w:rFonts w:ascii="Roboto" w:hAnsi="Roboto" w:cs="Arial"/>
          <w:b/>
          <w:bCs/>
        </w:rPr>
        <w:t xml:space="preserve">Artículo </w:t>
      </w:r>
      <w:r w:rsidRPr="005C14FE" w:rsidR="00602D3E">
        <w:rPr>
          <w:rFonts w:ascii="Roboto" w:hAnsi="Roboto" w:cs="Arial"/>
          <w:b/>
          <w:bCs/>
        </w:rPr>
        <w:t>6 bis</w:t>
      </w:r>
      <w:r w:rsidRPr="005C14FE">
        <w:rPr>
          <w:rFonts w:ascii="Roboto" w:hAnsi="Roboto" w:cs="Arial"/>
          <w:b/>
          <w:bCs/>
        </w:rPr>
        <w:t>. Competencias del Intendente General de Valores.</w:t>
      </w:r>
    </w:p>
    <w:p w:rsidRPr="005C14FE" w:rsidR="00E26C36" w:rsidP="00E26C36" w:rsidRDefault="00E26C36" w14:paraId="446B3246" w14:textId="7505995C">
      <w:pPr>
        <w:spacing w:line="276" w:lineRule="auto"/>
        <w:jc w:val="both"/>
        <w:rPr>
          <w:rFonts w:ascii="Roboto" w:hAnsi="Roboto" w:cs="Arial"/>
          <w:lang w:val="es-MX"/>
        </w:rPr>
      </w:pPr>
      <w:bookmarkStart w:name="_Hlk133590502" w:id="0"/>
      <w:r w:rsidRPr="005C14FE">
        <w:rPr>
          <w:rFonts w:ascii="Roboto" w:hAnsi="Roboto" w:cs="Arial"/>
          <w:lang w:val="es-MX"/>
        </w:rPr>
        <w:t xml:space="preserve">Durante el periodo de su nombramiento, en el ejercicio de sus funciones, se otorga al Intendente General de Valores las competencias para conocer, </w:t>
      </w:r>
      <w:r w:rsidRPr="005C14FE" w:rsidR="00815887">
        <w:rPr>
          <w:rFonts w:ascii="Roboto" w:hAnsi="Roboto"/>
        </w:rPr>
        <w:t xml:space="preserve">coordinar, dirigir y </w:t>
      </w:r>
      <w:r w:rsidRPr="005C14FE">
        <w:rPr>
          <w:rFonts w:ascii="Roboto" w:hAnsi="Roboto" w:cs="Arial"/>
          <w:lang w:val="es-MX"/>
        </w:rPr>
        <w:t>resolver sobre los asuntos que se detallan seguidamente</w:t>
      </w:r>
      <w:bookmarkEnd w:id="0"/>
      <w:r w:rsidRPr="005C14FE">
        <w:rPr>
          <w:rFonts w:ascii="Roboto" w:hAnsi="Roboto" w:cs="Arial"/>
          <w:lang w:val="es-MX"/>
        </w:rPr>
        <w:t>:</w:t>
      </w:r>
    </w:p>
    <w:p w:rsidRPr="005C14FE" w:rsidR="00891776" w:rsidP="00891776" w:rsidRDefault="00891776" w14:paraId="0CEB73ED" w14:textId="38D6442F">
      <w:pPr>
        <w:pStyle w:val="Prrafodelista"/>
        <w:numPr>
          <w:ilvl w:val="0"/>
          <w:numId w:val="5"/>
        </w:numPr>
        <w:spacing w:line="276" w:lineRule="auto"/>
        <w:jc w:val="both"/>
        <w:rPr>
          <w:rFonts w:ascii="Roboto" w:hAnsi="Roboto" w:cs="Arial"/>
          <w:lang w:val="es-MX"/>
        </w:rPr>
      </w:pPr>
      <w:r w:rsidRPr="005C14FE">
        <w:rPr>
          <w:rFonts w:ascii="Roboto" w:hAnsi="Roboto" w:cs="Arial"/>
          <w:lang w:val="es-MX"/>
        </w:rPr>
        <w:t>Plan Anual Operativo Institucional y su expresión financiera.</w:t>
      </w:r>
    </w:p>
    <w:p w:rsidRPr="005C14FE" w:rsidR="00891776" w:rsidP="00891776" w:rsidRDefault="00891776" w14:paraId="3FCAF8BB" w14:textId="1A9D139B">
      <w:pPr>
        <w:pStyle w:val="Prrafodelista"/>
        <w:numPr>
          <w:ilvl w:val="0"/>
          <w:numId w:val="5"/>
        </w:numPr>
        <w:spacing w:line="276" w:lineRule="auto"/>
        <w:jc w:val="both"/>
        <w:rPr>
          <w:rFonts w:ascii="Roboto" w:hAnsi="Roboto" w:cs="Arial"/>
          <w:lang w:val="es-MX"/>
        </w:rPr>
      </w:pPr>
      <w:r w:rsidRPr="005C14FE">
        <w:rPr>
          <w:rFonts w:ascii="Roboto" w:hAnsi="Roboto" w:cs="Arial"/>
          <w:lang w:val="es-MX"/>
        </w:rPr>
        <w:t>Modificaciones presupuestarias y ajustes internos.</w:t>
      </w:r>
    </w:p>
    <w:p w:rsidRPr="005C14FE" w:rsidR="00891776" w:rsidP="00891776" w:rsidRDefault="00891776" w14:paraId="68B4E929" w14:textId="1B851624">
      <w:pPr>
        <w:pStyle w:val="Prrafodelista"/>
        <w:numPr>
          <w:ilvl w:val="0"/>
          <w:numId w:val="5"/>
        </w:numPr>
        <w:spacing w:line="276" w:lineRule="auto"/>
        <w:jc w:val="both"/>
        <w:rPr>
          <w:rFonts w:ascii="Roboto" w:hAnsi="Roboto" w:cs="Arial"/>
          <w:lang w:val="es-MX"/>
        </w:rPr>
      </w:pPr>
      <w:r w:rsidRPr="005C14FE">
        <w:rPr>
          <w:rFonts w:ascii="Roboto" w:hAnsi="Roboto" w:cs="Arial"/>
          <w:lang w:val="es-MX"/>
        </w:rPr>
        <w:t>Informes de liquidación presupuestaria.</w:t>
      </w:r>
    </w:p>
    <w:p w:rsidRPr="005C14FE" w:rsidR="00891776" w:rsidP="00891776" w:rsidRDefault="00891776" w14:paraId="7F61B1D1" w14:textId="4A2E756C">
      <w:pPr>
        <w:pStyle w:val="Prrafodelista"/>
        <w:numPr>
          <w:ilvl w:val="0"/>
          <w:numId w:val="5"/>
        </w:numPr>
        <w:spacing w:line="276" w:lineRule="auto"/>
        <w:jc w:val="both"/>
        <w:rPr>
          <w:rFonts w:ascii="Roboto" w:hAnsi="Roboto" w:cs="Arial"/>
          <w:lang w:val="es-MX"/>
        </w:rPr>
      </w:pPr>
      <w:r w:rsidRPr="005C14FE">
        <w:rPr>
          <w:rFonts w:ascii="Roboto" w:hAnsi="Roboto" w:cs="Arial"/>
          <w:lang w:val="es-MX"/>
        </w:rPr>
        <w:t>Informes de evaluación y ejecución del Plan Operativo Institucional y su presupuesto.</w:t>
      </w:r>
    </w:p>
    <w:p w:rsidRPr="005C14FE" w:rsidR="00891776" w:rsidP="00891776" w:rsidRDefault="00891776" w14:paraId="61EF9CA7" w14:textId="13E8888A">
      <w:pPr>
        <w:pStyle w:val="Prrafodelista"/>
        <w:numPr>
          <w:ilvl w:val="0"/>
          <w:numId w:val="5"/>
        </w:numPr>
        <w:spacing w:line="276" w:lineRule="auto"/>
        <w:jc w:val="both"/>
        <w:rPr>
          <w:rFonts w:ascii="Roboto" w:hAnsi="Roboto" w:cs="Arial"/>
          <w:lang w:val="es-MX"/>
        </w:rPr>
      </w:pPr>
      <w:r w:rsidRPr="005C14FE">
        <w:rPr>
          <w:rFonts w:ascii="Roboto" w:hAnsi="Roboto" w:cs="Arial"/>
          <w:lang w:val="es-MX"/>
        </w:rPr>
        <w:t xml:space="preserve">Informe de la Ley para Perfeccionar la Rendición de Cuentas, Ley N° 9398. </w:t>
      </w:r>
    </w:p>
    <w:p w:rsidRPr="005C14FE" w:rsidR="00891776" w:rsidP="00891776" w:rsidRDefault="00891776" w14:paraId="4059AB14" w14:textId="6A58BC08">
      <w:pPr>
        <w:pStyle w:val="Prrafodelista"/>
        <w:numPr>
          <w:ilvl w:val="0"/>
          <w:numId w:val="5"/>
        </w:numPr>
        <w:spacing w:line="276" w:lineRule="auto"/>
        <w:jc w:val="both"/>
        <w:rPr>
          <w:rFonts w:ascii="Roboto" w:hAnsi="Roboto" w:cs="Arial"/>
          <w:lang w:val="es-MX"/>
        </w:rPr>
      </w:pPr>
      <w:r w:rsidRPr="005C14FE">
        <w:rPr>
          <w:rFonts w:ascii="Roboto" w:hAnsi="Roboto" w:cs="Arial"/>
          <w:lang w:val="es-MX"/>
        </w:rPr>
        <w:t>Informes de riesgos.</w:t>
      </w:r>
    </w:p>
    <w:p w:rsidRPr="005C14FE" w:rsidR="00891776" w:rsidP="00891776" w:rsidRDefault="00891776" w14:paraId="4B04F422" w14:textId="29B8FAFF">
      <w:pPr>
        <w:pStyle w:val="Prrafodelista"/>
        <w:numPr>
          <w:ilvl w:val="0"/>
          <w:numId w:val="5"/>
        </w:numPr>
        <w:spacing w:line="276" w:lineRule="auto"/>
        <w:jc w:val="both"/>
        <w:rPr>
          <w:rFonts w:ascii="Roboto" w:hAnsi="Roboto" w:cs="Arial"/>
          <w:lang w:val="es-MX"/>
        </w:rPr>
      </w:pPr>
      <w:r w:rsidRPr="005C14FE">
        <w:rPr>
          <w:rFonts w:ascii="Roboto" w:hAnsi="Roboto" w:cs="Arial"/>
          <w:lang w:val="es-MX"/>
        </w:rPr>
        <w:t>Sistema de Control de Calidad.</w:t>
      </w:r>
    </w:p>
    <w:p w:rsidRPr="005C14FE" w:rsidR="006E0902" w:rsidP="00DB09B9" w:rsidRDefault="00891776" w14:paraId="7C8F4FB3" w14:textId="77777777">
      <w:pPr>
        <w:pStyle w:val="Prrafodelista"/>
        <w:numPr>
          <w:ilvl w:val="0"/>
          <w:numId w:val="5"/>
        </w:numPr>
        <w:spacing w:line="276" w:lineRule="auto"/>
        <w:jc w:val="both"/>
        <w:rPr>
          <w:rFonts w:ascii="Roboto" w:hAnsi="Roboto" w:cs="Arial"/>
          <w:lang w:val="es-MX"/>
        </w:rPr>
      </w:pPr>
      <w:r w:rsidRPr="005C14FE">
        <w:rPr>
          <w:rFonts w:ascii="Roboto" w:hAnsi="Roboto" w:cs="Arial"/>
          <w:lang w:val="es-MX"/>
        </w:rPr>
        <w:t>Resumen ejecutivo de las resoluciones de aprobaciones y denegaciones relacionadas con oferta pública.</w:t>
      </w:r>
    </w:p>
    <w:p w:rsidRPr="005C14FE" w:rsidR="00E26C36" w:rsidP="00DB09B9" w:rsidRDefault="00891776" w14:paraId="67954AE6" w14:textId="386E5A69">
      <w:pPr>
        <w:pStyle w:val="Prrafodelista"/>
        <w:numPr>
          <w:ilvl w:val="0"/>
          <w:numId w:val="5"/>
        </w:numPr>
        <w:spacing w:line="276" w:lineRule="auto"/>
        <w:jc w:val="both"/>
        <w:rPr>
          <w:rFonts w:ascii="Roboto" w:hAnsi="Roboto" w:cs="Arial"/>
          <w:lang w:val="es-MX"/>
        </w:rPr>
      </w:pPr>
      <w:r w:rsidRPr="005C14FE">
        <w:rPr>
          <w:rFonts w:ascii="Roboto" w:hAnsi="Roboto" w:cs="Arial"/>
          <w:lang w:val="es-MX"/>
        </w:rPr>
        <w:t>Notas e informes al Consejo Nacional de Supervisión del Sistema Financiero, la Contraloría General de la República y otras instituciones relacionadas con los temas indicados en los incisos anteriores.</w:t>
      </w:r>
    </w:p>
    <w:p w:rsidRPr="005C14FE" w:rsidR="003C2190" w:rsidP="003C2190" w:rsidRDefault="003C2190" w14:paraId="702ADEB4" w14:textId="77777777">
      <w:pPr>
        <w:pStyle w:val="Prrafodelista"/>
        <w:spacing w:line="276" w:lineRule="auto"/>
        <w:ind w:left="1776"/>
        <w:jc w:val="both"/>
        <w:rPr>
          <w:rFonts w:ascii="Roboto" w:hAnsi="Roboto" w:cs="Arial"/>
          <w:lang w:val="es-MX"/>
        </w:rPr>
      </w:pPr>
    </w:p>
    <w:p w:rsidRPr="005C14FE" w:rsidR="005A20F3" w:rsidP="008710CA" w:rsidRDefault="00C02AC7" w14:paraId="401FC020" w14:textId="3AA58296">
      <w:pPr>
        <w:pStyle w:val="Textodereglamento"/>
        <w:numPr>
          <w:ilvl w:val="0"/>
          <w:numId w:val="2"/>
        </w:numPr>
        <w:spacing w:before="0" w:line="276" w:lineRule="auto"/>
        <w:ind w:left="567" w:hanging="567"/>
        <w:rPr>
          <w:rFonts w:ascii="Roboto" w:hAnsi="Roboto" w:cs="Arial"/>
          <w:lang w:val="es-MX"/>
        </w:rPr>
      </w:pPr>
      <w:r w:rsidRPr="005C14FE">
        <w:rPr>
          <w:rFonts w:ascii="Roboto" w:hAnsi="Roboto" w:cs="Arial"/>
          <w:lang w:val="es-MX"/>
        </w:rPr>
        <w:t xml:space="preserve">Este </w:t>
      </w:r>
      <w:r w:rsidRPr="005C14FE" w:rsidR="00FB434C">
        <w:rPr>
          <w:rFonts w:ascii="Roboto" w:hAnsi="Roboto" w:cs="Arial"/>
          <w:lang w:val="es-MX"/>
        </w:rPr>
        <w:t>acuerdo</w:t>
      </w:r>
      <w:r w:rsidRPr="005C14FE" w:rsidR="005A20F3">
        <w:rPr>
          <w:rFonts w:ascii="Roboto" w:hAnsi="Roboto" w:cs="Arial"/>
          <w:lang w:val="es-MX"/>
        </w:rPr>
        <w:t xml:space="preserve"> rige a partir de la publicación en el Diario Oficial La Gaceta.</w:t>
      </w:r>
    </w:p>
    <w:p w:rsidR="005A20F3" w:rsidP="00E26C36" w:rsidRDefault="005A20F3" w14:paraId="2D468F47" w14:textId="77777777">
      <w:pPr>
        <w:spacing w:line="276" w:lineRule="auto"/>
        <w:jc w:val="both"/>
        <w:rPr>
          <w:rFonts w:ascii="Arial" w:hAnsi="Arial" w:cs="Arial"/>
          <w:lang w:val="es-MX"/>
        </w:rPr>
      </w:pPr>
    </w:p>
    <w:sectPr w:rsidR="005A20F3">
      <w:headerReference w:type="default" r:id="rId13"/>
      <w:footerReference w:type="even" r:id="rId14"/>
      <w:footerReference w:type="first" r:id="rId15"/>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3CCB" w:rsidP="005A20F3" w:rsidRDefault="00D33CCB" w14:paraId="55E51A4B" w14:textId="77777777">
      <w:pPr>
        <w:spacing w:after="0" w:line="240" w:lineRule="auto"/>
      </w:pPr>
      <w:r>
        <w:separator/>
      </w:r>
    </w:p>
  </w:endnote>
  <w:endnote w:type="continuationSeparator" w:id="0">
    <w:p w:rsidR="00D33CCB" w:rsidP="005A20F3" w:rsidRDefault="00D33CCB" w14:paraId="053355C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26FE6" w:rsidRDefault="00C26FE6" w14:paraId="49449613" w14:textId="7ED1B34D">
    <w:pPr>
      <w:pStyle w:val="Piedepgina"/>
    </w:pPr>
    <w:r>
      <w:rPr>
        <w:noProof/>
      </w:rPr>
      <mc:AlternateContent>
        <mc:Choice Requires="wps">
          <w:drawing>
            <wp:anchor distT="0" distB="0" distL="0" distR="0" simplePos="0" relativeHeight="251663360" behindDoc="0" locked="0" layoutInCell="1" allowOverlap="1" wp14:anchorId="4DD88C9B" wp14:editId="1019023F">
              <wp:simplePos x="635" y="635"/>
              <wp:positionH relativeFrom="page">
                <wp:align>center</wp:align>
              </wp:positionH>
              <wp:positionV relativeFrom="page">
                <wp:align>bottom</wp:align>
              </wp:positionV>
              <wp:extent cx="609600" cy="357505"/>
              <wp:effectExtent l="0" t="0" r="0" b="0"/>
              <wp:wrapNone/>
              <wp:docPr id="1960691073"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7505"/>
                      </a:xfrm>
                      <a:prstGeom prst="rect">
                        <a:avLst/>
                      </a:prstGeom>
                      <a:noFill/>
                      <a:ln>
                        <a:noFill/>
                      </a:ln>
                    </wps:spPr>
                    <wps:txbx>
                      <w:txbxContent>
                        <w:p w:rsidRPr="00C26FE6" w:rsidR="00C26FE6" w:rsidP="00C26FE6" w:rsidRDefault="00C26FE6" w14:paraId="6447F0E4" w14:textId="36F13E55">
                          <w:pPr>
                            <w:spacing w:after="0"/>
                            <w:rPr>
                              <w:rFonts w:ascii="Calibri" w:hAnsi="Calibri" w:eastAsia="Calibri" w:cs="Calibri"/>
                              <w:noProof/>
                              <w:color w:val="000000"/>
                              <w:sz w:val="20"/>
                              <w:szCs w:val="20"/>
                            </w:rPr>
                          </w:pPr>
                          <w:r w:rsidRPr="00C26FE6">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DD88C9B">
              <v:stroke joinstyle="miter"/>
              <v:path gradientshapeok="t" o:connecttype="rect"/>
            </v:shapetype>
            <v:shape id="Cuadro de texto 2" style="position:absolute;margin-left:0;margin-top:0;width:48pt;height:28.15pt;z-index:25166336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ItCQIAABUEAAAOAAAAZHJzL2Uyb0RvYy54bWysU8Fu2zAMvQ/YPwi6L3Y6JFuNOEXWIsOA&#10;oC2QDj3LshQbkERBUmJnXz9KtpOt22nYRaZJ6pF8fFrd9VqRk3C+BVPS+SynRBgOdWsOJf3+sv3w&#10;mRIfmKmZAiNKehae3q3fv1t1thA30ICqhSMIYnzR2ZI2IdgiyzxvhGZ+BlYYDEpwmgX8dYesdqxD&#10;dK2ymzxfZh242jrgwnv0PgxBuk74UgoenqT0IhBVUuwtpNOls4pntl6x4uCYbVo+tsH+oQvNWoNF&#10;L1APLDBydO0fULrlDjzIMOOgM5Cy5SLNgNPM8zfT7BtmRZoFyfH2QpP/f7D88bS3z46E/gv0uMBI&#10;SGd94dEZ5+ml0/GLnRKMI4XnC22iD4Sjc5nfLnOMcAx9XHxa5IuIkl0vW+fDVwGaRKOkDreSyGKn&#10;nQ9D6pQSaxnYtkqlzSjzmwMxoye7dhit0Ff92HYF9RmncTAs2lu+bbHmjvnwzBxuFttEtYYnPKSC&#10;rqQwWpQ04H78zR/zkXCMUtKhUkpqUMqUqG8GFxFFNRluMqpkzG/zReTFHPU9oP7m+BQsTyZ6XVCT&#10;KR3oV9TxJhbCEDMcy5W0msz7MEgW3wEXm01KQv1YFnZmb3mEjjxFEl/6V+bsyHTAFT3CJCNWvCF8&#10;yI03vd0cA9KethE5HYgcqUbtpX2O7ySK+9f/lHV9zeufAAAA//8DAFBLAwQUAAYACAAAACEA7h5X&#10;e9kAAAADAQAADwAAAGRycy9kb3ducmV2LnhtbEyPwWrCQBCG74W+wzKF3uqmhoY2ZiMieLIU1F56&#10;W3fHJDY7G7IbjW/fqRe9DPz8wzffFPPRteKEfWg8KXidJCCQjLcNVQq+d6uXdxAharK69YQKLhhg&#10;Xj4+FDq3/kwbPG1jJRhCIdcK6hi7XMpganQ6THyHxN3B905Hjn0lba/PDHetnCZJJp1uiC/UusNl&#10;jeZ3OzgFb5v4OXzRLv0Zp5fjulua9LA2Sj0/jYsZiIhjvC3Dvz6rQ8lOez+QDaJVwI/E6+TuI+O0&#10;Z26WgiwLee9e/gEAAP//AwBQSwECLQAUAAYACAAAACEAtoM4kv4AAADhAQAAEwAAAAAAAAAAAAAA&#10;AAAAAAAAW0NvbnRlbnRfVHlwZXNdLnhtbFBLAQItABQABgAIAAAAIQA4/SH/1gAAAJQBAAALAAAA&#10;AAAAAAAAAAAAAC8BAABfcmVscy8ucmVsc1BLAQItABQABgAIAAAAIQCpFTItCQIAABUEAAAOAAAA&#10;AAAAAAAAAAAAAC4CAABkcnMvZTJvRG9jLnhtbFBLAQItABQABgAIAAAAIQDuHld72QAAAAMBAAAP&#10;AAAAAAAAAAAAAAAAAGMEAABkcnMvZG93bnJldi54bWxQSwUGAAAAAAQABADzAAAAaQUAAAAA&#10;">
              <v:textbox style="mso-fit-shape-to-text:t" inset="0,0,0,15pt">
                <w:txbxContent>
                  <w:p w:rsidRPr="00C26FE6" w:rsidR="00C26FE6" w:rsidP="00C26FE6" w:rsidRDefault="00C26FE6" w14:paraId="6447F0E4" w14:textId="36F13E55">
                    <w:pPr>
                      <w:spacing w:after="0"/>
                      <w:rPr>
                        <w:rFonts w:ascii="Calibri" w:hAnsi="Calibri" w:eastAsia="Calibri" w:cs="Calibri"/>
                        <w:noProof/>
                        <w:color w:val="000000"/>
                        <w:sz w:val="20"/>
                        <w:szCs w:val="20"/>
                      </w:rPr>
                    </w:pPr>
                    <w:r w:rsidRPr="00C26FE6">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26FE6" w:rsidRDefault="00C26FE6" w14:paraId="4B1C36D8" w14:textId="5A7B9CB1">
    <w:pPr>
      <w:pStyle w:val="Piedepgina"/>
    </w:pPr>
    <w:r>
      <w:rPr>
        <w:noProof/>
      </w:rPr>
      <mc:AlternateContent>
        <mc:Choice Requires="wps">
          <w:drawing>
            <wp:anchor distT="0" distB="0" distL="0" distR="0" simplePos="0" relativeHeight="251662336" behindDoc="0" locked="0" layoutInCell="1" allowOverlap="1" wp14:anchorId="53370EB0" wp14:editId="79A49278">
              <wp:simplePos x="635" y="635"/>
              <wp:positionH relativeFrom="page">
                <wp:align>center</wp:align>
              </wp:positionH>
              <wp:positionV relativeFrom="page">
                <wp:align>bottom</wp:align>
              </wp:positionV>
              <wp:extent cx="609600" cy="357505"/>
              <wp:effectExtent l="0" t="0" r="0" b="0"/>
              <wp:wrapNone/>
              <wp:docPr id="2072979187"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57505"/>
                      </a:xfrm>
                      <a:prstGeom prst="rect">
                        <a:avLst/>
                      </a:prstGeom>
                      <a:noFill/>
                      <a:ln>
                        <a:noFill/>
                      </a:ln>
                    </wps:spPr>
                    <wps:txbx>
                      <w:txbxContent>
                        <w:p w:rsidRPr="00C26FE6" w:rsidR="00C26FE6" w:rsidP="00C26FE6" w:rsidRDefault="00C26FE6" w14:paraId="3839B96C" w14:textId="198B3F34">
                          <w:pPr>
                            <w:spacing w:after="0"/>
                            <w:rPr>
                              <w:rFonts w:ascii="Calibri" w:hAnsi="Calibri" w:eastAsia="Calibri" w:cs="Calibri"/>
                              <w:noProof/>
                              <w:color w:val="000000"/>
                              <w:sz w:val="20"/>
                              <w:szCs w:val="20"/>
                            </w:rPr>
                          </w:pPr>
                          <w:r w:rsidRPr="00C26FE6">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3370EB0">
              <v:stroke joinstyle="miter"/>
              <v:path gradientshapeok="t" o:connecttype="rect"/>
            </v:shapetype>
            <v:shape id="Cuadro de texto 1" style="position:absolute;margin-left:0;margin-top:0;width:48pt;height:28.15pt;z-index:25166233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oCwIAABwEAAAOAAAAZHJzL2Uyb0RvYy54bWysU8Fu2zAMvQ/YPwi6L3Y6JFuNOEXWIsOA&#10;oC2QDj0rshQbsESBUmJnXz9Kjpu222nYRaZJ6pF8fFrc9KZlR4W+AVvy6STnTFkJVWP3Jf/5tP70&#10;lTMfhK1EC1aV/KQ8v1l+/LDoXKGuoIa2UsgIxPqicyWvQ3BFlnlZKyP8BJyyFNSARgT6xX1WoegI&#10;3bTZVZ7Psw6wcghSeU/euyHIlwlfayXDg9ZeBdaWnHoL6cR07uKZLRei2KNwdSPPbYh/6MKIxlLR&#10;F6g7EQQ7YPMHlGkkggcdJhJMBlo3UqUZaJpp/m6abS2cSrMQOd690OT/H6y8P27dI7LQf4OeFhgJ&#10;6ZwvPDnjPL1GE7/UKaM4UXh6oU31gUlyzvPreU4RSaHPsy+zfBZRsstlhz58V2BYNEqOtJVEljhu&#10;fBhSx5RYy8K6adu0mda+cRBm9GSXDqMV+l3PmupV9zuoTjQUwrBv7+S6odIb4cOjQFowdUuiDQ90&#10;6Ba6ksPZ4qwG/PU3f8wn3inKWUeCKbklRXPW/rC0j6it0cDR2CVjep3PIj32YG6BZDilF+FkMsmL&#10;oR1NjWCeSc6rWIhCwkoqV/LdaN6GQbn0HKRarVISyciJsLFbJyN0pCty+dQ/C3RnwgNt6h5GNYni&#10;He9Dbrzp3eoQiP20lEjtQOSZcZJgWuv5uUSNv/5PWZdHvfwNAAD//wMAUEsDBBQABgAIAAAAIQDu&#10;Hld72QAAAAMBAAAPAAAAZHJzL2Rvd25yZXYueG1sTI/BasJAEIbvhb7DMoXe6qaGhjZmIyJ4shTU&#10;Xnpbd8ckNjsbshuNb9+pF70M/PzDN98U89G14oR9aDwpeJ0kIJCMtw1VCr53q5d3ECFqsrr1hAou&#10;GGBePj4UOrf+TBs8bWMlGEIh1wrqGLtcymBqdDpMfIfE3cH3TkeOfSVtr88Md62cJkkmnW6IL9S6&#10;w2WN5nc7OAVvm/g5fNEu/Rmnl+O6W5r0sDZKPT+NixmIiGO8LcO/PqtDyU57P5ANolXAj8Tr5O4j&#10;47RnbpaCLAt5717+AQAA//8DAFBLAQItABQABgAIAAAAIQC2gziS/gAAAOEBAAATAAAAAAAAAAAA&#10;AAAAAAAAAABbQ29udGVudF9UeXBlc10ueG1sUEsBAi0AFAAGAAgAAAAhADj9If/WAAAAlAEAAAsA&#10;AAAAAAAAAAAAAAAALwEAAF9yZWxzLy5yZWxzUEsBAi0AFAAGAAgAAAAhAD8Dy2gLAgAAHAQAAA4A&#10;AAAAAAAAAAAAAAAALgIAAGRycy9lMm9Eb2MueG1sUEsBAi0AFAAGAAgAAAAhAO4eV3vZAAAAAwEA&#10;AA8AAAAAAAAAAAAAAAAAZQQAAGRycy9kb3ducmV2LnhtbFBLBQYAAAAABAAEAPMAAABrBQAAAAA=&#10;">
              <v:textbox style="mso-fit-shape-to-text:t" inset="0,0,0,15pt">
                <w:txbxContent>
                  <w:p w:rsidRPr="00C26FE6" w:rsidR="00C26FE6" w:rsidP="00C26FE6" w:rsidRDefault="00C26FE6" w14:paraId="3839B96C" w14:textId="198B3F34">
                    <w:pPr>
                      <w:spacing w:after="0"/>
                      <w:rPr>
                        <w:rFonts w:ascii="Calibri" w:hAnsi="Calibri" w:eastAsia="Calibri" w:cs="Calibri"/>
                        <w:noProof/>
                        <w:color w:val="000000"/>
                        <w:sz w:val="20"/>
                        <w:szCs w:val="20"/>
                      </w:rPr>
                    </w:pPr>
                    <w:r w:rsidRPr="00C26FE6">
                      <w:rPr>
                        <w:rFonts w:ascii="Calibri" w:hAnsi="Calibri" w:eastAsia="Calibri" w:cs="Calibri"/>
                        <w:noProof/>
                        <w:color w:val="000000"/>
                        <w:sz w:val="20"/>
                        <w:szCs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3CCB" w:rsidP="005A20F3" w:rsidRDefault="00D33CCB" w14:paraId="06F78276" w14:textId="77777777">
      <w:pPr>
        <w:spacing w:after="0" w:line="240" w:lineRule="auto"/>
      </w:pPr>
      <w:r>
        <w:separator/>
      </w:r>
    </w:p>
  </w:footnote>
  <w:footnote w:type="continuationSeparator" w:id="0">
    <w:p w:rsidR="00D33CCB" w:rsidP="005A20F3" w:rsidRDefault="00D33CCB" w14:paraId="2746E16E" w14:textId="77777777">
      <w:pPr>
        <w:spacing w:after="0" w:line="240" w:lineRule="auto"/>
      </w:pPr>
      <w:r>
        <w:continuationSeparator/>
      </w:r>
    </w:p>
  </w:footnote>
  <w:footnote w:id="1">
    <w:p w:rsidRPr="005C14FE" w:rsidR="00145A6E" w:rsidP="00145A6E" w:rsidRDefault="00145A6E" w14:paraId="37B6AEEB" w14:textId="53254CCA">
      <w:pPr>
        <w:jc w:val="both"/>
        <w:rPr>
          <w:rFonts w:ascii="Roboto" w:hAnsi="Roboto" w:cs="Arial"/>
        </w:rPr>
      </w:pPr>
      <w:r>
        <w:rPr>
          <w:rStyle w:val="Refdenotaalpie"/>
        </w:rPr>
        <w:footnoteRef/>
      </w:r>
      <w:r>
        <w:t xml:space="preserve"> </w:t>
      </w:r>
      <w:r w:rsidRPr="005C14FE">
        <w:rPr>
          <w:rFonts w:ascii="Roboto" w:hAnsi="Roboto" w:cs="Arial"/>
        </w:rPr>
        <w:t>Superintendencia General de Valores. Despacho del Superintendente. A las trece horas del veinticuatro de marzo del dos mil veinticinco.</w:t>
      </w:r>
      <w:r>
        <w:rPr>
          <w:rFonts w:ascii="Roboto" w:hAnsi="Roboto" w:cs="Arial"/>
        </w:rPr>
        <w:t xml:space="preserve"> Rige a partir de su publicación en el Diario Oficial La Gaceta.</w:t>
      </w:r>
      <w:r w:rsidRPr="007F3189" w:rsidR="007F3189">
        <w:rPr>
          <w:rFonts w:ascii="Roboto" w:hAnsi="Roboto" w:cs="Arial"/>
        </w:rPr>
        <w:t xml:space="preserve"> </w:t>
      </w:r>
      <w:r w:rsidR="007F3189">
        <w:rPr>
          <w:rFonts w:ascii="Roboto" w:hAnsi="Roboto" w:cs="Arial"/>
        </w:rPr>
        <w:t>Publicado en el Diario Oficial La Gaceta del 30 de abril del 2025.</w:t>
      </w:r>
    </w:p>
    <w:p w:rsidR="00145A6E" w:rsidRDefault="00145A6E" w14:paraId="4A7F3948" w14:textId="7661467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C14FE" w:rsidP="005C14FE" w:rsidRDefault="005C14FE" w14:paraId="69AF1C3B" w14:textId="77777777">
    <w:pPr>
      <w:pStyle w:val="Encabezado"/>
      <w:jc w:val="center"/>
    </w:pPr>
    <w:r>
      <w:rPr>
        <w:noProof/>
      </w:rPr>
      <w:drawing>
        <wp:anchor distT="0" distB="0" distL="114300" distR="114300" simplePos="0" relativeHeight="251661312" behindDoc="1" locked="0" layoutInCell="1" allowOverlap="1" wp14:anchorId="6DCA6D4E" wp14:editId="09D037C9">
          <wp:simplePos x="0" y="0"/>
          <wp:positionH relativeFrom="column">
            <wp:posOffset>-1100570</wp:posOffset>
          </wp:positionH>
          <wp:positionV relativeFrom="paragraph">
            <wp:posOffset>-422910</wp:posOffset>
          </wp:positionV>
          <wp:extent cx="7703127" cy="7081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03127" cy="708140"/>
                  </a:xfrm>
                  <a:prstGeom prst="rect">
                    <a:avLst/>
                  </a:prstGeom>
                </pic:spPr>
              </pic:pic>
            </a:graphicData>
          </a:graphic>
          <wp14:sizeRelH relativeFrom="margin">
            <wp14:pctWidth>0</wp14:pctWidth>
          </wp14:sizeRelH>
          <wp14:sizeRelV relativeFrom="margin">
            <wp14:pctHeight>0</wp14:pctHeight>
          </wp14:sizeRelV>
        </wp:anchor>
      </w:drawing>
    </w:r>
  </w:p>
  <w:p w:rsidR="005C14FE" w:rsidP="005C14FE" w:rsidRDefault="005C14FE" w14:paraId="7DDAF0AD" w14:textId="77777777">
    <w:pPr>
      <w:pStyle w:val="Encabezado"/>
      <w:tabs>
        <w:tab w:val="right" w:pos="9214"/>
      </w:tabs>
      <w:ind w:left="-851" w:right="-568"/>
      <w:rPr>
        <w:rFonts w:ascii="Arial" w:hAnsi="Arial" w:cs="Arial"/>
        <w:i/>
        <w:iCs/>
        <w:color w:val="333333"/>
        <w:shd w:val="clear" w:color="auto" w:fill="FFFFFF"/>
      </w:rPr>
    </w:pPr>
  </w:p>
  <w:p w:rsidR="005A20F3" w:rsidRDefault="005A20F3" w14:paraId="17280F0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42F5"/>
    <w:multiLevelType w:val="hybridMultilevel"/>
    <w:tmpl w:val="E044397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C44904"/>
    <w:multiLevelType w:val="hybridMultilevel"/>
    <w:tmpl w:val="B2EC8F2A"/>
    <w:lvl w:ilvl="0" w:tplc="140A0019">
      <w:start w:val="1"/>
      <w:numFmt w:val="lowerLetter"/>
      <w:lvlText w:val="%1."/>
      <w:lvlJc w:val="left"/>
      <w:pPr>
        <w:ind w:left="36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162547A6"/>
    <w:multiLevelType w:val="hybridMultilevel"/>
    <w:tmpl w:val="FD9C00D0"/>
    <w:lvl w:ilvl="0" w:tplc="575820F6">
      <w:start w:val="1"/>
      <w:numFmt w:val="lowerLetter"/>
      <w:lvlText w:val="%1."/>
      <w:lvlJc w:val="left"/>
      <w:pPr>
        <w:ind w:left="1070" w:hanging="71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3C878BE"/>
    <w:multiLevelType w:val="hybridMultilevel"/>
    <w:tmpl w:val="1C403D14"/>
    <w:lvl w:ilvl="0" w:tplc="ADAE8FA6">
      <w:start w:val="1"/>
      <w:numFmt w:val="lowerLetter"/>
      <w:lvlText w:val="%1)"/>
      <w:lvlJc w:val="left"/>
      <w:pPr>
        <w:ind w:left="72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685B25F3"/>
    <w:multiLevelType w:val="hybridMultilevel"/>
    <w:tmpl w:val="1640DBCA"/>
    <w:lvl w:ilvl="0" w:tplc="140A001B">
      <w:start w:val="1"/>
      <w:numFmt w:val="lowerRoman"/>
      <w:lvlText w:val="%1."/>
      <w:lvlJc w:val="right"/>
      <w:pPr>
        <w:ind w:left="1776" w:hanging="360"/>
      </w:p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num w:numId="1" w16cid:durableId="1740131309">
    <w:abstractNumId w:val="3"/>
  </w:num>
  <w:num w:numId="2" w16cid:durableId="5532036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1853715">
    <w:abstractNumId w:val="1"/>
  </w:num>
  <w:num w:numId="4" w16cid:durableId="1769228879">
    <w:abstractNumId w:val="0"/>
  </w:num>
  <w:num w:numId="5" w16cid:durableId="706756377">
    <w:abstractNumId w:val="4"/>
  </w:num>
  <w:num w:numId="6" w16cid:durableId="1551770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36"/>
    <w:rsid w:val="00062F7C"/>
    <w:rsid w:val="000659A0"/>
    <w:rsid w:val="000C3466"/>
    <w:rsid w:val="0013064A"/>
    <w:rsid w:val="00141E38"/>
    <w:rsid w:val="00145A6E"/>
    <w:rsid w:val="00151B8C"/>
    <w:rsid w:val="00184D51"/>
    <w:rsid w:val="001F08D0"/>
    <w:rsid w:val="001F1EEF"/>
    <w:rsid w:val="0020586B"/>
    <w:rsid w:val="00252381"/>
    <w:rsid w:val="0027435D"/>
    <w:rsid w:val="00297288"/>
    <w:rsid w:val="002A6514"/>
    <w:rsid w:val="002E3E18"/>
    <w:rsid w:val="00314745"/>
    <w:rsid w:val="00345849"/>
    <w:rsid w:val="00373164"/>
    <w:rsid w:val="003C2190"/>
    <w:rsid w:val="003C7610"/>
    <w:rsid w:val="003E0429"/>
    <w:rsid w:val="00401E80"/>
    <w:rsid w:val="00474AD3"/>
    <w:rsid w:val="00474B54"/>
    <w:rsid w:val="00481AF8"/>
    <w:rsid w:val="004C7AD3"/>
    <w:rsid w:val="005131FB"/>
    <w:rsid w:val="005558FC"/>
    <w:rsid w:val="00582925"/>
    <w:rsid w:val="005937AB"/>
    <w:rsid w:val="005A20F3"/>
    <w:rsid w:val="005A2808"/>
    <w:rsid w:val="005A5D6C"/>
    <w:rsid w:val="005C14FE"/>
    <w:rsid w:val="005F090F"/>
    <w:rsid w:val="00602D3E"/>
    <w:rsid w:val="00626C60"/>
    <w:rsid w:val="00655200"/>
    <w:rsid w:val="00687A14"/>
    <w:rsid w:val="006D61A5"/>
    <w:rsid w:val="006E0902"/>
    <w:rsid w:val="007A5BAA"/>
    <w:rsid w:val="007F3189"/>
    <w:rsid w:val="007F3B4F"/>
    <w:rsid w:val="00815887"/>
    <w:rsid w:val="00830B88"/>
    <w:rsid w:val="008710CA"/>
    <w:rsid w:val="00891776"/>
    <w:rsid w:val="008B6840"/>
    <w:rsid w:val="008E6A0E"/>
    <w:rsid w:val="00963934"/>
    <w:rsid w:val="00972258"/>
    <w:rsid w:val="00987085"/>
    <w:rsid w:val="00987442"/>
    <w:rsid w:val="009A1278"/>
    <w:rsid w:val="00A7779B"/>
    <w:rsid w:val="00A944B3"/>
    <w:rsid w:val="00AA605A"/>
    <w:rsid w:val="00B01179"/>
    <w:rsid w:val="00B0454D"/>
    <w:rsid w:val="00B15504"/>
    <w:rsid w:val="00B348C5"/>
    <w:rsid w:val="00B456B2"/>
    <w:rsid w:val="00B62A5D"/>
    <w:rsid w:val="00B85265"/>
    <w:rsid w:val="00BA110E"/>
    <w:rsid w:val="00BE3880"/>
    <w:rsid w:val="00C02AC7"/>
    <w:rsid w:val="00C26FE6"/>
    <w:rsid w:val="00C5426D"/>
    <w:rsid w:val="00CC1C96"/>
    <w:rsid w:val="00CE7E14"/>
    <w:rsid w:val="00D03943"/>
    <w:rsid w:val="00D33CCB"/>
    <w:rsid w:val="00D36B8E"/>
    <w:rsid w:val="00D707D4"/>
    <w:rsid w:val="00D9015D"/>
    <w:rsid w:val="00DE27E4"/>
    <w:rsid w:val="00DF0D53"/>
    <w:rsid w:val="00E041D9"/>
    <w:rsid w:val="00E26C36"/>
    <w:rsid w:val="00E3537D"/>
    <w:rsid w:val="00E77BDC"/>
    <w:rsid w:val="00EB784D"/>
    <w:rsid w:val="00EF56D8"/>
    <w:rsid w:val="00F23DDB"/>
    <w:rsid w:val="00F242DC"/>
    <w:rsid w:val="00F306AC"/>
    <w:rsid w:val="00F30839"/>
    <w:rsid w:val="00F651FF"/>
    <w:rsid w:val="00FB434C"/>
    <w:rsid w:val="00FC3C0A"/>
    <w:rsid w:val="00FE307E"/>
    <w:rsid w:val="00FF7FCC"/>
    <w:rsid w:val="7206D3A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85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E26C36"/>
    <w:pPr>
      <w:ind w:left="720"/>
      <w:contextualSpacing/>
    </w:pPr>
  </w:style>
  <w:style w:type="character" w:styleId="TextodereglamentoChar" w:customStyle="1">
    <w:name w:val="Texto de reglamento Char"/>
    <w:link w:val="Textodereglamento"/>
    <w:locked/>
    <w:rsid w:val="00E26C36"/>
    <w:rPr>
      <w:rFonts w:ascii="Times New Roman" w:hAnsi="Times New Roman" w:eastAsia="Times New Roman" w:cs="Times New Roman"/>
      <w:szCs w:val="24"/>
      <w:lang w:val="es-ES" w:eastAsia="es-ES"/>
    </w:rPr>
  </w:style>
  <w:style w:type="paragraph" w:styleId="Textodereglamento" w:customStyle="1">
    <w:name w:val="Texto de reglamento"/>
    <w:basedOn w:val="Normal"/>
    <w:link w:val="TextodereglamentoChar"/>
    <w:qFormat/>
    <w:rsid w:val="00E26C36"/>
    <w:pPr>
      <w:spacing w:before="120" w:after="0" w:line="240" w:lineRule="auto"/>
      <w:jc w:val="both"/>
    </w:pPr>
    <w:rPr>
      <w:rFonts w:ascii="Times New Roman" w:hAnsi="Times New Roman" w:eastAsia="Times New Roman" w:cs="Times New Roman"/>
      <w:szCs w:val="24"/>
      <w:lang w:val="es-ES" w:eastAsia="es-ES"/>
    </w:rPr>
  </w:style>
  <w:style w:type="paragraph" w:styleId="Encabezado">
    <w:name w:val="header"/>
    <w:basedOn w:val="Normal"/>
    <w:link w:val="EncabezadoCar"/>
    <w:unhideWhenUsed/>
    <w:rsid w:val="005A20F3"/>
    <w:pPr>
      <w:tabs>
        <w:tab w:val="center" w:pos="4419"/>
        <w:tab w:val="right" w:pos="8838"/>
      </w:tabs>
      <w:spacing w:after="0" w:line="240" w:lineRule="auto"/>
    </w:pPr>
  </w:style>
  <w:style w:type="character" w:styleId="EncabezadoCar" w:customStyle="1">
    <w:name w:val="Encabezado Car"/>
    <w:basedOn w:val="Fuentedeprrafopredeter"/>
    <w:link w:val="Encabezado"/>
    <w:rsid w:val="005A20F3"/>
  </w:style>
  <w:style w:type="paragraph" w:styleId="Piedepgina">
    <w:name w:val="footer"/>
    <w:basedOn w:val="Normal"/>
    <w:link w:val="PiedepginaCar"/>
    <w:uiPriority w:val="99"/>
    <w:unhideWhenUsed/>
    <w:rsid w:val="005A20F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A20F3"/>
  </w:style>
  <w:style w:type="paragraph" w:styleId="Revisin">
    <w:name w:val="Revision"/>
    <w:hidden/>
    <w:uiPriority w:val="99"/>
    <w:semiHidden/>
    <w:rsid w:val="00B348C5"/>
    <w:pPr>
      <w:spacing w:after="0" w:line="240" w:lineRule="auto"/>
    </w:pPr>
  </w:style>
  <w:style w:type="character" w:styleId="Refdecomentario">
    <w:name w:val="annotation reference"/>
    <w:basedOn w:val="Fuentedeprrafopredeter"/>
    <w:uiPriority w:val="99"/>
    <w:semiHidden/>
    <w:unhideWhenUsed/>
    <w:rsid w:val="00B348C5"/>
    <w:rPr>
      <w:sz w:val="16"/>
      <w:szCs w:val="16"/>
    </w:rPr>
  </w:style>
  <w:style w:type="paragraph" w:styleId="Textocomentario">
    <w:name w:val="annotation text"/>
    <w:basedOn w:val="Normal"/>
    <w:link w:val="TextocomentarioCar"/>
    <w:uiPriority w:val="99"/>
    <w:unhideWhenUsed/>
    <w:rsid w:val="00B348C5"/>
    <w:pPr>
      <w:spacing w:line="240" w:lineRule="auto"/>
    </w:pPr>
    <w:rPr>
      <w:sz w:val="20"/>
      <w:szCs w:val="20"/>
    </w:rPr>
  </w:style>
  <w:style w:type="character" w:styleId="TextocomentarioCar" w:customStyle="1">
    <w:name w:val="Texto comentario Car"/>
    <w:basedOn w:val="Fuentedeprrafopredeter"/>
    <w:link w:val="Textocomentario"/>
    <w:uiPriority w:val="99"/>
    <w:rsid w:val="00B348C5"/>
    <w:rPr>
      <w:sz w:val="20"/>
      <w:szCs w:val="20"/>
    </w:rPr>
  </w:style>
  <w:style w:type="paragraph" w:styleId="Asuntodelcomentario">
    <w:name w:val="annotation subject"/>
    <w:basedOn w:val="Textocomentario"/>
    <w:next w:val="Textocomentario"/>
    <w:link w:val="AsuntodelcomentarioCar"/>
    <w:uiPriority w:val="99"/>
    <w:semiHidden/>
    <w:unhideWhenUsed/>
    <w:rsid w:val="00B348C5"/>
    <w:rPr>
      <w:b/>
      <w:bCs/>
    </w:rPr>
  </w:style>
  <w:style w:type="character" w:styleId="AsuntodelcomentarioCar" w:customStyle="1">
    <w:name w:val="Asunto del comentario Car"/>
    <w:basedOn w:val="TextocomentarioCar"/>
    <w:link w:val="Asuntodelcomentario"/>
    <w:uiPriority w:val="99"/>
    <w:semiHidden/>
    <w:rsid w:val="00B348C5"/>
    <w:rPr>
      <w:b/>
      <w:bCs/>
      <w:sz w:val="20"/>
      <w:szCs w:val="20"/>
    </w:rPr>
  </w:style>
  <w:style w:type="paragraph" w:styleId="Textonotapie">
    <w:name w:val="footnote text"/>
    <w:basedOn w:val="Normal"/>
    <w:link w:val="TextonotapieCar"/>
    <w:uiPriority w:val="99"/>
    <w:semiHidden/>
    <w:unhideWhenUsed/>
    <w:rsid w:val="00145A6E"/>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145A6E"/>
    <w:rPr>
      <w:sz w:val="20"/>
      <w:szCs w:val="20"/>
    </w:rPr>
  </w:style>
  <w:style w:type="character" w:styleId="Refdenotaalpie">
    <w:name w:val="footnote reference"/>
    <w:basedOn w:val="Fuentedeprrafopredeter"/>
    <w:uiPriority w:val="99"/>
    <w:semiHidden/>
    <w:unhideWhenUsed/>
    <w:rsid w:val="00145A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499905">
      <w:bodyDiv w:val="1"/>
      <w:marLeft w:val="0"/>
      <w:marRight w:val="0"/>
      <w:marTop w:val="0"/>
      <w:marBottom w:val="0"/>
      <w:divBdr>
        <w:top w:val="none" w:sz="0" w:space="0" w:color="auto"/>
        <w:left w:val="none" w:sz="0" w:space="0" w:color="auto"/>
        <w:bottom w:val="none" w:sz="0" w:space="0" w:color="auto"/>
        <w:right w:val="none" w:sz="0" w:space="0" w:color="auto"/>
      </w:divBdr>
    </w:div>
    <w:div w:id="784008663">
      <w:bodyDiv w:val="1"/>
      <w:marLeft w:val="0"/>
      <w:marRight w:val="0"/>
      <w:marTop w:val="0"/>
      <w:marBottom w:val="0"/>
      <w:divBdr>
        <w:top w:val="none" w:sz="0" w:space="0" w:color="auto"/>
        <w:left w:val="none" w:sz="0" w:space="0" w:color="auto"/>
        <w:bottom w:val="none" w:sz="0" w:space="0" w:color="auto"/>
        <w:right w:val="none" w:sz="0" w:space="0" w:color="auto"/>
      </w:divBdr>
    </w:div>
    <w:div w:id="940452005">
      <w:bodyDiv w:val="1"/>
      <w:marLeft w:val="0"/>
      <w:marRight w:val="0"/>
      <w:marTop w:val="0"/>
      <w:marBottom w:val="0"/>
      <w:divBdr>
        <w:top w:val="none" w:sz="0" w:space="0" w:color="auto"/>
        <w:left w:val="none" w:sz="0" w:space="0" w:color="auto"/>
        <w:bottom w:val="none" w:sz="0" w:space="0" w:color="auto"/>
        <w:right w:val="none" w:sz="0" w:space="0" w:color="auto"/>
      </w:divBdr>
    </w:div>
    <w:div w:id="1324355351">
      <w:bodyDiv w:val="1"/>
      <w:marLeft w:val="0"/>
      <w:marRight w:val="0"/>
      <w:marTop w:val="0"/>
      <w:marBottom w:val="0"/>
      <w:divBdr>
        <w:top w:val="none" w:sz="0" w:space="0" w:color="auto"/>
        <w:left w:val="none" w:sz="0" w:space="0" w:color="auto"/>
        <w:bottom w:val="none" w:sz="0" w:space="0" w:color="auto"/>
        <w:right w:val="none" w:sz="0" w:space="0" w:color="auto"/>
      </w:divBdr>
    </w:div>
    <w:div w:id="1362128296">
      <w:bodyDiv w:val="1"/>
      <w:marLeft w:val="0"/>
      <w:marRight w:val="0"/>
      <w:marTop w:val="0"/>
      <w:marBottom w:val="0"/>
      <w:divBdr>
        <w:top w:val="none" w:sz="0" w:space="0" w:color="auto"/>
        <w:left w:val="none" w:sz="0" w:space="0" w:color="auto"/>
        <w:bottom w:val="none" w:sz="0" w:space="0" w:color="auto"/>
        <w:right w:val="none" w:sz="0" w:space="0" w:color="auto"/>
      </w:divBdr>
    </w:div>
    <w:div w:id="173365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6.xml><?xml version="1.0" encoding="utf-8"?>
<?mso-contentType ?>
<spe:Receivers xmlns:spe="http://schemas.microsoft.com/sharepoint/events">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638363850533699008</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638363850533699008</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638363850533699008</Data>
    <Filter/>
  </Receiver>
  <Receiver>
    <Name>Nintex conditional workflow start</Name>
    <Synchronization>Synchronous</Synchronization>
    <Type>10004</Type>
    <SequenceNumber>50000</SequenceNumber>
    <Url/>
    <Assembly>Nintex.Workflow, Version=1.0.0.0, Culture=neutral, PublicKeyToken=913f6bae0ca5ae12</Assembly>
    <Class>Nintex.Workflow.ConditionalWorkflowStartReceiver</Class>
    <Data>638363850533699008</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BFEC30-572B-4928-84F0-42CCC1F6E4B0}">
  <ds:schemaRefs>
    <ds:schemaRef ds:uri="http://schemas.microsoft.com/office/2006/metadata/properties"/>
    <ds:schemaRef ds:uri="http://schemas.microsoft.com/office/infopath/2007/PartnerControls"/>
    <ds:schemaRef ds:uri="http://schemas.microsoft.com/sharepoint/v3"/>
    <ds:schemaRef ds:uri="d84ba8d6-d99c-426b-9ce0-bd863618ee62"/>
  </ds:schemaRefs>
</ds:datastoreItem>
</file>

<file path=customXml/itemProps2.xml><?xml version="1.0" encoding="utf-8"?>
<ds:datastoreItem xmlns:ds="http://schemas.openxmlformats.org/officeDocument/2006/customXml" ds:itemID="{B69A249F-5764-4CA9-8F91-52163B614BFF}">
  <ds:schemaRefs/>
</ds:datastoreItem>
</file>

<file path=customXml/itemProps3.xml><?xml version="1.0" encoding="utf-8"?>
<ds:datastoreItem xmlns:ds="http://schemas.openxmlformats.org/officeDocument/2006/customXml" ds:itemID="{21B213FD-6D0D-4B39-8A5F-2FE34801E82D}"/>
</file>

<file path=customXml/itemProps4.xml><?xml version="1.0" encoding="utf-8"?>
<ds:datastoreItem xmlns:ds="http://schemas.openxmlformats.org/officeDocument/2006/customXml" ds:itemID="{40CFFCB3-FA0E-4AA1-AAF5-A1470C2F7546}">
  <ds:schemaRefs>
    <ds:schemaRef ds:uri="http://schemas.microsoft.com/sharepoint/v3/contenttype/forms"/>
  </ds:schemaRefs>
</ds:datastoreItem>
</file>

<file path=customXml/itemProps5.xml><?xml version="1.0" encoding="utf-8"?>
<ds:datastoreItem xmlns:ds="http://schemas.openxmlformats.org/officeDocument/2006/customXml" ds:itemID="{49B45CAC-A4F5-41CA-9DAE-09197EF68C61}">
  <ds:schemaRefs>
    <ds:schemaRef ds:uri="http://schemas.microsoft.com/sharepoint/v3/contenttype/forms/url"/>
  </ds:schemaRefs>
</ds:datastoreItem>
</file>

<file path=customXml/itemProps6.xml><?xml version="1.0" encoding="utf-8"?>
<ds:datastoreItem xmlns:ds="http://schemas.openxmlformats.org/officeDocument/2006/customXml" ds:itemID="{39C95590-1CAB-4DDC-A195-74ACFC623962}">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SGV-A-2-2025, Inclusión de funciones delegadas al Intendente en el Acuerdo SGV-A-176, delegación de competencias </dc:title>
  <dc:subject/>
  <dc:creator/>
  <cp:keywords/>
  <dc:description/>
  <cp:lastModifiedBy>TAN CHAN ISABEL MARIA</cp:lastModifiedBy>
  <cp:revision>2</cp:revision>
  <dcterms:created xsi:type="dcterms:W3CDTF">2025-03-24T18:46:00Z</dcterms:created>
  <dcterms:modified xsi:type="dcterms:W3CDTF">2025-05-08T18:24:58Z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7b8f26f3,74ddc581,1d5ad1ee</vt:lpwstr>
  </property>
  <property fmtid="{D5CDD505-2E9C-101B-9397-08002B2CF9AE}" pid="3" name="ClassificationContentMarkingFooterFontProps">
    <vt:lpwstr>#000000,10,Calibri</vt:lpwstr>
  </property>
  <property fmtid="{D5CDD505-2E9C-101B-9397-08002B2CF9AE}" pid="4" name="ClassificationContentMarkingFooterText">
    <vt:lpwstr>Uso Interno</vt:lpwstr>
  </property>
  <property fmtid="{D5CDD505-2E9C-101B-9397-08002B2CF9AE}" pid="5" name="MSIP_Label_b8b4be34-365a-4a68-b9fb-75c1b6874315_Enabled">
    <vt:lpwstr>true</vt:lpwstr>
  </property>
  <property fmtid="{D5CDD505-2E9C-101B-9397-08002B2CF9AE}" pid="6" name="MSIP_Label_b8b4be34-365a-4a68-b9fb-75c1b6874315_SetDate">
    <vt:lpwstr>2025-03-24T18:46:10Z</vt:lpwstr>
  </property>
  <property fmtid="{D5CDD505-2E9C-101B-9397-08002B2CF9AE}" pid="7" name="MSIP_Label_b8b4be34-365a-4a68-b9fb-75c1b6874315_Method">
    <vt:lpwstr>Standard</vt:lpwstr>
  </property>
  <property fmtid="{D5CDD505-2E9C-101B-9397-08002B2CF9AE}" pid="8" name="MSIP_Label_b8b4be34-365a-4a68-b9fb-75c1b6874315_Name">
    <vt:lpwstr>b8b4be34-365a-4a68-b9fb-75c1b6874315</vt:lpwstr>
  </property>
  <property fmtid="{D5CDD505-2E9C-101B-9397-08002B2CF9AE}" pid="9" name="MSIP_Label_b8b4be34-365a-4a68-b9fb-75c1b6874315_SiteId">
    <vt:lpwstr>618d0a45-25a6-4618-9f80-8f70a435ee52</vt:lpwstr>
  </property>
  <property fmtid="{D5CDD505-2E9C-101B-9397-08002B2CF9AE}" pid="10" name="MSIP_Label_b8b4be34-365a-4a68-b9fb-75c1b6874315_ActionId">
    <vt:lpwstr>0aec5f1b-40b8-4d7c-a953-b02028974d3c</vt:lpwstr>
  </property>
  <property fmtid="{D5CDD505-2E9C-101B-9397-08002B2CF9AE}" pid="11" name="MSIP_Label_b8b4be34-365a-4a68-b9fb-75c1b6874315_ContentBits">
    <vt:lpwstr>2</vt:lpwstr>
  </property>
  <property fmtid="{D5CDD505-2E9C-101B-9397-08002B2CF9AE}" pid="12" name="MSIP_Label_b8b4be34-365a-4a68-b9fb-75c1b6874315_Tag">
    <vt:lpwstr>10, 3, 0, 1</vt:lpwstr>
  </property>
  <property fmtid="{D5CDD505-2E9C-101B-9397-08002B2CF9AE}" pid="13" name="ContentTypeId">
    <vt:lpwstr>0x010100C66477CF232ACD46B93353E93693837C</vt:lpwstr>
  </property>
  <property fmtid="{D5CDD505-2E9C-101B-9397-08002B2CF9AE}" pid="14" name="_dlc_DocIdItemGuid">
    <vt:lpwstr>33c007a6-fe72-4eab-8c5a-f869c655c7c2</vt:lpwstr>
  </property>
  <property fmtid="{D5CDD505-2E9C-101B-9397-08002B2CF9AE}" pid="15" name="WorkflowChangePath">
    <vt:lpwstr>925af84c-f9b4-4c9e-aa34-aa473371a36e,6;73ce36ca-d441-4a75-b674-1e19e4671a8e,16;</vt:lpwstr>
  </property>
  <property fmtid="{D5CDD505-2E9C-101B-9397-08002B2CF9AE}" pid="16" name="DestinatarioInterno">
    <vt:lpwstr>1025;#i:0#.w|sugese\soleypt</vt:lpwstr>
  </property>
  <property fmtid="{D5CDD505-2E9C-101B-9397-08002B2CF9AE}" pid="17" name="TipoDocumental">
    <vt:lpwstr>Acuerdos</vt:lpwstr>
  </property>
</Properties>
</file>