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2565" w14:textId="77777777" w:rsidR="00732A5D" w:rsidRPr="00742893" w:rsidRDefault="00061730" w:rsidP="00742893">
      <w:pPr>
        <w:tabs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noProof/>
          <w:sz w:val="24"/>
          <w:szCs w:val="24"/>
          <w:lang w:val="es-ES_tradnl"/>
        </w:rPr>
      </w:pPr>
      <w:r w:rsidRPr="00742893">
        <w:rPr>
          <w:rFonts w:ascii="Arial" w:eastAsia="Times New Roman" w:hAnsi="Arial" w:cs="Arial"/>
          <w:b/>
          <w:bCs/>
          <w:iCs/>
          <w:noProof/>
          <w:sz w:val="24"/>
          <w:szCs w:val="24"/>
          <w:lang w:val="es-ES_tradnl"/>
        </w:rPr>
        <w:t>SGV-A-200.</w:t>
      </w:r>
      <w:r w:rsidR="00732A5D" w:rsidRPr="00742893">
        <w:rPr>
          <w:rFonts w:ascii="Arial" w:eastAsia="Times New Roman" w:hAnsi="Arial" w:cs="Arial"/>
          <w:b/>
          <w:bCs/>
          <w:iCs/>
          <w:noProof/>
          <w:sz w:val="24"/>
          <w:szCs w:val="24"/>
          <w:lang w:val="es-ES_tradnl"/>
        </w:rPr>
        <w:t xml:space="preserve"> Modificación al Acuerdo SGV-A-176 Delegación de competencias </w:t>
      </w:r>
      <w:r w:rsidR="00732A5D" w:rsidRPr="00742893">
        <w:rPr>
          <w:rStyle w:val="FootnoteReference"/>
          <w:rFonts w:ascii="Arial" w:eastAsia="Times New Roman" w:hAnsi="Arial" w:cs="Arial"/>
          <w:b/>
          <w:bCs/>
          <w:iCs/>
          <w:noProof/>
          <w:sz w:val="24"/>
          <w:szCs w:val="24"/>
          <w:lang w:val="es-ES_tradnl"/>
        </w:rPr>
        <w:footnoteReference w:id="1"/>
      </w:r>
    </w:p>
    <w:p w14:paraId="33322566" w14:textId="77777777" w:rsidR="00732A5D" w:rsidRPr="00D02F21" w:rsidRDefault="00732A5D" w:rsidP="0074289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3322567" w14:textId="61609D3C" w:rsidR="00061730" w:rsidRPr="00742893" w:rsidRDefault="00742893" w:rsidP="00742893">
      <w:pPr>
        <w:spacing w:line="240" w:lineRule="auto"/>
        <w:rPr>
          <w:rFonts w:ascii="Arial" w:eastAsia="Arial Unicode MS" w:hAnsi="Arial" w:cs="Arial"/>
          <w:b/>
          <w:color w:val="000000" w:themeColor="text1"/>
          <w:szCs w:val="32"/>
        </w:rPr>
      </w:pPr>
      <w:r w:rsidRPr="00742893">
        <w:rPr>
          <w:rFonts w:ascii="Arial" w:eastAsia="Arial Unicode MS" w:hAnsi="Arial" w:cs="Arial"/>
          <w:b/>
          <w:color w:val="000000" w:themeColor="text1"/>
          <w:szCs w:val="32"/>
        </w:rPr>
        <w:t>Considerando que:</w:t>
      </w:r>
    </w:p>
    <w:p w14:paraId="33322568" w14:textId="77777777" w:rsidR="00061730" w:rsidRPr="00D02F21" w:rsidRDefault="00061730" w:rsidP="00742893">
      <w:pPr>
        <w:widowControl w:val="0"/>
        <w:tabs>
          <w:tab w:val="left" w:pos="2835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Cs/>
          <w:noProof/>
          <w:sz w:val="20"/>
          <w:szCs w:val="20"/>
          <w:lang w:val="es-ES_tradnl"/>
        </w:rPr>
      </w:pPr>
    </w:p>
    <w:p w14:paraId="33322569" w14:textId="77777777" w:rsidR="00A2215E" w:rsidRPr="00742893" w:rsidRDefault="00A2215E" w:rsidP="00742893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La Ley Reguladora del Mercado de Valores en su artículo 8 inciso f) concede al Superintendente General potestades de jerarca administrativo de la Superintendencia General de Valores y en esa condición, está dentro de sus competencias</w:t>
      </w:r>
      <w:r w:rsidR="00D474F5" w:rsidRPr="00742893">
        <w:rPr>
          <w:rFonts w:ascii="Arial" w:hAnsi="Arial" w:cs="Arial"/>
        </w:rPr>
        <w:t xml:space="preserve"> definir la distribución interna de funciones con la finalidad de cumplir de la manera más adecuada y eficiente con los fines y objetivos que la Ley le asigna.</w:t>
      </w:r>
    </w:p>
    <w:p w14:paraId="3332256A" w14:textId="77777777" w:rsidR="00A2215E" w:rsidRPr="00742893" w:rsidRDefault="00A2215E" w:rsidP="00061730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Mediante el Acuerdo SGV-A-176 Delegación de competencias, publicado en el Diario Oficial La Gaceta No. 22 del 1 de febrero del 2011, se delegó formalmente a los responsables de las principales áreas de acción de la SUGEVAL el conocimiento y la resolución de trámites e informes específicos.</w:t>
      </w:r>
    </w:p>
    <w:p w14:paraId="3332256B" w14:textId="77777777" w:rsidR="001D02BC" w:rsidRPr="00742893" w:rsidRDefault="00201F23" w:rsidP="00061730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El artículo 11 de la Ley N°</w:t>
      </w:r>
      <w:r w:rsidR="00222C5E" w:rsidRPr="00742893">
        <w:rPr>
          <w:rFonts w:ascii="Arial" w:hAnsi="Arial" w:cs="Arial"/>
        </w:rPr>
        <w:t xml:space="preserve"> </w:t>
      </w:r>
      <w:r w:rsidRPr="00742893">
        <w:rPr>
          <w:rFonts w:ascii="Arial" w:hAnsi="Arial" w:cs="Arial"/>
        </w:rPr>
        <w:t>8220 Protección al ciudadano del exceso de requisitos y trámites administrativos</w:t>
      </w:r>
      <w:r w:rsidR="00332029" w:rsidRPr="00742893">
        <w:rPr>
          <w:rFonts w:ascii="Arial" w:hAnsi="Arial" w:cs="Arial"/>
        </w:rPr>
        <w:t xml:space="preserve"> </w:t>
      </w:r>
      <w:r w:rsidRPr="00742893">
        <w:rPr>
          <w:rFonts w:ascii="Arial" w:hAnsi="Arial" w:cs="Arial"/>
        </w:rPr>
        <w:t xml:space="preserve">establece las responsabilidades </w:t>
      </w:r>
      <w:r w:rsidR="00332029" w:rsidRPr="00742893">
        <w:rPr>
          <w:rFonts w:ascii="Arial" w:hAnsi="Arial" w:cs="Arial"/>
        </w:rPr>
        <w:t>para</w:t>
      </w:r>
      <w:r w:rsidRPr="00742893">
        <w:rPr>
          <w:rFonts w:ascii="Arial" w:hAnsi="Arial" w:cs="Arial"/>
        </w:rPr>
        <w:t xml:space="preserve"> l</w:t>
      </w:r>
      <w:r w:rsidRPr="00742893">
        <w:rPr>
          <w:rFonts w:ascii="Arial" w:hAnsi="Arial" w:cs="Arial"/>
          <w:lang w:val="es-ES" w:eastAsia="es-ES"/>
        </w:rPr>
        <w:t xml:space="preserve">a </w:t>
      </w:r>
      <w:r w:rsidR="00332029" w:rsidRPr="00742893">
        <w:rPr>
          <w:rFonts w:ascii="Arial" w:hAnsi="Arial" w:cs="Arial"/>
          <w:lang w:val="es-ES" w:eastAsia="es-ES"/>
        </w:rPr>
        <w:t>a</w:t>
      </w:r>
      <w:r w:rsidRPr="00742893">
        <w:rPr>
          <w:rFonts w:ascii="Arial" w:hAnsi="Arial" w:cs="Arial"/>
          <w:lang w:val="es-ES" w:eastAsia="es-ES"/>
        </w:rPr>
        <w:t xml:space="preserve">dministración descentralizada </w:t>
      </w:r>
      <w:r w:rsidRPr="00742893">
        <w:rPr>
          <w:rFonts w:ascii="Arial" w:hAnsi="Arial" w:cs="Arial"/>
        </w:rPr>
        <w:t xml:space="preserve">de velar por </w:t>
      </w:r>
      <w:r w:rsidR="00222C5E" w:rsidRPr="00742893">
        <w:rPr>
          <w:rFonts w:ascii="Arial" w:hAnsi="Arial" w:cs="Arial"/>
        </w:rPr>
        <w:t>el</w:t>
      </w:r>
      <w:r w:rsidRPr="00742893">
        <w:rPr>
          <w:rFonts w:ascii="Arial" w:hAnsi="Arial" w:cs="Arial"/>
        </w:rPr>
        <w:t xml:space="preserve"> cumplimiento y seguimiento de los programas de mejora regulatoria </w:t>
      </w:r>
      <w:r w:rsidR="00222C5E" w:rsidRPr="00742893">
        <w:rPr>
          <w:rFonts w:ascii="Arial" w:hAnsi="Arial" w:cs="Arial"/>
        </w:rPr>
        <w:t xml:space="preserve">y simplificación de trámites </w:t>
      </w:r>
      <w:r w:rsidRPr="00742893">
        <w:rPr>
          <w:rFonts w:ascii="Arial" w:hAnsi="Arial" w:cs="Arial"/>
        </w:rPr>
        <w:t xml:space="preserve">que se </w:t>
      </w:r>
      <w:r w:rsidR="00332029" w:rsidRPr="00742893">
        <w:rPr>
          <w:rFonts w:ascii="Arial" w:hAnsi="Arial" w:cs="Arial"/>
        </w:rPr>
        <w:t>defin</w:t>
      </w:r>
      <w:r w:rsidRPr="00742893">
        <w:rPr>
          <w:rFonts w:ascii="Arial" w:hAnsi="Arial" w:cs="Arial"/>
        </w:rPr>
        <w:t>an</w:t>
      </w:r>
      <w:r w:rsidR="00222C5E" w:rsidRPr="00742893">
        <w:rPr>
          <w:rFonts w:ascii="Arial" w:hAnsi="Arial" w:cs="Arial"/>
        </w:rPr>
        <w:t>.</w:t>
      </w:r>
      <w:r w:rsidR="005A279A" w:rsidRPr="00742893">
        <w:rPr>
          <w:rFonts w:ascii="Arial" w:hAnsi="Arial" w:cs="Arial"/>
        </w:rPr>
        <w:t xml:space="preserve"> </w:t>
      </w:r>
    </w:p>
    <w:p w14:paraId="3332256C" w14:textId="77777777" w:rsidR="001D02BC" w:rsidRPr="00742893" w:rsidRDefault="005A279A" w:rsidP="00061730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El Proyecto de Optimización del Proceso de Autorización de Nuevos Emisores forma parte del Plan de Mejora Regulatoria impulsado por el Ministerio de Economía, Industria y Comercio, así como del Plan Estratégico Institucional 2014-2017 de la Superintendencia General de Valores.</w:t>
      </w:r>
      <w:r w:rsidR="00AA79B4" w:rsidRPr="00742893">
        <w:rPr>
          <w:rFonts w:ascii="Arial" w:hAnsi="Arial" w:cs="Arial"/>
        </w:rPr>
        <w:t xml:space="preserve"> Como parte de las medidas propuestas en dicho proyecto para hacer más eficiente el proceso de autorización de oferta pública de nuevos emisores, se ha planteado la </w:t>
      </w:r>
      <w:r w:rsidR="001D02BC" w:rsidRPr="00742893">
        <w:rPr>
          <w:rFonts w:ascii="Arial" w:hAnsi="Arial" w:cs="Arial"/>
        </w:rPr>
        <w:t>conveniencia de que la prevención al solicitante para que complete los requisitos</w:t>
      </w:r>
      <w:r w:rsidR="00AA79B4" w:rsidRPr="00742893">
        <w:rPr>
          <w:rFonts w:ascii="Arial" w:hAnsi="Arial" w:cs="Arial"/>
        </w:rPr>
        <w:t xml:space="preserve"> </w:t>
      </w:r>
      <w:r w:rsidR="001D02BC" w:rsidRPr="00742893">
        <w:rPr>
          <w:rFonts w:ascii="Arial" w:hAnsi="Arial" w:cs="Arial"/>
        </w:rPr>
        <w:t xml:space="preserve">omitidos en la solicitud o para que aclare o subsane la información, sea realizada por la Dirección del Departamento de Oferta Pública. </w:t>
      </w:r>
    </w:p>
    <w:p w14:paraId="3332256D" w14:textId="77777777" w:rsidR="001D02BC" w:rsidRPr="00742893" w:rsidRDefault="00452B07" w:rsidP="00061730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 xml:space="preserve">En vista de que la reducción de los plazos de autorización producto de la </w:t>
      </w:r>
      <w:r w:rsidR="00D03BE7" w:rsidRPr="00742893">
        <w:rPr>
          <w:rFonts w:ascii="Arial" w:hAnsi="Arial" w:cs="Arial"/>
        </w:rPr>
        <w:t>medida mencionada también beneficiaría</w:t>
      </w:r>
      <w:r w:rsidR="001D02BC" w:rsidRPr="00742893">
        <w:rPr>
          <w:rFonts w:ascii="Arial" w:hAnsi="Arial" w:cs="Arial"/>
        </w:rPr>
        <w:t xml:space="preserve"> a los demás trámites a cargo el Departamento de Oferta Pública, se propone la modificación del Acuerdo SGV-A-176 Delegación de Competencias </w:t>
      </w:r>
      <w:r w:rsidR="005E1247" w:rsidRPr="00742893">
        <w:rPr>
          <w:rFonts w:ascii="Arial" w:hAnsi="Arial" w:cs="Arial"/>
        </w:rPr>
        <w:t xml:space="preserve"> para facultar a la Dirección el Departamento</w:t>
      </w:r>
      <w:r w:rsidR="001D02BC" w:rsidRPr="00742893">
        <w:rPr>
          <w:rFonts w:ascii="Arial" w:hAnsi="Arial" w:cs="Arial"/>
        </w:rPr>
        <w:t xml:space="preserve"> de Oferta Pública </w:t>
      </w:r>
      <w:r w:rsidR="005E1247" w:rsidRPr="00742893">
        <w:rPr>
          <w:rFonts w:ascii="Arial" w:hAnsi="Arial" w:cs="Arial"/>
        </w:rPr>
        <w:t>a</w:t>
      </w:r>
      <w:r w:rsidR="001D02BC" w:rsidRPr="00742893">
        <w:rPr>
          <w:rFonts w:ascii="Arial" w:hAnsi="Arial" w:cs="Arial"/>
        </w:rPr>
        <w:t xml:space="preserve"> firmar los informes de observaciones de todos los trámites de autorización</w:t>
      </w:r>
      <w:r w:rsidR="005E1247" w:rsidRPr="00742893">
        <w:rPr>
          <w:rFonts w:ascii="Arial" w:hAnsi="Arial" w:cs="Arial"/>
        </w:rPr>
        <w:t xml:space="preserve"> (inscripción, modificación y </w:t>
      </w:r>
      <w:proofErr w:type="spellStart"/>
      <w:r w:rsidR="005E1247" w:rsidRPr="00742893">
        <w:rPr>
          <w:rFonts w:ascii="Arial" w:hAnsi="Arial" w:cs="Arial"/>
        </w:rPr>
        <w:t>desinscripción</w:t>
      </w:r>
      <w:proofErr w:type="spellEnd"/>
      <w:r w:rsidR="005E1247" w:rsidRPr="00742893">
        <w:rPr>
          <w:rFonts w:ascii="Arial" w:hAnsi="Arial" w:cs="Arial"/>
        </w:rPr>
        <w:t>)</w:t>
      </w:r>
      <w:r w:rsidR="001D02BC" w:rsidRPr="00742893">
        <w:rPr>
          <w:rFonts w:ascii="Arial" w:hAnsi="Arial" w:cs="Arial"/>
        </w:rPr>
        <w:t xml:space="preserve"> de participantes y de productos.</w:t>
      </w:r>
    </w:p>
    <w:p w14:paraId="3332256F" w14:textId="425672E0" w:rsidR="002C165D" w:rsidRPr="00426AB9" w:rsidRDefault="002C165D" w:rsidP="00426AB9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Con</w:t>
      </w:r>
      <w:r w:rsidRPr="00742893">
        <w:rPr>
          <w:rFonts w:ascii="Arial" w:hAnsi="Arial" w:cs="Arial"/>
          <w:lang w:val="es-ES_tradnl"/>
        </w:rPr>
        <w:t xml:space="preserve"> fundamento en el Artículo 361, inciso 2) de la Ley General de Administración Pública y por tratarse de un asunto en beneficio del administrado, este acuerdo se exime del trámite de consulta.</w:t>
      </w:r>
    </w:p>
    <w:p w14:paraId="1E58DDC3" w14:textId="77777777" w:rsidR="00742893" w:rsidRPr="00742893" w:rsidRDefault="00742893" w:rsidP="002C165D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val="es-MX" w:eastAsia="es-ES"/>
        </w:rPr>
      </w:pPr>
    </w:p>
    <w:p w14:paraId="33322570" w14:textId="77777777" w:rsidR="00E53E41" w:rsidRPr="00742893" w:rsidRDefault="00E53E41" w:rsidP="00E53E41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42893">
        <w:rPr>
          <w:rFonts w:ascii="Arial" w:eastAsia="Times New Roman" w:hAnsi="Arial" w:cs="Arial"/>
          <w:b/>
          <w:lang w:eastAsia="es-ES"/>
        </w:rPr>
        <w:t>Por tanto dispone el presente acuerdo:</w:t>
      </w:r>
    </w:p>
    <w:p w14:paraId="33322571" w14:textId="77777777" w:rsidR="00E53E41" w:rsidRPr="00742893" w:rsidRDefault="00E53E41" w:rsidP="00E53E41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3322572" w14:textId="77777777" w:rsidR="00E53E41" w:rsidRPr="00742893" w:rsidRDefault="00732A5D" w:rsidP="00E53E41">
      <w:pPr>
        <w:tabs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742893">
        <w:rPr>
          <w:rFonts w:ascii="Arial" w:eastAsia="Times New Roman" w:hAnsi="Arial" w:cs="Arial"/>
          <w:b/>
          <w:lang w:eastAsia="es-ES"/>
        </w:rPr>
        <w:lastRenderedPageBreak/>
        <w:t xml:space="preserve">SGV-A-200.  MODIFICACIÓN AL ACUERDO </w:t>
      </w:r>
      <w:r w:rsidRPr="00742893">
        <w:rPr>
          <w:rFonts w:ascii="Arial" w:eastAsia="Arial Unicode MS" w:hAnsi="Arial" w:cs="Arial"/>
          <w:b/>
          <w:bCs/>
        </w:rPr>
        <w:t>SGV-A-176 DELEGACIÓN DE COMPETENCIAS</w:t>
      </w:r>
    </w:p>
    <w:p w14:paraId="33322573" w14:textId="77777777" w:rsidR="00061730" w:rsidRPr="00742893" w:rsidRDefault="00061730" w:rsidP="002C165D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3322574" w14:textId="77777777" w:rsidR="00AD63F6" w:rsidRPr="00742893" w:rsidRDefault="002C165D" w:rsidP="00E53E41">
      <w:pPr>
        <w:pStyle w:val="ListParagraph"/>
        <w:numPr>
          <w:ilvl w:val="0"/>
          <w:numId w:val="7"/>
        </w:numPr>
        <w:spacing w:after="240" w:line="240" w:lineRule="auto"/>
        <w:ind w:left="567" w:hanging="567"/>
        <w:jc w:val="both"/>
        <w:rPr>
          <w:rFonts w:ascii="Arial" w:eastAsia="Times New Roman" w:hAnsi="Arial" w:cs="Arial"/>
          <w:lang w:eastAsia="es-ES"/>
        </w:rPr>
      </w:pPr>
      <w:r w:rsidRPr="00742893">
        <w:rPr>
          <w:rFonts w:ascii="Arial" w:eastAsia="Times New Roman" w:hAnsi="Arial" w:cs="Arial"/>
          <w:lang w:eastAsia="es-ES"/>
        </w:rPr>
        <w:t>Modificar</w:t>
      </w:r>
      <w:r w:rsidR="00AD63F6" w:rsidRPr="00742893">
        <w:rPr>
          <w:rFonts w:ascii="Arial" w:eastAsia="Times New Roman" w:hAnsi="Arial" w:cs="Arial"/>
          <w:b/>
          <w:lang w:eastAsia="es-ES"/>
        </w:rPr>
        <w:t xml:space="preserve"> </w:t>
      </w:r>
      <w:r w:rsidR="00AD63F6" w:rsidRPr="00742893">
        <w:rPr>
          <w:rFonts w:ascii="Arial" w:eastAsia="Times New Roman" w:hAnsi="Arial" w:cs="Arial"/>
          <w:lang w:eastAsia="es-ES"/>
        </w:rPr>
        <w:t xml:space="preserve">el </w:t>
      </w:r>
      <w:r w:rsidR="00BA3730" w:rsidRPr="00742893">
        <w:rPr>
          <w:rFonts w:ascii="Arial" w:eastAsia="Times New Roman" w:hAnsi="Arial" w:cs="Arial"/>
          <w:lang w:eastAsia="es-ES"/>
        </w:rPr>
        <w:t>numeral 3 del Acuerdo</w:t>
      </w:r>
      <w:r w:rsidR="007C6905" w:rsidRPr="00742893">
        <w:rPr>
          <w:rFonts w:ascii="Arial" w:eastAsia="Times New Roman" w:hAnsi="Arial" w:cs="Arial"/>
          <w:lang w:eastAsia="es-ES"/>
        </w:rPr>
        <w:t xml:space="preserve"> SGV-A-176</w:t>
      </w:r>
      <w:r w:rsidR="004F3633" w:rsidRPr="00742893">
        <w:rPr>
          <w:rFonts w:ascii="Arial" w:eastAsia="Times New Roman" w:hAnsi="Arial" w:cs="Arial"/>
          <w:lang w:eastAsia="es-ES"/>
        </w:rPr>
        <w:t xml:space="preserve"> Delegación de competencias</w:t>
      </w:r>
      <w:r w:rsidR="00BA3730" w:rsidRPr="00742893">
        <w:rPr>
          <w:rFonts w:ascii="Arial" w:eastAsia="Times New Roman" w:hAnsi="Arial" w:cs="Arial"/>
          <w:lang w:eastAsia="es-ES"/>
        </w:rPr>
        <w:t xml:space="preserve">, específicamente el </w:t>
      </w:r>
      <w:r w:rsidR="00AD63F6" w:rsidRPr="00742893">
        <w:rPr>
          <w:rFonts w:ascii="Arial" w:eastAsia="Times New Roman" w:hAnsi="Arial" w:cs="Arial"/>
          <w:lang w:eastAsia="es-ES"/>
        </w:rPr>
        <w:t>apartado correspondiente a la Dirección del Departamento de Oferta Pública</w:t>
      </w:r>
      <w:r w:rsidR="00BA3730" w:rsidRPr="00742893">
        <w:rPr>
          <w:rFonts w:ascii="Arial" w:eastAsia="Times New Roman" w:hAnsi="Arial" w:cs="Arial"/>
          <w:lang w:eastAsia="es-ES"/>
        </w:rPr>
        <w:t>,</w:t>
      </w:r>
      <w:r w:rsidR="00AD63F6" w:rsidRPr="00742893">
        <w:rPr>
          <w:rFonts w:ascii="Arial" w:eastAsia="Times New Roman" w:hAnsi="Arial" w:cs="Arial"/>
          <w:lang w:eastAsia="es-ES"/>
        </w:rPr>
        <w:t xml:space="preserve"> para que se lea como sigue:</w:t>
      </w:r>
    </w:p>
    <w:p w14:paraId="33322575" w14:textId="77777777" w:rsidR="002C165D" w:rsidRPr="00742893" w:rsidRDefault="00DD1FB2" w:rsidP="00E53E41">
      <w:pPr>
        <w:tabs>
          <w:tab w:val="left" w:pos="567"/>
        </w:tabs>
        <w:spacing w:after="240" w:line="240" w:lineRule="auto"/>
        <w:ind w:left="567" w:right="49" w:hanging="567"/>
        <w:jc w:val="both"/>
        <w:rPr>
          <w:rFonts w:ascii="Arial" w:hAnsi="Arial" w:cs="Arial"/>
        </w:rPr>
      </w:pPr>
      <w:r w:rsidRPr="00742893">
        <w:rPr>
          <w:rFonts w:ascii="Arial" w:eastAsia="Times New Roman" w:hAnsi="Arial" w:cs="Arial"/>
          <w:lang w:eastAsia="es-ES"/>
        </w:rPr>
        <w:t xml:space="preserve">3. </w:t>
      </w:r>
      <w:r w:rsidR="00E53E41" w:rsidRPr="00742893">
        <w:rPr>
          <w:rFonts w:ascii="Arial" w:eastAsia="Times New Roman" w:hAnsi="Arial" w:cs="Arial"/>
          <w:lang w:eastAsia="es-ES"/>
        </w:rPr>
        <w:tab/>
      </w:r>
      <w:r w:rsidR="00AD63F6" w:rsidRPr="00742893">
        <w:rPr>
          <w:rFonts w:ascii="Arial" w:eastAsia="Times New Roman" w:hAnsi="Arial" w:cs="Arial"/>
          <w:lang w:eastAsia="es-ES"/>
        </w:rPr>
        <w:t>Otorgar</w:t>
      </w:r>
      <w:r w:rsidR="00AD63F6" w:rsidRPr="00742893">
        <w:rPr>
          <w:rStyle w:val="font1"/>
          <w:rFonts w:ascii="Arial" w:hAnsi="Arial" w:cs="Arial"/>
          <w:i/>
          <w:sz w:val="22"/>
          <w:szCs w:val="22"/>
        </w:rPr>
        <w:t xml:space="preserve">, </w:t>
      </w:r>
      <w:r w:rsidR="00AD63F6" w:rsidRPr="00742893">
        <w:rPr>
          <w:rStyle w:val="font1"/>
          <w:rFonts w:ascii="Arial" w:hAnsi="Arial" w:cs="Arial"/>
          <w:sz w:val="22"/>
          <w:szCs w:val="22"/>
        </w:rPr>
        <w:t>para cada unidad administrativa de la Institución, las competencias para conocer, resolver y emitir los oficios  sobre los asuntos que se detallan seguidamente</w:t>
      </w:r>
    </w:p>
    <w:p w14:paraId="33322576" w14:textId="77777777" w:rsidR="00A96246" w:rsidRPr="00742893" w:rsidRDefault="00A96246" w:rsidP="00A96246">
      <w:pPr>
        <w:spacing w:before="100" w:beforeAutospacing="1" w:after="100" w:afterAutospacing="1"/>
        <w:jc w:val="both"/>
        <w:rPr>
          <w:rStyle w:val="font1"/>
          <w:rFonts w:ascii="Arial" w:hAnsi="Arial" w:cs="Arial"/>
          <w:b/>
          <w:sz w:val="22"/>
          <w:szCs w:val="22"/>
        </w:rPr>
      </w:pPr>
      <w:r w:rsidRPr="00742893">
        <w:rPr>
          <w:rStyle w:val="font1"/>
          <w:rFonts w:ascii="Arial" w:hAnsi="Arial" w:cs="Arial"/>
          <w:b/>
          <w:sz w:val="22"/>
          <w:szCs w:val="22"/>
        </w:rPr>
        <w:t>Al Director(a) del Departamento de Oferta Pública:</w:t>
      </w:r>
    </w:p>
    <w:p w14:paraId="33322577" w14:textId="77777777" w:rsidR="00FE5941" w:rsidRPr="00742893" w:rsidRDefault="00FE5941" w:rsidP="00FE5941">
      <w:pPr>
        <w:numPr>
          <w:ilvl w:val="1"/>
          <w:numId w:val="5"/>
        </w:numPr>
        <w:tabs>
          <w:tab w:val="clear" w:pos="1080"/>
          <w:tab w:val="num" w:pos="-108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Style w:val="font1"/>
          <w:rFonts w:ascii="Arial" w:hAnsi="Arial" w:cs="Arial"/>
          <w:sz w:val="22"/>
          <w:szCs w:val="22"/>
        </w:rPr>
      </w:pPr>
      <w:r w:rsidRPr="00742893">
        <w:rPr>
          <w:rStyle w:val="font1"/>
          <w:rFonts w:ascii="Arial" w:hAnsi="Arial" w:cs="Arial"/>
          <w:sz w:val="22"/>
          <w:szCs w:val="22"/>
          <w:u w:val="single"/>
        </w:rPr>
        <w:t>Cumplimiento de requisitos finales en los procesos de autorización de</w:t>
      </w:r>
      <w:r w:rsidRPr="00742893">
        <w:rPr>
          <w:rStyle w:val="font1"/>
          <w:rFonts w:ascii="Arial" w:hAnsi="Arial" w:cs="Arial"/>
          <w:sz w:val="22"/>
          <w:szCs w:val="22"/>
        </w:rPr>
        <w:t>:</w:t>
      </w:r>
    </w:p>
    <w:p w14:paraId="33322578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 xml:space="preserve">Inscripción, modificación y </w:t>
      </w:r>
      <w:proofErr w:type="spellStart"/>
      <w:r w:rsidRPr="00742893">
        <w:rPr>
          <w:rFonts w:ascii="Arial" w:hAnsi="Arial" w:cs="Arial"/>
          <w:color w:val="000000"/>
        </w:rPr>
        <w:t>desinscripción</w:t>
      </w:r>
      <w:proofErr w:type="spellEnd"/>
      <w:r w:rsidRPr="00742893">
        <w:rPr>
          <w:rFonts w:ascii="Arial" w:hAnsi="Arial" w:cs="Arial"/>
          <w:color w:val="000000"/>
        </w:rPr>
        <w:t xml:space="preserve"> de emisiones para mercado primario (públicas y privadas, deuda y acciones, incorporación de paquetes de titularización).</w:t>
      </w:r>
    </w:p>
    <w:p w14:paraId="33322579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>Inscripción, modificación y</w:t>
      </w:r>
      <w:bookmarkStart w:id="0" w:name="_GoBack"/>
      <w:bookmarkEnd w:id="0"/>
      <w:r w:rsidRPr="00742893">
        <w:rPr>
          <w:rFonts w:ascii="Arial" w:hAnsi="Arial" w:cs="Arial"/>
          <w:color w:val="000000"/>
        </w:rPr>
        <w:t xml:space="preserve"> </w:t>
      </w:r>
      <w:proofErr w:type="spellStart"/>
      <w:r w:rsidRPr="00742893">
        <w:rPr>
          <w:rFonts w:ascii="Arial" w:hAnsi="Arial" w:cs="Arial"/>
          <w:color w:val="000000"/>
        </w:rPr>
        <w:t>desinscripción</w:t>
      </w:r>
      <w:proofErr w:type="spellEnd"/>
      <w:r w:rsidRPr="00742893">
        <w:rPr>
          <w:rFonts w:ascii="Arial" w:hAnsi="Arial" w:cs="Arial"/>
          <w:color w:val="000000"/>
        </w:rPr>
        <w:t xml:space="preserve"> de fondos de inversión para mercado primario (financieros y no financieros). </w:t>
      </w:r>
      <w:r w:rsidRPr="00742893">
        <w:rPr>
          <w:rStyle w:val="FootnoteReference"/>
          <w:rFonts w:ascii="Arial" w:hAnsi="Arial" w:cs="Arial"/>
          <w:color w:val="000000"/>
        </w:rPr>
        <w:footnoteReference w:id="2"/>
      </w:r>
    </w:p>
    <w:p w14:paraId="3332257A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 xml:space="preserve">Inscripción, modificación y </w:t>
      </w:r>
      <w:proofErr w:type="spellStart"/>
      <w:r w:rsidRPr="00742893">
        <w:rPr>
          <w:rFonts w:ascii="Arial" w:hAnsi="Arial" w:cs="Arial"/>
          <w:color w:val="000000"/>
        </w:rPr>
        <w:t>desinscripción</w:t>
      </w:r>
      <w:proofErr w:type="spellEnd"/>
      <w:r w:rsidRPr="00742893">
        <w:rPr>
          <w:rFonts w:ascii="Arial" w:hAnsi="Arial" w:cs="Arial"/>
          <w:color w:val="000000"/>
        </w:rPr>
        <w:t xml:space="preserve"> de participantes (sociedades administradoras de fondos de inversión, calificadoras de riesgo, custodios, sociedades de compensación y liquidación, centrales de valores). </w:t>
      </w:r>
      <w:r w:rsidRPr="00742893">
        <w:rPr>
          <w:rStyle w:val="FootnoteReference"/>
          <w:rFonts w:ascii="Arial" w:hAnsi="Arial" w:cs="Arial"/>
          <w:color w:val="000000"/>
        </w:rPr>
        <w:footnoteReference w:id="3"/>
      </w:r>
    </w:p>
    <w:p w14:paraId="3332257B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>Inscripción y modificación de productos para mercado secundario (valores extranjeros).</w:t>
      </w:r>
    </w:p>
    <w:p w14:paraId="3332257C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>Inscripción y modificación de comercialización de participaciones de fondos de inversión extranjeros.</w:t>
      </w:r>
    </w:p>
    <w:p w14:paraId="3332257D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>Modificaciones de capital de sociedades administradoras de fondos de inversión.</w:t>
      </w:r>
    </w:p>
    <w:p w14:paraId="3332257E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>Modificaciones de capital de grupos financieros.</w:t>
      </w:r>
    </w:p>
    <w:p w14:paraId="3332257F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>Modificaciones de capital de bolsas de valores.</w:t>
      </w:r>
    </w:p>
    <w:p w14:paraId="33322580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  <w:color w:val="000000"/>
        </w:rPr>
        <w:t>Modificaciones de capital de centrales de valores.</w:t>
      </w:r>
    </w:p>
    <w:p w14:paraId="33322581" w14:textId="77777777" w:rsidR="00FE5941" w:rsidRPr="00742893" w:rsidRDefault="00FE5941" w:rsidP="00FE5941">
      <w:pPr>
        <w:numPr>
          <w:ilvl w:val="1"/>
          <w:numId w:val="6"/>
        </w:numPr>
        <w:tabs>
          <w:tab w:val="clear" w:pos="198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Style w:val="font1"/>
          <w:rFonts w:ascii="Arial" w:hAnsi="Arial" w:cs="Arial"/>
          <w:sz w:val="22"/>
          <w:szCs w:val="22"/>
        </w:rPr>
      </w:pPr>
      <w:r w:rsidRPr="00742893">
        <w:rPr>
          <w:rFonts w:ascii="Arial" w:hAnsi="Arial" w:cs="Arial"/>
          <w:color w:val="000000"/>
        </w:rPr>
        <w:t>Modificaciones de capital de sociedades de compensación y liquidación.</w:t>
      </w:r>
    </w:p>
    <w:p w14:paraId="33322582" w14:textId="77777777" w:rsidR="00FE5941" w:rsidRPr="00742893" w:rsidRDefault="00FE5941" w:rsidP="00FE5941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Style w:val="font1"/>
          <w:rFonts w:ascii="Arial" w:hAnsi="Arial" w:cs="Arial"/>
          <w:sz w:val="22"/>
          <w:szCs w:val="22"/>
        </w:rPr>
      </w:pPr>
      <w:r w:rsidRPr="00742893">
        <w:rPr>
          <w:rStyle w:val="font1"/>
          <w:rFonts w:ascii="Arial" w:hAnsi="Arial" w:cs="Arial"/>
          <w:sz w:val="22"/>
          <w:szCs w:val="22"/>
        </w:rPr>
        <w:t>Notificación de un nuevo trámite y, por ende, un nuevo cómputo de plazos, en aquellos procesos en los que se incorporan documentos adicionales.</w:t>
      </w:r>
    </w:p>
    <w:p w14:paraId="33322583" w14:textId="77777777" w:rsidR="00FE5941" w:rsidRPr="00742893" w:rsidRDefault="00FE5941" w:rsidP="00FE5941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Style w:val="font1"/>
          <w:rFonts w:ascii="Arial" w:hAnsi="Arial" w:cs="Arial"/>
          <w:sz w:val="22"/>
          <w:szCs w:val="22"/>
        </w:rPr>
      </w:pPr>
      <w:r w:rsidRPr="00742893">
        <w:rPr>
          <w:rStyle w:val="font1"/>
          <w:rFonts w:ascii="Arial" w:hAnsi="Arial" w:cs="Arial"/>
          <w:sz w:val="22"/>
          <w:szCs w:val="22"/>
        </w:rPr>
        <w:t>Consultas relacionadas con requisitos o trámites de oferta pública.</w:t>
      </w:r>
    </w:p>
    <w:p w14:paraId="33322584" w14:textId="77777777" w:rsidR="00FE5941" w:rsidRPr="00742893" w:rsidRDefault="00FE5941" w:rsidP="00FE5941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Resoluciones de aprobación de aumentos de capital de sociedades administradoras de fondos de inversión y de emisores (para casos derivados de capitalización de cuentas patrimoniales).</w:t>
      </w:r>
    </w:p>
    <w:p w14:paraId="33322585" w14:textId="77777777" w:rsidR="00FE5941" w:rsidRPr="00742893" w:rsidRDefault="00FE5941" w:rsidP="00FE5941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Inscripción de emisiones del Ministerio de Hacienda y del Banco Central de Costa Rica.</w:t>
      </w:r>
    </w:p>
    <w:p w14:paraId="33322586" w14:textId="77777777" w:rsidR="00FE5941" w:rsidRPr="00742893" w:rsidRDefault="00FE5941" w:rsidP="00FE5941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2893">
        <w:rPr>
          <w:rFonts w:ascii="Arial" w:hAnsi="Arial" w:cs="Arial"/>
        </w:rPr>
        <w:t>Inscripción de emisiones de gobiernos extranjeros registrados para mercado secundario.</w:t>
      </w:r>
    </w:p>
    <w:p w14:paraId="33322587" w14:textId="77777777" w:rsidR="00A96246" w:rsidRPr="00742893" w:rsidRDefault="00A96246" w:rsidP="00A96246">
      <w:pPr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742893">
        <w:rPr>
          <w:rFonts w:ascii="Arial" w:hAnsi="Arial" w:cs="Arial"/>
          <w:b/>
        </w:rPr>
        <w:t xml:space="preserve">Informes de observaciones </w:t>
      </w:r>
      <w:r w:rsidR="00DD1FB2" w:rsidRPr="00742893">
        <w:rPr>
          <w:rFonts w:ascii="Arial" w:hAnsi="Arial" w:cs="Arial"/>
          <w:b/>
        </w:rPr>
        <w:t xml:space="preserve">de solicitudes de inscripción, modificación y </w:t>
      </w:r>
      <w:proofErr w:type="spellStart"/>
      <w:r w:rsidR="00DD1FB2" w:rsidRPr="00742893">
        <w:rPr>
          <w:rFonts w:ascii="Arial" w:hAnsi="Arial" w:cs="Arial"/>
          <w:b/>
        </w:rPr>
        <w:t>desinscripción</w:t>
      </w:r>
      <w:proofErr w:type="spellEnd"/>
      <w:r w:rsidR="00DD1FB2" w:rsidRPr="00742893">
        <w:rPr>
          <w:rFonts w:ascii="Arial" w:hAnsi="Arial" w:cs="Arial"/>
          <w:b/>
        </w:rPr>
        <w:t xml:space="preserve"> de productos y de participantes.</w:t>
      </w:r>
    </w:p>
    <w:p w14:paraId="33322588" w14:textId="77777777" w:rsidR="00EC0350" w:rsidRPr="00742893" w:rsidRDefault="00AD63F6" w:rsidP="00A11F9D">
      <w:pPr>
        <w:spacing w:after="24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42893">
        <w:rPr>
          <w:rFonts w:ascii="Arial" w:hAnsi="Arial" w:cs="Arial"/>
        </w:rPr>
        <w:lastRenderedPageBreak/>
        <w:t>(…)</w:t>
      </w:r>
    </w:p>
    <w:p w14:paraId="33322589" w14:textId="77777777" w:rsidR="00EC0350" w:rsidRPr="00742893" w:rsidRDefault="0092241C" w:rsidP="00E53E41">
      <w:pPr>
        <w:pStyle w:val="ListParagraph"/>
        <w:keepNext/>
        <w:keepLines/>
        <w:numPr>
          <w:ilvl w:val="0"/>
          <w:numId w:val="7"/>
        </w:numPr>
        <w:tabs>
          <w:tab w:val="left" w:pos="891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es-ES"/>
        </w:rPr>
      </w:pPr>
      <w:r w:rsidRPr="00742893">
        <w:rPr>
          <w:rFonts w:ascii="Arial" w:eastAsia="Times New Roman" w:hAnsi="Arial" w:cs="Arial"/>
          <w:lang w:eastAsia="es-ES"/>
        </w:rPr>
        <w:t>La modificación anterior r</w:t>
      </w:r>
      <w:r w:rsidR="00EC0350" w:rsidRPr="00742893">
        <w:rPr>
          <w:rFonts w:ascii="Arial" w:eastAsia="Times New Roman" w:hAnsi="Arial" w:cs="Arial"/>
          <w:lang w:eastAsia="es-ES"/>
        </w:rPr>
        <w:t>ige</w:t>
      </w:r>
      <w:r w:rsidR="005762C9" w:rsidRPr="00742893">
        <w:rPr>
          <w:rFonts w:ascii="Arial" w:eastAsia="Times New Roman" w:hAnsi="Arial" w:cs="Arial"/>
          <w:lang w:eastAsia="es-ES"/>
        </w:rPr>
        <w:t xml:space="preserve"> a partir del 5 de octubre del 2015</w:t>
      </w:r>
    </w:p>
    <w:p w14:paraId="3332258A" w14:textId="77777777" w:rsidR="00A11F9D" w:rsidRPr="00742893" w:rsidRDefault="00A11F9D" w:rsidP="00A11F9D">
      <w:pPr>
        <w:pStyle w:val="ListParagraph"/>
        <w:keepNext/>
        <w:keepLines/>
        <w:tabs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14:paraId="3332258B" w14:textId="77777777" w:rsidR="00061730" w:rsidRPr="00732A5D" w:rsidRDefault="00E53E41" w:rsidP="00061730">
      <w:pPr>
        <w:rPr>
          <w:rFonts w:ascii="Century Gothic" w:eastAsia="Calibri" w:hAnsi="Century Gothic"/>
          <w:sz w:val="24"/>
          <w:szCs w:val="24"/>
        </w:rPr>
      </w:pPr>
      <w:r w:rsidRPr="00732A5D">
        <w:rPr>
          <w:rFonts w:ascii="Century Gothic" w:eastAsia="Calibri" w:hAnsi="Century Gothic"/>
          <w:sz w:val="24"/>
          <w:szCs w:val="24"/>
        </w:rPr>
        <w:t xml:space="preserve">         </w:t>
      </w:r>
      <w:r w:rsidR="00061730" w:rsidRPr="00732A5D">
        <w:rPr>
          <w:rFonts w:ascii="Century Gothic" w:eastAsia="Calibri" w:hAnsi="Century Gothic"/>
          <w:noProof/>
          <w:sz w:val="24"/>
          <w:szCs w:val="24"/>
          <w:lang w:eastAsia="es-CR"/>
        </w:rPr>
        <w:drawing>
          <wp:inline distT="0" distB="0" distL="0" distR="0" wp14:anchorId="3332258E" wp14:editId="3332258F">
            <wp:extent cx="3168650" cy="38290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730" w:rsidRPr="00732A5D" w:rsidSect="00D02F21">
      <w:headerReference w:type="default" r:id="rId12"/>
      <w:footerReference w:type="default" r:id="rId13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5661" w14:textId="77777777" w:rsidR="00750272" w:rsidRDefault="00750272" w:rsidP="00DD1FB2">
      <w:pPr>
        <w:spacing w:after="0" w:line="240" w:lineRule="auto"/>
      </w:pPr>
      <w:r>
        <w:separator/>
      </w:r>
    </w:p>
  </w:endnote>
  <w:endnote w:type="continuationSeparator" w:id="0">
    <w:p w14:paraId="664F2359" w14:textId="77777777" w:rsidR="00750272" w:rsidRDefault="00750272" w:rsidP="00DD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193171"/>
      <w:docPartObj>
        <w:docPartGallery w:val="Page Numbers (Bottom of Page)"/>
        <w:docPartUnique/>
      </w:docPartObj>
    </w:sdtPr>
    <w:sdtEndPr>
      <w:rPr>
        <w:rFonts w:ascii="Arial" w:hAnsi="Arial" w:cs="Arial"/>
        <w:color w:val="1B75BB"/>
        <w:spacing w:val="60"/>
      </w:rPr>
    </w:sdtEndPr>
    <w:sdtContent>
      <w:p w14:paraId="60156A59" w14:textId="4596799B" w:rsidR="00B437D2" w:rsidRPr="00B437D2" w:rsidRDefault="00B437D2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color w:val="1B75BB"/>
          </w:rPr>
        </w:pPr>
        <w:r w:rsidRPr="00B437D2">
          <w:rPr>
            <w:rFonts w:ascii="Arial" w:hAnsi="Arial" w:cs="Arial"/>
            <w:color w:val="1B75BB"/>
          </w:rPr>
          <w:fldChar w:fldCharType="begin"/>
        </w:r>
        <w:r w:rsidRPr="00B437D2">
          <w:rPr>
            <w:rFonts w:ascii="Arial" w:hAnsi="Arial" w:cs="Arial"/>
            <w:color w:val="1B75BB"/>
          </w:rPr>
          <w:instrText xml:space="preserve"> PAGE   \* MERGEFORMAT </w:instrText>
        </w:r>
        <w:r w:rsidRPr="00B437D2">
          <w:rPr>
            <w:rFonts w:ascii="Arial" w:hAnsi="Arial" w:cs="Arial"/>
            <w:color w:val="1B75BB"/>
          </w:rPr>
          <w:fldChar w:fldCharType="separate"/>
        </w:r>
        <w:r w:rsidR="00D02F21" w:rsidRPr="00D02F21">
          <w:rPr>
            <w:rFonts w:ascii="Arial" w:hAnsi="Arial" w:cs="Arial"/>
            <w:b/>
            <w:bCs/>
            <w:noProof/>
            <w:color w:val="1B75BB"/>
          </w:rPr>
          <w:t>2</w:t>
        </w:r>
        <w:r w:rsidRPr="00B437D2">
          <w:rPr>
            <w:rFonts w:ascii="Arial" w:hAnsi="Arial" w:cs="Arial"/>
            <w:b/>
            <w:bCs/>
            <w:noProof/>
            <w:color w:val="1B75BB"/>
          </w:rPr>
          <w:fldChar w:fldCharType="end"/>
        </w:r>
        <w:r w:rsidRPr="00B437D2">
          <w:rPr>
            <w:rFonts w:ascii="Arial" w:hAnsi="Arial" w:cs="Arial"/>
            <w:b/>
            <w:bCs/>
            <w:color w:val="1B75BB"/>
          </w:rPr>
          <w:t xml:space="preserve"> | </w:t>
        </w:r>
      </w:p>
    </w:sdtContent>
  </w:sdt>
  <w:p w14:paraId="6BE3645F" w14:textId="77777777" w:rsidR="00B437D2" w:rsidRDefault="00B43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1D8F" w14:textId="77777777" w:rsidR="00750272" w:rsidRDefault="00750272" w:rsidP="00DD1FB2">
      <w:pPr>
        <w:spacing w:after="0" w:line="240" w:lineRule="auto"/>
      </w:pPr>
      <w:r>
        <w:separator/>
      </w:r>
    </w:p>
  </w:footnote>
  <w:footnote w:type="continuationSeparator" w:id="0">
    <w:p w14:paraId="05F698D1" w14:textId="77777777" w:rsidR="00750272" w:rsidRDefault="00750272" w:rsidP="00DD1FB2">
      <w:pPr>
        <w:spacing w:after="0" w:line="240" w:lineRule="auto"/>
      </w:pPr>
      <w:r>
        <w:continuationSeparator/>
      </w:r>
    </w:p>
  </w:footnote>
  <w:footnote w:id="1">
    <w:p w14:paraId="3332259C" w14:textId="5A01806C" w:rsidR="00732A5D" w:rsidRPr="00742893" w:rsidRDefault="00732A5D" w:rsidP="00732A5D">
      <w:pPr>
        <w:pStyle w:val="FootnoteText"/>
        <w:jc w:val="both"/>
        <w:rPr>
          <w:rFonts w:ascii="Arial" w:hAnsi="Arial" w:cs="Arial"/>
          <w:lang w:val="es-CR"/>
        </w:rPr>
      </w:pPr>
      <w:r w:rsidRPr="00742893">
        <w:rPr>
          <w:rStyle w:val="FootnoteReference"/>
          <w:rFonts w:ascii="Arial" w:hAnsi="Arial" w:cs="Arial"/>
          <w:sz w:val="22"/>
        </w:rPr>
        <w:footnoteRef/>
      </w:r>
      <w:r w:rsidRPr="00742893">
        <w:rPr>
          <w:rFonts w:ascii="Arial" w:hAnsi="Arial" w:cs="Arial"/>
          <w:sz w:val="22"/>
          <w:lang w:val="es-CR"/>
        </w:rPr>
        <w:t xml:space="preserve"> Superintendencia General de Valores.  Despacho del Superintendente. A las quince horas del veintinueve de setiembre del dos mil quince</w:t>
      </w:r>
      <w:r w:rsidR="006A7BCE" w:rsidRPr="00742893">
        <w:rPr>
          <w:rFonts w:ascii="Arial" w:hAnsi="Arial" w:cs="Arial"/>
          <w:sz w:val="22"/>
          <w:lang w:val="es-CR"/>
        </w:rPr>
        <w:t>.</w:t>
      </w:r>
      <w:r w:rsidR="001E0BC8" w:rsidRPr="00742893">
        <w:rPr>
          <w:rFonts w:ascii="Arial" w:hAnsi="Arial" w:cs="Arial"/>
          <w:sz w:val="22"/>
          <w:lang w:val="es-CR"/>
        </w:rPr>
        <w:t xml:space="preserve"> Publicado en el Diario Oficial La Gaceta No. 217 del 9 de noviembre del 2015.</w:t>
      </w:r>
    </w:p>
  </w:footnote>
  <w:footnote w:id="2">
    <w:p w14:paraId="3332259D" w14:textId="77777777" w:rsidR="00FE5941" w:rsidRPr="00FF6964" w:rsidRDefault="00FE5941" w:rsidP="00FE5941">
      <w:pPr>
        <w:pStyle w:val="FootnoteText"/>
        <w:jc w:val="both"/>
        <w:rPr>
          <w:rFonts w:ascii="Arial" w:hAnsi="Arial" w:cs="Arial"/>
          <w:sz w:val="22"/>
          <w:lang w:val="es-CR"/>
        </w:rPr>
      </w:pPr>
      <w:r w:rsidRPr="00FF6964">
        <w:rPr>
          <w:rFonts w:ascii="Arial" w:hAnsi="Arial" w:cs="Arial"/>
          <w:color w:val="000000"/>
          <w:sz w:val="22"/>
          <w:vertAlign w:val="superscript"/>
          <w:lang w:val="es-CR"/>
        </w:rPr>
        <w:footnoteRef/>
      </w:r>
      <w:r w:rsidRPr="00FF6964">
        <w:rPr>
          <w:rFonts w:ascii="Arial" w:hAnsi="Arial" w:cs="Arial"/>
          <w:color w:val="000000"/>
          <w:sz w:val="22"/>
          <w:lang w:val="es-CR"/>
        </w:rPr>
        <w:t xml:space="preserve"> No se incluyen fideicomisos que funcionan como fondos de inversión, ya que el trámite se canaliza a través del Despacho hacia SUGEF.</w:t>
      </w:r>
    </w:p>
  </w:footnote>
  <w:footnote w:id="3">
    <w:p w14:paraId="3332259E" w14:textId="77777777" w:rsidR="00FE5941" w:rsidRPr="00FF6964" w:rsidRDefault="00FE5941" w:rsidP="00FE5941">
      <w:pPr>
        <w:pStyle w:val="FootnoteText"/>
        <w:jc w:val="both"/>
        <w:rPr>
          <w:rFonts w:ascii="Arial" w:hAnsi="Arial" w:cs="Arial"/>
          <w:sz w:val="22"/>
          <w:lang w:val="es-ES"/>
        </w:rPr>
      </w:pPr>
      <w:r w:rsidRPr="00FF6964">
        <w:rPr>
          <w:rFonts w:ascii="Arial" w:hAnsi="Arial" w:cs="Arial"/>
          <w:color w:val="000000"/>
          <w:sz w:val="22"/>
          <w:vertAlign w:val="superscript"/>
          <w:lang w:val="es-CR"/>
        </w:rPr>
        <w:footnoteRef/>
      </w:r>
      <w:r w:rsidRPr="00FF6964">
        <w:rPr>
          <w:rFonts w:ascii="Arial" w:hAnsi="Arial" w:cs="Arial"/>
          <w:color w:val="000000"/>
          <w:sz w:val="22"/>
          <w:lang w:val="es-CR"/>
        </w:rPr>
        <w:t xml:space="preserve"> No se incluyen los grupos financieros por cuanto el trámite se canaliza a través del Despacho hacia el Consejo Nacional de Supervisión del Sistema Financiero.</w:t>
      </w:r>
    </w:p>
    <w:p w14:paraId="3332259F" w14:textId="77777777" w:rsidR="00FE5941" w:rsidRPr="007E7239" w:rsidRDefault="00FE5941" w:rsidP="00FE5941">
      <w:pPr>
        <w:pStyle w:val="FootnoteText"/>
        <w:rPr>
          <w:lang w:val="es-C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2594" w14:textId="6C917F5D" w:rsidR="00732A5D" w:rsidRDefault="00742893" w:rsidP="00742893">
    <w:pPr>
      <w:pStyle w:val="Header"/>
      <w:jc w:val="right"/>
    </w:pPr>
    <w:r>
      <w:rPr>
        <w:rFonts w:ascii="Calibri" w:hAnsi="Calibri" w:cs="Arial"/>
        <w:bCs/>
        <w:i/>
        <w:noProof/>
        <w:sz w:val="20"/>
        <w:szCs w:val="20"/>
        <w:lang w:eastAsia="es-CR"/>
      </w:rPr>
      <w:drawing>
        <wp:inline distT="0" distB="0" distL="0" distR="0" wp14:anchorId="24D00787" wp14:editId="5BBD7984">
          <wp:extent cx="1581150" cy="390525"/>
          <wp:effectExtent l="0" t="0" r="0" b="9525"/>
          <wp:docPr id="47" name="Picture 47" descr="Logo-Sugeval-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ugeval-Pequeñ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22595" w14:textId="283F57E1" w:rsidR="00732A5D" w:rsidRDefault="00D02F21">
    <w:pPr>
      <w:pStyle w:val="Header"/>
    </w:pPr>
    <w:r>
      <w:rPr>
        <w:noProof/>
        <w:lang w:eastAsia="es-C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11B25B0" wp14:editId="29818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459730" cy="0"/>
              <wp:effectExtent l="0" t="0" r="2667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597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B75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15EF2" id="Straight Connector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-.05pt" to="42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xNKAIAAEEEAAAOAAAAZHJzL2Uyb0RvYy54bWysU02P2yAQvVfqf0C+J7azTjax4qwa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" strokecolor="#1b75bb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904"/>
    <w:multiLevelType w:val="hybridMultilevel"/>
    <w:tmpl w:val="B2EC8F2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FEE"/>
    <w:multiLevelType w:val="hybridMultilevel"/>
    <w:tmpl w:val="976CA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FAE21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897F49"/>
    <w:multiLevelType w:val="hybridMultilevel"/>
    <w:tmpl w:val="4210AE7C"/>
    <w:lvl w:ilvl="0" w:tplc="BC4C3FA6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9B142D"/>
    <w:multiLevelType w:val="hybridMultilevel"/>
    <w:tmpl w:val="8DCE8D0C"/>
    <w:lvl w:ilvl="0" w:tplc="8FC634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45420"/>
    <w:multiLevelType w:val="hybridMultilevel"/>
    <w:tmpl w:val="5F5CCEFE"/>
    <w:lvl w:ilvl="0" w:tplc="97DA0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96A6B"/>
    <w:multiLevelType w:val="hybridMultilevel"/>
    <w:tmpl w:val="8D38F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A0D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4B56E8"/>
    <w:multiLevelType w:val="hybridMultilevel"/>
    <w:tmpl w:val="971C839E"/>
    <w:lvl w:ilvl="0" w:tplc="AFE0B99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E3E70"/>
    <w:multiLevelType w:val="hybridMultilevel"/>
    <w:tmpl w:val="229E882A"/>
    <w:lvl w:ilvl="0" w:tplc="140A0015">
      <w:start w:val="1"/>
      <w:numFmt w:val="upp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5D"/>
    <w:rsid w:val="000069E7"/>
    <w:rsid w:val="00061730"/>
    <w:rsid w:val="00123898"/>
    <w:rsid w:val="001A1844"/>
    <w:rsid w:val="001A28C3"/>
    <w:rsid w:val="001D02BC"/>
    <w:rsid w:val="001E0BC8"/>
    <w:rsid w:val="001E687D"/>
    <w:rsid w:val="001F43A8"/>
    <w:rsid w:val="00201120"/>
    <w:rsid w:val="00201F23"/>
    <w:rsid w:val="00222C5E"/>
    <w:rsid w:val="002C165D"/>
    <w:rsid w:val="002D49BA"/>
    <w:rsid w:val="00332029"/>
    <w:rsid w:val="003738CB"/>
    <w:rsid w:val="00426AB9"/>
    <w:rsid w:val="00452B07"/>
    <w:rsid w:val="00473439"/>
    <w:rsid w:val="004B7065"/>
    <w:rsid w:val="004D1F92"/>
    <w:rsid w:val="004F3633"/>
    <w:rsid w:val="005762C9"/>
    <w:rsid w:val="005A279A"/>
    <w:rsid w:val="005D3DEF"/>
    <w:rsid w:val="005E1247"/>
    <w:rsid w:val="006A7BCE"/>
    <w:rsid w:val="007066B1"/>
    <w:rsid w:val="00732A5D"/>
    <w:rsid w:val="00742893"/>
    <w:rsid w:val="00750272"/>
    <w:rsid w:val="007C6905"/>
    <w:rsid w:val="007E0A2B"/>
    <w:rsid w:val="008C2B81"/>
    <w:rsid w:val="008D26DA"/>
    <w:rsid w:val="008F026E"/>
    <w:rsid w:val="008F4250"/>
    <w:rsid w:val="0091149D"/>
    <w:rsid w:val="0092241C"/>
    <w:rsid w:val="00957CEF"/>
    <w:rsid w:val="009B07FB"/>
    <w:rsid w:val="00A02C09"/>
    <w:rsid w:val="00A11F9D"/>
    <w:rsid w:val="00A17C04"/>
    <w:rsid w:val="00A2215E"/>
    <w:rsid w:val="00A463E8"/>
    <w:rsid w:val="00A71EDA"/>
    <w:rsid w:val="00A96246"/>
    <w:rsid w:val="00AA79B4"/>
    <w:rsid w:val="00AD63F6"/>
    <w:rsid w:val="00B16033"/>
    <w:rsid w:val="00B437D2"/>
    <w:rsid w:val="00B67262"/>
    <w:rsid w:val="00BA3730"/>
    <w:rsid w:val="00BC396C"/>
    <w:rsid w:val="00C033CD"/>
    <w:rsid w:val="00C24A8A"/>
    <w:rsid w:val="00CC5297"/>
    <w:rsid w:val="00D02F21"/>
    <w:rsid w:val="00D03BE7"/>
    <w:rsid w:val="00D474F5"/>
    <w:rsid w:val="00D86C32"/>
    <w:rsid w:val="00D91FDA"/>
    <w:rsid w:val="00DA025F"/>
    <w:rsid w:val="00DA030E"/>
    <w:rsid w:val="00DD1FB2"/>
    <w:rsid w:val="00E04DDF"/>
    <w:rsid w:val="00E053C6"/>
    <w:rsid w:val="00E53E41"/>
    <w:rsid w:val="00EC0350"/>
    <w:rsid w:val="00EE4348"/>
    <w:rsid w:val="00F33DA6"/>
    <w:rsid w:val="00F77E4A"/>
    <w:rsid w:val="00FE439D"/>
    <w:rsid w:val="00FE5941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3322565"/>
  <w15:docId w15:val="{1829806C-F0C3-4494-8E76-F67DF8C6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5D"/>
    <w:pPr>
      <w:ind w:left="720"/>
      <w:contextualSpacing/>
    </w:pPr>
  </w:style>
  <w:style w:type="character" w:customStyle="1" w:styleId="font1">
    <w:name w:val="font1"/>
    <w:rsid w:val="00A96246"/>
    <w:rPr>
      <w:rFonts w:ascii="Helvetica" w:hAnsi="Helvetic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FootnoteText">
    <w:name w:val="footnote text"/>
    <w:basedOn w:val="Normal"/>
    <w:link w:val="FootnoteTextChar"/>
    <w:semiHidden/>
    <w:rsid w:val="00DD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1F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D1FB2"/>
    <w:rPr>
      <w:vertAlign w:val="superscript"/>
    </w:rPr>
  </w:style>
  <w:style w:type="paragraph" w:customStyle="1" w:styleId="Textodereglamento">
    <w:name w:val="Texto de reglamento"/>
    <w:basedOn w:val="Normal"/>
    <w:link w:val="TextodereglamentoChar"/>
    <w:qFormat/>
    <w:rsid w:val="00EC03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dereglamentoChar">
    <w:name w:val="Texto de reglamento Char"/>
    <w:link w:val="Textodereglamento"/>
    <w:rsid w:val="00EC0350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0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30"/>
  </w:style>
  <w:style w:type="paragraph" w:styleId="Footer">
    <w:name w:val="footer"/>
    <w:basedOn w:val="Normal"/>
    <w:link w:val="FooterChar"/>
    <w:uiPriority w:val="99"/>
    <w:unhideWhenUsed/>
    <w:rsid w:val="000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footer" Target="foot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Estado xmlns="315842a7-4cff-4ca6-8fb0-a6562d7ae952">Vigente</Estado>
    <Derogado_x0020_por_x003a_ xmlns="315842a7-4cff-4ca6-8fb0-a6562d7ae952" xsi:nil="true"/>
    <SharedWithUsers xmlns="fc66ef79-2d66-4fa3-90bd-e4f186d8d36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477CF232ACD46B93353E93693837C" ma:contentTypeVersion="22" ma:contentTypeDescription="Crear nuevo documento." ma:contentTypeScope="" ma:versionID="771b5d109343a25d4f006d1cf9f2dd89">
  <xsd:schema xmlns:xsd="http://www.w3.org/2001/XMLSchema" xmlns:xs="http://www.w3.org/2001/XMLSchema" xmlns:p="http://schemas.microsoft.com/office/2006/metadata/properties" xmlns:ns2="315842a7-4cff-4ca6-8fb0-a6562d7ae952" xmlns:ns3="fc66ef79-2d66-4fa3-90bd-e4f186d8d369" targetNamespace="http://schemas.microsoft.com/office/2006/metadata/properties" ma:root="true" ma:fieldsID="92001fb5b952c810e9fd9ed66f8f92f8" ns2:_="" ns3:_="">
    <xsd:import namespace="315842a7-4cff-4ca6-8fb0-a6562d7ae952"/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Estado" minOccurs="0"/>
                <xsd:element ref="ns2:Derogado_x0020_por_x003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842a7-4cff-4ca6-8fb0-a6562d7ae952" elementFormDefault="qualified">
    <xsd:import namespace="http://schemas.microsoft.com/office/2006/documentManagement/types"/>
    <xsd:import namespace="http://schemas.microsoft.com/office/infopath/2007/PartnerControls"/>
    <xsd:element name="Estado" ma:index="8" nillable="true" ma:displayName="Estado" ma:default="Consulta" ma:format="Dropdown" ma:internalName="Estado">
      <xsd:simpleType>
        <xsd:restriction base="dms:Choice">
          <xsd:enumeration value="Consulta"/>
          <xsd:enumeration value="Derogado"/>
          <xsd:enumeration value="Vigente"/>
        </xsd:restriction>
      </xsd:simpleType>
    </xsd:element>
    <xsd:element name="Derogado_x0020_por_x003a_" ma:index="9" nillable="true" ma:displayName="Derogado por:" ma:internalName="Derogado_x0020_por_x003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Acuerd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0669D-FC58-4FC3-96BE-FEEF8AE63E36}"/>
</file>

<file path=customXml/itemProps2.xml><?xml version="1.0" encoding="utf-8"?>
<ds:datastoreItem xmlns:ds="http://schemas.openxmlformats.org/officeDocument/2006/customXml" ds:itemID="{1C49D632-36C3-4BD3-BA0B-CB559E013274}"/>
</file>

<file path=customXml/itemProps3.xml><?xml version="1.0" encoding="utf-8"?>
<ds:datastoreItem xmlns:ds="http://schemas.openxmlformats.org/officeDocument/2006/customXml" ds:itemID="{0F4D09AA-8A60-4644-AA6A-690CE4722D72}"/>
</file>

<file path=customXml/itemProps4.xml><?xml version="1.0" encoding="utf-8"?>
<ds:datastoreItem xmlns:ds="http://schemas.openxmlformats.org/officeDocument/2006/customXml" ds:itemID="{ACA8FB08-4F85-4629-B2FA-90A96CB77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Acuerdo del Superintendente aprobado el 29 de setiembre del 2015</vt:lpstr>
    </vt:vector>
  </TitlesOfParts>
  <Company>SUGEVAL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SGV-A-200 Acuerdo del Superintendente aprobado el 29 de setiembre del 2015</dc:title>
  <dc:creator>SUGEVAL</dc:creator>
  <cp:lastModifiedBy>FERNANDEZ PORRAS PATRICIA</cp:lastModifiedBy>
  <cp:revision>6</cp:revision>
  <dcterms:created xsi:type="dcterms:W3CDTF">2017-11-27T18:32:00Z</dcterms:created>
  <dcterms:modified xsi:type="dcterms:W3CDTF">2017-12-07T18:50:00Z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0x010100C66477CF232ACD46B93353E93693837C</vt:lpwstr>
  </property>
  <property fmtid="{D5CDD505-2E9C-101B-9397-08002B2CF9AE}" pid="3" name="Firmado">
    <vt:lpwstr>false</vt:lpwstr>
  </property>
  <property fmtid="{D5CDD505-2E9C-101B-9397-08002B2CF9AE}" pid="4" name="Firmantes">
    <vt:lpwstr>SUGEVAL\ariaspc221SUGEVAL\sandiam83</vt:lpwstr>
  </property>
  <property fmtid="{D5CDD505-2E9C-101B-9397-08002B2CF9AE}" pid="7" name="FileLeafRef">
    <vt:lpwstr>SGV-A-200.docx</vt:lpwstr>
  </property>
</Properties>
</file>