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8EB7C9" w14:textId="77777777" w:rsidR="000D4790" w:rsidRPr="000D4790" w:rsidRDefault="000D4790" w:rsidP="003554C2">
      <w:pPr>
        <w:spacing w:line="276" w:lineRule="auto"/>
        <w:jc w:val="both"/>
        <w:outlineLvl w:val="0"/>
        <w:rPr>
          <w:rFonts w:cs="Arial"/>
          <w:b/>
          <w:szCs w:val="24"/>
          <w:lang w:val="es-MX"/>
        </w:rPr>
      </w:pPr>
      <w:bookmarkStart w:id="0" w:name="_GoBack"/>
      <w:r w:rsidRPr="000D4790">
        <w:rPr>
          <w:rFonts w:cs="Arial"/>
          <w:b/>
          <w:bCs/>
          <w:iCs/>
          <w:noProof/>
          <w:szCs w:val="24"/>
          <w:lang w:val="es-ES_tradnl" w:eastAsia="en-US"/>
        </w:rPr>
        <w:t>SGV-A-206.</w:t>
      </w:r>
      <w:r w:rsidRPr="000D4790">
        <w:rPr>
          <w:rFonts w:cs="Arial"/>
          <w:b/>
          <w:szCs w:val="24"/>
          <w:lang w:val="es-MX"/>
        </w:rPr>
        <w:t xml:space="preserve"> MODIFICACIÓN AL ACUERDO SGV-A-84 GUÍA PARA LA ELABORACIÓN DE PROSPECTO DE EMPRESAS</w:t>
      </w:r>
      <w:bookmarkEnd w:id="0"/>
      <w:r>
        <w:rPr>
          <w:rStyle w:val="FootnoteReference"/>
          <w:rFonts w:cs="Arial"/>
          <w:b/>
          <w:szCs w:val="24"/>
          <w:lang w:val="es-MX"/>
        </w:rPr>
        <w:footnoteReference w:id="1"/>
      </w:r>
    </w:p>
    <w:p w14:paraId="388EB7CA" w14:textId="77777777" w:rsidR="000D4790" w:rsidRPr="000D4790" w:rsidRDefault="000D4790" w:rsidP="007B11EC">
      <w:pPr>
        <w:pStyle w:val="BodyText3"/>
        <w:widowControl w:val="0"/>
        <w:spacing w:after="0" w:line="276" w:lineRule="auto"/>
        <w:jc w:val="both"/>
        <w:rPr>
          <w:rFonts w:ascii="Arial" w:hAnsi="Arial" w:cs="Arial"/>
          <w:bCs/>
          <w:iCs/>
          <w:noProof/>
          <w:sz w:val="22"/>
          <w:szCs w:val="22"/>
          <w:lang w:val="es-MX" w:eastAsia="en-US"/>
        </w:rPr>
      </w:pPr>
    </w:p>
    <w:p w14:paraId="388EB7CB" w14:textId="77777777" w:rsidR="007B11EC" w:rsidRPr="00320833" w:rsidRDefault="007B11EC" w:rsidP="007B11EC">
      <w:pPr>
        <w:pStyle w:val="BodyText3"/>
        <w:widowControl w:val="0"/>
        <w:spacing w:after="0" w:line="276" w:lineRule="auto"/>
        <w:jc w:val="both"/>
        <w:rPr>
          <w:rFonts w:ascii="Arial" w:hAnsi="Arial" w:cs="Arial"/>
          <w:bCs/>
          <w:iCs/>
          <w:noProof/>
          <w:sz w:val="22"/>
          <w:szCs w:val="22"/>
          <w:lang w:val="es-ES_tradnl" w:eastAsia="en-US"/>
        </w:rPr>
      </w:pPr>
    </w:p>
    <w:p w14:paraId="388EB7CC" w14:textId="77777777" w:rsidR="007B11EC" w:rsidRPr="00320833" w:rsidRDefault="007B11EC" w:rsidP="007B11EC">
      <w:pPr>
        <w:pStyle w:val="BodyText3"/>
        <w:widowControl w:val="0"/>
        <w:spacing w:after="0" w:line="276" w:lineRule="auto"/>
        <w:jc w:val="both"/>
        <w:rPr>
          <w:rFonts w:ascii="Arial" w:hAnsi="Arial" w:cs="Arial"/>
          <w:b/>
          <w:bCs/>
          <w:iCs/>
          <w:noProof/>
          <w:sz w:val="22"/>
          <w:szCs w:val="22"/>
          <w:lang w:val="es-ES_tradnl" w:eastAsia="en-US"/>
        </w:rPr>
      </w:pPr>
      <w:r w:rsidRPr="00320833">
        <w:rPr>
          <w:rFonts w:ascii="Arial" w:hAnsi="Arial" w:cs="Arial"/>
          <w:b/>
          <w:bCs/>
          <w:iCs/>
          <w:noProof/>
          <w:sz w:val="22"/>
          <w:szCs w:val="22"/>
          <w:lang w:val="es-ES_tradnl" w:eastAsia="en-US"/>
        </w:rPr>
        <w:t>Considerando que:</w:t>
      </w:r>
    </w:p>
    <w:p w14:paraId="388EB7CD" w14:textId="77777777" w:rsidR="007B11EC" w:rsidRPr="00320833" w:rsidRDefault="007B11EC" w:rsidP="007B11EC">
      <w:pPr>
        <w:pStyle w:val="BodyText3"/>
        <w:widowControl w:val="0"/>
        <w:spacing w:after="0" w:line="276" w:lineRule="auto"/>
        <w:jc w:val="both"/>
        <w:rPr>
          <w:rFonts w:ascii="Arial" w:hAnsi="Arial" w:cs="Arial"/>
          <w:b/>
          <w:bCs/>
          <w:iCs/>
          <w:noProof/>
          <w:sz w:val="22"/>
          <w:szCs w:val="22"/>
          <w:lang w:val="es-ES_tradnl" w:eastAsia="en-US"/>
        </w:rPr>
      </w:pPr>
    </w:p>
    <w:p w14:paraId="388EB7CE" w14:textId="77777777" w:rsidR="007B11EC" w:rsidRPr="00320833" w:rsidRDefault="007B11EC" w:rsidP="007B11EC">
      <w:pPr>
        <w:tabs>
          <w:tab w:val="left" w:pos="540"/>
        </w:tabs>
        <w:spacing w:line="276" w:lineRule="auto"/>
        <w:ind w:left="567" w:hanging="567"/>
        <w:jc w:val="both"/>
        <w:rPr>
          <w:rFonts w:cs="Arial"/>
          <w:sz w:val="22"/>
          <w:szCs w:val="22"/>
        </w:rPr>
      </w:pPr>
      <w:r w:rsidRPr="00320833">
        <w:rPr>
          <w:rFonts w:cs="Arial"/>
          <w:sz w:val="22"/>
          <w:szCs w:val="22"/>
        </w:rPr>
        <w:t xml:space="preserve">I. </w:t>
      </w:r>
      <w:r w:rsidRPr="00320833">
        <w:rPr>
          <w:rFonts w:cs="Arial"/>
          <w:sz w:val="22"/>
          <w:szCs w:val="22"/>
        </w:rPr>
        <w:tab/>
        <w:t>La Superintendencia General de Valores realizó una consulta a la Procuraduría General de la República (PGR), en relación con la aplicación de la Ley de Protección de la Persona Frente al Tratamiento de sus Datos Personales, Ley No 8968, específicamente en lo que respecta al Registro Nacional de Valores e Intermediarios (RNVI), establecido por el artículo 6 de la Ley Reguladora del Mercado de Valores (LRMV).</w:t>
      </w:r>
    </w:p>
    <w:p w14:paraId="388EB7CF" w14:textId="77777777" w:rsidR="007B11EC" w:rsidRPr="00320833" w:rsidRDefault="007B11EC" w:rsidP="007B11EC">
      <w:pPr>
        <w:tabs>
          <w:tab w:val="left" w:pos="540"/>
        </w:tabs>
        <w:spacing w:line="276" w:lineRule="auto"/>
        <w:jc w:val="both"/>
        <w:rPr>
          <w:rFonts w:cs="Arial"/>
          <w:sz w:val="22"/>
          <w:szCs w:val="22"/>
        </w:rPr>
      </w:pPr>
    </w:p>
    <w:p w14:paraId="388EB7D0" w14:textId="77777777" w:rsidR="007B11EC" w:rsidRPr="00320833" w:rsidRDefault="007B11EC" w:rsidP="007B11EC">
      <w:pPr>
        <w:tabs>
          <w:tab w:val="left" w:pos="540"/>
        </w:tabs>
        <w:spacing w:line="276" w:lineRule="auto"/>
        <w:ind w:left="567" w:hanging="567"/>
        <w:jc w:val="both"/>
        <w:rPr>
          <w:rFonts w:cs="Arial"/>
          <w:sz w:val="22"/>
          <w:szCs w:val="22"/>
        </w:rPr>
      </w:pPr>
      <w:r w:rsidRPr="00320833">
        <w:rPr>
          <w:rFonts w:cs="Arial"/>
          <w:sz w:val="22"/>
          <w:szCs w:val="22"/>
        </w:rPr>
        <w:t xml:space="preserve">II. </w:t>
      </w:r>
      <w:r w:rsidRPr="00320833">
        <w:rPr>
          <w:rFonts w:cs="Arial"/>
          <w:sz w:val="22"/>
          <w:szCs w:val="22"/>
        </w:rPr>
        <w:tab/>
        <w:t>Mediante el dictamen C-312-2014, del 29 de setiembre del 2014, la PGR manifestó, que los artículos 3 y 9 de la Ley de Protección de la Persona Frente al Tratamiento de sus Datos Personales, diferencian tres categorías de datos personales, a saber:</w:t>
      </w:r>
    </w:p>
    <w:p w14:paraId="388EB7D1" w14:textId="77777777" w:rsidR="007B11EC" w:rsidRPr="00320833" w:rsidRDefault="007B11EC" w:rsidP="007B11EC">
      <w:pPr>
        <w:tabs>
          <w:tab w:val="left" w:pos="540"/>
        </w:tabs>
        <w:spacing w:line="276" w:lineRule="auto"/>
        <w:jc w:val="both"/>
        <w:rPr>
          <w:rFonts w:cs="Arial"/>
          <w:sz w:val="22"/>
          <w:szCs w:val="22"/>
        </w:rPr>
      </w:pPr>
    </w:p>
    <w:p w14:paraId="388EB7D2" w14:textId="77777777" w:rsidR="007B11EC" w:rsidRPr="00320833" w:rsidRDefault="007B11EC" w:rsidP="007B11EC">
      <w:pPr>
        <w:numPr>
          <w:ilvl w:val="0"/>
          <w:numId w:val="1"/>
        </w:numPr>
        <w:tabs>
          <w:tab w:val="left" w:pos="1134"/>
        </w:tabs>
        <w:spacing w:line="276" w:lineRule="auto"/>
        <w:ind w:left="1134" w:hanging="567"/>
        <w:jc w:val="both"/>
        <w:rPr>
          <w:rFonts w:cs="Arial"/>
          <w:sz w:val="22"/>
          <w:szCs w:val="22"/>
        </w:rPr>
      </w:pPr>
      <w:r w:rsidRPr="00320833">
        <w:rPr>
          <w:rFonts w:cs="Arial"/>
          <w:sz w:val="22"/>
          <w:szCs w:val="22"/>
        </w:rPr>
        <w:t>Datos personales de acceso irrestricto: los contenidos en bases de datos públicas de acceso general, según dispongan leyes especiales y de conformidad con la finalidad para la cual estos datos fueron recabados.</w:t>
      </w:r>
    </w:p>
    <w:p w14:paraId="388EB7D3" w14:textId="77777777" w:rsidR="007B11EC" w:rsidRPr="00320833" w:rsidRDefault="007B11EC" w:rsidP="007B11EC">
      <w:pPr>
        <w:tabs>
          <w:tab w:val="left" w:pos="1134"/>
        </w:tabs>
        <w:spacing w:line="276" w:lineRule="auto"/>
        <w:ind w:left="1134" w:hanging="567"/>
        <w:jc w:val="both"/>
        <w:rPr>
          <w:rFonts w:cs="Arial"/>
          <w:sz w:val="22"/>
          <w:szCs w:val="22"/>
        </w:rPr>
      </w:pPr>
    </w:p>
    <w:p w14:paraId="388EB7D4" w14:textId="77777777" w:rsidR="007B11EC" w:rsidRPr="00320833" w:rsidRDefault="007B11EC" w:rsidP="007B11EC">
      <w:pPr>
        <w:numPr>
          <w:ilvl w:val="0"/>
          <w:numId w:val="1"/>
        </w:numPr>
        <w:tabs>
          <w:tab w:val="left" w:pos="1134"/>
        </w:tabs>
        <w:spacing w:line="276" w:lineRule="auto"/>
        <w:ind w:left="1134" w:hanging="567"/>
        <w:jc w:val="both"/>
        <w:rPr>
          <w:rFonts w:cs="Arial"/>
          <w:sz w:val="22"/>
          <w:szCs w:val="22"/>
        </w:rPr>
      </w:pPr>
      <w:r w:rsidRPr="00320833">
        <w:rPr>
          <w:rFonts w:cs="Arial"/>
          <w:sz w:val="22"/>
          <w:szCs w:val="22"/>
        </w:rPr>
        <w:t>Datos personales de acceso restringido: los que, aun formando parte de registros de acceso al público, no son de acceso irrestricto por ser de interés solo para su titular o para la Administración Pública.</w:t>
      </w:r>
    </w:p>
    <w:p w14:paraId="388EB7D5" w14:textId="77777777" w:rsidR="007B11EC" w:rsidRPr="00320833" w:rsidRDefault="007B11EC" w:rsidP="007B11EC">
      <w:pPr>
        <w:tabs>
          <w:tab w:val="left" w:pos="1134"/>
        </w:tabs>
        <w:spacing w:line="276" w:lineRule="auto"/>
        <w:ind w:left="1134" w:hanging="567"/>
        <w:jc w:val="both"/>
        <w:rPr>
          <w:rFonts w:cs="Arial"/>
          <w:sz w:val="22"/>
          <w:szCs w:val="22"/>
        </w:rPr>
      </w:pPr>
    </w:p>
    <w:p w14:paraId="388EB7D6" w14:textId="77777777" w:rsidR="007B11EC" w:rsidRPr="00320833" w:rsidRDefault="007B11EC" w:rsidP="007B11EC">
      <w:pPr>
        <w:numPr>
          <w:ilvl w:val="0"/>
          <w:numId w:val="1"/>
        </w:numPr>
        <w:tabs>
          <w:tab w:val="left" w:pos="1134"/>
        </w:tabs>
        <w:spacing w:line="276" w:lineRule="auto"/>
        <w:ind w:left="1134" w:hanging="567"/>
        <w:jc w:val="both"/>
        <w:rPr>
          <w:rFonts w:cs="Arial"/>
          <w:sz w:val="22"/>
          <w:szCs w:val="22"/>
        </w:rPr>
      </w:pPr>
      <w:r w:rsidRPr="00320833">
        <w:rPr>
          <w:rFonts w:cs="Arial"/>
          <w:sz w:val="22"/>
          <w:szCs w:val="22"/>
        </w:rPr>
        <w:t>Datos sensibles: información relativa al fuero íntimo de la persona, como por ejemplo los que revelen origen racial, opiniones políticas, convicciones religiosas o espirituales, condición socioeconómica, información biomédica o genética, vida y orientación sexual, entre otros.</w:t>
      </w:r>
    </w:p>
    <w:p w14:paraId="388EB7D7" w14:textId="77777777" w:rsidR="007B11EC" w:rsidRPr="00320833" w:rsidRDefault="007B11EC" w:rsidP="007B11EC">
      <w:pPr>
        <w:tabs>
          <w:tab w:val="left" w:pos="540"/>
        </w:tabs>
        <w:spacing w:line="276" w:lineRule="auto"/>
        <w:jc w:val="both"/>
        <w:rPr>
          <w:rFonts w:cs="Arial"/>
          <w:sz w:val="22"/>
          <w:szCs w:val="22"/>
        </w:rPr>
      </w:pPr>
    </w:p>
    <w:p w14:paraId="388EB7D8" w14:textId="77777777" w:rsidR="007B11EC" w:rsidRPr="00320833" w:rsidRDefault="007B11EC" w:rsidP="007B11EC">
      <w:pPr>
        <w:tabs>
          <w:tab w:val="left" w:pos="540"/>
        </w:tabs>
        <w:spacing w:line="276" w:lineRule="auto"/>
        <w:ind w:left="567" w:hanging="567"/>
        <w:jc w:val="both"/>
        <w:rPr>
          <w:rFonts w:cs="Arial"/>
          <w:sz w:val="22"/>
          <w:szCs w:val="22"/>
        </w:rPr>
      </w:pPr>
      <w:r w:rsidRPr="00320833">
        <w:rPr>
          <w:rFonts w:cs="Arial"/>
          <w:sz w:val="22"/>
          <w:szCs w:val="22"/>
        </w:rPr>
        <w:t>III.</w:t>
      </w:r>
      <w:r w:rsidRPr="00320833">
        <w:rPr>
          <w:rFonts w:cs="Arial"/>
          <w:sz w:val="22"/>
          <w:szCs w:val="22"/>
        </w:rPr>
        <w:tab/>
        <w:t>La Superintendencia General de Valores es titular de una base de datos que contiene datos personales que son recopilados en virtud de las funciones atribuidas por la LRMV y  para satisfacer los fines públicos que dicha ley tutela.</w:t>
      </w:r>
    </w:p>
    <w:p w14:paraId="388EB7D9" w14:textId="77777777" w:rsidR="007B11EC" w:rsidRPr="00320833" w:rsidRDefault="007B11EC" w:rsidP="007B11EC">
      <w:pPr>
        <w:tabs>
          <w:tab w:val="left" w:pos="540"/>
        </w:tabs>
        <w:spacing w:line="276" w:lineRule="auto"/>
        <w:ind w:left="567" w:hanging="567"/>
        <w:jc w:val="both"/>
        <w:rPr>
          <w:rFonts w:cs="Arial"/>
          <w:sz w:val="22"/>
          <w:szCs w:val="22"/>
        </w:rPr>
      </w:pPr>
    </w:p>
    <w:p w14:paraId="388EB7DA" w14:textId="77777777" w:rsidR="007B11EC" w:rsidRPr="00320833" w:rsidRDefault="007B11EC" w:rsidP="007B11EC">
      <w:pPr>
        <w:tabs>
          <w:tab w:val="left" w:pos="540"/>
        </w:tabs>
        <w:spacing w:line="276" w:lineRule="auto"/>
        <w:ind w:left="567" w:hanging="567"/>
        <w:jc w:val="both"/>
        <w:rPr>
          <w:rFonts w:cs="Arial"/>
          <w:sz w:val="22"/>
          <w:szCs w:val="22"/>
        </w:rPr>
      </w:pPr>
      <w:r w:rsidRPr="00320833">
        <w:rPr>
          <w:rFonts w:cs="Arial"/>
          <w:sz w:val="22"/>
          <w:szCs w:val="22"/>
        </w:rPr>
        <w:t>IV.</w:t>
      </w:r>
      <w:r w:rsidRPr="00320833">
        <w:rPr>
          <w:rFonts w:cs="Arial"/>
          <w:sz w:val="22"/>
          <w:szCs w:val="22"/>
        </w:rPr>
        <w:tab/>
        <w:t xml:space="preserve">La dirección personal, la foto y el teléfono privado son datos que puede requerir la Superintendencia de Valores para el cumplimiento de sus funciones. No obstante, estos datos no pueden ser registrados ni pueden ser divulgados a terceros, en tanto es obligatorio mantener su confidencialidad. </w:t>
      </w:r>
    </w:p>
    <w:p w14:paraId="388EB7DB" w14:textId="77777777" w:rsidR="007B11EC" w:rsidRPr="00320833" w:rsidRDefault="007B11EC" w:rsidP="007B11EC">
      <w:pPr>
        <w:tabs>
          <w:tab w:val="left" w:pos="540"/>
        </w:tabs>
        <w:spacing w:line="276" w:lineRule="auto"/>
        <w:jc w:val="both"/>
        <w:rPr>
          <w:rFonts w:cs="Arial"/>
          <w:sz w:val="22"/>
          <w:szCs w:val="22"/>
        </w:rPr>
      </w:pPr>
    </w:p>
    <w:p w14:paraId="388EB7DC" w14:textId="77777777" w:rsidR="007B11EC" w:rsidRPr="00320833" w:rsidRDefault="007B11EC" w:rsidP="007B11EC">
      <w:pPr>
        <w:tabs>
          <w:tab w:val="left" w:pos="540"/>
        </w:tabs>
        <w:spacing w:line="276" w:lineRule="auto"/>
        <w:ind w:left="567" w:hanging="567"/>
        <w:jc w:val="both"/>
        <w:rPr>
          <w:rFonts w:cs="Arial"/>
          <w:sz w:val="22"/>
          <w:szCs w:val="22"/>
        </w:rPr>
      </w:pPr>
      <w:r w:rsidRPr="00320833">
        <w:rPr>
          <w:rFonts w:cs="Arial"/>
          <w:sz w:val="22"/>
          <w:szCs w:val="22"/>
        </w:rPr>
        <w:lastRenderedPageBreak/>
        <w:t>V.</w:t>
      </w:r>
      <w:r w:rsidRPr="00320833">
        <w:rPr>
          <w:rFonts w:cs="Arial"/>
          <w:sz w:val="22"/>
          <w:szCs w:val="22"/>
        </w:rPr>
        <w:tab/>
        <w:t>En vista del citado criterio, y su obligatorio acatamiento, deben modificarse aquellos requisitos o documentos en los cuáles se solicitaba una dirección exacta, para que en adelante sólo se brinde una dirección general, pudiendo ser la Provincia y el Cantón, por lo tanto se prescinde del trámite de consulta, de conformidad con el artículo 361 de la Ley General de la Administración Pública.</w:t>
      </w:r>
    </w:p>
    <w:p w14:paraId="388EB7DD" w14:textId="77777777" w:rsidR="007B11EC" w:rsidRPr="00320833" w:rsidRDefault="007B11EC" w:rsidP="007B11EC">
      <w:pPr>
        <w:widowControl w:val="0"/>
        <w:spacing w:line="276" w:lineRule="auto"/>
        <w:jc w:val="both"/>
        <w:rPr>
          <w:rFonts w:cs="Arial"/>
          <w:b/>
          <w:sz w:val="22"/>
          <w:szCs w:val="22"/>
          <w:lang w:eastAsia="en-US"/>
        </w:rPr>
      </w:pPr>
    </w:p>
    <w:p w14:paraId="388EB7DE" w14:textId="77777777" w:rsidR="007B11EC" w:rsidRPr="00320833" w:rsidRDefault="007B11EC" w:rsidP="007B11EC">
      <w:pPr>
        <w:widowControl w:val="0"/>
        <w:spacing w:line="276" w:lineRule="auto"/>
        <w:jc w:val="both"/>
        <w:rPr>
          <w:rFonts w:cs="Arial"/>
          <w:b/>
          <w:sz w:val="22"/>
          <w:szCs w:val="22"/>
          <w:lang w:eastAsia="en-US"/>
        </w:rPr>
      </w:pPr>
      <w:r w:rsidRPr="00320833">
        <w:rPr>
          <w:rFonts w:cs="Arial"/>
          <w:b/>
          <w:sz w:val="22"/>
          <w:szCs w:val="22"/>
          <w:lang w:eastAsia="en-US"/>
        </w:rPr>
        <w:t>Por tanto, acuerda el</w:t>
      </w:r>
    </w:p>
    <w:p w14:paraId="388EB7DF" w14:textId="77777777" w:rsidR="007B11EC" w:rsidRPr="00320833" w:rsidRDefault="007B11EC" w:rsidP="007B11EC">
      <w:pPr>
        <w:widowControl w:val="0"/>
        <w:spacing w:line="276" w:lineRule="auto"/>
        <w:jc w:val="both"/>
        <w:rPr>
          <w:rFonts w:cs="Arial"/>
          <w:sz w:val="22"/>
          <w:szCs w:val="22"/>
          <w:lang w:eastAsia="en-US"/>
        </w:rPr>
      </w:pPr>
    </w:p>
    <w:p w14:paraId="388EB7E0" w14:textId="77777777" w:rsidR="007B11EC" w:rsidRDefault="007B11EC" w:rsidP="007B11EC">
      <w:pPr>
        <w:spacing w:line="276" w:lineRule="auto"/>
        <w:jc w:val="center"/>
        <w:outlineLvl w:val="0"/>
        <w:rPr>
          <w:rFonts w:cs="Arial"/>
          <w:b/>
          <w:sz w:val="22"/>
          <w:szCs w:val="22"/>
          <w:lang w:val="es-MX"/>
        </w:rPr>
      </w:pPr>
      <w:r w:rsidRPr="00320833">
        <w:rPr>
          <w:rFonts w:cs="Arial"/>
          <w:b/>
          <w:sz w:val="22"/>
          <w:szCs w:val="22"/>
        </w:rPr>
        <w:t xml:space="preserve">SGV-A-206. </w:t>
      </w:r>
      <w:r w:rsidR="000D4790" w:rsidRPr="00320833">
        <w:rPr>
          <w:rFonts w:cs="Arial"/>
          <w:b/>
          <w:sz w:val="22"/>
          <w:szCs w:val="22"/>
          <w:lang w:val="es-MX"/>
        </w:rPr>
        <w:t>MODIFICACIÓN AL ACUERDO SGV-A-84 GUÍA PARA LA ELABORACIÓN DE PROSPECTO DE EMPRESAS</w:t>
      </w:r>
    </w:p>
    <w:p w14:paraId="388EB7E1" w14:textId="77777777" w:rsidR="00552FC1" w:rsidRPr="00320833" w:rsidRDefault="00552FC1" w:rsidP="00552FC1">
      <w:pPr>
        <w:spacing w:line="276" w:lineRule="auto"/>
        <w:outlineLvl w:val="0"/>
        <w:rPr>
          <w:rFonts w:cs="Arial"/>
          <w:b/>
          <w:sz w:val="22"/>
          <w:szCs w:val="22"/>
          <w:lang w:val="es-MX"/>
        </w:rPr>
      </w:pPr>
    </w:p>
    <w:p w14:paraId="388EB7E2" w14:textId="77777777" w:rsidR="007B11EC" w:rsidRPr="00320833" w:rsidRDefault="007B11EC" w:rsidP="007B11EC">
      <w:pPr>
        <w:spacing w:line="276" w:lineRule="auto"/>
        <w:jc w:val="both"/>
        <w:rPr>
          <w:rFonts w:cs="Arial"/>
          <w:b/>
          <w:sz w:val="22"/>
          <w:szCs w:val="22"/>
          <w:lang w:val="es-MX"/>
        </w:rPr>
      </w:pPr>
      <w:r w:rsidRPr="00320833">
        <w:rPr>
          <w:rFonts w:cs="Arial"/>
          <w:b/>
          <w:sz w:val="22"/>
          <w:szCs w:val="22"/>
          <w:lang w:val="es-MX"/>
        </w:rPr>
        <w:t xml:space="preserve">Artículo 1. Reforma </w:t>
      </w:r>
    </w:p>
    <w:p w14:paraId="388EB7E3" w14:textId="77777777" w:rsidR="007B11EC" w:rsidRPr="00320833" w:rsidRDefault="007B11EC" w:rsidP="007B11EC">
      <w:pPr>
        <w:spacing w:line="276" w:lineRule="auto"/>
        <w:jc w:val="both"/>
        <w:rPr>
          <w:rFonts w:cs="Arial"/>
          <w:b/>
          <w:sz w:val="22"/>
          <w:szCs w:val="22"/>
          <w:lang w:val="es-MX"/>
        </w:rPr>
      </w:pPr>
    </w:p>
    <w:p w14:paraId="388EB7E4" w14:textId="77777777" w:rsidR="007B11EC" w:rsidRPr="00320833" w:rsidRDefault="007B11EC" w:rsidP="007B11EC">
      <w:pPr>
        <w:spacing w:line="276" w:lineRule="auto"/>
        <w:jc w:val="both"/>
        <w:rPr>
          <w:rFonts w:cs="Arial"/>
          <w:sz w:val="22"/>
          <w:szCs w:val="22"/>
          <w:lang w:val="es-MX"/>
        </w:rPr>
      </w:pPr>
      <w:r w:rsidRPr="00320833">
        <w:rPr>
          <w:rFonts w:cs="Arial"/>
          <w:sz w:val="22"/>
          <w:szCs w:val="22"/>
          <w:lang w:val="es-MX"/>
        </w:rPr>
        <w:t>Se modifica el Anexo denominado “</w:t>
      </w:r>
      <w:r w:rsidRPr="00320833">
        <w:rPr>
          <w:rFonts w:cs="Arial"/>
          <w:i/>
          <w:sz w:val="22"/>
          <w:szCs w:val="22"/>
          <w:lang w:val="es-MX"/>
        </w:rPr>
        <w:t>Contenido mínimo de la declaración jurada del suscriptor (</w:t>
      </w:r>
      <w:proofErr w:type="spellStart"/>
      <w:r w:rsidRPr="00320833">
        <w:rPr>
          <w:rFonts w:cs="Arial"/>
          <w:i/>
          <w:sz w:val="22"/>
          <w:szCs w:val="22"/>
          <w:lang w:val="es-MX"/>
        </w:rPr>
        <w:t>underwriter</w:t>
      </w:r>
      <w:proofErr w:type="spellEnd"/>
      <w:r w:rsidRPr="00320833">
        <w:rPr>
          <w:rFonts w:cs="Arial"/>
          <w:i/>
          <w:sz w:val="22"/>
          <w:szCs w:val="22"/>
          <w:lang w:val="es-MX"/>
        </w:rPr>
        <w:t>)</w:t>
      </w:r>
      <w:r w:rsidRPr="00320833">
        <w:rPr>
          <w:rFonts w:cs="Arial"/>
          <w:sz w:val="22"/>
          <w:szCs w:val="22"/>
          <w:lang w:val="es-MX"/>
        </w:rPr>
        <w:t>” del Acuerdo SGV-A-84 GUÍA PARA LA ELABORACIÓN DE PROSPECTOS DE EMPRESAS  para que se lea como sigue:</w:t>
      </w:r>
    </w:p>
    <w:p w14:paraId="388EB7E5" w14:textId="77777777" w:rsidR="007B11EC" w:rsidRPr="00320833" w:rsidRDefault="007B11EC" w:rsidP="007B11EC">
      <w:pPr>
        <w:pStyle w:val="Heading2"/>
        <w:spacing w:after="0" w:line="276" w:lineRule="auto"/>
        <w:jc w:val="both"/>
        <w:rPr>
          <w:rFonts w:ascii="Arial" w:hAnsi="Arial" w:cs="Arial"/>
          <w:spacing w:val="0"/>
          <w:szCs w:val="22"/>
        </w:rPr>
      </w:pPr>
      <w:bookmarkStart w:id="1" w:name="_Toc65500772"/>
    </w:p>
    <w:p w14:paraId="388EB7E6" w14:textId="77777777" w:rsidR="007B11EC" w:rsidRPr="00320833" w:rsidRDefault="007B11EC" w:rsidP="007B11EC">
      <w:pPr>
        <w:pStyle w:val="Heading2"/>
        <w:spacing w:after="0" w:line="276" w:lineRule="auto"/>
        <w:jc w:val="both"/>
        <w:rPr>
          <w:rFonts w:ascii="Arial" w:hAnsi="Arial" w:cs="Arial"/>
          <w:i/>
          <w:iCs/>
          <w:spacing w:val="0"/>
          <w:szCs w:val="22"/>
        </w:rPr>
      </w:pPr>
      <w:r w:rsidRPr="00320833">
        <w:rPr>
          <w:rFonts w:ascii="Arial" w:hAnsi="Arial" w:cs="Arial"/>
          <w:spacing w:val="0"/>
          <w:szCs w:val="22"/>
        </w:rPr>
        <w:t>Contenido mínimo de la declaración jurada del suscriptor (</w:t>
      </w:r>
      <w:proofErr w:type="spellStart"/>
      <w:r w:rsidRPr="00320833">
        <w:rPr>
          <w:rFonts w:ascii="Arial" w:hAnsi="Arial" w:cs="Arial"/>
          <w:spacing w:val="0"/>
          <w:szCs w:val="22"/>
        </w:rPr>
        <w:t>underwriter</w:t>
      </w:r>
      <w:proofErr w:type="spellEnd"/>
      <w:r w:rsidRPr="00320833">
        <w:rPr>
          <w:rFonts w:ascii="Arial" w:hAnsi="Arial" w:cs="Arial"/>
          <w:spacing w:val="0"/>
          <w:szCs w:val="22"/>
        </w:rPr>
        <w:t>)</w:t>
      </w:r>
      <w:bookmarkEnd w:id="1"/>
    </w:p>
    <w:p w14:paraId="388EB7E7" w14:textId="77777777" w:rsidR="007B11EC" w:rsidRPr="00320833" w:rsidRDefault="007B11EC" w:rsidP="007B11EC">
      <w:pPr>
        <w:pStyle w:val="CNV"/>
        <w:spacing w:line="276" w:lineRule="auto"/>
        <w:rPr>
          <w:rFonts w:ascii="Arial" w:hAnsi="Arial" w:cs="Arial"/>
          <w:sz w:val="22"/>
          <w:szCs w:val="22"/>
          <w:lang w:val="es-CR"/>
        </w:rPr>
      </w:pPr>
      <w:r w:rsidRPr="00320833">
        <w:rPr>
          <w:rFonts w:ascii="Arial" w:hAnsi="Arial" w:cs="Arial"/>
          <w:sz w:val="22"/>
          <w:szCs w:val="22"/>
          <w:lang w:val="es-CR"/>
        </w:rPr>
        <w:t xml:space="preserve">El contenido mínimo de la declaración jurada del </w:t>
      </w:r>
      <w:r w:rsidRPr="00320833">
        <w:rPr>
          <w:rFonts w:ascii="Arial" w:hAnsi="Arial" w:cs="Arial"/>
          <w:b/>
          <w:bCs/>
          <w:sz w:val="22"/>
          <w:szCs w:val="22"/>
          <w:lang w:val="es-CR"/>
        </w:rPr>
        <w:t>suscriptor</w:t>
      </w:r>
      <w:r w:rsidRPr="00320833">
        <w:rPr>
          <w:rFonts w:ascii="Arial" w:hAnsi="Arial" w:cs="Arial"/>
          <w:sz w:val="22"/>
          <w:szCs w:val="22"/>
          <w:lang w:val="es-CR"/>
        </w:rPr>
        <w:t xml:space="preserve"> </w:t>
      </w:r>
      <w:r w:rsidRPr="00320833">
        <w:rPr>
          <w:rFonts w:ascii="Arial" w:hAnsi="Arial" w:cs="Arial"/>
          <w:i/>
          <w:iCs/>
          <w:sz w:val="22"/>
          <w:szCs w:val="22"/>
          <w:lang w:val="es-CR"/>
        </w:rPr>
        <w:t>(</w:t>
      </w:r>
      <w:proofErr w:type="spellStart"/>
      <w:r w:rsidRPr="00320833">
        <w:rPr>
          <w:rFonts w:ascii="Arial" w:hAnsi="Arial" w:cs="Arial"/>
          <w:i/>
          <w:iCs/>
          <w:sz w:val="22"/>
          <w:szCs w:val="22"/>
        </w:rPr>
        <w:t>underwriter</w:t>
      </w:r>
      <w:proofErr w:type="spellEnd"/>
      <w:r w:rsidRPr="00320833">
        <w:rPr>
          <w:rFonts w:ascii="Arial" w:hAnsi="Arial" w:cs="Arial"/>
          <w:i/>
          <w:iCs/>
          <w:sz w:val="22"/>
          <w:szCs w:val="22"/>
        </w:rPr>
        <w:t>)</w:t>
      </w:r>
      <w:r w:rsidRPr="00320833">
        <w:rPr>
          <w:rFonts w:ascii="Arial" w:hAnsi="Arial" w:cs="Arial"/>
          <w:sz w:val="22"/>
          <w:szCs w:val="22"/>
          <w:lang w:val="es-CR"/>
        </w:rPr>
        <w:t xml:space="preserve"> será el siguiente: </w:t>
      </w:r>
    </w:p>
    <w:p w14:paraId="388EB7E8" w14:textId="77777777" w:rsidR="007B11EC" w:rsidRPr="00320833" w:rsidRDefault="007B11EC" w:rsidP="007B11EC">
      <w:pPr>
        <w:pStyle w:val="CNV"/>
        <w:spacing w:before="60" w:after="60" w:line="276" w:lineRule="auto"/>
        <w:ind w:right="-1"/>
        <w:rPr>
          <w:rFonts w:ascii="Arial" w:hAnsi="Arial" w:cs="Arial"/>
          <w:sz w:val="22"/>
          <w:szCs w:val="22"/>
          <w:u w:val="single"/>
          <w:lang w:val="es-CR"/>
        </w:rPr>
      </w:pPr>
    </w:p>
    <w:p w14:paraId="388EB7E9" w14:textId="77777777" w:rsidR="007B11EC" w:rsidRPr="00320833" w:rsidRDefault="007B11EC" w:rsidP="007B11EC">
      <w:pPr>
        <w:pStyle w:val="CNV"/>
        <w:spacing w:line="276" w:lineRule="auto"/>
        <w:ind w:right="-1"/>
        <w:rPr>
          <w:rFonts w:ascii="Arial" w:hAnsi="Arial" w:cs="Arial"/>
          <w:strike/>
          <w:sz w:val="22"/>
          <w:szCs w:val="22"/>
        </w:rPr>
      </w:pPr>
      <w:r w:rsidRPr="00320833">
        <w:rPr>
          <w:rFonts w:ascii="Arial" w:hAnsi="Arial" w:cs="Arial"/>
          <w:sz w:val="22"/>
          <w:szCs w:val="22"/>
          <w:u w:val="single"/>
          <w:lang w:val="es-CR"/>
        </w:rPr>
        <w:t>NUMERO […]:</w:t>
      </w:r>
      <w:r w:rsidRPr="00320833">
        <w:rPr>
          <w:rFonts w:ascii="Arial" w:hAnsi="Arial" w:cs="Arial"/>
          <w:sz w:val="22"/>
          <w:szCs w:val="22"/>
          <w:lang w:val="es-CR"/>
        </w:rPr>
        <w:t xml:space="preserve"> Ante mí, […], Notario Público de […], comparece (n) el (los) señor (es), [nombre, apellidos, número de cédula, nacionalidad, estado civil, profesión u oficio,  dirección sólo provincia y cantón], en su calidad de representante legal con facultades de apoderado generalísimo sin límite de suma, de la empresa denominada […], cédula jurídica número […]; quién apercibido por el suscrito notario de las penas con las que castiga el Código Penal en su artículo 367 el delito de falsedad ideológica (esto último de acuerdo con la redacción particular del notario), declara bajo la fe de juramento solemne: </w:t>
      </w:r>
      <w:r w:rsidRPr="00320833">
        <w:rPr>
          <w:rFonts w:ascii="Arial" w:hAnsi="Arial" w:cs="Arial"/>
          <w:sz w:val="22"/>
          <w:szCs w:val="22"/>
        </w:rPr>
        <w:t>Que en su condición de suscriptor en (Tipo de suscripción)  de la emisión de valores a que se refiere el CONTRATO DE SUSCRIPCIÓN EN (Tipo de suscripción) y en acatamiento de lo dispuesto en el Reglamento de Oferta Pública, declara bajo la fe y gravedad de juramento, y advertido de las penas con que se castiga el perjurio, lo siguiente: (i) Que guardan total independencia con (empresa emisora) emisor de los valores a que se refiere el contrato relacionado; (ii) que su representada ha conducido un proceso de revisión y debida diligencia (</w:t>
      </w:r>
      <w:r w:rsidRPr="00320833">
        <w:rPr>
          <w:rFonts w:ascii="Arial" w:hAnsi="Arial" w:cs="Arial"/>
          <w:i/>
          <w:sz w:val="22"/>
          <w:szCs w:val="22"/>
        </w:rPr>
        <w:t>en idioma inglés "</w:t>
      </w:r>
      <w:proofErr w:type="spellStart"/>
      <w:r w:rsidRPr="00320833">
        <w:rPr>
          <w:rFonts w:ascii="Arial" w:hAnsi="Arial" w:cs="Arial"/>
          <w:i/>
          <w:sz w:val="22"/>
          <w:szCs w:val="22"/>
        </w:rPr>
        <w:t>due</w:t>
      </w:r>
      <w:proofErr w:type="spellEnd"/>
      <w:r w:rsidRPr="00320833">
        <w:rPr>
          <w:rFonts w:ascii="Arial" w:hAnsi="Arial" w:cs="Arial"/>
          <w:i/>
          <w:sz w:val="22"/>
          <w:szCs w:val="22"/>
        </w:rPr>
        <w:t xml:space="preserve"> </w:t>
      </w:r>
      <w:proofErr w:type="spellStart"/>
      <w:r w:rsidRPr="00320833">
        <w:rPr>
          <w:rFonts w:ascii="Arial" w:hAnsi="Arial" w:cs="Arial"/>
          <w:i/>
          <w:sz w:val="22"/>
          <w:szCs w:val="22"/>
        </w:rPr>
        <w:t>diligence</w:t>
      </w:r>
      <w:proofErr w:type="spellEnd"/>
      <w:r w:rsidRPr="00320833">
        <w:rPr>
          <w:rFonts w:ascii="Arial" w:hAnsi="Arial" w:cs="Arial"/>
          <w:i/>
          <w:sz w:val="22"/>
          <w:szCs w:val="22"/>
        </w:rPr>
        <w:t>"</w:t>
      </w:r>
      <w:r w:rsidRPr="00320833">
        <w:rPr>
          <w:rFonts w:ascii="Arial" w:hAnsi="Arial" w:cs="Arial"/>
          <w:sz w:val="22"/>
          <w:szCs w:val="22"/>
        </w:rPr>
        <w:t xml:space="preserve">), de la veracidad y suficiencia de la información contenida en el prospecto que se ha presentado a las autoridades reguladoras del mercado de valores costarricense para la oferta pública de la emisión de valores (identificación de la emisión); (iii) que no se ha omitido ningún hecho que las haga engañosas ni que sea necesario para permitir a los inversionistas o sus consejeros de inversión hacer una evaluación informada de la condición financiera y económica del emisor; (iv) que la información prospectiva y las expectativas que se revelan fueron obtenidas a partir de una debida y cuidadosa consideración de las circunstancias relevantes y con base en supuestos razonables. </w:t>
      </w:r>
      <w:r w:rsidRPr="00320833">
        <w:rPr>
          <w:rFonts w:ascii="Arial" w:hAnsi="Arial" w:cs="Arial"/>
          <w:sz w:val="22"/>
          <w:szCs w:val="22"/>
          <w:lang w:val="es-CR"/>
        </w:rPr>
        <w:t xml:space="preserve">Es todo. El suscrito notario advirtió al (a los) compareciente (s) sobre el valor y trascendencia legal de sus </w:t>
      </w:r>
      <w:r w:rsidRPr="00320833">
        <w:rPr>
          <w:rFonts w:ascii="Arial" w:hAnsi="Arial" w:cs="Arial"/>
          <w:sz w:val="22"/>
          <w:szCs w:val="22"/>
          <w:lang w:val="es-CR"/>
        </w:rPr>
        <w:lastRenderedPageBreak/>
        <w:t>declaraciones. Se expide un primer testimonio para efectos de trámites administrativos ante la Superintendencia General de Valores. […]</w:t>
      </w:r>
    </w:p>
    <w:p w14:paraId="388EB7EA" w14:textId="77777777" w:rsidR="007B11EC" w:rsidRPr="00320833" w:rsidRDefault="007B11EC" w:rsidP="007B11EC">
      <w:pPr>
        <w:pStyle w:val="CNV"/>
        <w:spacing w:line="276" w:lineRule="auto"/>
        <w:ind w:right="-1"/>
        <w:rPr>
          <w:rFonts w:ascii="Arial" w:hAnsi="Arial" w:cs="Arial"/>
          <w:i/>
          <w:sz w:val="22"/>
          <w:szCs w:val="22"/>
          <w:lang w:val="es-CR"/>
        </w:rPr>
      </w:pPr>
    </w:p>
    <w:p w14:paraId="388EB7EB" w14:textId="77777777" w:rsidR="007B11EC" w:rsidRPr="00320833" w:rsidRDefault="007B11EC" w:rsidP="007B11EC">
      <w:pPr>
        <w:pStyle w:val="CNV"/>
        <w:spacing w:line="276" w:lineRule="auto"/>
        <w:ind w:right="-1"/>
        <w:rPr>
          <w:rFonts w:ascii="Arial" w:hAnsi="Arial" w:cs="Arial"/>
          <w:i/>
          <w:sz w:val="22"/>
          <w:szCs w:val="22"/>
          <w:lang w:val="es-CR"/>
        </w:rPr>
      </w:pPr>
      <w:r w:rsidRPr="00320833">
        <w:rPr>
          <w:rFonts w:ascii="Arial" w:hAnsi="Arial" w:cs="Arial"/>
          <w:i/>
          <w:sz w:val="22"/>
          <w:szCs w:val="22"/>
          <w:lang w:val="es-CR"/>
        </w:rPr>
        <w:t>Todos los documentos notariales deben cumplir con las disposiciones contenidas en el Código Notarial y los Lineamientos de la Dirección Nacional de Notariado.</w:t>
      </w:r>
    </w:p>
    <w:p w14:paraId="388EB7EC" w14:textId="77777777" w:rsidR="007B11EC" w:rsidRPr="00320833" w:rsidRDefault="007B11EC" w:rsidP="007B11EC">
      <w:pPr>
        <w:spacing w:line="276" w:lineRule="auto"/>
        <w:jc w:val="both"/>
        <w:rPr>
          <w:rFonts w:cs="Arial"/>
          <w:b/>
          <w:sz w:val="22"/>
          <w:szCs w:val="22"/>
        </w:rPr>
      </w:pPr>
    </w:p>
    <w:p w14:paraId="388EB7ED" w14:textId="77777777" w:rsidR="007B11EC" w:rsidRPr="00320833" w:rsidRDefault="007B11EC" w:rsidP="007B11EC">
      <w:pPr>
        <w:spacing w:line="276" w:lineRule="auto"/>
        <w:jc w:val="both"/>
        <w:rPr>
          <w:rFonts w:cs="Arial"/>
          <w:b/>
          <w:sz w:val="22"/>
          <w:szCs w:val="22"/>
        </w:rPr>
      </w:pPr>
      <w:r w:rsidRPr="00320833">
        <w:rPr>
          <w:rFonts w:cs="Arial"/>
          <w:b/>
          <w:sz w:val="22"/>
          <w:szCs w:val="22"/>
        </w:rPr>
        <w:t>Artículo 2.  Vigencia</w:t>
      </w:r>
    </w:p>
    <w:p w14:paraId="388EB7EE" w14:textId="77777777" w:rsidR="007B11EC" w:rsidRPr="00320833" w:rsidRDefault="007B11EC" w:rsidP="007B11EC">
      <w:pPr>
        <w:spacing w:line="276" w:lineRule="auto"/>
        <w:jc w:val="both"/>
        <w:rPr>
          <w:rFonts w:cs="Arial"/>
          <w:b/>
          <w:sz w:val="22"/>
          <w:szCs w:val="22"/>
        </w:rPr>
      </w:pPr>
    </w:p>
    <w:p w14:paraId="388EB7EF" w14:textId="77777777" w:rsidR="007B11EC" w:rsidRPr="00320833" w:rsidRDefault="007B11EC" w:rsidP="007B11EC">
      <w:pPr>
        <w:pStyle w:val="p17"/>
        <w:tabs>
          <w:tab w:val="left" w:pos="1587"/>
        </w:tabs>
        <w:spacing w:line="276" w:lineRule="auto"/>
        <w:ind w:left="0" w:firstLine="0"/>
        <w:rPr>
          <w:rFonts w:ascii="Arial" w:hAnsi="Arial" w:cs="Arial"/>
          <w:sz w:val="22"/>
          <w:szCs w:val="22"/>
          <w:lang w:val="es-MX"/>
        </w:rPr>
      </w:pPr>
      <w:r w:rsidRPr="00320833">
        <w:rPr>
          <w:rFonts w:ascii="Arial" w:hAnsi="Arial" w:cs="Arial"/>
          <w:sz w:val="22"/>
          <w:szCs w:val="22"/>
          <w:lang w:val="es-MX"/>
        </w:rPr>
        <w:t>Rige a partir de</w:t>
      </w:r>
      <w:r>
        <w:rPr>
          <w:rFonts w:ascii="Arial" w:hAnsi="Arial" w:cs="Arial"/>
          <w:sz w:val="22"/>
          <w:szCs w:val="22"/>
          <w:lang w:val="es-MX"/>
        </w:rPr>
        <w:t xml:space="preserve"> su comunicación.</w:t>
      </w:r>
    </w:p>
    <w:p w14:paraId="388EB7F0" w14:textId="77777777" w:rsidR="007B11EC" w:rsidRPr="00A34F4B" w:rsidRDefault="007B11EC" w:rsidP="007B11EC">
      <w:pPr>
        <w:rPr>
          <w:rFonts w:eastAsia="Calibri" w:cs="Arial"/>
          <w:sz w:val="21"/>
          <w:szCs w:val="21"/>
          <w:lang w:val="es-MX" w:eastAsia="en-US"/>
        </w:rPr>
      </w:pPr>
    </w:p>
    <w:p w14:paraId="388EB7F1" w14:textId="77777777" w:rsidR="007B11EC" w:rsidRPr="006F1922" w:rsidRDefault="007B11EC" w:rsidP="007B11EC">
      <w:pPr>
        <w:spacing w:line="276" w:lineRule="auto"/>
        <w:rPr>
          <w:rFonts w:ascii="Calibri" w:eastAsia="Calibri" w:hAnsi="Calibri"/>
          <w:szCs w:val="24"/>
          <w:lang w:eastAsia="en-US"/>
        </w:rPr>
      </w:pPr>
      <w:r w:rsidRPr="00A92F5C">
        <w:rPr>
          <w:rFonts w:eastAsia="Calibri" w:cs="Arial"/>
          <w:sz w:val="22"/>
          <w:szCs w:val="22"/>
          <w:lang w:eastAsia="en-US"/>
        </w:rPr>
        <w:t xml:space="preserve"> </w:t>
      </w:r>
    </w:p>
    <w:p w14:paraId="388EB7F2" w14:textId="77777777" w:rsidR="00D50369" w:rsidRDefault="00D50369"/>
    <w:sectPr w:rsidR="00D50369" w:rsidSect="00B024DF">
      <w:headerReference w:type="even" r:id="rId11"/>
      <w:headerReference w:type="default" r:id="rId12"/>
      <w:footerReference w:type="even" r:id="rId13"/>
      <w:footerReference w:type="default" r:id="rId14"/>
      <w:headerReference w:type="first" r:id="rId15"/>
      <w:footerReference w:type="first" r:id="rId16"/>
      <w:pgSz w:w="12240" w:h="15840"/>
      <w:pgMar w:top="1440" w:right="1797" w:bottom="1440" w:left="1797" w:header="425" w:footer="37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8EB7F5" w14:textId="77777777" w:rsidR="00C76D18" w:rsidRDefault="009050B1">
      <w:r>
        <w:separator/>
      </w:r>
    </w:p>
  </w:endnote>
  <w:endnote w:type="continuationSeparator" w:id="0">
    <w:p w14:paraId="388EB7F6" w14:textId="77777777" w:rsidR="00C76D18" w:rsidRDefault="00905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BR-01T">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2361142"/>
      <w:docPartObj>
        <w:docPartGallery w:val="Page Numbers (Bottom of Page)"/>
        <w:docPartUnique/>
      </w:docPartObj>
    </w:sdtPr>
    <w:sdtEndPr>
      <w:rPr>
        <w:rFonts w:ascii="Arial" w:hAnsi="Arial" w:cs="Arial"/>
        <w:noProof/>
        <w:color w:val="1B75BB"/>
      </w:rPr>
    </w:sdtEndPr>
    <w:sdtContent>
      <w:p w14:paraId="388EB7FB" w14:textId="77777777" w:rsidR="00B024DF" w:rsidRPr="00991C66" w:rsidRDefault="00B024DF" w:rsidP="00B024DF">
        <w:pPr>
          <w:pStyle w:val="Footer"/>
          <w:rPr>
            <w:rFonts w:ascii="Arial" w:hAnsi="Arial" w:cs="Arial"/>
            <w:color w:val="1B75BB"/>
          </w:rPr>
        </w:pPr>
        <w:r w:rsidRPr="00991C66">
          <w:rPr>
            <w:rFonts w:ascii="Arial" w:hAnsi="Arial" w:cs="Arial"/>
            <w:color w:val="1B75BB"/>
          </w:rPr>
          <w:t xml:space="preserve">| </w:t>
        </w:r>
        <w:r w:rsidRPr="00991C66">
          <w:rPr>
            <w:rFonts w:ascii="Arial" w:hAnsi="Arial" w:cs="Arial"/>
            <w:color w:val="1B75BB"/>
          </w:rPr>
          <w:fldChar w:fldCharType="begin"/>
        </w:r>
        <w:r w:rsidRPr="00991C66">
          <w:rPr>
            <w:rFonts w:ascii="Arial" w:hAnsi="Arial" w:cs="Arial"/>
            <w:color w:val="1B75BB"/>
          </w:rPr>
          <w:instrText xml:space="preserve"> PAGE   \* MERGEFORMAT </w:instrText>
        </w:r>
        <w:r w:rsidRPr="00991C66">
          <w:rPr>
            <w:rFonts w:ascii="Arial" w:hAnsi="Arial" w:cs="Arial"/>
            <w:color w:val="1B75BB"/>
          </w:rPr>
          <w:fldChar w:fldCharType="separate"/>
        </w:r>
        <w:r w:rsidR="00961EE8">
          <w:rPr>
            <w:rFonts w:ascii="Arial" w:hAnsi="Arial" w:cs="Arial"/>
            <w:noProof/>
            <w:color w:val="1B75BB"/>
          </w:rPr>
          <w:t>2</w:t>
        </w:r>
        <w:r w:rsidRPr="00991C66">
          <w:rPr>
            <w:rFonts w:ascii="Arial" w:hAnsi="Arial" w:cs="Arial"/>
            <w:noProof/>
            <w:color w:val="1B75BB"/>
          </w:rPr>
          <w:fldChar w:fldCharType="end"/>
        </w:r>
      </w:p>
    </w:sdtContent>
  </w:sdt>
  <w:p w14:paraId="388EB7FC" w14:textId="77777777" w:rsidR="00B024DF" w:rsidRDefault="00B024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b/>
        <w:color w:val="1B75BB"/>
      </w:rPr>
      <w:id w:val="-1760596794"/>
      <w:docPartObj>
        <w:docPartGallery w:val="Page Numbers (Bottom of Page)"/>
        <w:docPartUnique/>
      </w:docPartObj>
    </w:sdtPr>
    <w:sdtEndPr>
      <w:rPr>
        <w:noProof/>
      </w:rPr>
    </w:sdtEndPr>
    <w:sdtContent>
      <w:p w14:paraId="388EB7FD" w14:textId="77777777" w:rsidR="00B024DF" w:rsidRPr="00B024DF" w:rsidRDefault="00B024DF">
        <w:pPr>
          <w:pStyle w:val="Footer"/>
          <w:rPr>
            <w:rFonts w:ascii="Arial" w:hAnsi="Arial" w:cs="Arial"/>
            <w:b/>
            <w:color w:val="1B75BB"/>
          </w:rPr>
        </w:pPr>
        <w:r w:rsidRPr="00B024DF">
          <w:rPr>
            <w:rFonts w:ascii="Arial" w:hAnsi="Arial" w:cs="Arial"/>
            <w:b/>
            <w:color w:val="1B75BB"/>
          </w:rPr>
          <w:t xml:space="preserve">| </w:t>
        </w:r>
        <w:r w:rsidRPr="00B024DF">
          <w:rPr>
            <w:rFonts w:ascii="Arial" w:hAnsi="Arial" w:cs="Arial"/>
            <w:b/>
            <w:color w:val="1B75BB"/>
          </w:rPr>
          <w:fldChar w:fldCharType="begin"/>
        </w:r>
        <w:r w:rsidRPr="00B024DF">
          <w:rPr>
            <w:rFonts w:ascii="Arial" w:hAnsi="Arial" w:cs="Arial"/>
            <w:b/>
            <w:color w:val="1B75BB"/>
          </w:rPr>
          <w:instrText xml:space="preserve"> PAGE   \* MERGEFORMAT </w:instrText>
        </w:r>
        <w:r w:rsidRPr="00B024DF">
          <w:rPr>
            <w:rFonts w:ascii="Arial" w:hAnsi="Arial" w:cs="Arial"/>
            <w:b/>
            <w:color w:val="1B75BB"/>
          </w:rPr>
          <w:fldChar w:fldCharType="separate"/>
        </w:r>
        <w:r w:rsidR="00961EE8">
          <w:rPr>
            <w:rFonts w:ascii="Arial" w:hAnsi="Arial" w:cs="Arial"/>
            <w:b/>
            <w:noProof/>
            <w:color w:val="1B75BB"/>
          </w:rPr>
          <w:t>3</w:t>
        </w:r>
        <w:r w:rsidRPr="00B024DF">
          <w:rPr>
            <w:rFonts w:ascii="Arial" w:hAnsi="Arial" w:cs="Arial"/>
            <w:b/>
            <w:noProof/>
            <w:color w:val="1B75BB"/>
          </w:rPr>
          <w:fldChar w:fldCharType="end"/>
        </w:r>
      </w:p>
    </w:sdtContent>
  </w:sdt>
  <w:p w14:paraId="388EB7FE" w14:textId="77777777" w:rsidR="00B024DF" w:rsidRDefault="00B024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EB800" w14:textId="77777777" w:rsidR="004E4BAC" w:rsidRDefault="004E4B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8EB7F3" w14:textId="77777777" w:rsidR="00C76D18" w:rsidRDefault="009050B1">
      <w:r>
        <w:separator/>
      </w:r>
    </w:p>
  </w:footnote>
  <w:footnote w:type="continuationSeparator" w:id="0">
    <w:p w14:paraId="388EB7F4" w14:textId="77777777" w:rsidR="00C76D18" w:rsidRDefault="009050B1">
      <w:r>
        <w:continuationSeparator/>
      </w:r>
    </w:p>
  </w:footnote>
  <w:footnote w:id="1">
    <w:p w14:paraId="5631D124" w14:textId="503134AF" w:rsidR="00961EE8" w:rsidRPr="00EB2590" w:rsidRDefault="000D4790" w:rsidP="00961EE8">
      <w:pPr>
        <w:pStyle w:val="Textodereglamento"/>
        <w:spacing w:before="0"/>
        <w:rPr>
          <w:rFonts w:ascii="Arial" w:hAnsi="Arial" w:cs="Arial"/>
          <w:bCs/>
          <w:szCs w:val="22"/>
          <w:lang w:val="es-MX" w:eastAsia="en-US"/>
        </w:rPr>
      </w:pPr>
      <w:r w:rsidRPr="00393AD4">
        <w:rPr>
          <w:rStyle w:val="FootnoteReference"/>
          <w:rFonts w:ascii="Arial" w:hAnsi="Arial" w:cs="Arial"/>
          <w:szCs w:val="22"/>
        </w:rPr>
        <w:footnoteRef/>
      </w:r>
      <w:r w:rsidRPr="00393AD4">
        <w:rPr>
          <w:rFonts w:ascii="Arial" w:hAnsi="Arial" w:cs="Arial"/>
          <w:szCs w:val="22"/>
        </w:rPr>
        <w:t xml:space="preserve"> </w:t>
      </w:r>
      <w:r w:rsidRPr="00393AD4">
        <w:rPr>
          <w:rFonts w:ascii="Arial" w:hAnsi="Arial" w:cs="Arial"/>
          <w:bCs/>
          <w:iCs/>
          <w:noProof/>
          <w:szCs w:val="22"/>
          <w:lang w:val="es-ES_tradnl" w:eastAsia="en-US"/>
        </w:rPr>
        <w:t>Superintendencia General de Valores.  Despacho del Superintendente.  A trece horas treinta minutos del siete de abril del dos mil diciesiséis.</w:t>
      </w:r>
      <w:r w:rsidR="00961EE8" w:rsidRPr="00961EE8">
        <w:rPr>
          <w:rFonts w:cs="Arial"/>
          <w:bCs/>
          <w:szCs w:val="22"/>
          <w:lang w:val="es-MX" w:eastAsia="en-US"/>
        </w:rPr>
        <w:t xml:space="preserve"> </w:t>
      </w:r>
      <w:r w:rsidR="00961EE8">
        <w:rPr>
          <w:rFonts w:ascii="Arial" w:hAnsi="Arial" w:cs="Arial"/>
          <w:bCs/>
          <w:szCs w:val="22"/>
          <w:lang w:val="es-MX" w:eastAsia="en-US"/>
        </w:rPr>
        <w:t>Publicado en el Diario Oficial La Gaceta No. 158 del 18 de agosto del 2016.</w:t>
      </w:r>
    </w:p>
    <w:p w14:paraId="388EB809" w14:textId="77777777" w:rsidR="000D4790" w:rsidRPr="00961EE8" w:rsidRDefault="000D4790" w:rsidP="000D4790">
      <w:pPr>
        <w:pStyle w:val="BodyText3"/>
        <w:widowControl w:val="0"/>
        <w:spacing w:after="0" w:line="276" w:lineRule="auto"/>
        <w:jc w:val="both"/>
        <w:rPr>
          <w:rFonts w:ascii="Arial" w:hAnsi="Arial" w:cs="Arial"/>
          <w:bCs/>
          <w:iCs/>
          <w:noProof/>
          <w:sz w:val="22"/>
          <w:szCs w:val="22"/>
          <w:lang w:val="es-MX" w:eastAsia="en-US"/>
        </w:rPr>
      </w:pPr>
    </w:p>
    <w:p w14:paraId="388EB80A" w14:textId="77777777" w:rsidR="000D4790" w:rsidRPr="000D4790" w:rsidRDefault="000D4790">
      <w:pPr>
        <w:pStyle w:val="FootnoteText"/>
        <w:rPr>
          <w:lang w:val="es-ES_tradn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EB7F7" w14:textId="77777777" w:rsidR="00990679" w:rsidRDefault="00990679" w:rsidP="00990679">
    <w:pPr>
      <w:pStyle w:val="Header"/>
      <w:jc w:val="right"/>
    </w:pPr>
    <w:r>
      <w:rPr>
        <w:rFonts w:ascii="Calibri" w:hAnsi="Calibri" w:cs="Arial"/>
        <w:bCs/>
        <w:i/>
        <w:noProof/>
        <w:sz w:val="20"/>
        <w:szCs w:val="20"/>
        <w:lang w:eastAsia="es-CR"/>
      </w:rPr>
      <w:drawing>
        <wp:inline distT="0" distB="0" distL="0" distR="0" wp14:anchorId="388EB801" wp14:editId="388EB802">
          <wp:extent cx="1581150" cy="390525"/>
          <wp:effectExtent l="0" t="0" r="0" b="9525"/>
          <wp:docPr id="3" name="Picture 3" descr="Logo-Sugeval-Pequ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ugeval-Pequeñ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390525"/>
                  </a:xfrm>
                  <a:prstGeom prst="rect">
                    <a:avLst/>
                  </a:prstGeom>
                  <a:noFill/>
                  <a:ln>
                    <a:noFill/>
                  </a:ln>
                </pic:spPr>
              </pic:pic>
            </a:graphicData>
          </a:graphic>
        </wp:inline>
      </w:drawing>
    </w:r>
  </w:p>
  <w:p w14:paraId="388EB7F8" w14:textId="77777777" w:rsidR="00990679" w:rsidRDefault="00990679">
    <w:pPr>
      <w:pStyle w:val="Header"/>
    </w:pPr>
    <w:r>
      <w:rPr>
        <w:noProof/>
        <w:lang w:eastAsia="es-CR"/>
      </w:rPr>
      <mc:AlternateContent>
        <mc:Choice Requires="wps">
          <w:drawing>
            <wp:anchor distT="4294967293" distB="4294967293" distL="114300" distR="114300" simplePos="0" relativeHeight="251660288" behindDoc="0" locked="0" layoutInCell="1" allowOverlap="1" wp14:anchorId="388EB803" wp14:editId="388EB804">
              <wp:simplePos x="0" y="0"/>
              <wp:positionH relativeFrom="margin">
                <wp:posOffset>-9525</wp:posOffset>
              </wp:positionH>
              <wp:positionV relativeFrom="paragraph">
                <wp:posOffset>75565</wp:posOffset>
              </wp:positionV>
              <wp:extent cx="545973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59730" cy="0"/>
                      </a:xfrm>
                      <a:prstGeom prst="line">
                        <a:avLst/>
                      </a:prstGeom>
                      <a:noFill/>
                      <a:ln w="19050">
                        <a:solidFill>
                          <a:srgbClr val="1B75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44CA8" id="Straight Connector 4" o:spid="_x0000_s1026" style="position:absolute;flip:y;z-index:251660288;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75pt,5.95pt" to="429.1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SxNKAIAAEEEAAAOAAAAZHJzL2Uyb0RvYy54bWysU02P2yAQvVfqf0C+J7azTjax4qwa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" strokecolor="#1b75bb" strokeweight="1.5pt">
              <w10:wrap anchorx="marg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EB7F9" w14:textId="77777777" w:rsidR="000D4790" w:rsidRDefault="000D4790" w:rsidP="000D4790">
    <w:pPr>
      <w:pStyle w:val="Header"/>
      <w:jc w:val="right"/>
    </w:pPr>
    <w:r>
      <w:rPr>
        <w:rFonts w:ascii="Calibri" w:hAnsi="Calibri" w:cs="Arial"/>
        <w:bCs/>
        <w:i/>
        <w:noProof/>
        <w:sz w:val="20"/>
        <w:szCs w:val="20"/>
        <w:lang w:eastAsia="es-CR"/>
      </w:rPr>
      <w:drawing>
        <wp:inline distT="0" distB="0" distL="0" distR="0" wp14:anchorId="388EB805" wp14:editId="388EB806">
          <wp:extent cx="1581150" cy="390525"/>
          <wp:effectExtent l="0" t="0" r="0" b="9525"/>
          <wp:docPr id="2" name="Picture 2" descr="Logo-Sugeval-Pequ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ugeval-Pequeñ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390525"/>
                  </a:xfrm>
                  <a:prstGeom prst="rect">
                    <a:avLst/>
                  </a:prstGeom>
                  <a:noFill/>
                  <a:ln>
                    <a:noFill/>
                  </a:ln>
                </pic:spPr>
              </pic:pic>
            </a:graphicData>
          </a:graphic>
        </wp:inline>
      </w:drawing>
    </w:r>
  </w:p>
  <w:p w14:paraId="388EB7FA" w14:textId="77777777" w:rsidR="006543BC" w:rsidRDefault="000D4790">
    <w:pPr>
      <w:pStyle w:val="Header"/>
    </w:pPr>
    <w:r>
      <w:rPr>
        <w:noProof/>
        <w:lang w:eastAsia="es-CR"/>
      </w:rPr>
      <mc:AlternateContent>
        <mc:Choice Requires="wps">
          <w:drawing>
            <wp:anchor distT="4294967293" distB="4294967293" distL="114300" distR="114300" simplePos="0" relativeHeight="251658240" behindDoc="0" locked="0" layoutInCell="1" allowOverlap="1" wp14:anchorId="388EB807" wp14:editId="388EB808">
              <wp:simplePos x="0" y="0"/>
              <wp:positionH relativeFrom="margin">
                <wp:posOffset>-7620</wp:posOffset>
              </wp:positionH>
              <wp:positionV relativeFrom="paragraph">
                <wp:posOffset>53975</wp:posOffset>
              </wp:positionV>
              <wp:extent cx="5459730" cy="0"/>
              <wp:effectExtent l="0" t="0" r="2667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59730" cy="0"/>
                      </a:xfrm>
                      <a:prstGeom prst="line">
                        <a:avLst/>
                      </a:prstGeom>
                      <a:noFill/>
                      <a:ln w="19050">
                        <a:solidFill>
                          <a:srgbClr val="1B75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05E8E" id="Straight Connector 11" o:spid="_x0000_s1026" style="position:absolute;flip:y;z-index:251658240;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6pt,4.25pt" to="429.3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" strokecolor="#1b75bb" strokeweight="1.5pt">
              <w10:wrap anchorx="marg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EB7FF" w14:textId="77777777" w:rsidR="004E4BAC" w:rsidRDefault="004E4B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C54A3"/>
    <w:multiLevelType w:val="hybridMultilevel"/>
    <w:tmpl w:val="8968C3C2"/>
    <w:lvl w:ilvl="0" w:tplc="140A0019">
      <w:start w:val="1"/>
      <w:numFmt w:val="lowerLetter"/>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1EC"/>
    <w:rsid w:val="000D2A0C"/>
    <w:rsid w:val="000D4790"/>
    <w:rsid w:val="003554C2"/>
    <w:rsid w:val="00393AD4"/>
    <w:rsid w:val="004E4BAC"/>
    <w:rsid w:val="00552FC1"/>
    <w:rsid w:val="007B11EC"/>
    <w:rsid w:val="009050B1"/>
    <w:rsid w:val="00961EE8"/>
    <w:rsid w:val="00990679"/>
    <w:rsid w:val="00991C66"/>
    <w:rsid w:val="00B024DF"/>
    <w:rsid w:val="00C76D18"/>
    <w:rsid w:val="00D503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8EB7C9"/>
  <w15:chartTrackingRefBased/>
  <w15:docId w15:val="{727AA663-2915-4741-94FB-BBB20E813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790"/>
    <w:pPr>
      <w:spacing w:after="0" w:line="240" w:lineRule="auto"/>
    </w:pPr>
    <w:rPr>
      <w:rFonts w:eastAsia="Times New Roman" w:cs="Times New Roman"/>
      <w:sz w:val="24"/>
      <w:szCs w:val="20"/>
      <w:lang w:val="es-CR" w:eastAsia="es-CR"/>
    </w:rPr>
  </w:style>
  <w:style w:type="paragraph" w:styleId="Heading2">
    <w:name w:val="heading 2"/>
    <w:basedOn w:val="Normal"/>
    <w:next w:val="BodyText"/>
    <w:link w:val="Heading2Char"/>
    <w:qFormat/>
    <w:rsid w:val="007B11EC"/>
    <w:pPr>
      <w:keepNext/>
      <w:keepLines/>
      <w:spacing w:after="240" w:line="240" w:lineRule="atLeast"/>
      <w:outlineLvl w:val="1"/>
    </w:pPr>
    <w:rPr>
      <w:rFonts w:ascii="Arial Black" w:hAnsi="Arial Black"/>
      <w:spacing w:val="-15"/>
      <w:kern w:val="28"/>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B11EC"/>
    <w:rPr>
      <w:rFonts w:ascii="Arial Black" w:eastAsia="Times New Roman" w:hAnsi="Arial Black" w:cs="Times New Roman"/>
      <w:spacing w:val="-15"/>
      <w:kern w:val="28"/>
      <w:szCs w:val="20"/>
      <w:lang w:val="es-CR"/>
    </w:rPr>
  </w:style>
  <w:style w:type="paragraph" w:styleId="Header">
    <w:name w:val="header"/>
    <w:basedOn w:val="Normal"/>
    <w:link w:val="HeaderChar"/>
    <w:uiPriority w:val="99"/>
    <w:unhideWhenUsed/>
    <w:rsid w:val="007B11EC"/>
    <w:pPr>
      <w:tabs>
        <w:tab w:val="center" w:pos="4419"/>
        <w:tab w:val="right" w:pos="8838"/>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7B11EC"/>
    <w:rPr>
      <w:rFonts w:asciiTheme="minorHAnsi" w:hAnsiTheme="minorHAnsi"/>
      <w:lang w:val="es-CR"/>
    </w:rPr>
  </w:style>
  <w:style w:type="paragraph" w:styleId="Footer">
    <w:name w:val="footer"/>
    <w:basedOn w:val="Normal"/>
    <w:link w:val="FooterChar"/>
    <w:uiPriority w:val="99"/>
    <w:unhideWhenUsed/>
    <w:rsid w:val="007B11EC"/>
    <w:pPr>
      <w:tabs>
        <w:tab w:val="center" w:pos="4419"/>
        <w:tab w:val="right" w:pos="8838"/>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7B11EC"/>
    <w:rPr>
      <w:rFonts w:asciiTheme="minorHAnsi" w:hAnsiTheme="minorHAnsi"/>
      <w:lang w:val="es-CR"/>
    </w:rPr>
  </w:style>
  <w:style w:type="paragraph" w:styleId="BodyText3">
    <w:name w:val="Body Text 3"/>
    <w:basedOn w:val="Normal"/>
    <w:link w:val="BodyText3Char"/>
    <w:rsid w:val="007B11EC"/>
    <w:pPr>
      <w:spacing w:after="120"/>
    </w:pPr>
    <w:rPr>
      <w:rFonts w:ascii="Times New Roman" w:hAnsi="Times New Roman"/>
      <w:sz w:val="16"/>
      <w:szCs w:val="16"/>
      <w:lang w:val="es-ES" w:eastAsia="es-ES"/>
    </w:rPr>
  </w:style>
  <w:style w:type="character" w:customStyle="1" w:styleId="BodyText3Char">
    <w:name w:val="Body Text 3 Char"/>
    <w:basedOn w:val="DefaultParagraphFont"/>
    <w:link w:val="BodyText3"/>
    <w:rsid w:val="007B11EC"/>
    <w:rPr>
      <w:rFonts w:ascii="Times New Roman" w:eastAsia="Times New Roman" w:hAnsi="Times New Roman" w:cs="Times New Roman"/>
      <w:sz w:val="16"/>
      <w:szCs w:val="16"/>
      <w:lang w:eastAsia="es-ES"/>
    </w:rPr>
  </w:style>
  <w:style w:type="paragraph" w:customStyle="1" w:styleId="p17">
    <w:name w:val="p17"/>
    <w:basedOn w:val="Normal"/>
    <w:rsid w:val="007B11EC"/>
    <w:pPr>
      <w:widowControl w:val="0"/>
      <w:tabs>
        <w:tab w:val="left" w:pos="725"/>
        <w:tab w:val="left" w:pos="1020"/>
      </w:tabs>
      <w:autoSpaceDE w:val="0"/>
      <w:autoSpaceDN w:val="0"/>
      <w:adjustRightInd w:val="0"/>
      <w:spacing w:line="323" w:lineRule="atLeast"/>
      <w:ind w:left="1020" w:hanging="295"/>
      <w:jc w:val="both"/>
    </w:pPr>
    <w:rPr>
      <w:rFonts w:ascii="Times New Roman" w:hAnsi="Times New Roman"/>
      <w:szCs w:val="24"/>
      <w:lang w:val="en-US" w:eastAsia="en-US"/>
    </w:rPr>
  </w:style>
  <w:style w:type="paragraph" w:customStyle="1" w:styleId="CNV">
    <w:name w:val="CNV"/>
    <w:basedOn w:val="Normal"/>
    <w:rsid w:val="007B11EC"/>
    <w:pPr>
      <w:jc w:val="both"/>
    </w:pPr>
    <w:rPr>
      <w:rFonts w:ascii="BR-01T" w:hAnsi="BR-01T"/>
      <w:lang w:val="es-ES_tradnl" w:eastAsia="en-US"/>
    </w:rPr>
  </w:style>
  <w:style w:type="paragraph" w:styleId="BodyText">
    <w:name w:val="Body Text"/>
    <w:basedOn w:val="Normal"/>
    <w:link w:val="BodyTextChar"/>
    <w:uiPriority w:val="99"/>
    <w:semiHidden/>
    <w:unhideWhenUsed/>
    <w:rsid w:val="007B11EC"/>
    <w:pPr>
      <w:spacing w:after="120"/>
    </w:pPr>
  </w:style>
  <w:style w:type="character" w:customStyle="1" w:styleId="BodyTextChar">
    <w:name w:val="Body Text Char"/>
    <w:basedOn w:val="DefaultParagraphFont"/>
    <w:link w:val="BodyText"/>
    <w:uiPriority w:val="99"/>
    <w:semiHidden/>
    <w:rsid w:val="007B11EC"/>
    <w:rPr>
      <w:rFonts w:eastAsia="Times New Roman" w:cs="Times New Roman"/>
      <w:sz w:val="24"/>
      <w:szCs w:val="20"/>
      <w:lang w:val="es-CR" w:eastAsia="es-CR"/>
    </w:rPr>
  </w:style>
  <w:style w:type="paragraph" w:styleId="FootnoteText">
    <w:name w:val="footnote text"/>
    <w:basedOn w:val="Normal"/>
    <w:link w:val="FootnoteTextChar"/>
    <w:uiPriority w:val="99"/>
    <w:semiHidden/>
    <w:unhideWhenUsed/>
    <w:rsid w:val="000D4790"/>
    <w:rPr>
      <w:sz w:val="20"/>
    </w:rPr>
  </w:style>
  <w:style w:type="character" w:customStyle="1" w:styleId="FootnoteTextChar">
    <w:name w:val="Footnote Text Char"/>
    <w:basedOn w:val="DefaultParagraphFont"/>
    <w:link w:val="FootnoteText"/>
    <w:uiPriority w:val="99"/>
    <w:semiHidden/>
    <w:rsid w:val="000D4790"/>
    <w:rPr>
      <w:rFonts w:eastAsia="Times New Roman" w:cs="Times New Roman"/>
      <w:sz w:val="20"/>
      <w:szCs w:val="20"/>
      <w:lang w:val="es-CR" w:eastAsia="es-CR"/>
    </w:rPr>
  </w:style>
  <w:style w:type="character" w:styleId="FootnoteReference">
    <w:name w:val="footnote reference"/>
    <w:basedOn w:val="DefaultParagraphFont"/>
    <w:uiPriority w:val="99"/>
    <w:semiHidden/>
    <w:unhideWhenUsed/>
    <w:rsid w:val="000D4790"/>
    <w:rPr>
      <w:vertAlign w:val="superscript"/>
    </w:rPr>
  </w:style>
  <w:style w:type="paragraph" w:customStyle="1" w:styleId="Textodereglamento">
    <w:name w:val="Texto de reglamento"/>
    <w:basedOn w:val="Normal"/>
    <w:link w:val="TextodereglamentoChar"/>
    <w:qFormat/>
    <w:rsid w:val="00961EE8"/>
    <w:pPr>
      <w:spacing w:before="120"/>
      <w:jc w:val="both"/>
    </w:pPr>
    <w:rPr>
      <w:rFonts w:ascii="Times New Roman" w:hAnsi="Times New Roman"/>
      <w:sz w:val="22"/>
      <w:szCs w:val="24"/>
      <w:lang w:val="es-ES" w:eastAsia="es-ES"/>
    </w:rPr>
  </w:style>
  <w:style w:type="character" w:customStyle="1" w:styleId="TextodereglamentoChar">
    <w:name w:val="Texto de reglamento Char"/>
    <w:link w:val="Textodereglamento"/>
    <w:rsid w:val="00961EE8"/>
    <w:rPr>
      <w:rFonts w:ascii="Times New Roman" w:eastAsia="Times New Roman" w:hAnsi="Times New Roman" w:cs="Times New Roman"/>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endnotes" Target="endnotes.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fontTable" Target="fontTable.xml"/>
  <Relationship Id="rId18"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numbering" Target="numbering.xml"/>
  <Relationship Id="rId6" Type="http://schemas.openxmlformats.org/officeDocument/2006/relationships/styles" Target="styles.xml"/>
  <Relationship Id="rId7" Type="http://schemas.openxmlformats.org/officeDocument/2006/relationships/settings" Target="settings.xml"/>
  <Relationship Id="rId8" Type="http://schemas.openxmlformats.org/officeDocument/2006/relationships/webSettings" Target="webSettings.xml"/>
  <Relationship Id="rId9" Type="http://schemas.openxmlformats.org/officeDocument/2006/relationships/footnotes" Target="footnotes.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_rels/header2.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documentManagement>
    <Estado xmlns="315842a7-4cff-4ca6-8fb0-a6562d7ae952">Vigente</Estado>
    <Derogado_x0020_por_x003a_ xmlns="315842a7-4cff-4ca6-8fb0-a6562d7ae952" xsi:nil="true"/>
    <SharedWithUsers xmlns="fc66ef79-2d66-4fa3-90bd-e4f186d8d369">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66477CF232ACD46B93353E93693837C" ma:contentTypeVersion="22" ma:contentTypeDescription="Crear nuevo documento." ma:contentTypeScope="" ma:versionID="771b5d109343a25d4f006d1cf9f2dd89">
  <xsd:schema xmlns:xsd="http://www.w3.org/2001/XMLSchema" xmlns:xs="http://www.w3.org/2001/XMLSchema" xmlns:p="http://schemas.microsoft.com/office/2006/metadata/properties" xmlns:ns2="315842a7-4cff-4ca6-8fb0-a6562d7ae952" xmlns:ns3="fc66ef79-2d66-4fa3-90bd-e4f186d8d369" targetNamespace="http://schemas.microsoft.com/office/2006/metadata/properties" ma:root="true" ma:fieldsID="92001fb5b952c810e9fd9ed66f8f92f8" ns2:_="" ns3:_="">
    <xsd:import namespace="315842a7-4cff-4ca6-8fb0-a6562d7ae952"/>
    <xsd:import namespace="fc66ef79-2d66-4fa3-90bd-e4f186d8d369"/>
    <xsd:element name="properties">
      <xsd:complexType>
        <xsd:sequence>
          <xsd:element name="documentManagement">
            <xsd:complexType>
              <xsd:all>
                <xsd:element ref="ns2:Estado" minOccurs="0"/>
                <xsd:element ref="ns2:Derogado_x0020_por_x003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842a7-4cff-4ca6-8fb0-a6562d7ae952" elementFormDefault="qualified">
    <xsd:import namespace="http://schemas.microsoft.com/office/2006/documentManagement/types"/>
    <xsd:import namespace="http://schemas.microsoft.com/office/infopath/2007/PartnerControls"/>
    <xsd:element name="Estado" ma:index="8" nillable="true" ma:displayName="Estado" ma:default="Consulta" ma:format="Dropdown" ma:internalName="Estado">
      <xsd:simpleType>
        <xsd:restriction base="dms:Choice">
          <xsd:enumeration value="Consulta"/>
          <xsd:enumeration value="Derogado"/>
          <xsd:enumeration value="Vigente"/>
        </xsd:restriction>
      </xsd:simpleType>
    </xsd:element>
    <xsd:element name="Derogado_x0020_por_x003a_" ma:index="9" nillable="true" ma:displayName="Derogado por:" ma:internalName="Derogado_x0020_por_x003a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Acuerd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1A33A5-D52C-4CE4-945B-D81394FD6E7D}"/>
</file>

<file path=customXml/itemProps2.xml><?xml version="1.0" encoding="utf-8"?>
<ds:datastoreItem xmlns:ds="http://schemas.openxmlformats.org/officeDocument/2006/customXml" ds:itemID="{8134C2F6-6C98-44D4-822B-879821939EFC}"/>
</file>

<file path=customXml/itemProps3.xml><?xml version="1.0" encoding="utf-8"?>
<ds:datastoreItem xmlns:ds="http://schemas.openxmlformats.org/officeDocument/2006/customXml" ds:itemID="{049F1F17-5EB5-4EAD-8FC7-3078B9E3D51B}"/>
</file>

<file path=customXml/itemProps4.xml><?xml version="1.0" encoding="utf-8"?>
<ds:datastoreItem xmlns:ds="http://schemas.openxmlformats.org/officeDocument/2006/customXml" ds:itemID="{96FA8B7D-B0DF-452A-A63F-959B88EF1DD2}"/>
</file>

<file path=docProps/app.xml><?xml version="1.0" encoding="utf-8"?>
<Properties xmlns="http://schemas.openxmlformats.org/officeDocument/2006/extended-properties" xmlns:vt="http://schemas.openxmlformats.org/officeDocument/2006/docPropsVTypes">
  <Template>Normal</Template>
  <TotalTime>36</TotalTime>
  <Pages>3</Pages>
  <Words>810</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SUGEVAL</Company>
  <LinksUpToDate>false</LinksUpToDate>
  <CharactersWithSpaces>5258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MODIFICACIÓN AL ACUERDO SGV-A-84 GUÍA PARA LA ELABORACIÓN DE PROSPECTO DE EMPRESAS</dc:title>
  <dc:creator>Isabel Tan Chan</dc:creator>
  <cp:lastModifiedBy>Patricia Fernández Porras</cp:lastModifiedBy>
  <cp:revision>10</cp:revision>
  <dcterms:created xsi:type="dcterms:W3CDTF">2016-04-08T17:13:00Z</dcterms:created>
  <dcterms:modified xsi:type="dcterms:W3CDTF">2016-08-18T17:24:00Z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0x010100C66477CF232ACD46B93353E93693837C</vt:lpwstr>
  </property>
  <property fmtid="{D5CDD505-2E9C-101B-9397-08002B2CF9AE}" pid="5" name="FileLeafRef">
    <vt:lpwstr>SGV-A-206.docx</vt:lpwstr>
  </property>
</Properties>
</file>