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8C59E" w14:textId="77777777" w:rsidR="00C47EDF" w:rsidRPr="00C47EDF" w:rsidRDefault="00C47EDF" w:rsidP="00C47EDF">
      <w:pPr>
        <w:jc w:val="both"/>
        <w:rPr>
          <w:rFonts w:cs="Arial"/>
          <w:b/>
          <w:szCs w:val="24"/>
        </w:rPr>
      </w:pPr>
      <w:r w:rsidRPr="00C47EDF">
        <w:rPr>
          <w:rFonts w:cs="Arial"/>
          <w:b/>
          <w:bCs/>
          <w:iCs/>
          <w:noProof/>
          <w:szCs w:val="24"/>
          <w:lang w:val="es-ES_tradnl" w:eastAsia="en-US"/>
        </w:rPr>
        <w:t xml:space="preserve">SGV-A-209. </w:t>
      </w:r>
      <w:r w:rsidRPr="00C47EDF">
        <w:rPr>
          <w:rFonts w:cs="Arial"/>
          <w:b/>
          <w:szCs w:val="24"/>
          <w:lang w:val="es-MX"/>
        </w:rPr>
        <w:t xml:space="preserve">MODIFICACIÓN AL ACUERDO SGV-A-153 </w:t>
      </w:r>
      <w:r w:rsidRPr="00C47EDF">
        <w:rPr>
          <w:rFonts w:cs="Arial"/>
          <w:b/>
          <w:szCs w:val="24"/>
        </w:rPr>
        <w:t>CONTENIDO MÍNIMO DEL PROSPECTO SIMPLIFICADO Y DEL COMUNICADO DE HECHO RELEVANTE APLICABLE A PROGRAMAS DE DEUDA DE CORTO PLAZO</w:t>
      </w:r>
      <w:r>
        <w:rPr>
          <w:rStyle w:val="FootnoteReference"/>
          <w:rFonts w:cs="Arial"/>
          <w:b/>
          <w:szCs w:val="24"/>
        </w:rPr>
        <w:footnoteReference w:id="1"/>
      </w:r>
    </w:p>
    <w:p w14:paraId="5298C59F" w14:textId="77777777" w:rsidR="00C47EDF" w:rsidRPr="00C47EDF" w:rsidRDefault="00C47EDF" w:rsidP="00040E3C">
      <w:pPr>
        <w:pStyle w:val="BodyText3"/>
        <w:widowControl w:val="0"/>
        <w:spacing w:after="0"/>
        <w:jc w:val="both"/>
        <w:rPr>
          <w:rFonts w:ascii="Arial" w:hAnsi="Arial" w:cs="Arial"/>
          <w:bCs/>
          <w:iCs/>
          <w:noProof/>
          <w:sz w:val="22"/>
          <w:szCs w:val="22"/>
          <w:lang w:val="es-CR" w:eastAsia="en-US"/>
        </w:rPr>
      </w:pPr>
    </w:p>
    <w:p w14:paraId="5298C5A0" w14:textId="77777777" w:rsidR="00C47EDF" w:rsidRDefault="00C47EDF" w:rsidP="00040E3C">
      <w:pPr>
        <w:pStyle w:val="BodyText3"/>
        <w:widowControl w:val="0"/>
        <w:spacing w:after="0"/>
        <w:jc w:val="both"/>
        <w:rPr>
          <w:rFonts w:ascii="Arial" w:hAnsi="Arial" w:cs="Arial"/>
          <w:bCs/>
          <w:iCs/>
          <w:noProof/>
          <w:sz w:val="22"/>
          <w:szCs w:val="22"/>
          <w:lang w:val="es-ES_tradnl" w:eastAsia="en-US"/>
        </w:rPr>
      </w:pPr>
    </w:p>
    <w:p w14:paraId="5298C5A1" w14:textId="77777777" w:rsidR="006F1922" w:rsidRPr="00C47EDF" w:rsidRDefault="006F1922" w:rsidP="00C47EDF">
      <w:pPr>
        <w:pStyle w:val="BodyText3"/>
        <w:widowControl w:val="0"/>
        <w:spacing w:after="0"/>
        <w:jc w:val="both"/>
        <w:rPr>
          <w:rFonts w:ascii="Arial" w:hAnsi="Arial" w:cs="Arial"/>
          <w:b/>
          <w:bCs/>
          <w:iCs/>
          <w:noProof/>
          <w:sz w:val="22"/>
          <w:szCs w:val="22"/>
          <w:lang w:val="es-ES_tradnl" w:eastAsia="en-US"/>
        </w:rPr>
      </w:pPr>
      <w:r w:rsidRPr="00C47EDF">
        <w:rPr>
          <w:rFonts w:ascii="Arial" w:hAnsi="Arial" w:cs="Arial"/>
          <w:b/>
          <w:bCs/>
          <w:iCs/>
          <w:noProof/>
          <w:sz w:val="22"/>
          <w:szCs w:val="22"/>
          <w:lang w:val="es-ES_tradnl" w:eastAsia="en-US"/>
        </w:rPr>
        <w:t>Considerando que:</w:t>
      </w:r>
    </w:p>
    <w:p w14:paraId="5298C5A2" w14:textId="77777777" w:rsidR="006543BC" w:rsidRPr="00C47EDF" w:rsidRDefault="006543BC" w:rsidP="00C47EDF">
      <w:pPr>
        <w:pStyle w:val="BodyText3"/>
        <w:widowControl w:val="0"/>
        <w:spacing w:after="0"/>
        <w:jc w:val="both"/>
        <w:rPr>
          <w:rFonts w:ascii="Arial" w:hAnsi="Arial" w:cs="Arial"/>
          <w:b/>
          <w:bCs/>
          <w:iCs/>
          <w:noProof/>
          <w:sz w:val="22"/>
          <w:szCs w:val="22"/>
          <w:lang w:val="es-ES_tradnl" w:eastAsia="en-US"/>
        </w:rPr>
      </w:pPr>
    </w:p>
    <w:p w14:paraId="5298C5A3" w14:textId="77777777" w:rsidR="006543BC" w:rsidRPr="00C47EDF" w:rsidRDefault="006543BC" w:rsidP="00C47EDF">
      <w:pPr>
        <w:tabs>
          <w:tab w:val="left" w:pos="540"/>
        </w:tabs>
        <w:spacing w:line="276" w:lineRule="auto"/>
        <w:ind w:left="567" w:hanging="567"/>
        <w:jc w:val="both"/>
        <w:rPr>
          <w:rFonts w:cs="Arial"/>
          <w:sz w:val="22"/>
          <w:szCs w:val="22"/>
        </w:rPr>
      </w:pPr>
      <w:r w:rsidRPr="00C47EDF">
        <w:rPr>
          <w:rFonts w:cs="Arial"/>
          <w:sz w:val="22"/>
          <w:szCs w:val="22"/>
        </w:rPr>
        <w:t xml:space="preserve">I. </w:t>
      </w:r>
      <w:r w:rsidR="000C2555" w:rsidRPr="00C47EDF">
        <w:rPr>
          <w:rFonts w:cs="Arial"/>
          <w:sz w:val="22"/>
          <w:szCs w:val="22"/>
        </w:rPr>
        <w:tab/>
      </w:r>
      <w:r w:rsidRPr="00C47EDF">
        <w:rPr>
          <w:rFonts w:cs="Arial"/>
          <w:sz w:val="22"/>
          <w:szCs w:val="22"/>
        </w:rPr>
        <w:t>La Superintendencia General de Valores realizó una consulta a la Procuraduría General de la República (PGR), en relación con la aplicación de la Ley de Protección de la Persona Frente al Tratamiento de sus Datos Personales, Ley No 8968, específicamente en lo que respecta al Registro Nacional de Valores e Intermediarios (RNVI), establecido por el artículo 6 de la Ley Reguladora del Mercado de Valores (LRMV).</w:t>
      </w:r>
    </w:p>
    <w:p w14:paraId="5298C5A4" w14:textId="77777777" w:rsidR="006543BC" w:rsidRPr="00C47EDF" w:rsidRDefault="006543BC" w:rsidP="00C47EDF">
      <w:pPr>
        <w:tabs>
          <w:tab w:val="left" w:pos="540"/>
        </w:tabs>
        <w:spacing w:line="276" w:lineRule="auto"/>
        <w:jc w:val="both"/>
        <w:rPr>
          <w:rFonts w:cs="Arial"/>
          <w:sz w:val="22"/>
          <w:szCs w:val="22"/>
        </w:rPr>
      </w:pPr>
    </w:p>
    <w:p w14:paraId="5298C5A5" w14:textId="77777777" w:rsidR="006543BC" w:rsidRPr="00C47EDF" w:rsidRDefault="006543BC" w:rsidP="00C47EDF">
      <w:pPr>
        <w:tabs>
          <w:tab w:val="left" w:pos="540"/>
        </w:tabs>
        <w:spacing w:line="276" w:lineRule="auto"/>
        <w:ind w:left="567" w:hanging="567"/>
        <w:jc w:val="both"/>
        <w:rPr>
          <w:rFonts w:cs="Arial"/>
          <w:sz w:val="22"/>
          <w:szCs w:val="22"/>
        </w:rPr>
      </w:pPr>
      <w:r w:rsidRPr="00C47EDF">
        <w:rPr>
          <w:rFonts w:cs="Arial"/>
          <w:sz w:val="22"/>
          <w:szCs w:val="22"/>
        </w:rPr>
        <w:t xml:space="preserve">II. </w:t>
      </w:r>
      <w:r w:rsidR="000C2555" w:rsidRPr="00C47EDF">
        <w:rPr>
          <w:rFonts w:cs="Arial"/>
          <w:sz w:val="22"/>
          <w:szCs w:val="22"/>
        </w:rPr>
        <w:tab/>
      </w:r>
      <w:r w:rsidRPr="00C47EDF">
        <w:rPr>
          <w:rFonts w:cs="Arial"/>
          <w:sz w:val="22"/>
          <w:szCs w:val="22"/>
        </w:rPr>
        <w:t>Mediante el dictamen C-312-2014, del 29 de setiembre del 2014, la PGR manifestó, que los artículos 3 y 9 de la Ley de Protección de la Persona Frente al Tratamiento de sus Datos Personales, diferencian tres categorías de datos personales, a saber:</w:t>
      </w:r>
    </w:p>
    <w:p w14:paraId="5298C5A6" w14:textId="77777777" w:rsidR="006543BC" w:rsidRPr="00C47EDF" w:rsidRDefault="006543BC" w:rsidP="00C47EDF">
      <w:pPr>
        <w:tabs>
          <w:tab w:val="left" w:pos="540"/>
        </w:tabs>
        <w:spacing w:line="276" w:lineRule="auto"/>
        <w:jc w:val="both"/>
        <w:rPr>
          <w:rFonts w:cs="Arial"/>
          <w:sz w:val="22"/>
          <w:szCs w:val="22"/>
        </w:rPr>
      </w:pPr>
    </w:p>
    <w:p w14:paraId="5298C5A7" w14:textId="77777777" w:rsidR="006543BC" w:rsidRPr="00C47EDF" w:rsidRDefault="006543BC" w:rsidP="00C47EDF">
      <w:pPr>
        <w:numPr>
          <w:ilvl w:val="0"/>
          <w:numId w:val="6"/>
        </w:numPr>
        <w:tabs>
          <w:tab w:val="left" w:pos="1134"/>
        </w:tabs>
        <w:spacing w:line="276" w:lineRule="auto"/>
        <w:ind w:left="1134" w:hanging="567"/>
        <w:jc w:val="both"/>
        <w:rPr>
          <w:rFonts w:cs="Arial"/>
          <w:sz w:val="22"/>
          <w:szCs w:val="22"/>
        </w:rPr>
      </w:pPr>
      <w:r w:rsidRPr="00C47EDF">
        <w:rPr>
          <w:rFonts w:cs="Arial"/>
          <w:sz w:val="22"/>
          <w:szCs w:val="22"/>
        </w:rPr>
        <w:t>Datos personales de acceso irrestricto: los contenidos en bases de datos públicas de acceso general, según dispongan leyes especiales y de conformidad con la finalidad para la cual estos datos fueron recabados.</w:t>
      </w:r>
    </w:p>
    <w:p w14:paraId="5298C5A8" w14:textId="77777777" w:rsidR="006543BC" w:rsidRPr="00C47EDF" w:rsidRDefault="006543BC" w:rsidP="00C47EDF">
      <w:pPr>
        <w:tabs>
          <w:tab w:val="left" w:pos="1134"/>
        </w:tabs>
        <w:spacing w:line="276" w:lineRule="auto"/>
        <w:ind w:left="1134" w:hanging="567"/>
        <w:jc w:val="both"/>
        <w:rPr>
          <w:rFonts w:cs="Arial"/>
          <w:sz w:val="22"/>
          <w:szCs w:val="22"/>
        </w:rPr>
      </w:pPr>
    </w:p>
    <w:p w14:paraId="5298C5A9" w14:textId="77777777" w:rsidR="006543BC" w:rsidRPr="00C47EDF" w:rsidRDefault="006543BC" w:rsidP="00C47EDF">
      <w:pPr>
        <w:numPr>
          <w:ilvl w:val="0"/>
          <w:numId w:val="6"/>
        </w:numPr>
        <w:tabs>
          <w:tab w:val="left" w:pos="1134"/>
        </w:tabs>
        <w:spacing w:line="276" w:lineRule="auto"/>
        <w:ind w:left="1134" w:hanging="567"/>
        <w:jc w:val="both"/>
        <w:rPr>
          <w:rFonts w:cs="Arial"/>
          <w:sz w:val="22"/>
          <w:szCs w:val="22"/>
        </w:rPr>
      </w:pPr>
      <w:r w:rsidRPr="00C47EDF">
        <w:rPr>
          <w:rFonts w:cs="Arial"/>
          <w:sz w:val="22"/>
          <w:szCs w:val="22"/>
        </w:rPr>
        <w:t>Datos personales de acceso restringido: los que, aun formando parte de registros de acceso al público, no son de acceso irrestricto por ser de interés solo para su titular o para la Administración Pública.</w:t>
      </w:r>
    </w:p>
    <w:p w14:paraId="5298C5AA" w14:textId="77777777" w:rsidR="006543BC" w:rsidRPr="00C47EDF" w:rsidRDefault="006543BC" w:rsidP="00C47EDF">
      <w:pPr>
        <w:tabs>
          <w:tab w:val="left" w:pos="1134"/>
        </w:tabs>
        <w:spacing w:line="276" w:lineRule="auto"/>
        <w:ind w:left="1134" w:hanging="567"/>
        <w:jc w:val="both"/>
        <w:rPr>
          <w:rFonts w:cs="Arial"/>
          <w:sz w:val="22"/>
          <w:szCs w:val="22"/>
        </w:rPr>
      </w:pPr>
    </w:p>
    <w:p w14:paraId="5298C5AB" w14:textId="77777777" w:rsidR="006543BC" w:rsidRPr="00C47EDF" w:rsidRDefault="006543BC" w:rsidP="00C47EDF">
      <w:pPr>
        <w:numPr>
          <w:ilvl w:val="0"/>
          <w:numId w:val="6"/>
        </w:numPr>
        <w:tabs>
          <w:tab w:val="left" w:pos="1134"/>
        </w:tabs>
        <w:spacing w:line="276" w:lineRule="auto"/>
        <w:ind w:left="1134" w:hanging="567"/>
        <w:jc w:val="both"/>
        <w:rPr>
          <w:rFonts w:cs="Arial"/>
          <w:sz w:val="22"/>
          <w:szCs w:val="22"/>
        </w:rPr>
      </w:pPr>
      <w:r w:rsidRPr="00C47EDF">
        <w:rPr>
          <w:rFonts w:cs="Arial"/>
          <w:sz w:val="22"/>
          <w:szCs w:val="22"/>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5298C5AC" w14:textId="77777777" w:rsidR="006543BC" w:rsidRPr="00C47EDF" w:rsidRDefault="006543BC" w:rsidP="00C47EDF">
      <w:pPr>
        <w:tabs>
          <w:tab w:val="left" w:pos="540"/>
        </w:tabs>
        <w:spacing w:line="276" w:lineRule="auto"/>
        <w:jc w:val="both"/>
        <w:rPr>
          <w:rFonts w:cs="Arial"/>
          <w:sz w:val="22"/>
          <w:szCs w:val="22"/>
        </w:rPr>
      </w:pPr>
    </w:p>
    <w:p w14:paraId="5298C5AD" w14:textId="77777777" w:rsidR="006543BC" w:rsidRPr="00C47EDF" w:rsidRDefault="006543BC" w:rsidP="00C47EDF">
      <w:pPr>
        <w:tabs>
          <w:tab w:val="left" w:pos="540"/>
        </w:tabs>
        <w:spacing w:line="276" w:lineRule="auto"/>
        <w:ind w:left="567" w:hanging="567"/>
        <w:jc w:val="both"/>
        <w:rPr>
          <w:rFonts w:cs="Arial"/>
          <w:sz w:val="22"/>
          <w:szCs w:val="22"/>
        </w:rPr>
      </w:pPr>
      <w:r w:rsidRPr="00C47EDF">
        <w:rPr>
          <w:rFonts w:cs="Arial"/>
          <w:sz w:val="22"/>
          <w:szCs w:val="22"/>
        </w:rPr>
        <w:t>III.</w:t>
      </w:r>
      <w:r w:rsidRPr="00C47EDF">
        <w:rPr>
          <w:rFonts w:cs="Arial"/>
          <w:sz w:val="22"/>
          <w:szCs w:val="22"/>
        </w:rPr>
        <w:tab/>
        <w:t>La Superintendencia General de Valores es titular de una base de datos que contiene datos personales que son recopilados en virtud de las funciones atribuidas por la LRMV y  para satisfacer los fines públicos que dicha ley tutela.</w:t>
      </w:r>
    </w:p>
    <w:p w14:paraId="5298C5AE" w14:textId="77777777" w:rsidR="006543BC" w:rsidRPr="00C47EDF" w:rsidRDefault="006543BC" w:rsidP="00C47EDF">
      <w:pPr>
        <w:tabs>
          <w:tab w:val="left" w:pos="540"/>
        </w:tabs>
        <w:spacing w:line="276" w:lineRule="auto"/>
        <w:ind w:left="567" w:hanging="567"/>
        <w:jc w:val="both"/>
        <w:rPr>
          <w:rFonts w:cs="Arial"/>
          <w:sz w:val="22"/>
          <w:szCs w:val="22"/>
        </w:rPr>
      </w:pPr>
    </w:p>
    <w:p w14:paraId="5298C5AF" w14:textId="77777777" w:rsidR="006543BC" w:rsidRPr="00C47EDF" w:rsidRDefault="006543BC" w:rsidP="00C47EDF">
      <w:pPr>
        <w:tabs>
          <w:tab w:val="left" w:pos="540"/>
        </w:tabs>
        <w:spacing w:line="276" w:lineRule="auto"/>
        <w:ind w:left="567" w:hanging="567"/>
        <w:jc w:val="both"/>
        <w:rPr>
          <w:rFonts w:cs="Arial"/>
          <w:sz w:val="22"/>
          <w:szCs w:val="22"/>
        </w:rPr>
      </w:pPr>
      <w:r w:rsidRPr="00C47EDF">
        <w:rPr>
          <w:rFonts w:cs="Arial"/>
          <w:sz w:val="22"/>
          <w:szCs w:val="22"/>
        </w:rPr>
        <w:t>IV.</w:t>
      </w:r>
      <w:r w:rsidRPr="00C47EDF">
        <w:rPr>
          <w:rFonts w:cs="Arial"/>
          <w:sz w:val="22"/>
          <w:szCs w:val="22"/>
        </w:rPr>
        <w:tab/>
        <w:t xml:space="preserve">La dirección personal, la foto y el teléfono privado son datos que puede requerir la Superintendencia de Valores para el cumplimiento de sus funciones. No obstante, estos datos no pueden ser registrados ni pueden ser divulgados a terceros, en tanto es obligatorio mantener su confidencialidad. </w:t>
      </w:r>
    </w:p>
    <w:p w14:paraId="5298C5B0" w14:textId="77777777" w:rsidR="006543BC" w:rsidRPr="00C47EDF" w:rsidRDefault="006543BC" w:rsidP="00C47EDF">
      <w:pPr>
        <w:tabs>
          <w:tab w:val="left" w:pos="540"/>
        </w:tabs>
        <w:spacing w:line="276" w:lineRule="auto"/>
        <w:jc w:val="both"/>
        <w:rPr>
          <w:rFonts w:cs="Arial"/>
          <w:sz w:val="22"/>
          <w:szCs w:val="22"/>
        </w:rPr>
      </w:pPr>
    </w:p>
    <w:p w14:paraId="5298C5B1" w14:textId="77777777" w:rsidR="006543BC" w:rsidRPr="00C47EDF" w:rsidRDefault="006543BC" w:rsidP="00C47EDF">
      <w:pPr>
        <w:tabs>
          <w:tab w:val="left" w:pos="540"/>
        </w:tabs>
        <w:spacing w:line="276" w:lineRule="auto"/>
        <w:ind w:left="567" w:hanging="567"/>
        <w:jc w:val="both"/>
        <w:rPr>
          <w:rFonts w:cs="Arial"/>
          <w:sz w:val="22"/>
          <w:szCs w:val="22"/>
        </w:rPr>
      </w:pPr>
      <w:r w:rsidRPr="00C47EDF">
        <w:rPr>
          <w:rFonts w:cs="Arial"/>
          <w:sz w:val="22"/>
          <w:szCs w:val="22"/>
        </w:rPr>
        <w:t>V.</w:t>
      </w:r>
      <w:r w:rsidRPr="00C47EDF">
        <w:rPr>
          <w:rFonts w:cs="Arial"/>
          <w:sz w:val="22"/>
          <w:szCs w:val="22"/>
        </w:rPr>
        <w:tab/>
        <w:t>En vista del citado criterio, y su obligatorio acatamiento, deben modificarse aquellos requisitos o documentos en los cuáles se solicitaba una dirección exacta, para que en adelante sólo se brinde una dirección general, pudiendo ser la Provincia y el Cantón, por lo tanto se prescinde del trámite de consulta, de conformidad con el artículo 361 de la Ley General de la Administración Pública.</w:t>
      </w:r>
    </w:p>
    <w:p w14:paraId="5298C5B2" w14:textId="77777777" w:rsidR="00040E3C" w:rsidRPr="00C47EDF" w:rsidRDefault="00040E3C" w:rsidP="00C47EDF">
      <w:pPr>
        <w:widowControl w:val="0"/>
        <w:spacing w:line="276" w:lineRule="auto"/>
        <w:jc w:val="both"/>
        <w:rPr>
          <w:rFonts w:cs="Arial"/>
          <w:b/>
          <w:sz w:val="22"/>
          <w:szCs w:val="22"/>
          <w:lang w:eastAsia="en-US"/>
        </w:rPr>
      </w:pPr>
    </w:p>
    <w:p w14:paraId="5298C5B3" w14:textId="77777777" w:rsidR="00040E3C" w:rsidRPr="00C47EDF" w:rsidRDefault="00040E3C" w:rsidP="00C47EDF">
      <w:pPr>
        <w:widowControl w:val="0"/>
        <w:spacing w:line="276" w:lineRule="auto"/>
        <w:jc w:val="both"/>
        <w:rPr>
          <w:rFonts w:cs="Arial"/>
          <w:b/>
          <w:sz w:val="22"/>
          <w:szCs w:val="22"/>
          <w:lang w:eastAsia="en-US"/>
        </w:rPr>
      </w:pPr>
      <w:r w:rsidRPr="00C47EDF">
        <w:rPr>
          <w:rFonts w:cs="Arial"/>
          <w:b/>
          <w:sz w:val="22"/>
          <w:szCs w:val="22"/>
          <w:lang w:eastAsia="en-US"/>
        </w:rPr>
        <w:t>Por tanto, acuerda</w:t>
      </w:r>
      <w:r w:rsidR="000C2555" w:rsidRPr="00C47EDF">
        <w:rPr>
          <w:rFonts w:cs="Arial"/>
          <w:b/>
          <w:sz w:val="22"/>
          <w:szCs w:val="22"/>
          <w:lang w:eastAsia="en-US"/>
        </w:rPr>
        <w:t xml:space="preserve"> el</w:t>
      </w:r>
    </w:p>
    <w:p w14:paraId="5298C5B4" w14:textId="77777777" w:rsidR="00040E3C" w:rsidRPr="00C47EDF" w:rsidRDefault="00040E3C" w:rsidP="00C47EDF">
      <w:pPr>
        <w:widowControl w:val="0"/>
        <w:spacing w:line="276" w:lineRule="auto"/>
        <w:jc w:val="both"/>
        <w:rPr>
          <w:rFonts w:cs="Arial"/>
          <w:sz w:val="22"/>
          <w:szCs w:val="22"/>
          <w:lang w:eastAsia="en-US"/>
        </w:rPr>
      </w:pPr>
    </w:p>
    <w:p w14:paraId="5298C5B5" w14:textId="77777777" w:rsidR="0032757B" w:rsidRPr="00C47EDF" w:rsidRDefault="00C47EDF" w:rsidP="00C47EDF">
      <w:pPr>
        <w:jc w:val="center"/>
        <w:rPr>
          <w:rFonts w:cs="Arial"/>
          <w:b/>
          <w:sz w:val="22"/>
          <w:szCs w:val="22"/>
        </w:rPr>
      </w:pPr>
      <w:r w:rsidRPr="00C47EDF">
        <w:rPr>
          <w:rFonts w:cs="Arial"/>
          <w:b/>
          <w:sz w:val="22"/>
          <w:szCs w:val="22"/>
        </w:rPr>
        <w:t xml:space="preserve">SGV-A-209. </w:t>
      </w:r>
      <w:r w:rsidRPr="00C47EDF">
        <w:rPr>
          <w:rFonts w:cs="Arial"/>
          <w:b/>
          <w:sz w:val="22"/>
          <w:szCs w:val="22"/>
          <w:lang w:val="es-MX"/>
        </w:rPr>
        <w:t xml:space="preserve">MODIFICACIÓN AL ACUERDO SGV-A-153 </w:t>
      </w:r>
      <w:r w:rsidRPr="00C47EDF">
        <w:rPr>
          <w:rFonts w:cs="Arial"/>
          <w:b/>
          <w:sz w:val="22"/>
          <w:szCs w:val="22"/>
        </w:rPr>
        <w:t>CONTENIDO MÍNIMO DEL PROSPECTO SIMPLIFICADO Y DEL COMUNICADO DE HECHO RELEVANTE APLICABLE A PROGRAMAS DE DEUDA DE CORTO PLAZO</w:t>
      </w:r>
    </w:p>
    <w:p w14:paraId="5298C5B6" w14:textId="77777777" w:rsidR="000C2555" w:rsidRPr="00C47EDF" w:rsidRDefault="000C2555" w:rsidP="00C47EDF">
      <w:pPr>
        <w:spacing w:line="276" w:lineRule="auto"/>
        <w:jc w:val="both"/>
        <w:outlineLvl w:val="0"/>
        <w:rPr>
          <w:rFonts w:cs="Arial"/>
          <w:b/>
          <w:sz w:val="22"/>
          <w:szCs w:val="22"/>
        </w:rPr>
      </w:pPr>
    </w:p>
    <w:p w14:paraId="5298C5B7" w14:textId="77777777" w:rsidR="0032757B" w:rsidRPr="00C47EDF" w:rsidRDefault="0032757B" w:rsidP="00C47EDF">
      <w:pPr>
        <w:jc w:val="both"/>
        <w:rPr>
          <w:rFonts w:cs="Arial"/>
          <w:b/>
          <w:sz w:val="22"/>
          <w:szCs w:val="22"/>
        </w:rPr>
      </w:pPr>
      <w:r w:rsidRPr="00C47EDF">
        <w:rPr>
          <w:rFonts w:cs="Arial"/>
          <w:b/>
          <w:sz w:val="22"/>
          <w:szCs w:val="22"/>
        </w:rPr>
        <w:t xml:space="preserve">Artículo 1. Reforma </w:t>
      </w:r>
    </w:p>
    <w:p w14:paraId="5298C5B8" w14:textId="77777777" w:rsidR="0032757B" w:rsidRPr="00C47EDF" w:rsidRDefault="0032757B" w:rsidP="00C47EDF">
      <w:pPr>
        <w:jc w:val="both"/>
        <w:rPr>
          <w:rFonts w:cs="Arial"/>
          <w:sz w:val="22"/>
          <w:szCs w:val="22"/>
        </w:rPr>
      </w:pPr>
    </w:p>
    <w:p w14:paraId="5298C5B9" w14:textId="77777777" w:rsidR="0032757B" w:rsidRPr="00C47EDF" w:rsidRDefault="0032757B" w:rsidP="00C47EDF">
      <w:pPr>
        <w:jc w:val="both"/>
        <w:rPr>
          <w:rFonts w:cs="Arial"/>
          <w:sz w:val="22"/>
          <w:szCs w:val="22"/>
        </w:rPr>
      </w:pPr>
      <w:r w:rsidRPr="00C47EDF">
        <w:rPr>
          <w:rFonts w:cs="Arial"/>
          <w:sz w:val="22"/>
          <w:szCs w:val="22"/>
        </w:rPr>
        <w:t>Se modifica el Artículo 3 denominado “Contenido mínimo de la declaración jurada correspondiente al prospecto simplificado de programas de emisiones de deuda de corto plazo”, para que se lea como sigue:</w:t>
      </w:r>
    </w:p>
    <w:p w14:paraId="5298C5BA" w14:textId="77777777" w:rsidR="0032757B" w:rsidRPr="00C47EDF" w:rsidRDefault="0032757B" w:rsidP="00C47EDF">
      <w:pPr>
        <w:jc w:val="both"/>
        <w:rPr>
          <w:rFonts w:cs="Arial"/>
          <w:sz w:val="22"/>
          <w:szCs w:val="22"/>
        </w:rPr>
      </w:pPr>
    </w:p>
    <w:p w14:paraId="5298C5BB" w14:textId="77777777" w:rsidR="0032757B" w:rsidRPr="00C47EDF" w:rsidRDefault="0032757B" w:rsidP="00C47EDF">
      <w:pPr>
        <w:jc w:val="both"/>
        <w:rPr>
          <w:rFonts w:cs="Arial"/>
          <w:b/>
          <w:sz w:val="22"/>
          <w:szCs w:val="22"/>
        </w:rPr>
      </w:pPr>
      <w:r w:rsidRPr="00C47EDF">
        <w:rPr>
          <w:rFonts w:cs="Arial"/>
          <w:b/>
          <w:sz w:val="22"/>
          <w:szCs w:val="22"/>
        </w:rPr>
        <w:t>Artículo 3. Contenido mínimo de la declaración jurada correspondiente al prospecto simplificado de programas de emisiones de deuda de corto plazo</w:t>
      </w:r>
    </w:p>
    <w:p w14:paraId="5298C5BC" w14:textId="77777777" w:rsidR="0032757B" w:rsidRPr="00C47EDF" w:rsidRDefault="0032757B" w:rsidP="00C47EDF">
      <w:pPr>
        <w:jc w:val="both"/>
        <w:rPr>
          <w:rFonts w:cs="Arial"/>
          <w:sz w:val="22"/>
          <w:szCs w:val="22"/>
        </w:rPr>
      </w:pPr>
    </w:p>
    <w:p w14:paraId="5298C5BD" w14:textId="77777777" w:rsidR="0032757B" w:rsidRPr="00C47EDF" w:rsidRDefault="0032757B" w:rsidP="00C47EDF">
      <w:pPr>
        <w:jc w:val="both"/>
        <w:rPr>
          <w:rFonts w:cs="Arial"/>
          <w:sz w:val="22"/>
          <w:szCs w:val="22"/>
        </w:rPr>
      </w:pPr>
      <w:r w:rsidRPr="00C47EDF">
        <w:rPr>
          <w:rFonts w:cs="Arial"/>
          <w:sz w:val="22"/>
          <w:szCs w:val="22"/>
        </w:rPr>
        <w:t xml:space="preserve">El contenido mínimo de la declaración jurada </w:t>
      </w:r>
      <w:r w:rsidRPr="00C47EDF">
        <w:rPr>
          <w:rFonts w:cs="Arial"/>
          <w:sz w:val="22"/>
          <w:szCs w:val="22"/>
        </w:rPr>
        <w:tab/>
        <w:t>rendida por el representante legal del emisor que acompaña el prospecto simplificado, será el siguiente:</w:t>
      </w:r>
    </w:p>
    <w:p w14:paraId="5298C5BE" w14:textId="77777777" w:rsidR="0032757B" w:rsidRPr="00C47EDF" w:rsidRDefault="0032757B" w:rsidP="00C47EDF">
      <w:pPr>
        <w:jc w:val="both"/>
        <w:rPr>
          <w:rFonts w:cs="Arial"/>
          <w:sz w:val="22"/>
          <w:szCs w:val="22"/>
        </w:rPr>
      </w:pPr>
    </w:p>
    <w:p w14:paraId="5298C5BF" w14:textId="77777777" w:rsidR="0032757B" w:rsidRPr="00C47EDF" w:rsidRDefault="0032757B" w:rsidP="00C47EDF">
      <w:pPr>
        <w:jc w:val="both"/>
        <w:rPr>
          <w:rFonts w:cs="Arial"/>
          <w:strike/>
          <w:sz w:val="22"/>
          <w:szCs w:val="22"/>
        </w:rPr>
      </w:pPr>
      <w:r w:rsidRPr="00C47EDF">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(nombre del emisor), cédula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presentada en los requisitos de inscripción del programa de emisiones de deuda de corto plazo (nombre del programa en caso de que se tuviera) de (nombre del emisor), la información contenida en el prospecto simplificado presentado a la Superintendencia General de Valores, con páginas numeradas de la 1 a la N  (N es el total de páginas), incluyendo los anexos, ha sido elaborada con la debida diligencia a partir de la mejor información disponible por el emisor al momento de elaborar el prospecto y es exacta, veraz, verificable y suficiente, con la sana intención de que el lector pueda ejercer sus juicios de valoración en forma razonable mediante información útil para la toma de decisiones de inversión. Que no existe ninguna omisión de información relevante o que haga engañoso su contenido para la valoración del inversionista. Que reitero el compromiso de cumplir las leyes costarricenses, en especial aquellas que regulan las empresas emisoras, las emisiones y oferta pública de valores, así como los reglamentos, circulares y otras disposiciones de la Superintendencia General de Valores. Que asumo en la calidad indicada toda responsabilidad y las respectivas consecuencias civiles y penales sobre la veracidad de la información señalada, así como la información que se estará enviando en forma periódica referida a </w:t>
      </w:r>
      <w:r w:rsidRPr="00C47EDF">
        <w:rPr>
          <w:rFonts w:cs="Arial"/>
          <w:sz w:val="22"/>
          <w:szCs w:val="22"/>
        </w:rPr>
        <w:lastRenderedPageBreak/>
        <w:t xml:space="preserve">la información financiera actualizada, hechos relevantes y otros datos conforme lo exige la Superintendencia General de Valores. […] </w:t>
      </w:r>
    </w:p>
    <w:p w14:paraId="5298C5C0" w14:textId="77777777" w:rsidR="0032757B" w:rsidRPr="00C47EDF" w:rsidRDefault="0032757B" w:rsidP="00C47EDF">
      <w:pPr>
        <w:jc w:val="both"/>
        <w:rPr>
          <w:rFonts w:cs="Arial"/>
          <w:sz w:val="22"/>
          <w:szCs w:val="22"/>
        </w:rPr>
      </w:pPr>
    </w:p>
    <w:p w14:paraId="5298C5C1" w14:textId="77777777" w:rsidR="0032757B" w:rsidRPr="00C47EDF" w:rsidRDefault="0032757B" w:rsidP="00C47EDF">
      <w:pPr>
        <w:jc w:val="both"/>
        <w:rPr>
          <w:rFonts w:cs="Arial"/>
          <w:i/>
          <w:sz w:val="22"/>
          <w:szCs w:val="22"/>
        </w:rPr>
      </w:pPr>
      <w:r w:rsidRPr="00C47EDF">
        <w:rPr>
          <w:rFonts w:cs="Arial"/>
          <w:i/>
          <w:sz w:val="22"/>
          <w:szCs w:val="22"/>
        </w:rPr>
        <w:t>Todos los documentos notariales deben cumplir con las disposiciones contenidas en el Código Notarial y los Lineamientos de la Dirección Nacional de Notariado.</w:t>
      </w:r>
    </w:p>
    <w:p w14:paraId="5298C5C2" w14:textId="77777777" w:rsidR="0032757B" w:rsidRPr="00C47EDF" w:rsidRDefault="0032757B" w:rsidP="00C47EDF">
      <w:pPr>
        <w:jc w:val="both"/>
        <w:rPr>
          <w:rFonts w:cs="Arial"/>
          <w:sz w:val="22"/>
          <w:szCs w:val="22"/>
        </w:rPr>
      </w:pPr>
    </w:p>
    <w:p w14:paraId="5298C5C3" w14:textId="77777777" w:rsidR="0032757B" w:rsidRPr="00C47EDF" w:rsidRDefault="0032757B" w:rsidP="00C47EDF">
      <w:pPr>
        <w:jc w:val="both"/>
        <w:rPr>
          <w:rFonts w:cs="Arial"/>
          <w:b/>
          <w:sz w:val="22"/>
          <w:szCs w:val="22"/>
        </w:rPr>
      </w:pPr>
      <w:r w:rsidRPr="00C47EDF">
        <w:rPr>
          <w:rFonts w:cs="Arial"/>
          <w:b/>
          <w:sz w:val="22"/>
          <w:szCs w:val="22"/>
        </w:rPr>
        <w:t>Artículo 2.  Vigencia</w:t>
      </w:r>
    </w:p>
    <w:p w14:paraId="5298C5C4" w14:textId="77777777" w:rsidR="0032757B" w:rsidRPr="00C47EDF" w:rsidRDefault="0032757B" w:rsidP="00C47EDF">
      <w:pPr>
        <w:jc w:val="both"/>
        <w:rPr>
          <w:rFonts w:cs="Arial"/>
          <w:sz w:val="22"/>
          <w:szCs w:val="22"/>
        </w:rPr>
      </w:pPr>
    </w:p>
    <w:p w14:paraId="5298C5C5" w14:textId="77777777" w:rsidR="0032757B" w:rsidRPr="00C47EDF" w:rsidRDefault="0032757B" w:rsidP="00C47EDF">
      <w:pPr>
        <w:jc w:val="both"/>
        <w:rPr>
          <w:rFonts w:cs="Arial"/>
          <w:sz w:val="22"/>
          <w:szCs w:val="22"/>
        </w:rPr>
      </w:pPr>
      <w:r w:rsidRPr="00C47EDF">
        <w:rPr>
          <w:rFonts w:cs="Arial"/>
          <w:sz w:val="22"/>
          <w:szCs w:val="22"/>
        </w:rPr>
        <w:t xml:space="preserve">Rige a partir </w:t>
      </w:r>
      <w:r w:rsidR="00B52931" w:rsidRPr="00C47EDF">
        <w:rPr>
          <w:rFonts w:cs="Arial"/>
          <w:sz w:val="22"/>
          <w:szCs w:val="22"/>
        </w:rPr>
        <w:t>de su comunicación</w:t>
      </w:r>
    </w:p>
    <w:p w14:paraId="5298C5C6" w14:textId="77777777" w:rsidR="00715507" w:rsidRPr="00C47EDF" w:rsidRDefault="00715507" w:rsidP="00C47EDF">
      <w:pPr>
        <w:spacing w:line="276" w:lineRule="auto"/>
        <w:jc w:val="both"/>
        <w:rPr>
          <w:rFonts w:cs="Arial"/>
          <w:b/>
          <w:sz w:val="22"/>
          <w:szCs w:val="22"/>
        </w:rPr>
      </w:pPr>
    </w:p>
    <w:p w14:paraId="5298C5C7" w14:textId="77777777" w:rsidR="001267C5" w:rsidRPr="00C47EDF" w:rsidRDefault="001267C5" w:rsidP="00C47EDF">
      <w:pPr>
        <w:spacing w:line="276" w:lineRule="auto"/>
        <w:jc w:val="both"/>
        <w:rPr>
          <w:rFonts w:eastAsia="Calibri" w:cs="Arial"/>
          <w:sz w:val="22"/>
          <w:szCs w:val="22"/>
          <w:lang w:eastAsia="en-US"/>
        </w:rPr>
      </w:pPr>
    </w:p>
    <w:p w14:paraId="5298C5C8" w14:textId="77777777" w:rsidR="00074630" w:rsidRPr="00C47EDF" w:rsidRDefault="00074630" w:rsidP="00C47EDF">
      <w:pPr>
        <w:spacing w:line="276" w:lineRule="auto"/>
        <w:jc w:val="both"/>
        <w:rPr>
          <w:rFonts w:eastAsia="Calibri" w:cs="Arial"/>
          <w:sz w:val="22"/>
          <w:szCs w:val="22"/>
          <w:lang w:eastAsia="en-US"/>
        </w:rPr>
      </w:pPr>
    </w:p>
    <w:p w14:paraId="5298C5C9" w14:textId="77777777" w:rsidR="00074630" w:rsidRPr="00C47EDF" w:rsidRDefault="00074630" w:rsidP="00C47EDF">
      <w:pPr>
        <w:spacing w:line="276" w:lineRule="auto"/>
        <w:jc w:val="both"/>
        <w:rPr>
          <w:rFonts w:ascii="Calibri" w:eastAsia="Calibri" w:hAnsi="Calibri"/>
          <w:sz w:val="22"/>
          <w:szCs w:val="22"/>
          <w:lang w:eastAsia="en-US"/>
        </w:rPr>
      </w:pPr>
    </w:p>
    <w:sectPr w:rsidR="00074630" w:rsidRPr="00C47EDF" w:rsidSect="00C47EDF">
      <w:headerReference w:type="default" r:id="rId11"/>
      <w:footerReference w:type="default" r:id="rId12"/>
      <w:headerReference w:type="first" r:id="rId13"/>
      <w:footerReference w:type="first" r:id="rId14"/>
      <w:pgSz w:w="12240" w:h="15840"/>
      <w:pgMar w:top="1440" w:right="1797" w:bottom="1440" w:left="1797" w:header="425"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8C5CC" w14:textId="77777777" w:rsidR="00B20022" w:rsidRDefault="00B20022" w:rsidP="00207AFC">
      <w:r>
        <w:separator/>
      </w:r>
    </w:p>
  </w:endnote>
  <w:endnote w:type="continuationSeparator" w:id="0">
    <w:p w14:paraId="5298C5CD" w14:textId="77777777" w:rsidR="00B20022" w:rsidRDefault="00B20022"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568991"/>
      <w:docPartObj>
        <w:docPartGallery w:val="Page Numbers (Bottom of Page)"/>
        <w:docPartUnique/>
      </w:docPartObj>
    </w:sdtPr>
    <w:sdtEndPr>
      <w:rPr>
        <w:rFonts w:ascii="Arial" w:hAnsi="Arial" w:cs="Arial"/>
        <w:noProof/>
        <w:color w:val="1B75BB"/>
      </w:rPr>
    </w:sdtEndPr>
    <w:sdtContent>
      <w:p w14:paraId="5298C5D1" w14:textId="77777777" w:rsidR="001E650C" w:rsidRPr="00BF504A" w:rsidRDefault="001E650C">
        <w:pPr>
          <w:pStyle w:val="Footer"/>
          <w:rPr>
            <w:rFonts w:ascii="Arial" w:hAnsi="Arial" w:cs="Arial"/>
            <w:color w:val="1B75BB"/>
          </w:rPr>
        </w:pPr>
        <w:r w:rsidRPr="00BF504A">
          <w:rPr>
            <w:rFonts w:ascii="Arial" w:hAnsi="Arial" w:cs="Arial"/>
            <w:color w:val="1B75BB"/>
          </w:rPr>
          <w:t xml:space="preserve">| </w:t>
        </w:r>
        <w:r w:rsidRPr="00BF504A">
          <w:rPr>
            <w:rFonts w:ascii="Arial" w:hAnsi="Arial" w:cs="Arial"/>
            <w:color w:val="1B75BB"/>
          </w:rPr>
          <w:fldChar w:fldCharType="begin"/>
        </w:r>
        <w:r w:rsidRPr="00BF504A">
          <w:rPr>
            <w:rFonts w:ascii="Arial" w:hAnsi="Arial" w:cs="Arial"/>
            <w:color w:val="1B75BB"/>
          </w:rPr>
          <w:instrText xml:space="preserve"> PAGE   \* MERGEFORMAT </w:instrText>
        </w:r>
        <w:r w:rsidRPr="00BF504A">
          <w:rPr>
            <w:rFonts w:ascii="Arial" w:hAnsi="Arial" w:cs="Arial"/>
            <w:color w:val="1B75BB"/>
          </w:rPr>
          <w:fldChar w:fldCharType="separate"/>
        </w:r>
        <w:r w:rsidR="00363ED7">
          <w:rPr>
            <w:rFonts w:ascii="Arial" w:hAnsi="Arial" w:cs="Arial"/>
            <w:noProof/>
            <w:color w:val="1B75BB"/>
          </w:rPr>
          <w:t>2</w:t>
        </w:r>
        <w:r w:rsidRPr="00BF504A">
          <w:rPr>
            <w:rFonts w:ascii="Arial" w:hAnsi="Arial" w:cs="Arial"/>
            <w:noProof/>
            <w:color w:val="1B75BB"/>
          </w:rPr>
          <w:fldChar w:fldCharType="end"/>
        </w:r>
      </w:p>
    </w:sdtContent>
  </w:sdt>
  <w:p w14:paraId="5298C5D2" w14:textId="77777777" w:rsidR="001E650C" w:rsidRDefault="001E6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C5D4" w14:textId="77777777" w:rsidR="006543BC" w:rsidRPr="00B15F4C" w:rsidRDefault="006543BC" w:rsidP="006543BC">
    <w:pPr>
      <w:pStyle w:val="Footer"/>
      <w:rPr>
        <w:rFonts w:ascii="Arial" w:hAnsi="Arial" w:cs="Arial"/>
        <w:sz w:val="20"/>
        <w:szCs w:val="20"/>
        <w:lang w:val="es-ES"/>
      </w:rPr>
    </w:pPr>
  </w:p>
  <w:p w14:paraId="5298C5D5" w14:textId="77777777" w:rsidR="006543BC" w:rsidRPr="006543BC" w:rsidRDefault="006543BC">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8C5CA" w14:textId="77777777" w:rsidR="00B20022" w:rsidRDefault="00B20022" w:rsidP="00207AFC">
      <w:r>
        <w:separator/>
      </w:r>
    </w:p>
  </w:footnote>
  <w:footnote w:type="continuationSeparator" w:id="0">
    <w:p w14:paraId="5298C5CB" w14:textId="77777777" w:rsidR="00B20022" w:rsidRDefault="00B20022" w:rsidP="00207AFC">
      <w:r>
        <w:continuationSeparator/>
      </w:r>
    </w:p>
  </w:footnote>
  <w:footnote w:id="1">
    <w:p w14:paraId="298D994A" w14:textId="77777777" w:rsidR="00363ED7" w:rsidRPr="00EB2590" w:rsidRDefault="00C47EDF" w:rsidP="00363ED7">
      <w:pPr>
        <w:pStyle w:val="Textodereglamento"/>
        <w:spacing w:before="0"/>
        <w:rPr>
          <w:rFonts w:ascii="Arial" w:hAnsi="Arial" w:cs="Arial"/>
          <w:bCs/>
          <w:szCs w:val="22"/>
          <w:lang w:val="es-MX" w:eastAsia="en-US"/>
        </w:rPr>
      </w:pPr>
      <w:r w:rsidRPr="00C47EDF">
        <w:rPr>
          <w:rStyle w:val="FootnoteReference"/>
          <w:rFonts w:ascii="Arial" w:hAnsi="Arial" w:cs="Arial"/>
          <w:szCs w:val="22"/>
        </w:rPr>
        <w:footnoteRef/>
      </w:r>
      <w:r w:rsidRPr="00C47EDF">
        <w:rPr>
          <w:rFonts w:ascii="Arial" w:hAnsi="Arial" w:cs="Arial"/>
          <w:szCs w:val="22"/>
        </w:rPr>
        <w:t xml:space="preserve"> </w:t>
      </w:r>
      <w:r w:rsidRPr="00C47EDF">
        <w:rPr>
          <w:rFonts w:ascii="Arial" w:hAnsi="Arial" w:cs="Arial"/>
          <w:bCs/>
          <w:iCs/>
          <w:noProof/>
          <w:szCs w:val="22"/>
          <w:lang w:val="es-ES_tradnl" w:eastAsia="en-US"/>
        </w:rPr>
        <w:t>Superintendencia General de Valores. Despacho del Superintendente.  A catorce horas quince minutos del siete de abril del dos mil diciesiséis.</w:t>
      </w:r>
      <w:r w:rsidR="00363ED7">
        <w:rPr>
          <w:rFonts w:ascii="Arial" w:hAnsi="Arial" w:cs="Arial"/>
          <w:bCs/>
          <w:iCs/>
          <w:noProof/>
          <w:szCs w:val="22"/>
          <w:lang w:val="es-ES_tradnl" w:eastAsia="en-US"/>
        </w:rPr>
        <w:t xml:space="preserve"> </w:t>
      </w:r>
      <w:r w:rsidR="00363ED7">
        <w:rPr>
          <w:rFonts w:ascii="Arial" w:hAnsi="Arial" w:cs="Arial"/>
          <w:bCs/>
          <w:szCs w:val="22"/>
          <w:lang w:val="es-MX" w:eastAsia="en-US"/>
        </w:rPr>
        <w:t>Publicado en el Diario Oficial La Gaceta No. 158 del 18 de agosto del 2016.</w:t>
      </w:r>
    </w:p>
    <w:p w14:paraId="5298C5DA" w14:textId="127B919B" w:rsidR="00C47EDF" w:rsidRPr="00363ED7" w:rsidRDefault="00C47EDF" w:rsidP="00C47EDF">
      <w:pPr>
        <w:pStyle w:val="BodyText3"/>
        <w:widowControl w:val="0"/>
        <w:spacing w:after="0"/>
        <w:jc w:val="both"/>
        <w:rPr>
          <w:rFonts w:ascii="Arial" w:hAnsi="Arial" w:cs="Arial"/>
          <w:bCs/>
          <w:iCs/>
          <w:noProof/>
          <w:sz w:val="22"/>
          <w:szCs w:val="22"/>
          <w:lang w:val="es-MX" w:eastAsia="en-US"/>
        </w:rPr>
      </w:pPr>
      <w:bookmarkStart w:id="0" w:name="_GoBack"/>
      <w:bookmarkEnd w:id="0"/>
    </w:p>
    <w:p w14:paraId="5298C5DB" w14:textId="77777777" w:rsidR="00C47EDF" w:rsidRPr="00C47EDF" w:rsidRDefault="00C47EDF">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C5CE" w14:textId="77777777" w:rsidR="006543BC" w:rsidRPr="000C2555" w:rsidRDefault="006543BC">
    <w:pPr>
      <w:pStyle w:val="Header"/>
      <w:rPr>
        <w:rFonts w:ascii="Arial" w:hAnsi="Arial" w:cs="Arial"/>
        <w:i/>
        <w:sz w:val="20"/>
        <w:szCs w:val="20"/>
      </w:rPr>
    </w:pPr>
  </w:p>
  <w:p w14:paraId="5298C5CF" w14:textId="77777777" w:rsidR="006543BC" w:rsidRDefault="00C47EDF" w:rsidP="00C47EDF">
    <w:pPr>
      <w:pStyle w:val="Header"/>
      <w:jc w:val="right"/>
    </w:pPr>
    <w:r>
      <w:rPr>
        <w:noProof/>
        <w:lang w:eastAsia="es-CR"/>
      </w:rPr>
      <mc:AlternateContent>
        <mc:Choice Requires="wps">
          <w:drawing>
            <wp:anchor distT="4294967293" distB="4294967293" distL="114300" distR="114300" simplePos="0" relativeHeight="251659264" behindDoc="0" locked="0" layoutInCell="1" allowOverlap="1" wp14:anchorId="5298C5D6" wp14:editId="5298C5D7">
              <wp:simplePos x="0" y="0"/>
              <wp:positionH relativeFrom="margin">
                <wp:posOffset>0</wp:posOffset>
              </wp:positionH>
              <wp:positionV relativeFrom="paragraph">
                <wp:posOffset>399415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5858"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31.45pt" to="429.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" strokecolor="#1b75bb" strokeweight="1.5pt">
              <w10:wrap anchorx="margin"/>
            </v:line>
          </w:pict>
        </mc:Fallback>
      </mc:AlternateContent>
    </w:r>
    <w:r>
      <w:rPr>
        <w:rFonts w:ascii="Calibri" w:hAnsi="Calibri" w:cs="Arial"/>
        <w:bCs/>
        <w:i/>
        <w:noProof/>
        <w:sz w:val="20"/>
        <w:szCs w:val="20"/>
        <w:lang w:eastAsia="es-CR"/>
      </w:rPr>
      <w:drawing>
        <wp:inline distT="0" distB="0" distL="0" distR="0" wp14:anchorId="5298C5D8" wp14:editId="5298C5D9">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5298C5D0" w14:textId="77777777" w:rsidR="00C47EDF" w:rsidRDefault="00C47EDF" w:rsidP="00C47ED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C5D3" w14:textId="77777777" w:rsidR="006543BC" w:rsidRDefault="006543BC" w:rsidP="006543BC">
    <w:pPr>
      <w:pStyle w:val="Header"/>
      <w:tabs>
        <w:tab w:val="right" w:pos="9214"/>
      </w:tabs>
      <w:ind w:left="-851"/>
      <w:rPr>
        <w:rFonts w:ascii="Eras Light ITC" w:hAnsi="Eras Light ITC" w:cs="Arial"/>
        <w:b/>
        <w:sz w:val="28"/>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4A3"/>
    <w:multiLevelType w:val="hybridMultilevel"/>
    <w:tmpl w:val="8968C3C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D2096A"/>
    <w:multiLevelType w:val="hybridMultilevel"/>
    <w:tmpl w:val="6FE40550"/>
    <w:lvl w:ilvl="0" w:tplc="354646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20E72"/>
    <w:multiLevelType w:val="hybridMultilevel"/>
    <w:tmpl w:val="09A68D3A"/>
    <w:lvl w:ilvl="0" w:tplc="0C1C00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5F5EA0"/>
    <w:multiLevelType w:val="multilevel"/>
    <w:tmpl w:val="EA7C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 w15:restartNumberingAfterBreak="0">
    <w:nsid w:val="719C3C69"/>
    <w:multiLevelType w:val="hybridMultilevel"/>
    <w:tmpl w:val="893C44CC"/>
    <w:lvl w:ilvl="0" w:tplc="140A0017">
      <w:start w:val="1"/>
      <w:numFmt w:val="lowerLetter"/>
      <w:lvlText w:val="%1)"/>
      <w:lvlJc w:val="left"/>
      <w:pPr>
        <w:ind w:left="785" w:hanging="360"/>
      </w:p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C"/>
    <w:rsid w:val="00004B51"/>
    <w:rsid w:val="00005DD0"/>
    <w:rsid w:val="00007813"/>
    <w:rsid w:val="00013773"/>
    <w:rsid w:val="00040E3C"/>
    <w:rsid w:val="00041A68"/>
    <w:rsid w:val="00043C0B"/>
    <w:rsid w:val="0005371C"/>
    <w:rsid w:val="00074630"/>
    <w:rsid w:val="0008780A"/>
    <w:rsid w:val="00090F31"/>
    <w:rsid w:val="000949B2"/>
    <w:rsid w:val="000953FC"/>
    <w:rsid w:val="000C2555"/>
    <w:rsid w:val="000C4E30"/>
    <w:rsid w:val="000D67CF"/>
    <w:rsid w:val="000E4FAF"/>
    <w:rsid w:val="000E71BA"/>
    <w:rsid w:val="000F4E61"/>
    <w:rsid w:val="00100FAE"/>
    <w:rsid w:val="00104010"/>
    <w:rsid w:val="001267C5"/>
    <w:rsid w:val="00165790"/>
    <w:rsid w:val="0017059B"/>
    <w:rsid w:val="00184021"/>
    <w:rsid w:val="00192A81"/>
    <w:rsid w:val="00197B17"/>
    <w:rsid w:val="001A0AF1"/>
    <w:rsid w:val="001A7C59"/>
    <w:rsid w:val="001D4FC1"/>
    <w:rsid w:val="001D62CE"/>
    <w:rsid w:val="001E0B3E"/>
    <w:rsid w:val="001E1071"/>
    <w:rsid w:val="001E1F24"/>
    <w:rsid w:val="001E2E39"/>
    <w:rsid w:val="001E650C"/>
    <w:rsid w:val="00207AFC"/>
    <w:rsid w:val="0021173A"/>
    <w:rsid w:val="00217AF6"/>
    <w:rsid w:val="00241B69"/>
    <w:rsid w:val="0027786F"/>
    <w:rsid w:val="002A740B"/>
    <w:rsid w:val="002F155A"/>
    <w:rsid w:val="003039ED"/>
    <w:rsid w:val="0032757B"/>
    <w:rsid w:val="00350FB1"/>
    <w:rsid w:val="00361ADE"/>
    <w:rsid w:val="00363ED7"/>
    <w:rsid w:val="00364301"/>
    <w:rsid w:val="00375816"/>
    <w:rsid w:val="003B69EA"/>
    <w:rsid w:val="00410249"/>
    <w:rsid w:val="0045244E"/>
    <w:rsid w:val="004741B2"/>
    <w:rsid w:val="00477B30"/>
    <w:rsid w:val="004810C0"/>
    <w:rsid w:val="00482689"/>
    <w:rsid w:val="004A0517"/>
    <w:rsid w:val="004A5B60"/>
    <w:rsid w:val="004A776C"/>
    <w:rsid w:val="004B5A93"/>
    <w:rsid w:val="004E29DB"/>
    <w:rsid w:val="00560FA7"/>
    <w:rsid w:val="00565492"/>
    <w:rsid w:val="00572F7F"/>
    <w:rsid w:val="00621817"/>
    <w:rsid w:val="00642BBF"/>
    <w:rsid w:val="00642CB4"/>
    <w:rsid w:val="00644D4B"/>
    <w:rsid w:val="006504B3"/>
    <w:rsid w:val="006543BC"/>
    <w:rsid w:val="006959DB"/>
    <w:rsid w:val="006C5EA0"/>
    <w:rsid w:val="006F164E"/>
    <w:rsid w:val="006F1922"/>
    <w:rsid w:val="00715507"/>
    <w:rsid w:val="00716470"/>
    <w:rsid w:val="00724E93"/>
    <w:rsid w:val="0076110E"/>
    <w:rsid w:val="00765B4D"/>
    <w:rsid w:val="007914F4"/>
    <w:rsid w:val="00794028"/>
    <w:rsid w:val="007D503A"/>
    <w:rsid w:val="008613B8"/>
    <w:rsid w:val="00863C01"/>
    <w:rsid w:val="008859A6"/>
    <w:rsid w:val="008959BC"/>
    <w:rsid w:val="008A3030"/>
    <w:rsid w:val="008D6A64"/>
    <w:rsid w:val="008F5D54"/>
    <w:rsid w:val="009113C1"/>
    <w:rsid w:val="0091176C"/>
    <w:rsid w:val="00956C46"/>
    <w:rsid w:val="00964764"/>
    <w:rsid w:val="00994FEE"/>
    <w:rsid w:val="009B0F0E"/>
    <w:rsid w:val="009B73F6"/>
    <w:rsid w:val="009D47C0"/>
    <w:rsid w:val="009E2BE4"/>
    <w:rsid w:val="009F134B"/>
    <w:rsid w:val="00A700D8"/>
    <w:rsid w:val="00A7524B"/>
    <w:rsid w:val="00A92F5C"/>
    <w:rsid w:val="00AD2523"/>
    <w:rsid w:val="00AF7CF4"/>
    <w:rsid w:val="00B20022"/>
    <w:rsid w:val="00B2044C"/>
    <w:rsid w:val="00B328D5"/>
    <w:rsid w:val="00B52931"/>
    <w:rsid w:val="00B65624"/>
    <w:rsid w:val="00B74757"/>
    <w:rsid w:val="00B938C8"/>
    <w:rsid w:val="00BD5254"/>
    <w:rsid w:val="00BF504A"/>
    <w:rsid w:val="00C03BFE"/>
    <w:rsid w:val="00C2043D"/>
    <w:rsid w:val="00C26663"/>
    <w:rsid w:val="00C469D7"/>
    <w:rsid w:val="00C47EDF"/>
    <w:rsid w:val="00C5626B"/>
    <w:rsid w:val="00C822D0"/>
    <w:rsid w:val="00C8402E"/>
    <w:rsid w:val="00C968A1"/>
    <w:rsid w:val="00CA3445"/>
    <w:rsid w:val="00CC075E"/>
    <w:rsid w:val="00CD3178"/>
    <w:rsid w:val="00CF6020"/>
    <w:rsid w:val="00CF73A1"/>
    <w:rsid w:val="00D05333"/>
    <w:rsid w:val="00D07EC7"/>
    <w:rsid w:val="00D17B5A"/>
    <w:rsid w:val="00D30386"/>
    <w:rsid w:val="00D72D47"/>
    <w:rsid w:val="00D77863"/>
    <w:rsid w:val="00D91919"/>
    <w:rsid w:val="00DB42B2"/>
    <w:rsid w:val="00DC5365"/>
    <w:rsid w:val="00DD1BBD"/>
    <w:rsid w:val="00DF6F95"/>
    <w:rsid w:val="00E05526"/>
    <w:rsid w:val="00E16C5C"/>
    <w:rsid w:val="00E2768F"/>
    <w:rsid w:val="00E33383"/>
    <w:rsid w:val="00E577B2"/>
    <w:rsid w:val="00E97E12"/>
    <w:rsid w:val="00EA5496"/>
    <w:rsid w:val="00EB4551"/>
    <w:rsid w:val="00EF7E74"/>
    <w:rsid w:val="00F52578"/>
    <w:rsid w:val="00F5270E"/>
    <w:rsid w:val="00F55931"/>
    <w:rsid w:val="00F600B2"/>
    <w:rsid w:val="00F94A05"/>
    <w:rsid w:val="00F94DD5"/>
    <w:rsid w:val="00FA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8C59E"/>
  <w15:docId w15:val="{AB2FE709-FF3C-4920-B589-CF1023A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paragraph" w:styleId="Heading2">
    <w:name w:val="heading 2"/>
    <w:basedOn w:val="Normal"/>
    <w:next w:val="BodyText"/>
    <w:link w:val="Heading2Char"/>
    <w:qFormat/>
    <w:rsid w:val="00765B4D"/>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7AFC"/>
    <w:rPr>
      <w:lang w:val="es-CR"/>
    </w:rPr>
  </w:style>
  <w:style w:type="paragraph" w:styleId="Footer">
    <w:name w:val="footer"/>
    <w:basedOn w:val="Normal"/>
    <w:link w:val="Foot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7AFC"/>
    <w:rPr>
      <w:lang w:val="es-CR"/>
    </w:rPr>
  </w:style>
  <w:style w:type="character" w:styleId="Hyperlink">
    <w:name w:val="Hyperlink"/>
    <w:basedOn w:val="DefaultParagraphFont"/>
    <w:uiPriority w:val="99"/>
    <w:unhideWhenUsed/>
    <w:rsid w:val="00207AFC"/>
    <w:rPr>
      <w:color w:val="0000FF" w:themeColor="hyperlink"/>
      <w:u w:val="single"/>
    </w:rPr>
  </w:style>
  <w:style w:type="table" w:styleId="TableGrid">
    <w:name w:val="Table Grid"/>
    <w:basedOn w:val="Table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AFC"/>
    <w:rPr>
      <w:rFonts w:ascii="Tahoma" w:hAnsi="Tahoma" w:cs="Tahoma"/>
      <w:sz w:val="16"/>
      <w:szCs w:val="16"/>
    </w:rPr>
  </w:style>
  <w:style w:type="character" w:customStyle="1" w:styleId="BalloonTextChar">
    <w:name w:val="Balloon Text Char"/>
    <w:basedOn w:val="DefaultParagraphFont"/>
    <w:link w:val="BalloonText"/>
    <w:uiPriority w:val="99"/>
    <w:semiHidden/>
    <w:rsid w:val="00207AFC"/>
    <w:rPr>
      <w:rFonts w:ascii="Tahoma" w:eastAsia="Times New Roman" w:hAnsi="Tahoma" w:cs="Tahoma"/>
      <w:sz w:val="16"/>
      <w:szCs w:val="16"/>
      <w:lang w:val="es-CR" w:eastAsia="es-CR"/>
    </w:rPr>
  </w:style>
  <w:style w:type="character" w:styleId="Strong">
    <w:name w:val="Strong"/>
    <w:basedOn w:val="DefaultParagraphFont"/>
    <w:uiPriority w:val="22"/>
    <w:qFormat/>
    <w:rsid w:val="00DC5365"/>
    <w:rPr>
      <w:b/>
      <w:bCs/>
    </w:rPr>
  </w:style>
  <w:style w:type="character" w:customStyle="1" w:styleId="Heading2Char">
    <w:name w:val="Heading 2 Char"/>
    <w:basedOn w:val="DefaultParagraphFont"/>
    <w:link w:val="Heading2"/>
    <w:rsid w:val="00765B4D"/>
    <w:rPr>
      <w:rFonts w:ascii="Arial Black" w:eastAsia="Times New Roman" w:hAnsi="Arial Black" w:cs="Times New Roman"/>
      <w:spacing w:val="-15"/>
      <w:kern w:val="28"/>
      <w:szCs w:val="20"/>
      <w:lang w:val="es-CR"/>
    </w:rPr>
  </w:style>
  <w:style w:type="paragraph" w:styleId="ListNumber">
    <w:name w:val="List Number"/>
    <w:basedOn w:val="List"/>
    <w:rsid w:val="00765B4D"/>
    <w:pPr>
      <w:numPr>
        <w:numId w:val="1"/>
      </w:numPr>
      <w:spacing w:after="240" w:line="240" w:lineRule="atLeast"/>
      <w:contextualSpacing w:val="0"/>
      <w:jc w:val="both"/>
    </w:pPr>
    <w:rPr>
      <w:spacing w:val="-5"/>
      <w:sz w:val="20"/>
      <w:lang w:eastAsia="en-US"/>
    </w:rPr>
  </w:style>
  <w:style w:type="paragraph" w:styleId="BodyText2">
    <w:name w:val="Body Text 2"/>
    <w:basedOn w:val="Normal"/>
    <w:link w:val="BodyText2Char"/>
    <w:rsid w:val="00765B4D"/>
    <w:pPr>
      <w:jc w:val="both"/>
    </w:pPr>
    <w:rPr>
      <w:rFonts w:ascii="Century Gothic" w:hAnsi="Century Gothic"/>
      <w:sz w:val="22"/>
      <w:szCs w:val="24"/>
      <w:lang w:eastAsia="en-US"/>
    </w:rPr>
  </w:style>
  <w:style w:type="character" w:customStyle="1" w:styleId="BodyText2Char">
    <w:name w:val="Body Text 2 Char"/>
    <w:basedOn w:val="DefaultParagraphFont"/>
    <w:link w:val="BodyText2"/>
    <w:rsid w:val="00765B4D"/>
    <w:rPr>
      <w:rFonts w:ascii="Century Gothic" w:eastAsia="Times New Roman" w:hAnsi="Century Gothic" w:cs="Times New Roman"/>
      <w:szCs w:val="24"/>
      <w:lang w:val="es-CR"/>
    </w:rPr>
  </w:style>
  <w:style w:type="paragraph" w:styleId="BodyText">
    <w:name w:val="Body Text"/>
    <w:basedOn w:val="Normal"/>
    <w:link w:val="BodyTextChar"/>
    <w:rsid w:val="00765B4D"/>
    <w:pPr>
      <w:spacing w:after="120"/>
    </w:pPr>
    <w:rPr>
      <w:rFonts w:ascii="Times New Roman" w:hAnsi="Times New Roman"/>
      <w:szCs w:val="24"/>
      <w:lang w:val="en-US" w:eastAsia="en-US"/>
    </w:rPr>
  </w:style>
  <w:style w:type="character" w:customStyle="1" w:styleId="BodyTextChar">
    <w:name w:val="Body Text Char"/>
    <w:basedOn w:val="DefaultParagraphFont"/>
    <w:link w:val="BodyText"/>
    <w:rsid w:val="00765B4D"/>
    <w:rPr>
      <w:rFonts w:ascii="Times New Roman" w:eastAsia="Times New Roman" w:hAnsi="Times New Roman" w:cs="Times New Roman"/>
      <w:sz w:val="24"/>
      <w:szCs w:val="24"/>
    </w:rPr>
  </w:style>
  <w:style w:type="paragraph" w:styleId="List">
    <w:name w:val="List"/>
    <w:basedOn w:val="Normal"/>
    <w:uiPriority w:val="99"/>
    <w:semiHidden/>
    <w:unhideWhenUsed/>
    <w:rsid w:val="00765B4D"/>
    <w:pPr>
      <w:ind w:left="283" w:hanging="283"/>
      <w:contextualSpacing/>
    </w:pPr>
  </w:style>
  <w:style w:type="paragraph" w:styleId="ListParagraph">
    <w:name w:val="List Paragraph"/>
    <w:basedOn w:val="Normal"/>
    <w:uiPriority w:val="34"/>
    <w:qFormat/>
    <w:rsid w:val="001267C5"/>
    <w:pPr>
      <w:ind w:left="720"/>
      <w:contextualSpacing/>
    </w:pPr>
  </w:style>
  <w:style w:type="paragraph" w:styleId="BodyText3">
    <w:name w:val="Body Text 3"/>
    <w:basedOn w:val="Normal"/>
    <w:link w:val="BodyText3Char"/>
    <w:rsid w:val="006F1922"/>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6F1922"/>
    <w:rPr>
      <w:rFonts w:ascii="Times New Roman" w:eastAsia="Times New Roman" w:hAnsi="Times New Roman" w:cs="Times New Roman"/>
      <w:sz w:val="16"/>
      <w:szCs w:val="16"/>
      <w:lang w:val="es-ES" w:eastAsia="es-ES"/>
    </w:rPr>
  </w:style>
  <w:style w:type="paragraph" w:customStyle="1" w:styleId="p17">
    <w:name w:val="p17"/>
    <w:basedOn w:val="Normal"/>
    <w:rsid w:val="006F1922"/>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styleId="BodyTextIndent2">
    <w:name w:val="Body Text Indent 2"/>
    <w:basedOn w:val="Normal"/>
    <w:link w:val="BodyTextIndent2Char"/>
    <w:uiPriority w:val="99"/>
    <w:semiHidden/>
    <w:unhideWhenUsed/>
    <w:rsid w:val="00040E3C"/>
    <w:pPr>
      <w:spacing w:after="120" w:line="480" w:lineRule="auto"/>
      <w:ind w:left="283"/>
    </w:pPr>
  </w:style>
  <w:style w:type="character" w:customStyle="1" w:styleId="BodyTextIndent2Char">
    <w:name w:val="Body Text Indent 2 Char"/>
    <w:basedOn w:val="DefaultParagraphFont"/>
    <w:link w:val="BodyTextIndent2"/>
    <w:uiPriority w:val="99"/>
    <w:semiHidden/>
    <w:rsid w:val="00040E3C"/>
    <w:rPr>
      <w:rFonts w:ascii="Arial" w:eastAsia="Times New Roman" w:hAnsi="Arial" w:cs="Times New Roman"/>
      <w:sz w:val="24"/>
      <w:szCs w:val="20"/>
      <w:lang w:val="es-CR" w:eastAsia="es-CR"/>
    </w:rPr>
  </w:style>
  <w:style w:type="paragraph" w:customStyle="1" w:styleId="CNV">
    <w:name w:val="CNV"/>
    <w:basedOn w:val="Normal"/>
    <w:rsid w:val="00040E3C"/>
    <w:pPr>
      <w:jc w:val="both"/>
    </w:pPr>
    <w:rPr>
      <w:rFonts w:ascii="BR-01T" w:hAnsi="BR-01T"/>
      <w:lang w:val="es-ES_tradnl" w:eastAsia="en-US"/>
    </w:rPr>
  </w:style>
  <w:style w:type="paragraph" w:styleId="FootnoteText">
    <w:name w:val="footnote text"/>
    <w:basedOn w:val="Normal"/>
    <w:link w:val="FootnoteTextChar"/>
    <w:uiPriority w:val="99"/>
    <w:semiHidden/>
    <w:unhideWhenUsed/>
    <w:rsid w:val="00C47EDF"/>
    <w:rPr>
      <w:sz w:val="20"/>
    </w:rPr>
  </w:style>
  <w:style w:type="character" w:customStyle="1" w:styleId="FootnoteTextChar">
    <w:name w:val="Footnote Text Char"/>
    <w:basedOn w:val="DefaultParagraphFont"/>
    <w:link w:val="FootnoteText"/>
    <w:uiPriority w:val="99"/>
    <w:semiHidden/>
    <w:rsid w:val="00C47EDF"/>
    <w:rPr>
      <w:rFonts w:ascii="Arial" w:eastAsia="Times New Roman" w:hAnsi="Arial" w:cs="Times New Roman"/>
      <w:sz w:val="20"/>
      <w:szCs w:val="20"/>
      <w:lang w:val="es-CR" w:eastAsia="es-CR"/>
    </w:rPr>
  </w:style>
  <w:style w:type="character" w:styleId="FootnoteReference">
    <w:name w:val="footnote reference"/>
    <w:basedOn w:val="DefaultParagraphFont"/>
    <w:uiPriority w:val="99"/>
    <w:semiHidden/>
    <w:unhideWhenUsed/>
    <w:rsid w:val="00C47EDF"/>
    <w:rPr>
      <w:vertAlign w:val="superscript"/>
    </w:rPr>
  </w:style>
  <w:style w:type="paragraph" w:customStyle="1" w:styleId="Textodereglamento">
    <w:name w:val="Texto de reglamento"/>
    <w:basedOn w:val="Normal"/>
    <w:link w:val="TextodereglamentoChar"/>
    <w:qFormat/>
    <w:rsid w:val="00363ED7"/>
    <w:pPr>
      <w:spacing w:before="120"/>
      <w:jc w:val="both"/>
    </w:pPr>
    <w:rPr>
      <w:rFonts w:ascii="Times New Roman" w:hAnsi="Times New Roman"/>
      <w:sz w:val="22"/>
      <w:szCs w:val="24"/>
      <w:lang w:val="es-ES" w:eastAsia="es-ES"/>
    </w:rPr>
  </w:style>
  <w:style w:type="character" w:customStyle="1" w:styleId="TextodereglamentoChar">
    <w:name w:val="Texto de reglamento Char"/>
    <w:link w:val="Textodereglamento"/>
    <w:rsid w:val="00363ED7"/>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620E6-5A1F-415D-9CC2-DDE1549A916D}"/>
</file>

<file path=customXml/itemProps2.xml><?xml version="1.0" encoding="utf-8"?>
<ds:datastoreItem xmlns:ds="http://schemas.openxmlformats.org/officeDocument/2006/customXml" ds:itemID="{1BD0339B-3A37-478D-B1A9-38D238106C8E}"/>
</file>

<file path=customXml/itemProps3.xml><?xml version="1.0" encoding="utf-8"?>
<ds:datastoreItem xmlns:ds="http://schemas.openxmlformats.org/officeDocument/2006/customXml" ds:itemID="{AFBAEBFA-4A85-4C75-B5CB-0AA4AD899CD3}"/>
</file>

<file path=customXml/itemProps4.xml><?xml version="1.0" encoding="utf-8"?>
<ds:datastoreItem xmlns:ds="http://schemas.openxmlformats.org/officeDocument/2006/customXml" ds:itemID="{45ECADFD-3921-4B0A-8544-218CB6E0A40E}"/>
</file>

<file path=docProps/app.xml><?xml version="1.0" encoding="utf-8"?>
<Properties xmlns="http://schemas.openxmlformats.org/officeDocument/2006/extended-properties" xmlns:vt="http://schemas.openxmlformats.org/officeDocument/2006/docPropsVTypes">
  <Template>Normal</Template>
  <TotalTime>7</TotalTime>
  <Pages>3</Pages>
  <Words>859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A-209</vt:lpstr>
    </vt:vector>
  </TitlesOfParts>
  <Company>SUGEVAL</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A-209 MODIFICACIÓN AL ACUERDO SGV-A-153</dc:title>
  <dc:creator>sandiam</dc:creator>
  <cp:lastModifiedBy>Patricia Fernández Porras</cp:lastModifiedBy>
  <cp:revision>5</cp:revision>
  <dcterms:created xsi:type="dcterms:W3CDTF">2016-04-08T18:48:00Z</dcterms:created>
  <dcterms:modified xsi:type="dcterms:W3CDTF">2016-08-18T17:25:00Z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SUGEVAL\ariaspc221SUGEVAL\loaizasf273</vt:lpwstr>
  </property>
  <property fmtid="{D5CDD505-2E9C-101B-9397-08002B2CF9AE}" pid="7" name="FileLeafRef">
    <vt:lpwstr>SGV-A-209.docx</vt:lpwstr>
  </property>
</Properties>
</file>