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F9FB3" w14:textId="77777777" w:rsidR="0067115A" w:rsidRPr="0067115A" w:rsidRDefault="0067115A" w:rsidP="0067115A">
      <w:pPr>
        <w:pStyle w:val="Numeracin"/>
        <w:numPr>
          <w:ilvl w:val="0"/>
          <w:numId w:val="0"/>
        </w:numPr>
        <w:spacing w:before="0"/>
        <w:rPr>
          <w:rFonts w:ascii="Arial" w:hAnsi="Arial" w:cs="Arial"/>
          <w:b/>
          <w:bCs/>
          <w:sz w:val="24"/>
          <w:lang w:val="es-MX" w:eastAsia="en-US"/>
        </w:rPr>
      </w:pPr>
      <w:r w:rsidRPr="0067115A">
        <w:rPr>
          <w:rFonts w:ascii="Arial" w:hAnsi="Arial" w:cs="Arial"/>
          <w:b/>
          <w:bCs/>
          <w:sz w:val="24"/>
          <w:lang w:val="es-MX" w:eastAsia="en-US"/>
        </w:rPr>
        <w:t>SGV-A-214. MODIFICACIÓN AL ACUERDO SGV-A-75 “SUMINISTRO DE INFORMACIÓN PERIÓDICA”</w:t>
      </w:r>
      <w:r>
        <w:rPr>
          <w:rStyle w:val="FootnoteReference"/>
          <w:rFonts w:ascii="Arial" w:hAnsi="Arial" w:cs="Arial"/>
          <w:b/>
          <w:bCs/>
          <w:sz w:val="24"/>
          <w:lang w:val="es-MX" w:eastAsia="en-US"/>
        </w:rPr>
        <w:footnoteReference w:id="1"/>
      </w:r>
    </w:p>
    <w:p w14:paraId="0F0F9FB4" w14:textId="77777777" w:rsidR="0067115A" w:rsidRPr="0067115A" w:rsidRDefault="0067115A" w:rsidP="00601E43">
      <w:pPr>
        <w:pStyle w:val="Textodereglamento"/>
        <w:spacing w:before="0" w:line="276" w:lineRule="auto"/>
        <w:rPr>
          <w:rFonts w:ascii="Arial" w:hAnsi="Arial" w:cs="Arial"/>
          <w:bCs/>
          <w:iCs/>
          <w:noProof/>
          <w:szCs w:val="22"/>
          <w:lang w:eastAsia="en-US"/>
        </w:rPr>
      </w:pPr>
    </w:p>
    <w:p w14:paraId="0F0F9FB5" w14:textId="77777777" w:rsidR="00601E43" w:rsidRPr="0067115A" w:rsidRDefault="00601E43" w:rsidP="00601E43">
      <w:pPr>
        <w:pStyle w:val="Textodereglamento"/>
        <w:spacing w:before="0" w:line="276" w:lineRule="auto"/>
        <w:rPr>
          <w:rFonts w:ascii="Arial" w:hAnsi="Arial" w:cs="Arial"/>
          <w:b/>
          <w:bCs/>
          <w:szCs w:val="22"/>
          <w:lang w:val="es-CR"/>
        </w:rPr>
      </w:pPr>
      <w:r w:rsidRPr="0067115A">
        <w:rPr>
          <w:rFonts w:ascii="Arial" w:hAnsi="Arial" w:cs="Arial"/>
          <w:b/>
          <w:bCs/>
          <w:szCs w:val="22"/>
          <w:lang w:val="es-CR"/>
        </w:rPr>
        <w:t>Considerando que:</w:t>
      </w:r>
    </w:p>
    <w:p w14:paraId="0F0F9FB6" w14:textId="77777777" w:rsidR="00601E43" w:rsidRPr="0067115A" w:rsidRDefault="00601E43" w:rsidP="00601E43">
      <w:pPr>
        <w:pStyle w:val="Textodereglamento"/>
        <w:spacing w:before="0" w:line="276" w:lineRule="auto"/>
        <w:rPr>
          <w:rFonts w:ascii="Arial" w:hAnsi="Arial" w:cs="Arial"/>
          <w:b/>
          <w:bCs/>
          <w:szCs w:val="22"/>
          <w:lang w:val="es-CR"/>
        </w:rPr>
      </w:pPr>
    </w:p>
    <w:p w14:paraId="0F0F9FB7" w14:textId="77777777" w:rsidR="00601E43" w:rsidRPr="0067115A" w:rsidRDefault="00601E43" w:rsidP="00601E43">
      <w:pPr>
        <w:pStyle w:val="Numeracin"/>
        <w:tabs>
          <w:tab w:val="left" w:pos="567"/>
        </w:tabs>
        <w:spacing w:before="0"/>
        <w:ind w:left="567" w:hanging="567"/>
        <w:rPr>
          <w:rFonts w:ascii="Arial" w:hAnsi="Arial" w:cs="Arial"/>
          <w:szCs w:val="22"/>
        </w:rPr>
      </w:pPr>
      <w:r w:rsidRPr="0067115A">
        <w:rPr>
          <w:rFonts w:ascii="Arial" w:hAnsi="Arial" w:cs="Arial"/>
          <w:szCs w:val="22"/>
          <w:lang w:val="es-CR"/>
        </w:rPr>
        <w:t xml:space="preserve">El </w:t>
      </w:r>
      <w:r w:rsidRPr="0067115A">
        <w:rPr>
          <w:rFonts w:ascii="Arial" w:hAnsi="Arial" w:cs="Arial"/>
          <w:szCs w:val="22"/>
        </w:rPr>
        <w:t>Artículo 8 inciso l) de la Ley Reguladora del Mercado de Valores faculta al Superintendente a exigir a los sujetos fiscalizados toda la información razonablemente necesaria, en las condiciones y periodicidad que la Superintendencia determine, para cumplir adecuadamente con sus funciones supervisoras del mercado de valores, según lo disponga el reglamento.</w:t>
      </w:r>
    </w:p>
    <w:p w14:paraId="0F0F9FB8" w14:textId="77777777" w:rsidR="00601E43" w:rsidRPr="0067115A" w:rsidRDefault="00601E43" w:rsidP="00601E43">
      <w:pPr>
        <w:pStyle w:val="Numeracin"/>
        <w:numPr>
          <w:ilvl w:val="0"/>
          <w:numId w:val="0"/>
        </w:numPr>
        <w:tabs>
          <w:tab w:val="left" w:pos="567"/>
        </w:tabs>
        <w:spacing w:before="0"/>
        <w:ind w:left="567"/>
        <w:rPr>
          <w:rFonts w:ascii="Arial" w:hAnsi="Arial" w:cs="Arial"/>
          <w:szCs w:val="22"/>
        </w:rPr>
      </w:pPr>
    </w:p>
    <w:p w14:paraId="0F0F9FB9" w14:textId="77777777" w:rsidR="00601E43" w:rsidRPr="0067115A" w:rsidRDefault="00601E43" w:rsidP="00601E43">
      <w:pPr>
        <w:pStyle w:val="Numeracin"/>
        <w:tabs>
          <w:tab w:val="left" w:pos="567"/>
        </w:tabs>
        <w:spacing w:before="0"/>
        <w:ind w:left="567" w:hanging="567"/>
        <w:rPr>
          <w:rFonts w:ascii="Arial" w:hAnsi="Arial" w:cs="Arial"/>
          <w:szCs w:val="22"/>
        </w:rPr>
      </w:pPr>
      <w:r w:rsidRPr="0067115A">
        <w:rPr>
          <w:rFonts w:ascii="Arial" w:hAnsi="Arial" w:cs="Arial"/>
          <w:szCs w:val="22"/>
        </w:rPr>
        <w:t>El Artículo 13 del Acta de la Sesión 81-99, celebrada el 18 de marzo de 1999, el Consejo Nacional de Supervisión del Sistema Financiero aprobó el Reglamento sobre el Suministro de Información Periódica, Hechos Relevantes y otras Obligaciones de Información con lineamientos sobre los deberes de comunicación de los diferentes participantes en el mercado de valores.</w:t>
      </w:r>
    </w:p>
    <w:p w14:paraId="0F0F9FBA" w14:textId="77777777" w:rsidR="00601E43" w:rsidRPr="0067115A" w:rsidRDefault="00601E43" w:rsidP="00601E43">
      <w:pPr>
        <w:pStyle w:val="Numeracin"/>
        <w:numPr>
          <w:ilvl w:val="0"/>
          <w:numId w:val="0"/>
        </w:numPr>
        <w:tabs>
          <w:tab w:val="left" w:pos="567"/>
        </w:tabs>
        <w:spacing w:before="0"/>
        <w:ind w:left="567"/>
        <w:rPr>
          <w:rFonts w:ascii="Arial" w:hAnsi="Arial" w:cs="Arial"/>
          <w:szCs w:val="22"/>
        </w:rPr>
      </w:pPr>
    </w:p>
    <w:p w14:paraId="0F0F9FBB" w14:textId="77777777" w:rsidR="00601E43" w:rsidRPr="0067115A" w:rsidRDefault="00601E43" w:rsidP="00601E43">
      <w:pPr>
        <w:pStyle w:val="Numeracin"/>
        <w:tabs>
          <w:tab w:val="left" w:pos="567"/>
        </w:tabs>
        <w:spacing w:before="0"/>
        <w:ind w:left="567" w:hanging="567"/>
        <w:rPr>
          <w:rFonts w:ascii="Arial" w:hAnsi="Arial" w:cs="Arial"/>
          <w:szCs w:val="22"/>
        </w:rPr>
      </w:pPr>
      <w:r w:rsidRPr="0067115A">
        <w:rPr>
          <w:rFonts w:ascii="Arial" w:hAnsi="Arial" w:cs="Arial"/>
          <w:szCs w:val="22"/>
        </w:rPr>
        <w:t>Este reglamento confiere al Superintendente la potestad para definir el contenido, la periodicidad y los medios de suministro de la información periódica que debe remitirse a la Superintendencia General de Valores, por lo que emitió el SGV-A-75, Acuerdo sobre el Suministro de Información Periódica con fecha 24 de abril del 2003, y se ha retomado durante los últimos años para actualizar los deberes de información de las entidades.</w:t>
      </w:r>
    </w:p>
    <w:p w14:paraId="0F0F9FBC" w14:textId="77777777" w:rsidR="00601E43" w:rsidRPr="0067115A" w:rsidRDefault="00601E43" w:rsidP="00601E43">
      <w:pPr>
        <w:pStyle w:val="ListParagraph"/>
        <w:spacing w:after="0"/>
        <w:rPr>
          <w:rFonts w:cs="Arial"/>
        </w:rPr>
      </w:pPr>
    </w:p>
    <w:p w14:paraId="0F0F9FBD" w14:textId="77777777" w:rsidR="00601E43" w:rsidRPr="0067115A" w:rsidRDefault="00601E43" w:rsidP="00601E43">
      <w:pPr>
        <w:pStyle w:val="Numeracin"/>
        <w:tabs>
          <w:tab w:val="left" w:pos="567"/>
        </w:tabs>
        <w:spacing w:before="0"/>
        <w:ind w:left="567" w:hanging="567"/>
        <w:rPr>
          <w:rFonts w:ascii="Arial" w:hAnsi="Arial" w:cs="Arial"/>
          <w:i/>
          <w:szCs w:val="22"/>
        </w:rPr>
      </w:pPr>
      <w:r w:rsidRPr="0067115A">
        <w:rPr>
          <w:rFonts w:ascii="Arial" w:hAnsi="Arial" w:cs="Arial"/>
          <w:szCs w:val="22"/>
        </w:rPr>
        <w:t xml:space="preserve">El artículo 124 de la Ley Reguladora del Mercado de Valores (LRMV), dispone que las entidades de custodia, con base en sus registros, son responsables por la legitimidad de la titularidad de los valores.  Además, el artículo 138 de la LRMV, establece que </w:t>
      </w:r>
      <w:r w:rsidRPr="0067115A">
        <w:rPr>
          <w:rFonts w:ascii="Arial" w:hAnsi="Arial" w:cs="Arial"/>
          <w:i/>
          <w:szCs w:val="22"/>
        </w:rPr>
        <w:t xml:space="preserve">“Las entidades que custodien valores expedirán a los depositantes constancias no negociables sobre los documentos depositados, las que servirán para demostrar la titularidad sobre los mismos (…)” </w:t>
      </w:r>
    </w:p>
    <w:p w14:paraId="0F0F9FBE" w14:textId="77777777" w:rsidR="00601E43" w:rsidRPr="0067115A" w:rsidRDefault="00601E43" w:rsidP="00601E43">
      <w:pPr>
        <w:pStyle w:val="ListParagraph"/>
        <w:spacing w:after="0"/>
        <w:rPr>
          <w:rFonts w:cs="Arial"/>
          <w:i/>
        </w:rPr>
      </w:pPr>
    </w:p>
    <w:p w14:paraId="0F0F9FBF" w14:textId="77777777" w:rsidR="00601E43" w:rsidRPr="0067115A" w:rsidRDefault="00601E43" w:rsidP="00601E43">
      <w:pPr>
        <w:pStyle w:val="Numeracin"/>
        <w:tabs>
          <w:tab w:val="left" w:pos="567"/>
        </w:tabs>
        <w:spacing w:before="0"/>
        <w:ind w:left="567" w:hanging="567"/>
        <w:rPr>
          <w:rFonts w:ascii="Arial" w:hAnsi="Arial" w:cs="Arial"/>
          <w:szCs w:val="22"/>
        </w:rPr>
      </w:pPr>
      <w:r w:rsidRPr="0067115A">
        <w:rPr>
          <w:rFonts w:ascii="Arial" w:hAnsi="Arial" w:cs="Arial"/>
          <w:szCs w:val="22"/>
        </w:rPr>
        <w:t>De la anterior normativa, se concluye que en el caso de los fondos de inversión cerrados, los custodios son los únicos responsables por la llevanza de los registros sobre la titularidad de las participaciones de tales fondos.</w:t>
      </w:r>
    </w:p>
    <w:p w14:paraId="0F0F9FC0" w14:textId="77777777" w:rsidR="00601E43" w:rsidRPr="0067115A" w:rsidRDefault="00601E43" w:rsidP="00601E43">
      <w:pPr>
        <w:pStyle w:val="Numeracin"/>
        <w:numPr>
          <w:ilvl w:val="0"/>
          <w:numId w:val="0"/>
        </w:numPr>
        <w:tabs>
          <w:tab w:val="left" w:pos="567"/>
        </w:tabs>
        <w:spacing w:before="0"/>
        <w:ind w:left="567"/>
        <w:rPr>
          <w:rFonts w:ascii="Arial" w:hAnsi="Arial" w:cs="Arial"/>
          <w:szCs w:val="22"/>
        </w:rPr>
      </w:pPr>
    </w:p>
    <w:p w14:paraId="0F0F9FC1" w14:textId="77777777" w:rsidR="00601E43" w:rsidRPr="0067115A" w:rsidRDefault="00601E43" w:rsidP="00601E43">
      <w:pPr>
        <w:pStyle w:val="Numeracin"/>
        <w:tabs>
          <w:tab w:val="left" w:pos="567"/>
        </w:tabs>
        <w:spacing w:before="0"/>
        <w:ind w:left="567" w:hanging="567"/>
        <w:rPr>
          <w:rFonts w:ascii="Arial" w:hAnsi="Arial" w:cs="Arial"/>
          <w:szCs w:val="22"/>
        </w:rPr>
      </w:pPr>
      <w:r w:rsidRPr="0067115A">
        <w:rPr>
          <w:rFonts w:ascii="Arial" w:hAnsi="Arial" w:cs="Arial"/>
          <w:szCs w:val="22"/>
        </w:rPr>
        <w:t xml:space="preserve">En consecuencia, mediante el Acuerdo SGV-A-201 del 2 de octubre del 2015, que reformó al </w:t>
      </w:r>
      <w:r w:rsidRPr="0067115A">
        <w:rPr>
          <w:rFonts w:ascii="Arial" w:hAnsi="Arial" w:cs="Arial"/>
          <w:i/>
          <w:szCs w:val="22"/>
        </w:rPr>
        <w:t>SGV-A-158 “Guía para la elaboración y remisión de prospectos de Fondos de inversión”</w:t>
      </w:r>
      <w:r w:rsidRPr="0067115A">
        <w:rPr>
          <w:rFonts w:ascii="Arial" w:hAnsi="Arial" w:cs="Arial"/>
          <w:szCs w:val="22"/>
        </w:rPr>
        <w:t>, para aclarar el tratamiento que debe darse a la llevanza de la titularidad de los registros de las participaciones de los fondos cerrados a través de las entidades de custodia, y en consecuencia se procedió a la actualización de los prospectos de dichos fondos.</w:t>
      </w:r>
    </w:p>
    <w:p w14:paraId="0F0F9FC2" w14:textId="77777777" w:rsidR="00601E43" w:rsidRPr="0067115A" w:rsidRDefault="00601E43" w:rsidP="00601E43">
      <w:pPr>
        <w:pStyle w:val="Numeracin"/>
        <w:numPr>
          <w:ilvl w:val="0"/>
          <w:numId w:val="0"/>
        </w:numPr>
        <w:tabs>
          <w:tab w:val="left" w:pos="567"/>
        </w:tabs>
        <w:spacing w:before="0"/>
        <w:ind w:left="567"/>
        <w:rPr>
          <w:rFonts w:ascii="Arial" w:hAnsi="Arial" w:cs="Arial"/>
          <w:szCs w:val="22"/>
        </w:rPr>
      </w:pPr>
    </w:p>
    <w:p w14:paraId="0F0F9FC3" w14:textId="77777777" w:rsidR="00601E43" w:rsidRPr="0067115A" w:rsidRDefault="00601E43" w:rsidP="00601E43">
      <w:pPr>
        <w:pStyle w:val="Numeracin"/>
        <w:tabs>
          <w:tab w:val="left" w:pos="567"/>
        </w:tabs>
        <w:spacing w:before="0"/>
        <w:ind w:left="567" w:hanging="567"/>
        <w:rPr>
          <w:rFonts w:ascii="Arial" w:hAnsi="Arial" w:cs="Arial"/>
          <w:szCs w:val="22"/>
        </w:rPr>
      </w:pPr>
      <w:r w:rsidRPr="0067115A">
        <w:rPr>
          <w:rFonts w:ascii="Arial" w:hAnsi="Arial" w:cs="Arial"/>
          <w:szCs w:val="22"/>
        </w:rPr>
        <w:t xml:space="preserve">A partir de la entrada en vigencia de la reforma al Acuerdo SGV-A-201, la llevanza de los registros de las participaciones de los fondos cerrados en los registros de la sociedad administradora resulta innecesaria, por lo que adicionalmente se deben ajustar los deberes de suministro de información que se atribuyen a estas entidades, respecto a la información de la cantidad de cuentas abiertas de los inversionistas y los niveles de concentración por el sector </w:t>
      </w:r>
      <w:r w:rsidRPr="0067115A">
        <w:rPr>
          <w:rFonts w:ascii="Arial" w:hAnsi="Arial" w:cs="Arial"/>
          <w:szCs w:val="22"/>
        </w:rPr>
        <w:lastRenderedPageBreak/>
        <w:t xml:space="preserve">económico en el que se encuentran, para el caso de los fondos de inversión cerrados, ya que la información requerida para su elaboración no se encontraría bajo el control de la sociedad administradora. Estos deberes se encuentra establecidos en los Anexos  No. 13 y No. 17 del Acuerdo SGV-A-75. </w:t>
      </w:r>
    </w:p>
    <w:p w14:paraId="0F0F9FC4" w14:textId="77777777" w:rsidR="00601E43" w:rsidRPr="0067115A" w:rsidRDefault="00601E43" w:rsidP="00601E43">
      <w:pPr>
        <w:pStyle w:val="Numeracin"/>
        <w:numPr>
          <w:ilvl w:val="0"/>
          <w:numId w:val="0"/>
        </w:numPr>
        <w:tabs>
          <w:tab w:val="left" w:pos="567"/>
        </w:tabs>
        <w:spacing w:before="0"/>
        <w:ind w:left="567"/>
        <w:rPr>
          <w:rFonts w:ascii="Arial" w:hAnsi="Arial" w:cs="Arial"/>
          <w:szCs w:val="22"/>
        </w:rPr>
      </w:pPr>
    </w:p>
    <w:p w14:paraId="0F0F9FC5" w14:textId="77777777" w:rsidR="00601E43" w:rsidRPr="0067115A" w:rsidRDefault="00601E43" w:rsidP="00601E43">
      <w:pPr>
        <w:pStyle w:val="Numeracin"/>
        <w:tabs>
          <w:tab w:val="left" w:pos="567"/>
        </w:tabs>
        <w:spacing w:before="0"/>
        <w:ind w:left="567" w:hanging="567"/>
        <w:rPr>
          <w:rFonts w:ascii="Arial" w:hAnsi="Arial" w:cs="Arial"/>
          <w:szCs w:val="22"/>
        </w:rPr>
      </w:pPr>
      <w:r w:rsidRPr="0067115A">
        <w:rPr>
          <w:rFonts w:ascii="Arial" w:hAnsi="Arial" w:cs="Arial"/>
          <w:szCs w:val="22"/>
        </w:rPr>
        <w:t>Según lo previsto por la Ley General de Administración Pública, por tratarse de una aclaración sobre la remisión de la información a partir de normativa aprobada, que es necesaria para que los deberes de información de las sociedades administradoras sea consistente con el modelo y operativa de las entidades de anotación en cuenta y entidades que brindan los servicios de custodia en la actualidad, se ha omitido el período de consulta al mercado.</w:t>
      </w:r>
    </w:p>
    <w:p w14:paraId="0F0F9FC6" w14:textId="77777777" w:rsidR="00601E43" w:rsidRPr="0067115A" w:rsidRDefault="00601E43" w:rsidP="00601E43">
      <w:pPr>
        <w:pStyle w:val="Numeracin"/>
        <w:numPr>
          <w:ilvl w:val="0"/>
          <w:numId w:val="0"/>
        </w:numPr>
        <w:tabs>
          <w:tab w:val="left" w:pos="567"/>
        </w:tabs>
        <w:spacing w:before="0"/>
        <w:ind w:left="567"/>
        <w:rPr>
          <w:rFonts w:ascii="Arial" w:hAnsi="Arial" w:cs="Arial"/>
          <w:szCs w:val="22"/>
        </w:rPr>
      </w:pPr>
    </w:p>
    <w:p w14:paraId="0F0F9FC7" w14:textId="77777777" w:rsidR="00601E43" w:rsidRPr="0067115A" w:rsidRDefault="00601E43" w:rsidP="00601E43">
      <w:pPr>
        <w:pStyle w:val="Numeracin"/>
        <w:numPr>
          <w:ilvl w:val="0"/>
          <w:numId w:val="0"/>
        </w:numPr>
        <w:tabs>
          <w:tab w:val="left" w:pos="567"/>
        </w:tabs>
        <w:spacing w:before="0"/>
        <w:rPr>
          <w:rFonts w:ascii="Arial" w:hAnsi="Arial" w:cs="Arial"/>
          <w:b/>
          <w:szCs w:val="22"/>
        </w:rPr>
      </w:pPr>
      <w:r w:rsidRPr="0067115A">
        <w:rPr>
          <w:rFonts w:ascii="Arial" w:hAnsi="Arial" w:cs="Arial"/>
          <w:b/>
          <w:szCs w:val="22"/>
        </w:rPr>
        <w:t>Por tanto dispone el presente acuerdo:</w:t>
      </w:r>
    </w:p>
    <w:p w14:paraId="0F0F9FC8" w14:textId="77777777" w:rsidR="00601E43" w:rsidRPr="0067115A" w:rsidRDefault="00601E43" w:rsidP="00601E43">
      <w:pPr>
        <w:pStyle w:val="Numeracin"/>
        <w:numPr>
          <w:ilvl w:val="0"/>
          <w:numId w:val="0"/>
        </w:numPr>
        <w:tabs>
          <w:tab w:val="left" w:pos="567"/>
        </w:tabs>
        <w:spacing w:before="0"/>
        <w:rPr>
          <w:rFonts w:ascii="Arial" w:hAnsi="Arial" w:cs="Arial"/>
          <w:b/>
          <w:szCs w:val="22"/>
        </w:rPr>
      </w:pPr>
    </w:p>
    <w:p w14:paraId="0F0F9FC9" w14:textId="77777777" w:rsidR="00601E43" w:rsidRPr="0067115A" w:rsidRDefault="0067115A" w:rsidP="00601E43">
      <w:pPr>
        <w:pStyle w:val="Numeracin"/>
        <w:numPr>
          <w:ilvl w:val="0"/>
          <w:numId w:val="0"/>
        </w:numPr>
        <w:spacing w:before="0"/>
        <w:jc w:val="center"/>
        <w:rPr>
          <w:rFonts w:ascii="Arial" w:hAnsi="Arial" w:cs="Arial"/>
          <w:b/>
          <w:szCs w:val="22"/>
        </w:rPr>
      </w:pPr>
      <w:r w:rsidRPr="0067115A">
        <w:rPr>
          <w:rFonts w:ascii="Arial" w:hAnsi="Arial" w:cs="Arial"/>
          <w:b/>
          <w:szCs w:val="22"/>
        </w:rPr>
        <w:t>SGV-A-214.  MODIFICACIÓN AL ACUERDO SGV-A-75 “SUMINISTRO DE INFORMACIÓN PERIÓDICA”</w:t>
      </w:r>
    </w:p>
    <w:p w14:paraId="0F0F9FCA" w14:textId="77777777" w:rsidR="00601E43" w:rsidRDefault="00601E43" w:rsidP="0067115A">
      <w:pPr>
        <w:pStyle w:val="Numeracin"/>
        <w:numPr>
          <w:ilvl w:val="0"/>
          <w:numId w:val="0"/>
        </w:numPr>
        <w:tabs>
          <w:tab w:val="left" w:pos="567"/>
        </w:tabs>
        <w:spacing w:before="0"/>
        <w:ind w:left="360" w:hanging="360"/>
        <w:rPr>
          <w:rFonts w:ascii="Arial" w:hAnsi="Arial" w:cs="Arial"/>
          <w:b/>
          <w:szCs w:val="22"/>
        </w:rPr>
      </w:pPr>
    </w:p>
    <w:p w14:paraId="0F0F9FCB" w14:textId="77777777" w:rsidR="0067115A" w:rsidRPr="0067115A" w:rsidRDefault="0067115A" w:rsidP="0067115A">
      <w:pPr>
        <w:pStyle w:val="Numeracin"/>
        <w:numPr>
          <w:ilvl w:val="0"/>
          <w:numId w:val="0"/>
        </w:numPr>
        <w:tabs>
          <w:tab w:val="left" w:pos="567"/>
        </w:tabs>
        <w:spacing w:before="0"/>
        <w:ind w:left="360" w:hanging="360"/>
        <w:rPr>
          <w:rFonts w:ascii="Arial" w:hAnsi="Arial" w:cs="Arial"/>
          <w:b/>
          <w:szCs w:val="22"/>
        </w:rPr>
      </w:pPr>
    </w:p>
    <w:p w14:paraId="0F0F9FCC" w14:textId="77777777" w:rsidR="00601E43" w:rsidRPr="0067115A" w:rsidRDefault="00601E43" w:rsidP="00601E43">
      <w:pPr>
        <w:pStyle w:val="Numeracin"/>
        <w:numPr>
          <w:ilvl w:val="0"/>
          <w:numId w:val="0"/>
        </w:numPr>
        <w:spacing w:before="0"/>
        <w:rPr>
          <w:rFonts w:ascii="Arial" w:hAnsi="Arial" w:cs="Arial"/>
          <w:b/>
          <w:szCs w:val="22"/>
        </w:rPr>
      </w:pPr>
      <w:r w:rsidRPr="0067115A">
        <w:rPr>
          <w:rFonts w:ascii="Arial" w:hAnsi="Arial" w:cs="Arial"/>
          <w:b/>
          <w:szCs w:val="22"/>
        </w:rPr>
        <w:t>Artículo 1: Modificaciones</w:t>
      </w:r>
    </w:p>
    <w:p w14:paraId="0F0F9FCD" w14:textId="77777777" w:rsidR="00601E43" w:rsidRPr="0067115A" w:rsidRDefault="00601E43" w:rsidP="00601E43">
      <w:pPr>
        <w:pStyle w:val="Numeracin"/>
        <w:numPr>
          <w:ilvl w:val="0"/>
          <w:numId w:val="0"/>
        </w:numPr>
        <w:tabs>
          <w:tab w:val="left" w:pos="567"/>
        </w:tabs>
        <w:spacing w:before="0"/>
        <w:ind w:left="567"/>
        <w:rPr>
          <w:rFonts w:ascii="Arial" w:hAnsi="Arial" w:cs="Arial"/>
          <w:b/>
          <w:szCs w:val="22"/>
        </w:rPr>
      </w:pPr>
    </w:p>
    <w:p w14:paraId="0F0F9FCE" w14:textId="77777777" w:rsidR="00601E43" w:rsidRPr="0067115A" w:rsidRDefault="00601E43" w:rsidP="00601E43">
      <w:pPr>
        <w:pStyle w:val="Numeracin"/>
        <w:numPr>
          <w:ilvl w:val="0"/>
          <w:numId w:val="2"/>
        </w:numPr>
        <w:tabs>
          <w:tab w:val="left" w:pos="567"/>
        </w:tabs>
        <w:spacing w:before="0"/>
        <w:ind w:left="567" w:hanging="567"/>
        <w:rPr>
          <w:rFonts w:ascii="Arial" w:hAnsi="Arial" w:cs="Arial"/>
          <w:szCs w:val="22"/>
        </w:rPr>
      </w:pPr>
      <w:r w:rsidRPr="0067115A">
        <w:rPr>
          <w:rFonts w:ascii="Arial" w:hAnsi="Arial" w:cs="Arial"/>
          <w:szCs w:val="22"/>
        </w:rPr>
        <w:t>En el anexo 13. Reporte Diario de Fondos de Inversión (RD_FONDOS). Se modifica el nombre de la cuenta 800000000000  Total de Inversionistas, de manera que aplique solamente a los fondos abiertos:</w:t>
      </w:r>
    </w:p>
    <w:p w14:paraId="0F0F9FCF" w14:textId="77777777" w:rsidR="00601E43" w:rsidRPr="0067115A" w:rsidRDefault="00601E43" w:rsidP="00601E43">
      <w:pPr>
        <w:pStyle w:val="Numeracin"/>
        <w:numPr>
          <w:ilvl w:val="0"/>
          <w:numId w:val="0"/>
        </w:numPr>
        <w:tabs>
          <w:tab w:val="left" w:pos="567"/>
        </w:tabs>
        <w:spacing w:before="0"/>
        <w:ind w:left="927"/>
        <w:rPr>
          <w:rFonts w:ascii="Arial" w:hAnsi="Arial" w:cs="Arial"/>
          <w:szCs w:val="22"/>
        </w:rPr>
      </w:pPr>
    </w:p>
    <w:tbl>
      <w:tblPr>
        <w:tblW w:w="8676" w:type="dxa"/>
        <w:tblInd w:w="-34" w:type="dxa"/>
        <w:tblLook w:val="01E0" w:firstRow="1" w:lastRow="1" w:firstColumn="1" w:lastColumn="1" w:noHBand="0" w:noVBand="0"/>
      </w:tblPr>
      <w:tblGrid>
        <w:gridCol w:w="2297"/>
        <w:gridCol w:w="2694"/>
        <w:gridCol w:w="3685"/>
      </w:tblGrid>
      <w:tr w:rsidR="00601E43" w:rsidRPr="0067115A" w14:paraId="0F0F9FD3" w14:textId="77777777" w:rsidTr="009415A5">
        <w:tc>
          <w:tcPr>
            <w:tcW w:w="2297" w:type="dxa"/>
            <w:tcBorders>
              <w:top w:val="single" w:sz="4" w:space="0" w:color="auto"/>
              <w:left w:val="single" w:sz="4" w:space="0" w:color="auto"/>
              <w:bottom w:val="single" w:sz="4" w:space="0" w:color="auto"/>
              <w:right w:val="single" w:sz="4" w:space="0" w:color="auto"/>
            </w:tcBorders>
          </w:tcPr>
          <w:p w14:paraId="0F0F9FD0" w14:textId="77777777" w:rsidR="00601E43" w:rsidRPr="0067115A" w:rsidRDefault="00601E43" w:rsidP="009415A5">
            <w:pPr>
              <w:spacing w:after="0" w:line="240" w:lineRule="auto"/>
              <w:jc w:val="center"/>
              <w:rPr>
                <w:rFonts w:eastAsia="Calibri" w:cs="Arial"/>
                <w:b/>
                <w:lang w:val="es-CR"/>
              </w:rPr>
            </w:pPr>
            <w:r w:rsidRPr="0067115A">
              <w:rPr>
                <w:rFonts w:eastAsia="Calibri" w:cs="Arial"/>
                <w:b/>
                <w:lang w:val="es-CR"/>
              </w:rPr>
              <w:t>Cuenta</w:t>
            </w:r>
          </w:p>
        </w:tc>
        <w:tc>
          <w:tcPr>
            <w:tcW w:w="2694" w:type="dxa"/>
            <w:tcBorders>
              <w:top w:val="single" w:sz="4" w:space="0" w:color="auto"/>
              <w:left w:val="single" w:sz="4" w:space="0" w:color="auto"/>
              <w:bottom w:val="single" w:sz="4" w:space="0" w:color="auto"/>
              <w:right w:val="single" w:sz="4" w:space="0" w:color="auto"/>
            </w:tcBorders>
            <w:vAlign w:val="center"/>
          </w:tcPr>
          <w:p w14:paraId="0F0F9FD1" w14:textId="77777777" w:rsidR="00601E43" w:rsidRPr="0067115A" w:rsidRDefault="00601E43" w:rsidP="009415A5">
            <w:pPr>
              <w:spacing w:after="0" w:line="240" w:lineRule="auto"/>
              <w:jc w:val="center"/>
              <w:rPr>
                <w:rFonts w:eastAsia="Calibri" w:cs="Arial"/>
                <w:b/>
                <w:lang w:val="es-CR"/>
              </w:rPr>
            </w:pPr>
            <w:r w:rsidRPr="0067115A">
              <w:rPr>
                <w:rFonts w:eastAsia="Calibri" w:cs="Arial"/>
                <w:b/>
                <w:lang w:val="es-CR"/>
              </w:rPr>
              <w:t>Nombre Vigente</w:t>
            </w:r>
          </w:p>
        </w:tc>
        <w:tc>
          <w:tcPr>
            <w:tcW w:w="3685" w:type="dxa"/>
            <w:tcBorders>
              <w:top w:val="single" w:sz="4" w:space="0" w:color="auto"/>
              <w:left w:val="single" w:sz="4" w:space="0" w:color="auto"/>
              <w:bottom w:val="single" w:sz="4" w:space="0" w:color="auto"/>
              <w:right w:val="single" w:sz="4" w:space="0" w:color="auto"/>
            </w:tcBorders>
            <w:vAlign w:val="center"/>
          </w:tcPr>
          <w:p w14:paraId="0F0F9FD2" w14:textId="77777777" w:rsidR="00601E43" w:rsidRPr="0067115A" w:rsidRDefault="00601E43" w:rsidP="009415A5">
            <w:pPr>
              <w:spacing w:after="0" w:line="240" w:lineRule="auto"/>
              <w:jc w:val="center"/>
              <w:rPr>
                <w:rFonts w:eastAsia="Calibri" w:cs="Arial"/>
                <w:b/>
                <w:lang w:val="es-CR"/>
              </w:rPr>
            </w:pPr>
            <w:r w:rsidRPr="0067115A">
              <w:rPr>
                <w:rFonts w:eastAsia="Calibri" w:cs="Arial"/>
                <w:b/>
                <w:lang w:val="es-CR"/>
              </w:rPr>
              <w:t>Nombre Propuesto</w:t>
            </w:r>
          </w:p>
        </w:tc>
      </w:tr>
      <w:tr w:rsidR="00601E43" w:rsidRPr="0067115A" w14:paraId="0F0F9FD7" w14:textId="77777777" w:rsidTr="009415A5">
        <w:tc>
          <w:tcPr>
            <w:tcW w:w="2297" w:type="dxa"/>
            <w:tcBorders>
              <w:top w:val="single" w:sz="4" w:space="0" w:color="auto"/>
              <w:left w:val="single" w:sz="4" w:space="0" w:color="auto"/>
              <w:bottom w:val="single" w:sz="4" w:space="0" w:color="auto"/>
              <w:right w:val="single" w:sz="4" w:space="0" w:color="auto"/>
            </w:tcBorders>
            <w:vAlign w:val="center"/>
          </w:tcPr>
          <w:p w14:paraId="0F0F9FD4" w14:textId="77777777" w:rsidR="00601E43" w:rsidRPr="0067115A" w:rsidRDefault="00601E43" w:rsidP="009415A5">
            <w:pPr>
              <w:spacing w:after="0" w:line="240" w:lineRule="auto"/>
              <w:rPr>
                <w:rFonts w:eastAsia="Calibri" w:cs="Arial"/>
                <w:lang w:val="es-CR"/>
              </w:rPr>
            </w:pPr>
            <w:r w:rsidRPr="0067115A">
              <w:rPr>
                <w:rFonts w:eastAsia="Calibri" w:cs="Arial"/>
                <w:lang w:val="es-CR"/>
              </w:rPr>
              <w:t>800000000000</w:t>
            </w:r>
          </w:p>
        </w:tc>
        <w:tc>
          <w:tcPr>
            <w:tcW w:w="2694" w:type="dxa"/>
            <w:tcBorders>
              <w:top w:val="single" w:sz="4" w:space="0" w:color="auto"/>
              <w:left w:val="single" w:sz="4" w:space="0" w:color="auto"/>
              <w:bottom w:val="single" w:sz="4" w:space="0" w:color="auto"/>
              <w:right w:val="single" w:sz="4" w:space="0" w:color="auto"/>
            </w:tcBorders>
            <w:vAlign w:val="center"/>
          </w:tcPr>
          <w:p w14:paraId="0F0F9FD5" w14:textId="77777777" w:rsidR="00601E43" w:rsidRPr="0067115A" w:rsidRDefault="00601E43" w:rsidP="009415A5">
            <w:pPr>
              <w:spacing w:after="0" w:line="240" w:lineRule="auto"/>
              <w:jc w:val="center"/>
              <w:rPr>
                <w:rFonts w:eastAsia="Calibri" w:cs="Arial"/>
                <w:lang w:val="es-CR"/>
              </w:rPr>
            </w:pPr>
            <w:r w:rsidRPr="0067115A">
              <w:rPr>
                <w:rFonts w:eastAsia="Calibri" w:cs="Arial"/>
                <w:lang w:val="es-CR"/>
              </w:rPr>
              <w:t>Total de Inversionistas</w:t>
            </w:r>
          </w:p>
        </w:tc>
        <w:tc>
          <w:tcPr>
            <w:tcW w:w="3685" w:type="dxa"/>
            <w:tcBorders>
              <w:top w:val="single" w:sz="4" w:space="0" w:color="auto"/>
              <w:left w:val="single" w:sz="4" w:space="0" w:color="auto"/>
              <w:bottom w:val="single" w:sz="4" w:space="0" w:color="auto"/>
              <w:right w:val="single" w:sz="4" w:space="0" w:color="auto"/>
            </w:tcBorders>
            <w:vAlign w:val="center"/>
          </w:tcPr>
          <w:p w14:paraId="0F0F9FD6" w14:textId="77777777" w:rsidR="00601E43" w:rsidRPr="0067115A" w:rsidRDefault="00601E43" w:rsidP="009415A5">
            <w:pPr>
              <w:spacing w:after="0" w:line="240" w:lineRule="auto"/>
              <w:jc w:val="center"/>
              <w:rPr>
                <w:rFonts w:eastAsia="Calibri" w:cs="Arial"/>
                <w:i/>
                <w:lang w:val="es-CR"/>
              </w:rPr>
            </w:pPr>
            <w:r w:rsidRPr="0067115A">
              <w:rPr>
                <w:rFonts w:eastAsia="Calibri" w:cs="Arial"/>
                <w:i/>
                <w:lang w:val="es-CR"/>
              </w:rPr>
              <w:t>Total de cuentas abiertas de Inversionistas  (solo para fondos abiertos)</w:t>
            </w:r>
          </w:p>
        </w:tc>
      </w:tr>
    </w:tbl>
    <w:p w14:paraId="0F0F9FD8" w14:textId="77777777" w:rsidR="00601E43" w:rsidRPr="0067115A" w:rsidRDefault="00601E43" w:rsidP="00601E43">
      <w:pPr>
        <w:pStyle w:val="Numeracin"/>
        <w:numPr>
          <w:ilvl w:val="0"/>
          <w:numId w:val="0"/>
        </w:numPr>
        <w:tabs>
          <w:tab w:val="left" w:pos="567"/>
        </w:tabs>
        <w:spacing w:before="0"/>
        <w:ind w:left="360" w:hanging="360"/>
        <w:rPr>
          <w:rFonts w:ascii="Arial" w:hAnsi="Arial" w:cs="Arial"/>
          <w:szCs w:val="22"/>
          <w:lang w:val="es-CR"/>
        </w:rPr>
      </w:pPr>
    </w:p>
    <w:bookmarkStart w:id="1" w:name="_MON_1525529853"/>
    <w:bookmarkEnd w:id="1"/>
    <w:p w14:paraId="0F0F9FD9" w14:textId="77777777" w:rsidR="00601E43" w:rsidRPr="0067115A" w:rsidRDefault="00DB069D" w:rsidP="00601E43">
      <w:pPr>
        <w:pStyle w:val="Numeracin"/>
        <w:numPr>
          <w:ilvl w:val="0"/>
          <w:numId w:val="0"/>
        </w:numPr>
        <w:tabs>
          <w:tab w:val="left" w:pos="567"/>
        </w:tabs>
        <w:spacing w:before="0"/>
        <w:ind w:left="360" w:hanging="360"/>
        <w:jc w:val="center"/>
        <w:rPr>
          <w:rFonts w:ascii="Arial" w:hAnsi="Arial" w:cs="Arial"/>
          <w:szCs w:val="22"/>
          <w:lang w:val="es-CR"/>
        </w:rPr>
      </w:pPr>
      <w:r w:rsidRPr="0067115A">
        <w:rPr>
          <w:rFonts w:ascii="Arial" w:hAnsi="Arial" w:cs="Arial"/>
          <w:szCs w:val="22"/>
          <w:lang w:val="es-CR"/>
        </w:rPr>
        <w:object w:dxaOrig="1531" w:dyaOrig="990" w14:anchorId="0F0FA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55pt" o:ole="">
            <v:imagedata r:id="rId11" o:title=""/>
          </v:shape>
          <o:OLEObject Type="Embed" ProgID="Excel.Sheet.12" ShapeID="_x0000_i1025" DrawAspect="Icon" ObjectID="_1533024923" r:id="rId12"/>
        </w:object>
      </w:r>
    </w:p>
    <w:p w14:paraId="0F0F9FDA" w14:textId="77777777" w:rsidR="00601E43" w:rsidRPr="0067115A" w:rsidRDefault="00601E43" w:rsidP="00601E43">
      <w:pPr>
        <w:pStyle w:val="Numeracin"/>
        <w:numPr>
          <w:ilvl w:val="0"/>
          <w:numId w:val="0"/>
        </w:numPr>
        <w:tabs>
          <w:tab w:val="left" w:pos="567"/>
        </w:tabs>
        <w:spacing w:before="0"/>
        <w:ind w:left="360" w:hanging="360"/>
        <w:rPr>
          <w:rFonts w:ascii="Arial" w:hAnsi="Arial" w:cs="Arial"/>
          <w:szCs w:val="22"/>
          <w:lang w:val="es-CR"/>
        </w:rPr>
      </w:pPr>
    </w:p>
    <w:p w14:paraId="0F0F9FDB" w14:textId="77777777" w:rsidR="00601E43" w:rsidRPr="0067115A" w:rsidRDefault="00601E43" w:rsidP="00601E43">
      <w:pPr>
        <w:pStyle w:val="Numeracin"/>
        <w:numPr>
          <w:ilvl w:val="0"/>
          <w:numId w:val="2"/>
        </w:numPr>
        <w:tabs>
          <w:tab w:val="left" w:pos="567"/>
        </w:tabs>
        <w:spacing w:before="0"/>
        <w:ind w:left="426" w:hanging="426"/>
        <w:rPr>
          <w:rFonts w:ascii="Arial" w:hAnsi="Arial" w:cs="Arial"/>
          <w:szCs w:val="22"/>
        </w:rPr>
      </w:pPr>
      <w:r w:rsidRPr="0067115A">
        <w:rPr>
          <w:rFonts w:ascii="Arial" w:hAnsi="Arial" w:cs="Arial"/>
          <w:szCs w:val="22"/>
        </w:rPr>
        <w:t xml:space="preserve">En el anexo 17.  Reporte de Composición de Carteras de Inversionistas (RC_FONDOS); se aclara que </w:t>
      </w:r>
      <w:r w:rsidRPr="0067115A">
        <w:rPr>
          <w:rFonts w:ascii="Arial" w:hAnsi="Arial" w:cs="Arial"/>
          <w:szCs w:val="22"/>
          <w:u w:val="single"/>
        </w:rPr>
        <w:t>solo aplica para fondos abiertos</w:t>
      </w:r>
      <w:r w:rsidRPr="0067115A">
        <w:rPr>
          <w:rFonts w:ascii="Arial" w:hAnsi="Arial" w:cs="Arial"/>
          <w:szCs w:val="22"/>
        </w:rPr>
        <w:t xml:space="preserve">, de manera que el encabezado queda de la siguiente manera: </w:t>
      </w:r>
    </w:p>
    <w:p w14:paraId="0F0F9FDC" w14:textId="77777777" w:rsidR="00601E43" w:rsidRPr="0067115A" w:rsidRDefault="00601E43" w:rsidP="00601E43">
      <w:pPr>
        <w:pStyle w:val="Numeracin"/>
        <w:numPr>
          <w:ilvl w:val="0"/>
          <w:numId w:val="0"/>
        </w:numPr>
        <w:tabs>
          <w:tab w:val="left" w:pos="567"/>
        </w:tabs>
        <w:spacing w:before="0"/>
        <w:ind w:left="927"/>
        <w:jc w:val="center"/>
        <w:rPr>
          <w:rFonts w:ascii="Arial" w:hAnsi="Arial" w:cs="Arial"/>
          <w:b/>
          <w:i/>
          <w:szCs w:val="22"/>
        </w:rPr>
      </w:pPr>
    </w:p>
    <w:p w14:paraId="0F0F9FDD" w14:textId="77777777" w:rsidR="00601E43" w:rsidRPr="0067115A" w:rsidRDefault="00601E43" w:rsidP="00601E43">
      <w:pPr>
        <w:pStyle w:val="Numeracin"/>
        <w:numPr>
          <w:ilvl w:val="0"/>
          <w:numId w:val="0"/>
        </w:numPr>
        <w:tabs>
          <w:tab w:val="left" w:pos="567"/>
        </w:tabs>
        <w:spacing w:before="0"/>
        <w:ind w:left="927"/>
        <w:jc w:val="center"/>
        <w:rPr>
          <w:rFonts w:ascii="Arial" w:hAnsi="Arial" w:cs="Arial"/>
          <w:b/>
          <w:i/>
          <w:szCs w:val="22"/>
          <w:u w:val="single"/>
        </w:rPr>
      </w:pPr>
      <w:r w:rsidRPr="0067115A">
        <w:rPr>
          <w:rFonts w:ascii="Arial" w:hAnsi="Arial" w:cs="Arial"/>
          <w:b/>
          <w:i/>
          <w:szCs w:val="22"/>
        </w:rPr>
        <w:t xml:space="preserve">“Anexo 17. Reporte de Composición de Carteras de Inversionistas. </w:t>
      </w:r>
      <w:r w:rsidRPr="0067115A">
        <w:rPr>
          <w:rFonts w:ascii="Arial" w:hAnsi="Arial" w:cs="Arial"/>
          <w:b/>
          <w:i/>
          <w:szCs w:val="22"/>
          <w:u w:val="single"/>
        </w:rPr>
        <w:t>Fondos de Inversión Abiertos”</w:t>
      </w:r>
    </w:p>
    <w:p w14:paraId="0F0F9FDE" w14:textId="77777777" w:rsidR="00601E43" w:rsidRPr="0067115A" w:rsidRDefault="00601E43" w:rsidP="00601E43">
      <w:pPr>
        <w:pStyle w:val="Numeracin"/>
        <w:numPr>
          <w:ilvl w:val="0"/>
          <w:numId w:val="0"/>
        </w:numPr>
        <w:tabs>
          <w:tab w:val="left" w:pos="567"/>
        </w:tabs>
        <w:spacing w:before="0"/>
        <w:ind w:left="927"/>
        <w:jc w:val="center"/>
        <w:rPr>
          <w:rFonts w:ascii="Arial" w:hAnsi="Arial" w:cs="Arial"/>
          <w:b/>
          <w:i/>
          <w:szCs w:val="22"/>
        </w:rPr>
      </w:pPr>
    </w:p>
    <w:p w14:paraId="0F0F9FDF" w14:textId="77777777" w:rsidR="0067115A" w:rsidRDefault="0067115A">
      <w:pPr>
        <w:rPr>
          <w:rFonts w:eastAsia="Times New Roman" w:cs="Arial"/>
          <w:b/>
          <w:i/>
          <w:lang w:eastAsia="es-ES"/>
        </w:rPr>
      </w:pPr>
      <w:r>
        <w:rPr>
          <w:rFonts w:cs="Arial"/>
          <w:b/>
          <w:i/>
        </w:rPr>
        <w:br w:type="page"/>
      </w:r>
    </w:p>
    <w:p w14:paraId="0F0F9FE0" w14:textId="77777777" w:rsidR="00601E43" w:rsidRPr="0067115A" w:rsidRDefault="00601E43" w:rsidP="00601E43">
      <w:pPr>
        <w:pStyle w:val="Numeracin"/>
        <w:numPr>
          <w:ilvl w:val="0"/>
          <w:numId w:val="2"/>
        </w:numPr>
        <w:tabs>
          <w:tab w:val="left" w:pos="567"/>
        </w:tabs>
        <w:spacing w:before="0"/>
        <w:ind w:left="567" w:hanging="567"/>
        <w:rPr>
          <w:rFonts w:ascii="Arial" w:hAnsi="Arial" w:cs="Arial"/>
          <w:szCs w:val="22"/>
        </w:rPr>
      </w:pPr>
      <w:r w:rsidRPr="0067115A">
        <w:rPr>
          <w:rFonts w:ascii="Arial" w:hAnsi="Arial" w:cs="Arial"/>
          <w:szCs w:val="22"/>
        </w:rPr>
        <w:lastRenderedPageBreak/>
        <w:t>En el anexo 17.  Reporte de Composición de Carteras de Inversionistas (RC_FONDOS); se modifica el nombre de las cuentas 120000000000, 12300000000 y 124000000000, de manera que se refiera a cuentas abiertas de inversionistas:</w:t>
      </w:r>
    </w:p>
    <w:p w14:paraId="0F0F9FE1" w14:textId="77777777" w:rsidR="00601E43" w:rsidRPr="0067115A" w:rsidRDefault="00601E43" w:rsidP="00601E43">
      <w:pPr>
        <w:pStyle w:val="Numeracin"/>
        <w:numPr>
          <w:ilvl w:val="0"/>
          <w:numId w:val="0"/>
        </w:numPr>
        <w:tabs>
          <w:tab w:val="left" w:pos="567"/>
        </w:tabs>
        <w:spacing w:before="0"/>
        <w:ind w:left="927"/>
        <w:rPr>
          <w:rFonts w:ascii="Arial" w:hAnsi="Arial" w:cs="Arial"/>
          <w:szCs w:val="22"/>
        </w:rPr>
      </w:pPr>
    </w:p>
    <w:tbl>
      <w:tblPr>
        <w:tblW w:w="8676" w:type="dxa"/>
        <w:tblInd w:w="-34" w:type="dxa"/>
        <w:tblLook w:val="01E0" w:firstRow="1" w:lastRow="1" w:firstColumn="1" w:lastColumn="1" w:noHBand="0" w:noVBand="0"/>
      </w:tblPr>
      <w:tblGrid>
        <w:gridCol w:w="2297"/>
        <w:gridCol w:w="2694"/>
        <w:gridCol w:w="3685"/>
      </w:tblGrid>
      <w:tr w:rsidR="00601E43" w:rsidRPr="0067115A" w14:paraId="0F0F9FE5" w14:textId="77777777" w:rsidTr="009415A5">
        <w:tc>
          <w:tcPr>
            <w:tcW w:w="2297" w:type="dxa"/>
            <w:tcBorders>
              <w:top w:val="single" w:sz="4" w:space="0" w:color="auto"/>
              <w:left w:val="single" w:sz="4" w:space="0" w:color="auto"/>
              <w:bottom w:val="single" w:sz="4" w:space="0" w:color="auto"/>
              <w:right w:val="single" w:sz="4" w:space="0" w:color="auto"/>
            </w:tcBorders>
          </w:tcPr>
          <w:p w14:paraId="0F0F9FE2" w14:textId="77777777" w:rsidR="00601E43" w:rsidRPr="0067115A" w:rsidRDefault="00601E43" w:rsidP="009415A5">
            <w:pPr>
              <w:spacing w:after="0" w:line="240" w:lineRule="auto"/>
              <w:jc w:val="center"/>
              <w:rPr>
                <w:rFonts w:eastAsia="Calibri" w:cs="Arial"/>
                <w:b/>
                <w:lang w:val="es-CR"/>
              </w:rPr>
            </w:pPr>
            <w:r w:rsidRPr="0067115A">
              <w:rPr>
                <w:rFonts w:eastAsia="Calibri" w:cs="Arial"/>
                <w:b/>
                <w:lang w:val="es-CR"/>
              </w:rPr>
              <w:t>Cuenta</w:t>
            </w:r>
          </w:p>
        </w:tc>
        <w:tc>
          <w:tcPr>
            <w:tcW w:w="2694" w:type="dxa"/>
            <w:tcBorders>
              <w:top w:val="single" w:sz="4" w:space="0" w:color="auto"/>
              <w:left w:val="single" w:sz="4" w:space="0" w:color="auto"/>
              <w:bottom w:val="single" w:sz="4" w:space="0" w:color="auto"/>
              <w:right w:val="single" w:sz="4" w:space="0" w:color="auto"/>
            </w:tcBorders>
            <w:vAlign w:val="center"/>
          </w:tcPr>
          <w:p w14:paraId="0F0F9FE3" w14:textId="77777777" w:rsidR="00601E43" w:rsidRPr="0067115A" w:rsidRDefault="00601E43" w:rsidP="009415A5">
            <w:pPr>
              <w:spacing w:after="0" w:line="240" w:lineRule="auto"/>
              <w:jc w:val="center"/>
              <w:rPr>
                <w:rFonts w:eastAsia="Calibri" w:cs="Arial"/>
                <w:b/>
                <w:lang w:val="es-CR"/>
              </w:rPr>
            </w:pPr>
            <w:r w:rsidRPr="0067115A">
              <w:rPr>
                <w:rFonts w:eastAsia="Calibri" w:cs="Arial"/>
                <w:b/>
                <w:lang w:val="es-CR"/>
              </w:rPr>
              <w:t>Nombre Vigente</w:t>
            </w:r>
          </w:p>
        </w:tc>
        <w:tc>
          <w:tcPr>
            <w:tcW w:w="3685" w:type="dxa"/>
            <w:tcBorders>
              <w:top w:val="single" w:sz="4" w:space="0" w:color="auto"/>
              <w:left w:val="single" w:sz="4" w:space="0" w:color="auto"/>
              <w:bottom w:val="single" w:sz="4" w:space="0" w:color="auto"/>
              <w:right w:val="single" w:sz="4" w:space="0" w:color="auto"/>
            </w:tcBorders>
            <w:vAlign w:val="center"/>
          </w:tcPr>
          <w:p w14:paraId="0F0F9FE4" w14:textId="77777777" w:rsidR="00601E43" w:rsidRPr="0067115A" w:rsidRDefault="00601E43" w:rsidP="009415A5">
            <w:pPr>
              <w:spacing w:after="0" w:line="240" w:lineRule="auto"/>
              <w:jc w:val="center"/>
              <w:rPr>
                <w:rFonts w:eastAsia="Calibri" w:cs="Arial"/>
                <w:b/>
                <w:lang w:val="es-CR"/>
              </w:rPr>
            </w:pPr>
            <w:r w:rsidRPr="0067115A">
              <w:rPr>
                <w:rFonts w:eastAsia="Calibri" w:cs="Arial"/>
                <w:b/>
                <w:lang w:val="es-CR"/>
              </w:rPr>
              <w:t>Nombre Propuesto</w:t>
            </w:r>
          </w:p>
        </w:tc>
      </w:tr>
      <w:tr w:rsidR="00601E43" w:rsidRPr="0067115A" w14:paraId="0F0F9FE9" w14:textId="77777777" w:rsidTr="009415A5">
        <w:tc>
          <w:tcPr>
            <w:tcW w:w="2297" w:type="dxa"/>
            <w:tcBorders>
              <w:top w:val="single" w:sz="4" w:space="0" w:color="auto"/>
              <w:left w:val="single" w:sz="4" w:space="0" w:color="auto"/>
              <w:bottom w:val="single" w:sz="4" w:space="0" w:color="auto"/>
              <w:right w:val="single" w:sz="4" w:space="0" w:color="auto"/>
            </w:tcBorders>
            <w:vAlign w:val="center"/>
          </w:tcPr>
          <w:p w14:paraId="0F0F9FE6" w14:textId="77777777" w:rsidR="00601E43" w:rsidRPr="0067115A" w:rsidRDefault="00601E43" w:rsidP="009415A5">
            <w:pPr>
              <w:spacing w:after="0" w:line="240" w:lineRule="auto"/>
              <w:rPr>
                <w:rFonts w:eastAsia="Calibri" w:cs="Arial"/>
                <w:lang w:val="es-CR"/>
              </w:rPr>
            </w:pPr>
            <w:r w:rsidRPr="0067115A">
              <w:rPr>
                <w:rFonts w:eastAsia="Calibri" w:cs="Arial"/>
                <w:lang w:val="es-CR"/>
              </w:rPr>
              <w:t>120000000000</w:t>
            </w:r>
          </w:p>
        </w:tc>
        <w:tc>
          <w:tcPr>
            <w:tcW w:w="2694" w:type="dxa"/>
            <w:tcBorders>
              <w:top w:val="single" w:sz="4" w:space="0" w:color="auto"/>
              <w:left w:val="single" w:sz="4" w:space="0" w:color="auto"/>
              <w:bottom w:val="single" w:sz="4" w:space="0" w:color="auto"/>
              <w:right w:val="single" w:sz="4" w:space="0" w:color="auto"/>
            </w:tcBorders>
            <w:vAlign w:val="center"/>
          </w:tcPr>
          <w:p w14:paraId="0F0F9FE7" w14:textId="77777777" w:rsidR="00601E43" w:rsidRPr="0067115A" w:rsidRDefault="00601E43" w:rsidP="009415A5">
            <w:pPr>
              <w:spacing w:after="0" w:line="240" w:lineRule="auto"/>
              <w:jc w:val="center"/>
              <w:rPr>
                <w:rFonts w:eastAsia="Calibri" w:cs="Arial"/>
                <w:lang w:val="es-CR"/>
              </w:rPr>
            </w:pPr>
            <w:r w:rsidRPr="0067115A">
              <w:rPr>
                <w:rFonts w:eastAsia="Calibri" w:cs="Arial"/>
                <w:lang w:val="es-CR"/>
              </w:rPr>
              <w:t>Número de Inversionistas</w:t>
            </w:r>
          </w:p>
        </w:tc>
        <w:tc>
          <w:tcPr>
            <w:tcW w:w="3685" w:type="dxa"/>
            <w:tcBorders>
              <w:top w:val="single" w:sz="4" w:space="0" w:color="auto"/>
              <w:left w:val="single" w:sz="4" w:space="0" w:color="auto"/>
              <w:bottom w:val="single" w:sz="4" w:space="0" w:color="auto"/>
              <w:right w:val="single" w:sz="4" w:space="0" w:color="auto"/>
            </w:tcBorders>
            <w:vAlign w:val="center"/>
          </w:tcPr>
          <w:p w14:paraId="0F0F9FE8" w14:textId="77777777" w:rsidR="00601E43" w:rsidRPr="0067115A" w:rsidRDefault="00601E43" w:rsidP="009415A5">
            <w:pPr>
              <w:spacing w:after="0" w:line="240" w:lineRule="auto"/>
              <w:jc w:val="center"/>
              <w:rPr>
                <w:rFonts w:eastAsia="Calibri" w:cs="Arial"/>
                <w:i/>
                <w:lang w:val="es-CR"/>
              </w:rPr>
            </w:pPr>
            <w:r w:rsidRPr="0067115A">
              <w:rPr>
                <w:rFonts w:eastAsia="Calibri" w:cs="Arial"/>
                <w:i/>
                <w:lang w:val="es-CR"/>
              </w:rPr>
              <w:t>Número de cuentas abiertas de Inversionistas de fondos abiertos</w:t>
            </w:r>
          </w:p>
        </w:tc>
      </w:tr>
      <w:tr w:rsidR="00601E43" w:rsidRPr="0067115A" w14:paraId="0F0F9FED" w14:textId="77777777" w:rsidTr="009415A5">
        <w:tc>
          <w:tcPr>
            <w:tcW w:w="2297" w:type="dxa"/>
            <w:tcBorders>
              <w:top w:val="single" w:sz="4" w:space="0" w:color="auto"/>
              <w:left w:val="single" w:sz="4" w:space="0" w:color="auto"/>
              <w:bottom w:val="single" w:sz="4" w:space="0" w:color="auto"/>
              <w:right w:val="single" w:sz="4" w:space="0" w:color="auto"/>
            </w:tcBorders>
            <w:vAlign w:val="center"/>
          </w:tcPr>
          <w:p w14:paraId="0F0F9FEA" w14:textId="77777777" w:rsidR="00601E43" w:rsidRPr="0067115A" w:rsidRDefault="00601E43" w:rsidP="009415A5">
            <w:pPr>
              <w:spacing w:after="0" w:line="240" w:lineRule="auto"/>
              <w:rPr>
                <w:rFonts w:eastAsia="Calibri" w:cs="Arial"/>
                <w:lang w:val="es-CR"/>
              </w:rPr>
            </w:pPr>
            <w:r w:rsidRPr="0067115A">
              <w:rPr>
                <w:rFonts w:eastAsia="Calibri" w:cs="Arial"/>
                <w:lang w:val="es-CR"/>
              </w:rPr>
              <w:t>123000000000</w:t>
            </w:r>
          </w:p>
        </w:tc>
        <w:tc>
          <w:tcPr>
            <w:tcW w:w="2694" w:type="dxa"/>
            <w:tcBorders>
              <w:top w:val="single" w:sz="4" w:space="0" w:color="auto"/>
              <w:left w:val="single" w:sz="4" w:space="0" w:color="auto"/>
              <w:bottom w:val="single" w:sz="4" w:space="0" w:color="auto"/>
              <w:right w:val="single" w:sz="4" w:space="0" w:color="auto"/>
            </w:tcBorders>
            <w:vAlign w:val="center"/>
          </w:tcPr>
          <w:p w14:paraId="0F0F9FEB" w14:textId="77777777" w:rsidR="00601E43" w:rsidRPr="0067115A" w:rsidRDefault="00601E43" w:rsidP="009415A5">
            <w:pPr>
              <w:spacing w:after="0" w:line="240" w:lineRule="auto"/>
              <w:jc w:val="center"/>
              <w:rPr>
                <w:rFonts w:eastAsia="Calibri" w:cs="Arial"/>
                <w:lang w:val="es-CR"/>
              </w:rPr>
            </w:pPr>
            <w:r w:rsidRPr="0067115A">
              <w:rPr>
                <w:rFonts w:eastAsia="Calibri" w:cs="Arial"/>
                <w:lang w:val="es-CR"/>
              </w:rPr>
              <w:t>Cantidad de  Inversionistas para fondos en colones</w:t>
            </w:r>
          </w:p>
        </w:tc>
        <w:tc>
          <w:tcPr>
            <w:tcW w:w="3685" w:type="dxa"/>
            <w:tcBorders>
              <w:top w:val="single" w:sz="4" w:space="0" w:color="auto"/>
              <w:left w:val="single" w:sz="4" w:space="0" w:color="auto"/>
              <w:bottom w:val="single" w:sz="4" w:space="0" w:color="auto"/>
              <w:right w:val="single" w:sz="4" w:space="0" w:color="auto"/>
            </w:tcBorders>
            <w:vAlign w:val="center"/>
          </w:tcPr>
          <w:p w14:paraId="0F0F9FEC" w14:textId="77777777" w:rsidR="00601E43" w:rsidRPr="0067115A" w:rsidRDefault="00601E43" w:rsidP="009415A5">
            <w:pPr>
              <w:spacing w:after="0" w:line="240" w:lineRule="auto"/>
              <w:jc w:val="center"/>
              <w:rPr>
                <w:rFonts w:eastAsia="Calibri" w:cs="Arial"/>
                <w:i/>
                <w:lang w:val="es-CR"/>
              </w:rPr>
            </w:pPr>
            <w:r w:rsidRPr="0067115A">
              <w:rPr>
                <w:rFonts w:eastAsia="Calibri" w:cs="Arial"/>
                <w:i/>
                <w:lang w:val="es-CR"/>
              </w:rPr>
              <w:t>Cantidad de Cuentas de   Inversionistas para fondos abiertos en colones</w:t>
            </w:r>
          </w:p>
        </w:tc>
      </w:tr>
      <w:tr w:rsidR="00601E43" w:rsidRPr="0067115A" w14:paraId="0F0F9FF1" w14:textId="77777777" w:rsidTr="009415A5">
        <w:tc>
          <w:tcPr>
            <w:tcW w:w="2297" w:type="dxa"/>
            <w:tcBorders>
              <w:top w:val="single" w:sz="4" w:space="0" w:color="auto"/>
              <w:left w:val="single" w:sz="4" w:space="0" w:color="auto"/>
              <w:bottom w:val="single" w:sz="4" w:space="0" w:color="auto"/>
              <w:right w:val="single" w:sz="4" w:space="0" w:color="auto"/>
            </w:tcBorders>
            <w:vAlign w:val="center"/>
          </w:tcPr>
          <w:p w14:paraId="0F0F9FEE" w14:textId="77777777" w:rsidR="00601E43" w:rsidRPr="0067115A" w:rsidRDefault="00601E43" w:rsidP="009415A5">
            <w:pPr>
              <w:spacing w:after="0" w:line="240" w:lineRule="auto"/>
              <w:rPr>
                <w:rFonts w:eastAsia="Calibri" w:cs="Arial"/>
                <w:lang w:val="es-CR"/>
              </w:rPr>
            </w:pPr>
            <w:r w:rsidRPr="0067115A">
              <w:rPr>
                <w:rFonts w:eastAsia="Calibri" w:cs="Arial"/>
                <w:lang w:val="es-CR"/>
              </w:rPr>
              <w:t>124000000000</w:t>
            </w:r>
          </w:p>
        </w:tc>
        <w:tc>
          <w:tcPr>
            <w:tcW w:w="2694" w:type="dxa"/>
            <w:tcBorders>
              <w:top w:val="single" w:sz="4" w:space="0" w:color="auto"/>
              <w:left w:val="single" w:sz="4" w:space="0" w:color="auto"/>
              <w:bottom w:val="single" w:sz="4" w:space="0" w:color="auto"/>
              <w:right w:val="single" w:sz="4" w:space="0" w:color="auto"/>
            </w:tcBorders>
            <w:vAlign w:val="center"/>
          </w:tcPr>
          <w:p w14:paraId="0F0F9FEF" w14:textId="77777777" w:rsidR="00601E43" w:rsidRPr="0067115A" w:rsidRDefault="00601E43" w:rsidP="009415A5">
            <w:pPr>
              <w:spacing w:after="0" w:line="240" w:lineRule="auto"/>
              <w:jc w:val="center"/>
              <w:rPr>
                <w:rFonts w:eastAsia="Calibri" w:cs="Arial"/>
                <w:lang w:val="es-CR"/>
              </w:rPr>
            </w:pPr>
            <w:r w:rsidRPr="0067115A">
              <w:rPr>
                <w:rFonts w:eastAsia="Calibri" w:cs="Arial"/>
                <w:lang w:val="es-CR"/>
              </w:rPr>
              <w:t>Cantidad de  Inversionistas para fondos en otras monedas</w:t>
            </w:r>
          </w:p>
        </w:tc>
        <w:tc>
          <w:tcPr>
            <w:tcW w:w="3685" w:type="dxa"/>
            <w:tcBorders>
              <w:top w:val="single" w:sz="4" w:space="0" w:color="auto"/>
              <w:left w:val="single" w:sz="4" w:space="0" w:color="auto"/>
              <w:bottom w:val="single" w:sz="4" w:space="0" w:color="auto"/>
              <w:right w:val="single" w:sz="4" w:space="0" w:color="auto"/>
            </w:tcBorders>
            <w:vAlign w:val="center"/>
          </w:tcPr>
          <w:p w14:paraId="0F0F9FF0" w14:textId="77777777" w:rsidR="00601E43" w:rsidRPr="0067115A" w:rsidRDefault="00601E43" w:rsidP="009415A5">
            <w:pPr>
              <w:spacing w:after="0" w:line="240" w:lineRule="auto"/>
              <w:jc w:val="center"/>
              <w:rPr>
                <w:rFonts w:eastAsia="Calibri" w:cs="Arial"/>
                <w:i/>
                <w:lang w:val="es-CR"/>
              </w:rPr>
            </w:pPr>
            <w:r w:rsidRPr="0067115A">
              <w:rPr>
                <w:rFonts w:eastAsia="Calibri" w:cs="Arial"/>
                <w:i/>
                <w:lang w:val="es-CR"/>
              </w:rPr>
              <w:t>Cantidad de Cuentas de   Inversionistas para fondos abiertos en otras monedas</w:t>
            </w:r>
          </w:p>
        </w:tc>
      </w:tr>
    </w:tbl>
    <w:p w14:paraId="0F0F9FF2" w14:textId="77777777" w:rsidR="00601E43" w:rsidRPr="0067115A" w:rsidRDefault="00601E43" w:rsidP="00601E43">
      <w:pPr>
        <w:pStyle w:val="Numeracin"/>
        <w:numPr>
          <w:ilvl w:val="0"/>
          <w:numId w:val="0"/>
        </w:numPr>
        <w:tabs>
          <w:tab w:val="left" w:pos="567"/>
        </w:tabs>
        <w:spacing w:before="0"/>
        <w:ind w:left="927"/>
        <w:rPr>
          <w:rFonts w:ascii="Arial" w:hAnsi="Arial" w:cs="Arial"/>
          <w:szCs w:val="22"/>
        </w:rPr>
      </w:pPr>
    </w:p>
    <w:bookmarkStart w:id="2" w:name="_MON_1525529599"/>
    <w:bookmarkEnd w:id="2"/>
    <w:p w14:paraId="0F0F9FF3" w14:textId="77777777" w:rsidR="00601E43" w:rsidRPr="0067115A" w:rsidRDefault="00DB069D" w:rsidP="00601E43">
      <w:pPr>
        <w:pStyle w:val="Numeracin"/>
        <w:numPr>
          <w:ilvl w:val="0"/>
          <w:numId w:val="0"/>
        </w:numPr>
        <w:tabs>
          <w:tab w:val="left" w:pos="567"/>
        </w:tabs>
        <w:spacing w:before="0"/>
        <w:ind w:left="360" w:hanging="360"/>
        <w:jc w:val="center"/>
        <w:rPr>
          <w:rFonts w:ascii="Arial" w:hAnsi="Arial" w:cs="Arial"/>
          <w:b/>
          <w:i/>
          <w:szCs w:val="22"/>
        </w:rPr>
      </w:pPr>
      <w:r w:rsidRPr="0067115A">
        <w:rPr>
          <w:rFonts w:ascii="Arial" w:hAnsi="Arial" w:cs="Arial"/>
          <w:b/>
          <w:i/>
          <w:szCs w:val="22"/>
        </w:rPr>
        <w:object w:dxaOrig="1531" w:dyaOrig="990" w14:anchorId="0F0FA010">
          <v:shape id="_x0000_i1026" type="#_x0000_t75" style="width:76.6pt;height:49.55pt" o:ole="">
            <v:imagedata r:id="rId13" o:title=""/>
          </v:shape>
          <o:OLEObject Type="Embed" ProgID="Excel.Sheet.12" ShapeID="_x0000_i1026" DrawAspect="Icon" ObjectID="_1533024924" r:id="rId14"/>
        </w:object>
      </w:r>
    </w:p>
    <w:p w14:paraId="0F0F9FF4" w14:textId="77777777" w:rsidR="00601E43" w:rsidRPr="0067115A" w:rsidRDefault="00601E43" w:rsidP="00601E43">
      <w:pPr>
        <w:pStyle w:val="Numeracin"/>
        <w:numPr>
          <w:ilvl w:val="0"/>
          <w:numId w:val="0"/>
        </w:numPr>
        <w:tabs>
          <w:tab w:val="left" w:pos="567"/>
        </w:tabs>
        <w:spacing w:before="0"/>
        <w:ind w:left="360" w:hanging="360"/>
        <w:rPr>
          <w:rFonts w:ascii="Arial" w:hAnsi="Arial" w:cs="Arial"/>
          <w:szCs w:val="22"/>
        </w:rPr>
      </w:pPr>
    </w:p>
    <w:p w14:paraId="0F0F9FF5" w14:textId="77777777" w:rsidR="00601E43" w:rsidRPr="0067115A" w:rsidRDefault="00601E43" w:rsidP="00601E43">
      <w:pPr>
        <w:pStyle w:val="Numeracin"/>
        <w:numPr>
          <w:ilvl w:val="0"/>
          <w:numId w:val="2"/>
        </w:numPr>
        <w:tabs>
          <w:tab w:val="left" w:pos="567"/>
        </w:tabs>
        <w:spacing w:before="0"/>
        <w:ind w:left="567" w:hanging="567"/>
        <w:rPr>
          <w:rFonts w:ascii="Arial" w:hAnsi="Arial" w:cs="Arial"/>
          <w:szCs w:val="22"/>
        </w:rPr>
      </w:pPr>
      <w:r w:rsidRPr="0067115A">
        <w:rPr>
          <w:rFonts w:ascii="Arial" w:hAnsi="Arial" w:cs="Arial"/>
          <w:szCs w:val="22"/>
        </w:rPr>
        <w:t xml:space="preserve">En el </w:t>
      </w:r>
      <w:r w:rsidRPr="0067115A">
        <w:rPr>
          <w:rFonts w:ascii="Arial" w:hAnsi="Arial" w:cs="Arial"/>
          <w:i/>
          <w:szCs w:val="22"/>
        </w:rPr>
        <w:t>Cuadro de Información Periódica</w:t>
      </w:r>
      <w:r w:rsidRPr="0067115A">
        <w:rPr>
          <w:rFonts w:ascii="Arial" w:hAnsi="Arial" w:cs="Arial"/>
          <w:szCs w:val="22"/>
        </w:rPr>
        <w:t>:</w:t>
      </w:r>
      <w:r w:rsidRPr="0067115A">
        <w:rPr>
          <w:rFonts w:ascii="Arial" w:hAnsi="Arial" w:cs="Arial"/>
          <w:b/>
          <w:szCs w:val="22"/>
        </w:rPr>
        <w:t xml:space="preserve"> </w:t>
      </w:r>
      <w:r w:rsidRPr="0067115A">
        <w:rPr>
          <w:rFonts w:ascii="Arial" w:hAnsi="Arial" w:cs="Arial"/>
          <w:szCs w:val="22"/>
        </w:rPr>
        <w:t>Pestaña</w:t>
      </w:r>
      <w:r w:rsidRPr="0067115A">
        <w:rPr>
          <w:rFonts w:ascii="Arial" w:hAnsi="Arial" w:cs="Arial"/>
          <w:b/>
          <w:szCs w:val="22"/>
        </w:rPr>
        <w:t xml:space="preserve"> “Sociedades Administradoras de Fondos de Inversión”, </w:t>
      </w:r>
      <w:r w:rsidRPr="0067115A">
        <w:rPr>
          <w:rFonts w:ascii="Arial" w:hAnsi="Arial" w:cs="Arial"/>
          <w:szCs w:val="22"/>
        </w:rPr>
        <w:t>en la línea 18</w:t>
      </w:r>
      <w:r w:rsidRPr="0067115A">
        <w:rPr>
          <w:rFonts w:ascii="Arial" w:hAnsi="Arial" w:cs="Arial"/>
          <w:b/>
          <w:szCs w:val="22"/>
        </w:rPr>
        <w:t xml:space="preserve">, </w:t>
      </w:r>
      <w:r w:rsidRPr="0067115A">
        <w:rPr>
          <w:rFonts w:ascii="Arial" w:hAnsi="Arial" w:cs="Arial"/>
          <w:szCs w:val="22"/>
        </w:rPr>
        <w:t>se incluye una nota aclaratoria, ya que la remisión del Reporte de Composición de Carteras de Inversionistas (Anexo 17) solo aplica a los fondos abiertos:</w:t>
      </w:r>
    </w:p>
    <w:p w14:paraId="0F0F9FF6" w14:textId="77777777" w:rsidR="00601E43" w:rsidRPr="0067115A" w:rsidRDefault="00601E43" w:rsidP="00601E43">
      <w:pPr>
        <w:pStyle w:val="Numeracin"/>
        <w:numPr>
          <w:ilvl w:val="0"/>
          <w:numId w:val="0"/>
        </w:numPr>
        <w:tabs>
          <w:tab w:val="left" w:pos="567"/>
        </w:tabs>
        <w:spacing w:before="0"/>
        <w:ind w:left="360" w:hanging="360"/>
        <w:rPr>
          <w:rFonts w:ascii="Arial" w:hAnsi="Arial" w:cs="Arial"/>
          <w:szCs w:val="22"/>
        </w:rPr>
      </w:pPr>
    </w:p>
    <w:tbl>
      <w:tblPr>
        <w:tblW w:w="9813" w:type="dxa"/>
        <w:tblInd w:w="-289" w:type="dxa"/>
        <w:tblLook w:val="04A0" w:firstRow="1" w:lastRow="0" w:firstColumn="1" w:lastColumn="0" w:noHBand="0" w:noVBand="1"/>
      </w:tblPr>
      <w:tblGrid>
        <w:gridCol w:w="1550"/>
        <w:gridCol w:w="1795"/>
        <w:gridCol w:w="1663"/>
        <w:gridCol w:w="1428"/>
        <w:gridCol w:w="1268"/>
        <w:gridCol w:w="2109"/>
      </w:tblGrid>
      <w:tr w:rsidR="00601E43" w:rsidRPr="0067115A" w14:paraId="0F0F9FFD" w14:textId="77777777" w:rsidTr="009415A5">
        <w:trPr>
          <w:trHeight w:val="510"/>
        </w:trPr>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F9FF7" w14:textId="77777777" w:rsidR="00601E43" w:rsidRPr="0067115A" w:rsidRDefault="00601E43" w:rsidP="009415A5">
            <w:pPr>
              <w:spacing w:after="0" w:line="240" w:lineRule="auto"/>
              <w:jc w:val="center"/>
              <w:rPr>
                <w:rFonts w:eastAsia="Times New Roman" w:cs="Arial"/>
                <w:b/>
                <w:bCs/>
                <w:lang w:val="en-US"/>
              </w:rPr>
            </w:pPr>
            <w:r w:rsidRPr="0067115A">
              <w:rPr>
                <w:rFonts w:eastAsia="Times New Roman" w:cs="Arial"/>
                <w:b/>
                <w:bCs/>
                <w:lang w:val="en-US"/>
              </w:rPr>
              <w:t>INFORME O REPORTE</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14:paraId="0F0F9FF8" w14:textId="77777777" w:rsidR="00601E43" w:rsidRPr="0067115A" w:rsidRDefault="00601E43" w:rsidP="009415A5">
            <w:pPr>
              <w:spacing w:after="0" w:line="240" w:lineRule="auto"/>
              <w:jc w:val="center"/>
              <w:rPr>
                <w:rFonts w:eastAsia="Times New Roman" w:cs="Arial"/>
                <w:b/>
                <w:bCs/>
                <w:lang w:val="en-US"/>
              </w:rPr>
            </w:pPr>
            <w:proofErr w:type="spellStart"/>
            <w:r w:rsidRPr="0067115A">
              <w:rPr>
                <w:rFonts w:eastAsia="Times New Roman" w:cs="Arial"/>
                <w:b/>
                <w:bCs/>
                <w:lang w:val="en-US"/>
              </w:rPr>
              <w:t>Periodicidad</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0F9FF9" w14:textId="77777777" w:rsidR="00601E43" w:rsidRPr="0067115A" w:rsidRDefault="00601E43" w:rsidP="009415A5">
            <w:pPr>
              <w:spacing w:after="0" w:line="240" w:lineRule="auto"/>
              <w:jc w:val="center"/>
              <w:rPr>
                <w:rFonts w:eastAsia="Times New Roman" w:cs="Arial"/>
                <w:b/>
                <w:bCs/>
                <w:lang w:val="en-US"/>
              </w:rPr>
            </w:pPr>
            <w:proofErr w:type="spellStart"/>
            <w:r w:rsidRPr="0067115A">
              <w:rPr>
                <w:rFonts w:eastAsia="Times New Roman" w:cs="Arial"/>
                <w:b/>
                <w:bCs/>
                <w:lang w:val="en-US"/>
              </w:rPr>
              <w:t>Plazo</w:t>
            </w:r>
            <w:proofErr w:type="spellEnd"/>
            <w:r w:rsidRPr="0067115A">
              <w:rPr>
                <w:rFonts w:eastAsia="Times New Roman" w:cs="Arial"/>
                <w:b/>
                <w:bCs/>
                <w:lang w:val="en-US"/>
              </w:rPr>
              <w:t xml:space="preserve"> </w:t>
            </w:r>
            <w:proofErr w:type="spellStart"/>
            <w:r w:rsidRPr="0067115A">
              <w:rPr>
                <w:rFonts w:eastAsia="Times New Roman" w:cs="Arial"/>
                <w:b/>
                <w:bCs/>
                <w:lang w:val="en-US"/>
              </w:rPr>
              <w:t>máximo</w:t>
            </w:r>
            <w:proofErr w:type="spellEnd"/>
            <w:r w:rsidRPr="0067115A">
              <w:rPr>
                <w:rFonts w:eastAsia="Times New Roman" w:cs="Arial"/>
                <w:b/>
                <w:bCs/>
                <w:lang w:val="en-US"/>
              </w:rPr>
              <w:t xml:space="preserve"> de </w:t>
            </w:r>
            <w:proofErr w:type="spellStart"/>
            <w:r w:rsidRPr="0067115A">
              <w:rPr>
                <w:rFonts w:eastAsia="Times New Roman" w:cs="Arial"/>
                <w:b/>
                <w:bCs/>
                <w:lang w:val="en-US"/>
              </w:rPr>
              <w:t>entrega</w:t>
            </w:r>
            <w:proofErr w:type="spellEnd"/>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0F0F9FFA" w14:textId="77777777" w:rsidR="00601E43" w:rsidRPr="0067115A" w:rsidRDefault="00601E43" w:rsidP="009415A5">
            <w:pPr>
              <w:spacing w:after="0" w:line="240" w:lineRule="auto"/>
              <w:jc w:val="center"/>
              <w:rPr>
                <w:rFonts w:eastAsia="Times New Roman" w:cs="Arial"/>
                <w:b/>
                <w:bCs/>
                <w:lang w:val="es-CR"/>
              </w:rPr>
            </w:pPr>
            <w:r w:rsidRPr="0067115A">
              <w:rPr>
                <w:rFonts w:eastAsia="Times New Roman" w:cs="Arial"/>
                <w:b/>
                <w:bCs/>
                <w:lang w:val="es-CR"/>
              </w:rPr>
              <w:t>Formato o normas sobre el Contenido</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0F0F9FFB" w14:textId="77777777" w:rsidR="00601E43" w:rsidRPr="0067115A" w:rsidRDefault="00601E43" w:rsidP="009415A5">
            <w:pPr>
              <w:spacing w:after="0" w:line="240" w:lineRule="auto"/>
              <w:jc w:val="center"/>
              <w:rPr>
                <w:rFonts w:eastAsia="Times New Roman" w:cs="Arial"/>
                <w:b/>
                <w:bCs/>
                <w:lang w:val="en-US"/>
              </w:rPr>
            </w:pPr>
            <w:r w:rsidRPr="0067115A">
              <w:rPr>
                <w:rFonts w:eastAsia="Times New Roman" w:cs="Arial"/>
                <w:b/>
                <w:bCs/>
                <w:lang w:val="en-US"/>
              </w:rPr>
              <w:t xml:space="preserve">Medio de </w:t>
            </w:r>
            <w:proofErr w:type="spellStart"/>
            <w:r w:rsidRPr="0067115A">
              <w:rPr>
                <w:rFonts w:eastAsia="Times New Roman" w:cs="Arial"/>
                <w:b/>
                <w:bCs/>
                <w:lang w:val="en-US"/>
              </w:rPr>
              <w:t>envío</w:t>
            </w:r>
            <w:proofErr w:type="spellEnd"/>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F0F9FFC" w14:textId="77777777" w:rsidR="00601E43" w:rsidRPr="0067115A" w:rsidRDefault="00601E43" w:rsidP="009415A5">
            <w:pPr>
              <w:spacing w:after="0" w:line="240" w:lineRule="auto"/>
              <w:jc w:val="center"/>
              <w:rPr>
                <w:rFonts w:eastAsia="Times New Roman" w:cs="Arial"/>
                <w:b/>
                <w:bCs/>
                <w:lang w:val="en-US"/>
              </w:rPr>
            </w:pPr>
            <w:proofErr w:type="spellStart"/>
            <w:r w:rsidRPr="0067115A">
              <w:rPr>
                <w:rFonts w:eastAsia="Times New Roman" w:cs="Arial"/>
                <w:b/>
                <w:bCs/>
                <w:lang w:val="en-US"/>
              </w:rPr>
              <w:t>Notas</w:t>
            </w:r>
            <w:proofErr w:type="spellEnd"/>
            <w:r w:rsidRPr="0067115A">
              <w:rPr>
                <w:rFonts w:eastAsia="Times New Roman" w:cs="Arial"/>
                <w:b/>
                <w:bCs/>
                <w:lang w:val="en-US"/>
              </w:rPr>
              <w:t xml:space="preserve"> </w:t>
            </w:r>
            <w:proofErr w:type="spellStart"/>
            <w:r w:rsidRPr="0067115A">
              <w:rPr>
                <w:rFonts w:eastAsia="Times New Roman" w:cs="Arial"/>
                <w:b/>
                <w:bCs/>
                <w:lang w:val="en-US"/>
              </w:rPr>
              <w:t>Aclaratorias</w:t>
            </w:r>
            <w:proofErr w:type="spellEnd"/>
          </w:p>
        </w:tc>
      </w:tr>
      <w:tr w:rsidR="00601E43" w:rsidRPr="0067115A" w14:paraId="0F0FA004" w14:textId="77777777" w:rsidTr="009415A5">
        <w:trPr>
          <w:trHeight w:val="780"/>
        </w:trPr>
        <w:tc>
          <w:tcPr>
            <w:tcW w:w="1450" w:type="dxa"/>
            <w:tcBorders>
              <w:top w:val="nil"/>
              <w:left w:val="single" w:sz="4" w:space="0" w:color="auto"/>
              <w:bottom w:val="single" w:sz="4" w:space="0" w:color="auto"/>
              <w:right w:val="single" w:sz="4" w:space="0" w:color="auto"/>
            </w:tcBorders>
            <w:shd w:val="clear" w:color="auto" w:fill="auto"/>
            <w:vAlign w:val="center"/>
            <w:hideMark/>
          </w:tcPr>
          <w:p w14:paraId="0F0F9FFE" w14:textId="77777777" w:rsidR="00601E43" w:rsidRPr="0067115A" w:rsidRDefault="00601E43" w:rsidP="009415A5">
            <w:pPr>
              <w:spacing w:after="0" w:line="240" w:lineRule="auto"/>
              <w:jc w:val="center"/>
              <w:rPr>
                <w:rFonts w:eastAsia="Times New Roman" w:cs="Arial"/>
                <w:lang w:val="es-CR"/>
              </w:rPr>
            </w:pPr>
            <w:r w:rsidRPr="0067115A">
              <w:rPr>
                <w:rFonts w:eastAsia="Times New Roman" w:cs="Arial"/>
                <w:lang w:val="es-CR"/>
              </w:rPr>
              <w:t>Reporte  de composición de cartera de inversionistas</w:t>
            </w:r>
          </w:p>
        </w:tc>
        <w:tc>
          <w:tcPr>
            <w:tcW w:w="1811" w:type="dxa"/>
            <w:tcBorders>
              <w:top w:val="nil"/>
              <w:left w:val="nil"/>
              <w:bottom w:val="single" w:sz="4" w:space="0" w:color="auto"/>
              <w:right w:val="single" w:sz="4" w:space="0" w:color="auto"/>
            </w:tcBorders>
            <w:shd w:val="clear" w:color="auto" w:fill="auto"/>
            <w:vAlign w:val="center"/>
            <w:hideMark/>
          </w:tcPr>
          <w:p w14:paraId="0F0F9FFF" w14:textId="77777777" w:rsidR="00601E43" w:rsidRPr="0067115A" w:rsidRDefault="00601E43" w:rsidP="009415A5">
            <w:pPr>
              <w:spacing w:after="0" w:line="240" w:lineRule="auto"/>
              <w:jc w:val="center"/>
              <w:rPr>
                <w:rFonts w:eastAsia="Times New Roman" w:cs="Arial"/>
                <w:lang w:val="en-US"/>
              </w:rPr>
            </w:pPr>
            <w:proofErr w:type="spellStart"/>
            <w:r w:rsidRPr="0067115A">
              <w:rPr>
                <w:rFonts w:eastAsia="Times New Roman" w:cs="Arial"/>
                <w:lang w:val="en-US"/>
              </w:rPr>
              <w:t>Quincenal</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0F0FA000" w14:textId="77777777" w:rsidR="00601E43" w:rsidRPr="0067115A" w:rsidRDefault="00601E43" w:rsidP="009415A5">
            <w:pPr>
              <w:spacing w:after="0" w:line="240" w:lineRule="auto"/>
              <w:jc w:val="center"/>
              <w:rPr>
                <w:rFonts w:eastAsia="Times New Roman" w:cs="Arial"/>
                <w:lang w:val="es-CR"/>
              </w:rPr>
            </w:pPr>
            <w:r w:rsidRPr="0067115A">
              <w:rPr>
                <w:rFonts w:eastAsia="Times New Roman" w:cs="Arial"/>
                <w:lang w:val="es-CR"/>
              </w:rPr>
              <w:t xml:space="preserve">5 días hábiles después del cierre </w:t>
            </w:r>
          </w:p>
        </w:tc>
        <w:tc>
          <w:tcPr>
            <w:tcW w:w="1436" w:type="dxa"/>
            <w:tcBorders>
              <w:top w:val="nil"/>
              <w:left w:val="nil"/>
              <w:bottom w:val="single" w:sz="4" w:space="0" w:color="auto"/>
              <w:right w:val="single" w:sz="4" w:space="0" w:color="auto"/>
            </w:tcBorders>
            <w:shd w:val="clear" w:color="auto" w:fill="auto"/>
            <w:vAlign w:val="center"/>
            <w:hideMark/>
          </w:tcPr>
          <w:p w14:paraId="0F0FA001" w14:textId="77777777" w:rsidR="00601E43" w:rsidRPr="0067115A" w:rsidRDefault="00601E43" w:rsidP="009415A5">
            <w:pPr>
              <w:spacing w:after="0" w:line="240" w:lineRule="auto"/>
              <w:jc w:val="center"/>
              <w:rPr>
                <w:rFonts w:eastAsia="Times New Roman" w:cs="Arial"/>
                <w:lang w:val="en-US"/>
              </w:rPr>
            </w:pPr>
            <w:proofErr w:type="spellStart"/>
            <w:r w:rsidRPr="0067115A">
              <w:rPr>
                <w:rFonts w:eastAsia="Times New Roman" w:cs="Arial"/>
                <w:lang w:val="en-US"/>
              </w:rPr>
              <w:t>Anexo</w:t>
            </w:r>
            <w:proofErr w:type="spellEnd"/>
            <w:r w:rsidRPr="0067115A">
              <w:rPr>
                <w:rFonts w:eastAsia="Times New Roman" w:cs="Arial"/>
                <w:lang w:val="en-US"/>
              </w:rPr>
              <w:t xml:space="preserve"> 17 </w:t>
            </w:r>
          </w:p>
        </w:tc>
        <w:tc>
          <w:tcPr>
            <w:tcW w:w="1268" w:type="dxa"/>
            <w:tcBorders>
              <w:top w:val="nil"/>
              <w:left w:val="nil"/>
              <w:bottom w:val="single" w:sz="4" w:space="0" w:color="auto"/>
              <w:right w:val="single" w:sz="4" w:space="0" w:color="auto"/>
            </w:tcBorders>
            <w:shd w:val="clear" w:color="auto" w:fill="auto"/>
            <w:vAlign w:val="center"/>
            <w:hideMark/>
          </w:tcPr>
          <w:p w14:paraId="0F0FA002" w14:textId="77777777" w:rsidR="00601E43" w:rsidRPr="0067115A" w:rsidRDefault="00601E43" w:rsidP="009415A5">
            <w:pPr>
              <w:spacing w:after="0" w:line="240" w:lineRule="auto"/>
              <w:jc w:val="center"/>
              <w:rPr>
                <w:rFonts w:eastAsia="Times New Roman" w:cs="Arial"/>
                <w:lang w:val="en-US"/>
              </w:rPr>
            </w:pPr>
            <w:r w:rsidRPr="0067115A">
              <w:rPr>
                <w:rFonts w:eastAsia="Times New Roman" w:cs="Arial"/>
                <w:lang w:val="en-US"/>
              </w:rPr>
              <w:t xml:space="preserve">Sistema </w:t>
            </w:r>
            <w:proofErr w:type="spellStart"/>
            <w:r w:rsidRPr="0067115A">
              <w:rPr>
                <w:rFonts w:eastAsia="Times New Roman" w:cs="Arial"/>
                <w:lang w:val="en-US"/>
              </w:rPr>
              <w:t>Ingresador</w:t>
            </w:r>
            <w:proofErr w:type="spellEnd"/>
          </w:p>
        </w:tc>
        <w:tc>
          <w:tcPr>
            <w:tcW w:w="2147" w:type="dxa"/>
            <w:tcBorders>
              <w:top w:val="nil"/>
              <w:left w:val="nil"/>
              <w:bottom w:val="single" w:sz="4" w:space="0" w:color="auto"/>
              <w:right w:val="single" w:sz="4" w:space="0" w:color="auto"/>
            </w:tcBorders>
            <w:shd w:val="clear" w:color="auto" w:fill="auto"/>
            <w:vAlign w:val="center"/>
            <w:hideMark/>
          </w:tcPr>
          <w:p w14:paraId="0F0FA003" w14:textId="77777777" w:rsidR="00601E43" w:rsidRPr="0067115A" w:rsidRDefault="00601E43" w:rsidP="009415A5">
            <w:pPr>
              <w:spacing w:after="0" w:line="240" w:lineRule="auto"/>
              <w:rPr>
                <w:rFonts w:eastAsia="Times New Roman" w:cs="Arial"/>
                <w:b/>
                <w:bCs/>
                <w:color w:val="FF0000"/>
                <w:lang w:val="es-CR"/>
              </w:rPr>
            </w:pPr>
            <w:r w:rsidRPr="0067115A">
              <w:rPr>
                <w:rFonts w:eastAsia="Times New Roman" w:cs="Arial"/>
                <w:b/>
                <w:bCs/>
                <w:lang w:val="es-CR"/>
              </w:rPr>
              <w:t xml:space="preserve">Solo para fondos de inversión abiertos </w:t>
            </w:r>
          </w:p>
        </w:tc>
      </w:tr>
    </w:tbl>
    <w:p w14:paraId="0F0FA005" w14:textId="77777777" w:rsidR="00601E43" w:rsidRPr="0067115A" w:rsidRDefault="00601E43" w:rsidP="0067115A">
      <w:pPr>
        <w:pStyle w:val="Numeracin"/>
        <w:numPr>
          <w:ilvl w:val="0"/>
          <w:numId w:val="0"/>
        </w:numPr>
        <w:tabs>
          <w:tab w:val="left" w:pos="567"/>
        </w:tabs>
        <w:spacing w:before="0"/>
        <w:ind w:left="360" w:hanging="360"/>
        <w:rPr>
          <w:rFonts w:ascii="Arial" w:hAnsi="Arial" w:cs="Arial"/>
          <w:b/>
          <w:szCs w:val="22"/>
          <w:lang w:val="es-CR"/>
        </w:rPr>
      </w:pPr>
    </w:p>
    <w:bookmarkStart w:id="3" w:name="_MON_1526383764"/>
    <w:bookmarkEnd w:id="3"/>
    <w:p w14:paraId="0F0FA006" w14:textId="77777777" w:rsidR="00601E43" w:rsidRDefault="003C0B6F" w:rsidP="0067115A">
      <w:pPr>
        <w:pStyle w:val="Numeracin"/>
        <w:numPr>
          <w:ilvl w:val="0"/>
          <w:numId w:val="0"/>
        </w:numPr>
        <w:tabs>
          <w:tab w:val="left" w:pos="567"/>
        </w:tabs>
        <w:spacing w:before="0"/>
        <w:ind w:left="567"/>
        <w:jc w:val="left"/>
        <w:rPr>
          <w:rFonts w:ascii="Arial" w:hAnsi="Arial" w:cs="Arial"/>
          <w:b/>
          <w:szCs w:val="22"/>
          <w:lang w:val="es-CR"/>
        </w:rPr>
      </w:pPr>
      <w:r w:rsidRPr="0067115A">
        <w:rPr>
          <w:rFonts w:ascii="Arial" w:hAnsi="Arial" w:cs="Arial"/>
          <w:b/>
          <w:szCs w:val="22"/>
          <w:lang w:val="es-CR"/>
        </w:rPr>
        <w:object w:dxaOrig="1531" w:dyaOrig="990" w14:anchorId="0F0FA011">
          <v:shape id="_x0000_i1027" type="#_x0000_t75" style="width:76.6pt;height:49.55pt" o:ole="">
            <v:imagedata r:id="rId15" o:title=""/>
          </v:shape>
          <o:OLEObject Type="Embed" ProgID="Excel.Sheet.8" ShapeID="_x0000_i1027" DrawAspect="Icon" ObjectID="_1533024925" r:id="rId16"/>
        </w:object>
      </w:r>
    </w:p>
    <w:p w14:paraId="0F0FA007" w14:textId="77777777" w:rsidR="0067115A" w:rsidRPr="0067115A" w:rsidRDefault="0067115A" w:rsidP="0067115A">
      <w:pPr>
        <w:pStyle w:val="Numeracin"/>
        <w:numPr>
          <w:ilvl w:val="0"/>
          <w:numId w:val="0"/>
        </w:numPr>
        <w:tabs>
          <w:tab w:val="left" w:pos="567"/>
        </w:tabs>
        <w:spacing w:before="0"/>
        <w:ind w:left="360" w:hanging="360"/>
        <w:jc w:val="left"/>
        <w:rPr>
          <w:rFonts w:ascii="Arial" w:hAnsi="Arial" w:cs="Arial"/>
          <w:b/>
          <w:szCs w:val="22"/>
          <w:lang w:val="es-CR"/>
        </w:rPr>
      </w:pPr>
    </w:p>
    <w:p w14:paraId="0F0FA008" w14:textId="77777777" w:rsidR="00601E43" w:rsidRPr="0067115A" w:rsidRDefault="00601E43" w:rsidP="0067115A">
      <w:pPr>
        <w:pStyle w:val="Numeracin"/>
        <w:numPr>
          <w:ilvl w:val="0"/>
          <w:numId w:val="0"/>
        </w:numPr>
        <w:tabs>
          <w:tab w:val="left" w:pos="567"/>
        </w:tabs>
        <w:spacing w:before="0"/>
        <w:ind w:left="360" w:hanging="360"/>
        <w:rPr>
          <w:rFonts w:ascii="Arial" w:hAnsi="Arial" w:cs="Arial"/>
          <w:b/>
          <w:szCs w:val="22"/>
          <w:lang w:val="es-CR"/>
        </w:rPr>
      </w:pPr>
    </w:p>
    <w:p w14:paraId="0F0FA009" w14:textId="77777777" w:rsidR="00601E43" w:rsidRPr="0067115A" w:rsidRDefault="00601E43" w:rsidP="00601E43">
      <w:pPr>
        <w:pStyle w:val="Numeracin"/>
        <w:numPr>
          <w:ilvl w:val="0"/>
          <w:numId w:val="0"/>
        </w:numPr>
        <w:spacing w:before="0"/>
        <w:rPr>
          <w:rFonts w:ascii="Arial" w:hAnsi="Arial" w:cs="Arial"/>
          <w:b/>
          <w:szCs w:val="22"/>
          <w:lang w:val="es-CR"/>
        </w:rPr>
      </w:pPr>
      <w:r w:rsidRPr="0067115A">
        <w:rPr>
          <w:rFonts w:ascii="Arial" w:hAnsi="Arial" w:cs="Arial"/>
          <w:b/>
          <w:szCs w:val="22"/>
          <w:lang w:val="es-CR"/>
        </w:rPr>
        <w:t>Artículo 2. Vigencia</w:t>
      </w:r>
    </w:p>
    <w:p w14:paraId="0F0FA00A" w14:textId="77777777" w:rsidR="00601E43" w:rsidRPr="0067115A" w:rsidRDefault="00601E43" w:rsidP="0067115A">
      <w:pPr>
        <w:pStyle w:val="Numeracin"/>
        <w:numPr>
          <w:ilvl w:val="0"/>
          <w:numId w:val="0"/>
        </w:numPr>
        <w:tabs>
          <w:tab w:val="left" w:pos="567"/>
        </w:tabs>
        <w:spacing w:before="0"/>
        <w:ind w:left="360" w:hanging="360"/>
        <w:rPr>
          <w:rFonts w:ascii="Arial" w:hAnsi="Arial" w:cs="Arial"/>
          <w:szCs w:val="22"/>
          <w:lang w:val="es-CR"/>
        </w:rPr>
      </w:pPr>
    </w:p>
    <w:p w14:paraId="0F0FA00B" w14:textId="77777777" w:rsidR="00601E43" w:rsidRPr="0067115A" w:rsidRDefault="00601E43" w:rsidP="00601E43">
      <w:pPr>
        <w:pStyle w:val="Numeracin"/>
        <w:numPr>
          <w:ilvl w:val="0"/>
          <w:numId w:val="0"/>
        </w:numPr>
        <w:spacing w:before="0"/>
        <w:rPr>
          <w:rFonts w:ascii="Arial" w:hAnsi="Arial" w:cs="Arial"/>
          <w:szCs w:val="22"/>
          <w:lang w:val="es-CR"/>
        </w:rPr>
      </w:pPr>
      <w:r w:rsidRPr="0067115A">
        <w:rPr>
          <w:rFonts w:ascii="Arial" w:hAnsi="Arial" w:cs="Arial"/>
          <w:szCs w:val="22"/>
          <w:lang w:val="es-CR"/>
        </w:rPr>
        <w:t>Rige a partir del 31 de mayo del 2016.</w:t>
      </w:r>
    </w:p>
    <w:p w14:paraId="0F0FA00C" w14:textId="77777777" w:rsidR="00601E43" w:rsidRPr="0067115A" w:rsidRDefault="00601E43" w:rsidP="00601E43">
      <w:pPr>
        <w:pStyle w:val="Numeracin"/>
        <w:numPr>
          <w:ilvl w:val="0"/>
          <w:numId w:val="0"/>
        </w:numPr>
        <w:spacing w:before="0"/>
        <w:rPr>
          <w:rFonts w:ascii="Arial" w:hAnsi="Arial" w:cs="Arial"/>
          <w:szCs w:val="22"/>
          <w:lang w:val="es-CR"/>
        </w:rPr>
      </w:pPr>
    </w:p>
    <w:p w14:paraId="0F0FA00D" w14:textId="77777777" w:rsidR="00601E43" w:rsidRPr="0067115A" w:rsidRDefault="00601E43" w:rsidP="00601E43">
      <w:pPr>
        <w:pStyle w:val="Numeracin"/>
        <w:numPr>
          <w:ilvl w:val="0"/>
          <w:numId w:val="0"/>
        </w:numPr>
        <w:spacing w:before="0"/>
        <w:rPr>
          <w:rFonts w:ascii="Arial" w:hAnsi="Arial" w:cs="Arial"/>
          <w:szCs w:val="22"/>
          <w:lang w:val="es-CR"/>
        </w:rPr>
      </w:pPr>
      <w:r w:rsidRPr="0067115A">
        <w:rPr>
          <w:rFonts w:ascii="Arial" w:hAnsi="Arial" w:cs="Arial"/>
          <w:noProof/>
          <w:kern w:val="16"/>
          <w:szCs w:val="22"/>
          <w:lang w:val="es-CR" w:eastAsia="es-CR"/>
        </w:rPr>
        <w:drawing>
          <wp:inline distT="0" distB="0" distL="0" distR="0" wp14:anchorId="0F0FA012" wp14:editId="0F0FA013">
            <wp:extent cx="2705100" cy="343989"/>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094" cy="348820"/>
                    </a:xfrm>
                    <a:prstGeom prst="rect">
                      <a:avLst/>
                    </a:prstGeom>
                    <a:noFill/>
                    <a:ln>
                      <a:noFill/>
                    </a:ln>
                  </pic:spPr>
                </pic:pic>
              </a:graphicData>
            </a:graphic>
          </wp:inline>
        </w:drawing>
      </w:r>
    </w:p>
    <w:p w14:paraId="0F0FA00E" w14:textId="77777777" w:rsidR="00601E43" w:rsidRPr="0067115A" w:rsidRDefault="00601E43">
      <w:pPr>
        <w:rPr>
          <w:rFonts w:cs="Arial"/>
        </w:rPr>
      </w:pPr>
    </w:p>
    <w:sectPr w:rsidR="00601E43" w:rsidRPr="0067115A" w:rsidSect="0067115A">
      <w:headerReference w:type="default" r:id="rId18"/>
      <w:footerReference w:type="default" r:id="rId19"/>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FA016" w14:textId="77777777" w:rsidR="00601E43" w:rsidRDefault="00601E43" w:rsidP="00601E43">
      <w:pPr>
        <w:spacing w:after="0" w:line="240" w:lineRule="auto"/>
      </w:pPr>
      <w:r>
        <w:separator/>
      </w:r>
    </w:p>
  </w:endnote>
  <w:endnote w:type="continuationSeparator" w:id="0">
    <w:p w14:paraId="0F0FA017" w14:textId="77777777" w:rsidR="00601E43" w:rsidRDefault="00601E43" w:rsidP="00601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1B75BB"/>
      </w:rPr>
      <w:id w:val="-1443307028"/>
      <w:docPartObj>
        <w:docPartGallery w:val="Page Numbers (Bottom of Page)"/>
        <w:docPartUnique/>
      </w:docPartObj>
    </w:sdtPr>
    <w:sdtEndPr>
      <w:rPr>
        <w:noProof/>
      </w:rPr>
    </w:sdtEndPr>
    <w:sdtContent>
      <w:p w14:paraId="0F0FA01B" w14:textId="77777777" w:rsidR="00DB069D" w:rsidRPr="00DB069D" w:rsidRDefault="00DB069D">
        <w:pPr>
          <w:pStyle w:val="Footer"/>
          <w:rPr>
            <w:color w:val="1B75BB"/>
          </w:rPr>
        </w:pPr>
        <w:r w:rsidRPr="00DB069D">
          <w:rPr>
            <w:color w:val="1B75BB"/>
          </w:rPr>
          <w:t xml:space="preserve">| </w:t>
        </w:r>
        <w:r w:rsidRPr="00DB069D">
          <w:rPr>
            <w:color w:val="1B75BB"/>
          </w:rPr>
          <w:fldChar w:fldCharType="begin"/>
        </w:r>
        <w:r w:rsidRPr="00DB069D">
          <w:rPr>
            <w:color w:val="1B75BB"/>
          </w:rPr>
          <w:instrText xml:space="preserve"> PAGE   \* MERGEFORMAT </w:instrText>
        </w:r>
        <w:r w:rsidRPr="00DB069D">
          <w:rPr>
            <w:color w:val="1B75BB"/>
          </w:rPr>
          <w:fldChar w:fldCharType="separate"/>
        </w:r>
        <w:r w:rsidR="00476992">
          <w:rPr>
            <w:noProof/>
            <w:color w:val="1B75BB"/>
          </w:rPr>
          <w:t>2</w:t>
        </w:r>
        <w:r w:rsidRPr="00DB069D">
          <w:rPr>
            <w:noProof/>
            <w:color w:val="1B75BB"/>
          </w:rPr>
          <w:fldChar w:fldCharType="end"/>
        </w:r>
      </w:p>
    </w:sdtContent>
  </w:sdt>
  <w:p w14:paraId="0F0FA01C" w14:textId="77777777" w:rsidR="00DB069D" w:rsidRDefault="00DB0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FA014" w14:textId="77777777" w:rsidR="00601E43" w:rsidRDefault="00601E43" w:rsidP="00601E43">
      <w:pPr>
        <w:spacing w:after="0" w:line="240" w:lineRule="auto"/>
      </w:pPr>
      <w:r>
        <w:separator/>
      </w:r>
    </w:p>
  </w:footnote>
  <w:footnote w:type="continuationSeparator" w:id="0">
    <w:p w14:paraId="0F0FA015" w14:textId="77777777" w:rsidR="00601E43" w:rsidRDefault="00601E43" w:rsidP="00601E43">
      <w:pPr>
        <w:spacing w:after="0" w:line="240" w:lineRule="auto"/>
      </w:pPr>
      <w:r>
        <w:continuationSeparator/>
      </w:r>
    </w:p>
  </w:footnote>
  <w:footnote w:id="1">
    <w:p w14:paraId="67D9120C" w14:textId="77777777" w:rsidR="00476992" w:rsidRPr="00EB2590" w:rsidRDefault="0067115A" w:rsidP="00476992">
      <w:pPr>
        <w:pStyle w:val="Textodereglamento"/>
        <w:spacing w:before="0"/>
        <w:rPr>
          <w:rFonts w:ascii="Arial" w:hAnsi="Arial" w:cs="Arial"/>
          <w:bCs/>
          <w:szCs w:val="22"/>
          <w:lang w:val="es-MX" w:eastAsia="en-US"/>
        </w:rPr>
      </w:pPr>
      <w:r>
        <w:rPr>
          <w:rStyle w:val="FootnoteReference"/>
        </w:rPr>
        <w:footnoteRef/>
      </w:r>
      <w:r>
        <w:t xml:space="preserve"> </w:t>
      </w:r>
      <w:r w:rsidRPr="0067115A">
        <w:rPr>
          <w:rFonts w:ascii="Arial" w:hAnsi="Arial" w:cs="Arial"/>
          <w:bCs/>
          <w:szCs w:val="22"/>
          <w:lang w:val="es-CR"/>
        </w:rPr>
        <w:t>Superintendente General de Valores. Despacho del Superintendente.  A las once horas del primero de junio del dos mil dieciséis.</w:t>
      </w:r>
      <w:r w:rsidR="00476992">
        <w:rPr>
          <w:rFonts w:ascii="Arial" w:hAnsi="Arial" w:cs="Arial"/>
          <w:bCs/>
          <w:szCs w:val="22"/>
          <w:lang w:val="es-CR"/>
        </w:rPr>
        <w:t xml:space="preserve"> </w:t>
      </w:r>
      <w:r w:rsidR="00476992">
        <w:rPr>
          <w:rFonts w:ascii="Arial" w:hAnsi="Arial" w:cs="Arial"/>
          <w:bCs/>
          <w:szCs w:val="22"/>
          <w:lang w:val="es-MX" w:eastAsia="en-US"/>
        </w:rPr>
        <w:t>Publicado en el Diario Oficial La Gaceta No. 158 del 18 de agosto del 2016.</w:t>
      </w:r>
    </w:p>
    <w:p w14:paraId="0F0FA021" w14:textId="5F8E0EC2" w:rsidR="0067115A" w:rsidRPr="00476992" w:rsidRDefault="0067115A" w:rsidP="0067115A">
      <w:pPr>
        <w:pStyle w:val="Textodereglamento"/>
        <w:spacing w:before="0" w:line="276" w:lineRule="auto"/>
        <w:rPr>
          <w:rFonts w:ascii="Arial" w:hAnsi="Arial" w:cs="Arial"/>
          <w:bCs/>
          <w:iCs/>
          <w:noProof/>
          <w:szCs w:val="22"/>
          <w:lang w:val="es-MX" w:eastAsia="en-US"/>
        </w:rPr>
      </w:pPr>
      <w:bookmarkStart w:id="0" w:name="_GoBack"/>
      <w:bookmarkEnd w:id="0"/>
    </w:p>
    <w:p w14:paraId="0F0FA022" w14:textId="77777777" w:rsidR="0067115A" w:rsidRPr="0067115A" w:rsidRDefault="0067115A">
      <w:pPr>
        <w:pStyle w:val="FootnoteText"/>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FA018" w14:textId="77777777" w:rsidR="00601E43" w:rsidRDefault="00601E43" w:rsidP="00601E43">
    <w:pPr>
      <w:pStyle w:val="Header"/>
      <w:jc w:val="right"/>
    </w:pPr>
    <w:r>
      <w:rPr>
        <w:noProof/>
        <w:lang w:val="es-CR" w:eastAsia="es-CR"/>
      </w:rPr>
      <mc:AlternateContent>
        <mc:Choice Requires="wps">
          <w:drawing>
            <wp:anchor distT="4294967293" distB="4294967293" distL="114300" distR="114300" simplePos="0" relativeHeight="251658240" behindDoc="0" locked="0" layoutInCell="1" allowOverlap="1" wp14:anchorId="0F0FA01D" wp14:editId="0F0FA01E">
              <wp:simplePos x="0" y="0"/>
              <wp:positionH relativeFrom="column">
                <wp:posOffset>-60960</wp:posOffset>
              </wp:positionH>
              <wp:positionV relativeFrom="paragraph">
                <wp:posOffset>398144</wp:posOffset>
              </wp:positionV>
              <wp:extent cx="5486400" cy="9525"/>
              <wp:effectExtent l="0" t="0" r="19050" b="285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9525"/>
                      </a:xfrm>
                      <a:prstGeom prst="line">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07959" id="Straight Connector 11"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8pt,31.35pt" to="427.2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" strokecolor="#0070c0" strokeweight="1.5pt"/>
          </w:pict>
        </mc:Fallback>
      </mc:AlternateContent>
    </w:r>
    <w:r>
      <w:rPr>
        <w:rFonts w:ascii="Calibri" w:hAnsi="Calibri" w:cs="Arial"/>
        <w:bCs/>
        <w:i/>
        <w:noProof/>
        <w:sz w:val="20"/>
        <w:szCs w:val="20"/>
        <w:lang w:val="es-CR" w:eastAsia="es-CR"/>
      </w:rPr>
      <w:drawing>
        <wp:inline distT="0" distB="0" distL="0" distR="0" wp14:anchorId="0F0FA01F" wp14:editId="0F0FA020">
          <wp:extent cx="1581150" cy="390525"/>
          <wp:effectExtent l="0" t="0" r="0" b="9525"/>
          <wp:docPr id="3" name="Picture 3"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0F0FA019" w14:textId="77777777" w:rsidR="00601E43" w:rsidRDefault="00601E43">
    <w:pPr>
      <w:pStyle w:val="Header"/>
    </w:pPr>
  </w:p>
  <w:p w14:paraId="0F0FA01A" w14:textId="77777777" w:rsidR="0067115A" w:rsidRDefault="006711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A0C"/>
    <w:multiLevelType w:val="hybridMultilevel"/>
    <w:tmpl w:val="4C2ED8D4"/>
    <w:lvl w:ilvl="0" w:tplc="C1C42DD0">
      <w:start w:val="1"/>
      <w:numFmt w:val="decimal"/>
      <w:pStyle w:val="Numeracin"/>
      <w:lvlText w:val="%1."/>
      <w:lvlJc w:val="left"/>
      <w:pPr>
        <w:ind w:left="360" w:hanging="360"/>
      </w:pPr>
      <w:rPr>
        <w:b w:val="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6F4464"/>
    <w:multiLevelType w:val="hybridMultilevel"/>
    <w:tmpl w:val="41B072AC"/>
    <w:lvl w:ilvl="0" w:tplc="140A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43"/>
    <w:rsid w:val="003C0B6F"/>
    <w:rsid w:val="00476992"/>
    <w:rsid w:val="00601E43"/>
    <w:rsid w:val="0067115A"/>
    <w:rsid w:val="00D50369"/>
    <w:rsid w:val="00DB06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0F9FB3"/>
  <w15:chartTrackingRefBased/>
  <w15:docId w15:val="{422FF117-8F78-4E23-AEAF-B24597D6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odereglamento">
    <w:name w:val="Texto de reglamento"/>
    <w:basedOn w:val="Normal"/>
    <w:link w:val="TextodereglamentoChar"/>
    <w:qFormat/>
    <w:rsid w:val="00601E43"/>
    <w:pPr>
      <w:spacing w:before="120" w:after="0" w:line="240" w:lineRule="auto"/>
      <w:jc w:val="both"/>
    </w:pPr>
    <w:rPr>
      <w:rFonts w:ascii="Times New Roman" w:eastAsia="Times New Roman" w:hAnsi="Times New Roman" w:cs="Times New Roman"/>
      <w:szCs w:val="24"/>
      <w:lang w:eastAsia="es-ES"/>
    </w:rPr>
  </w:style>
  <w:style w:type="paragraph" w:customStyle="1" w:styleId="Numeracin">
    <w:name w:val="Numeración"/>
    <w:basedOn w:val="Textodereglamento"/>
    <w:link w:val="NumeracinChar"/>
    <w:qFormat/>
    <w:rsid w:val="00601E43"/>
    <w:pPr>
      <w:numPr>
        <w:numId w:val="1"/>
      </w:numPr>
    </w:pPr>
  </w:style>
  <w:style w:type="character" w:customStyle="1" w:styleId="TextodereglamentoChar">
    <w:name w:val="Texto de reglamento Char"/>
    <w:link w:val="Textodereglamento"/>
    <w:rsid w:val="00601E43"/>
    <w:rPr>
      <w:rFonts w:ascii="Times New Roman" w:eastAsia="Times New Roman" w:hAnsi="Times New Roman" w:cs="Times New Roman"/>
      <w:szCs w:val="24"/>
      <w:lang w:eastAsia="es-ES"/>
    </w:rPr>
  </w:style>
  <w:style w:type="character" w:customStyle="1" w:styleId="NumeracinChar">
    <w:name w:val="Numeración Char"/>
    <w:link w:val="Numeracin"/>
    <w:rsid w:val="00601E43"/>
    <w:rPr>
      <w:rFonts w:ascii="Times New Roman" w:eastAsia="Times New Roman" w:hAnsi="Times New Roman" w:cs="Times New Roman"/>
      <w:szCs w:val="24"/>
      <w:lang w:eastAsia="es-ES"/>
    </w:rPr>
  </w:style>
  <w:style w:type="paragraph" w:styleId="ListParagraph">
    <w:name w:val="List Paragraph"/>
    <w:basedOn w:val="Normal"/>
    <w:uiPriority w:val="34"/>
    <w:qFormat/>
    <w:rsid w:val="00601E43"/>
    <w:pPr>
      <w:ind w:left="720"/>
      <w:contextualSpacing/>
    </w:pPr>
  </w:style>
  <w:style w:type="paragraph" w:styleId="Header">
    <w:name w:val="header"/>
    <w:basedOn w:val="Normal"/>
    <w:link w:val="HeaderChar"/>
    <w:uiPriority w:val="99"/>
    <w:unhideWhenUsed/>
    <w:rsid w:val="00601E43"/>
    <w:pPr>
      <w:tabs>
        <w:tab w:val="center" w:pos="4419"/>
        <w:tab w:val="right" w:pos="8838"/>
      </w:tabs>
      <w:spacing w:after="0" w:line="240" w:lineRule="auto"/>
    </w:pPr>
  </w:style>
  <w:style w:type="character" w:customStyle="1" w:styleId="HeaderChar">
    <w:name w:val="Header Char"/>
    <w:basedOn w:val="DefaultParagraphFont"/>
    <w:link w:val="Header"/>
    <w:uiPriority w:val="99"/>
    <w:rsid w:val="00601E43"/>
  </w:style>
  <w:style w:type="paragraph" w:styleId="Footer">
    <w:name w:val="footer"/>
    <w:basedOn w:val="Normal"/>
    <w:link w:val="FooterChar"/>
    <w:uiPriority w:val="99"/>
    <w:unhideWhenUsed/>
    <w:rsid w:val="00601E43"/>
    <w:pPr>
      <w:tabs>
        <w:tab w:val="center" w:pos="4419"/>
        <w:tab w:val="right" w:pos="8838"/>
      </w:tabs>
      <w:spacing w:after="0" w:line="240" w:lineRule="auto"/>
    </w:pPr>
  </w:style>
  <w:style w:type="character" w:customStyle="1" w:styleId="FooterChar">
    <w:name w:val="Footer Char"/>
    <w:basedOn w:val="DefaultParagraphFont"/>
    <w:link w:val="Footer"/>
    <w:uiPriority w:val="99"/>
    <w:rsid w:val="00601E43"/>
  </w:style>
  <w:style w:type="paragraph" w:styleId="FootnoteText">
    <w:name w:val="footnote text"/>
    <w:basedOn w:val="Normal"/>
    <w:link w:val="FootnoteTextChar"/>
    <w:uiPriority w:val="99"/>
    <w:semiHidden/>
    <w:unhideWhenUsed/>
    <w:rsid w:val="006711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15A"/>
    <w:rPr>
      <w:sz w:val="20"/>
      <w:szCs w:val="20"/>
    </w:rPr>
  </w:style>
  <w:style w:type="character" w:styleId="FootnoteReference">
    <w:name w:val="footnote reference"/>
    <w:basedOn w:val="DefaultParagraphFont"/>
    <w:uiPriority w:val="99"/>
    <w:semiHidden/>
    <w:unhideWhenUsed/>
    <w:rsid w:val="006711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emf"/>
  <Relationship Id="rId12" Type="http://schemas.openxmlformats.org/officeDocument/2006/relationships/package" Target="embeddings/Microsoft_Excel_Worksheet1.xlsx"/>
  <Relationship Id="rId13" Type="http://schemas.openxmlformats.org/officeDocument/2006/relationships/image" Target="media/image2.emf"/>
  <Relationship Id="rId14" Type="http://schemas.openxmlformats.org/officeDocument/2006/relationships/package" Target="embeddings/Microsoft_Excel_Worksheet2.xlsx"/>
  <Relationship Id="rId15" Type="http://schemas.openxmlformats.org/officeDocument/2006/relationships/image" Target="media/image3.emf"/>
  <Relationship Id="rId16" Type="http://schemas.openxmlformats.org/officeDocument/2006/relationships/oleObject" Target="embeddings/Microsoft_Excel_97-2003_Worksheet1.xls"/>
  <Relationship Id="rId17" Type="http://schemas.openxmlformats.org/officeDocument/2006/relationships/image" Target="media/image4.png"/>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customXml" Target="/customXml/item2.xml"/>
  <Relationship Id="rId20" Type="http://schemas.openxmlformats.org/officeDocument/2006/relationships/fontTable" Target="fontTable.xml"/>
  <Relationship Id="rId21"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header1.xml.rels><?xml version="1.0" encoding="UTF-8"?>

<Relationships xmlns="http://schemas.openxmlformats.org/package/2006/relationships">
  <Relationship Id="rId1"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3B03A-5E7B-4434-8DF3-83A86E5231E2}"/>
</file>

<file path=customXml/itemProps2.xml><?xml version="1.0" encoding="utf-8"?>
<ds:datastoreItem xmlns:ds="http://schemas.openxmlformats.org/officeDocument/2006/customXml" ds:itemID="{C9DFDA8C-EF0A-424A-8FDF-B8347DBC0FEF}"/>
</file>

<file path=customXml/itemProps3.xml><?xml version="1.0" encoding="utf-8"?>
<ds:datastoreItem xmlns:ds="http://schemas.openxmlformats.org/officeDocument/2006/customXml" ds:itemID="{7F4ED68B-E078-47ED-AF4D-ECCC7BC48639}"/>
</file>

<file path=customXml/itemProps4.xml><?xml version="1.0" encoding="utf-8"?>
<ds:datastoreItem xmlns:ds="http://schemas.openxmlformats.org/officeDocument/2006/customXml" ds:itemID="{4355BFA1-3F3E-4CBE-9B88-1893CDCD977D}"/>
</file>

<file path=docProps/app.xml><?xml version="1.0" encoding="utf-8"?>
<Properties xmlns="http://schemas.openxmlformats.org/officeDocument/2006/extended-properties" xmlns:vt="http://schemas.openxmlformats.org/officeDocument/2006/docPropsVTypes">
  <Template>Normal</Template>
  <TotalTime>26</TotalTime>
  <Pages>3</Pages>
  <Words>885</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SUGEVAL</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del Superintendente aprobado el primero de junio del 2016</dc:title>
  <dc:creator>Patricia Fernández Porras</dc:creator>
  <cp:lastModifiedBy>Patricia Fernández Porras</cp:lastModifiedBy>
  <cp:revision>3</cp:revision>
  <dcterms:created xsi:type="dcterms:W3CDTF">2016-06-02T20:11:00Z</dcterms:created>
  <dcterms:modified xsi:type="dcterms:W3CDTF">2016-08-18T17:29:00Z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5" name="FileLeafRef">
    <vt:lpwstr>SGV-A-214.docx</vt:lpwstr>
  </property>
</Properties>
</file>