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D4B85" w14:textId="77777777" w:rsidR="00D50369" w:rsidRDefault="00D50369"/>
    <w:p w14:paraId="2A0D4B86" w14:textId="77777777" w:rsidR="00D6678B" w:rsidRPr="00FF4CAF" w:rsidRDefault="00D6678B" w:rsidP="00E8781E">
      <w:pPr>
        <w:spacing w:after="0" w:line="240" w:lineRule="auto"/>
        <w:contextualSpacing/>
        <w:jc w:val="both"/>
        <w:rPr>
          <w:rFonts w:cs="Arial"/>
          <w:b/>
          <w:lang w:val="es-CR"/>
        </w:rPr>
      </w:pPr>
      <w:r w:rsidRPr="00FF4CAF">
        <w:rPr>
          <w:rFonts w:cs="Arial"/>
          <w:b/>
          <w:lang w:val="es-CR"/>
        </w:rPr>
        <w:t>SGV-A-217.  MODIFICACIÓN AL ACUERDO “SGV-A-198 ACUERDO PARA LA</w:t>
      </w:r>
    </w:p>
    <w:p w14:paraId="2A0D4B87" w14:textId="77777777" w:rsidR="00D6678B" w:rsidRPr="00FF4CAF" w:rsidRDefault="00D6678B" w:rsidP="00E8781E">
      <w:pPr>
        <w:spacing w:after="0" w:line="240" w:lineRule="auto"/>
        <w:contextualSpacing/>
        <w:jc w:val="both"/>
        <w:rPr>
          <w:rFonts w:cs="Arial"/>
          <w:b/>
          <w:lang w:val="es-CR"/>
        </w:rPr>
      </w:pPr>
      <w:r w:rsidRPr="00FF4CAF">
        <w:rPr>
          <w:rFonts w:cs="Arial"/>
          <w:b/>
          <w:lang w:val="es-CR"/>
        </w:rPr>
        <w:t>IMPLANTACIÓN DEL REGLAMENTO DE CUSTODIA”</w:t>
      </w:r>
      <w:r w:rsidR="00E7324F" w:rsidRPr="00FF4CAF">
        <w:rPr>
          <w:rStyle w:val="FootnoteReference"/>
          <w:rFonts w:cs="Arial"/>
          <w:b/>
          <w:lang w:val="es-CR"/>
        </w:rPr>
        <w:footnoteReference w:id="1"/>
      </w:r>
    </w:p>
    <w:p w14:paraId="2A0D4B88" w14:textId="77777777" w:rsidR="00D6678B" w:rsidRPr="00FF4CAF" w:rsidRDefault="00D6678B" w:rsidP="003D4EB0">
      <w:pPr>
        <w:widowControl w:val="0"/>
        <w:spacing w:after="0" w:line="240" w:lineRule="auto"/>
        <w:contextualSpacing/>
        <w:jc w:val="both"/>
        <w:rPr>
          <w:rFonts w:eastAsia="Times New Roman" w:cs="Arial"/>
          <w:lang w:val="es-CR"/>
        </w:rPr>
      </w:pPr>
    </w:p>
    <w:p w14:paraId="2A0D4B89" w14:textId="77777777" w:rsidR="003D4EB0" w:rsidRPr="00FF4CAF" w:rsidRDefault="003D4EB0" w:rsidP="003D4EB0">
      <w:pPr>
        <w:spacing w:after="0" w:line="240" w:lineRule="auto"/>
        <w:contextualSpacing/>
        <w:jc w:val="both"/>
        <w:rPr>
          <w:rFonts w:cs="Arial"/>
          <w:b/>
        </w:rPr>
      </w:pPr>
    </w:p>
    <w:p w14:paraId="2A0D4B8A" w14:textId="77777777" w:rsidR="003D4EB0" w:rsidRPr="00FF4CAF" w:rsidRDefault="003D4EB0" w:rsidP="003D4EB0">
      <w:pPr>
        <w:spacing w:after="0" w:line="240" w:lineRule="auto"/>
        <w:contextualSpacing/>
        <w:rPr>
          <w:rFonts w:cs="Arial"/>
          <w:b/>
          <w:lang w:val="es-CR"/>
        </w:rPr>
      </w:pPr>
      <w:r w:rsidRPr="00FF4CAF">
        <w:rPr>
          <w:rFonts w:cs="Arial"/>
          <w:b/>
          <w:lang w:val="es-CR"/>
        </w:rPr>
        <w:t>Considerando que:</w:t>
      </w:r>
    </w:p>
    <w:p w14:paraId="2A0D4B8B" w14:textId="77777777" w:rsidR="003D4EB0" w:rsidRPr="00FF4CAF" w:rsidRDefault="003D4EB0" w:rsidP="003D4EB0">
      <w:pPr>
        <w:spacing w:after="0" w:line="240" w:lineRule="auto"/>
        <w:contextualSpacing/>
        <w:rPr>
          <w:rFonts w:cs="Arial"/>
          <w:b/>
          <w:lang w:val="es-CR"/>
        </w:rPr>
      </w:pPr>
    </w:p>
    <w:p w14:paraId="2A0D4B8C" w14:textId="77777777" w:rsidR="003D4EB0" w:rsidRPr="00FF4CAF" w:rsidRDefault="003D4EB0" w:rsidP="003D4EB0">
      <w:pPr>
        <w:pStyle w:val="BodyText"/>
        <w:numPr>
          <w:ilvl w:val="0"/>
          <w:numId w:val="1"/>
        </w:numPr>
        <w:tabs>
          <w:tab w:val="clear" w:pos="720"/>
          <w:tab w:val="num" w:pos="567"/>
        </w:tabs>
        <w:ind w:left="567" w:hanging="567"/>
        <w:contextualSpacing/>
        <w:rPr>
          <w:rFonts w:ascii="Arial" w:hAnsi="Arial" w:cs="Arial"/>
          <w:sz w:val="22"/>
          <w:szCs w:val="22"/>
        </w:rPr>
      </w:pPr>
      <w:r w:rsidRPr="00FF4CAF">
        <w:rPr>
          <w:rFonts w:ascii="Arial" w:hAnsi="Arial" w:cs="Arial"/>
          <w:sz w:val="22"/>
          <w:szCs w:val="22"/>
        </w:rPr>
        <w:t>En el artículo 11 del acta de la Sesión 1259-2016, celebrada el 14 de junio del 2016, el Consejo Nacional de Supervisión del Sistema Financiero aprobó el “</w:t>
      </w:r>
      <w:r w:rsidRPr="00FF4CAF">
        <w:rPr>
          <w:rFonts w:ascii="Arial" w:hAnsi="Arial" w:cs="Arial"/>
          <w:i/>
          <w:sz w:val="22"/>
          <w:szCs w:val="22"/>
        </w:rPr>
        <w:t>Reglamento de Intermediación y Actividades Complementarias (RIAC)</w:t>
      </w:r>
      <w:r w:rsidRPr="00FF4CAF">
        <w:rPr>
          <w:rFonts w:ascii="Arial" w:hAnsi="Arial" w:cs="Arial"/>
          <w:sz w:val="22"/>
          <w:szCs w:val="22"/>
        </w:rPr>
        <w:t>”.</w:t>
      </w:r>
    </w:p>
    <w:p w14:paraId="2A0D4B8D" w14:textId="77777777" w:rsidR="003D4EB0" w:rsidRPr="00FF4CAF" w:rsidRDefault="003D4EB0" w:rsidP="003D4EB0">
      <w:pPr>
        <w:pStyle w:val="BodyText"/>
        <w:tabs>
          <w:tab w:val="num" w:pos="567"/>
        </w:tabs>
        <w:ind w:left="567" w:hanging="567"/>
        <w:contextualSpacing/>
        <w:rPr>
          <w:rFonts w:ascii="Arial" w:hAnsi="Arial" w:cs="Arial"/>
          <w:sz w:val="22"/>
          <w:szCs w:val="22"/>
        </w:rPr>
      </w:pPr>
    </w:p>
    <w:p w14:paraId="2A0D4B8E" w14:textId="77777777" w:rsidR="003D4EB0" w:rsidRPr="00FF4CAF" w:rsidRDefault="003D4EB0" w:rsidP="003D4EB0">
      <w:pPr>
        <w:pStyle w:val="BodyText"/>
        <w:numPr>
          <w:ilvl w:val="0"/>
          <w:numId w:val="1"/>
        </w:numPr>
        <w:tabs>
          <w:tab w:val="clear" w:pos="720"/>
          <w:tab w:val="num" w:pos="567"/>
        </w:tabs>
        <w:ind w:left="567" w:hanging="567"/>
        <w:contextualSpacing/>
        <w:rPr>
          <w:rFonts w:ascii="Arial" w:hAnsi="Arial" w:cs="Arial"/>
          <w:sz w:val="22"/>
          <w:szCs w:val="22"/>
        </w:rPr>
      </w:pPr>
      <w:r w:rsidRPr="00FF4CAF">
        <w:rPr>
          <w:rFonts w:ascii="Arial" w:hAnsi="Arial" w:cs="Arial"/>
          <w:sz w:val="22"/>
          <w:szCs w:val="22"/>
        </w:rPr>
        <w:t xml:space="preserve">En este reglamento se regulan las condiciones para la prestación del servicio de asesoría de inversión y de gestión de portafolios. </w:t>
      </w:r>
    </w:p>
    <w:p w14:paraId="2A0D4B8F" w14:textId="77777777" w:rsidR="003D4EB0" w:rsidRPr="00FF4CAF" w:rsidRDefault="003D4EB0" w:rsidP="003D4EB0">
      <w:pPr>
        <w:pStyle w:val="BodyText"/>
        <w:tabs>
          <w:tab w:val="num" w:pos="567"/>
        </w:tabs>
        <w:ind w:left="567" w:hanging="567"/>
        <w:contextualSpacing/>
        <w:rPr>
          <w:rFonts w:ascii="Arial" w:hAnsi="Arial" w:cs="Arial"/>
          <w:sz w:val="22"/>
          <w:szCs w:val="22"/>
        </w:rPr>
      </w:pPr>
    </w:p>
    <w:p w14:paraId="2A0D4B90" w14:textId="77777777" w:rsidR="003D4EB0" w:rsidRPr="00FF4CAF" w:rsidRDefault="003D4EB0" w:rsidP="003D4EB0">
      <w:pPr>
        <w:pStyle w:val="BodyText"/>
        <w:numPr>
          <w:ilvl w:val="0"/>
          <w:numId w:val="1"/>
        </w:numPr>
        <w:tabs>
          <w:tab w:val="clear" w:pos="720"/>
          <w:tab w:val="num" w:pos="567"/>
        </w:tabs>
        <w:ind w:left="567" w:hanging="567"/>
        <w:contextualSpacing/>
        <w:rPr>
          <w:rFonts w:ascii="Arial" w:hAnsi="Arial" w:cs="Arial"/>
          <w:sz w:val="22"/>
          <w:szCs w:val="22"/>
        </w:rPr>
      </w:pPr>
      <w:r w:rsidRPr="00FF4CAF">
        <w:rPr>
          <w:rFonts w:ascii="Arial" w:hAnsi="Arial" w:cs="Arial"/>
          <w:sz w:val="22"/>
          <w:szCs w:val="22"/>
        </w:rPr>
        <w:t xml:space="preserve">Como parte del servicio de asesoría de inversión y de gestión de portafolios surge la necesidad de regular la relación entre la entidad que le preste los servicios de intermediación de valores y la entidad que le preste el servicio de custodia, de forma tal, que el intermediario pueda tener acceso a la composición del portafolio del inversionista con el fin de dar seguimiento al desempeño de dicho portafolio. Por esta razón, el intermediario de valores debe facilitarle al inversionista la contratación del servicio de custodia a través de una entidad autorizada, quien a su vez permita al intermediario el acceso antes indicado. </w:t>
      </w:r>
    </w:p>
    <w:p w14:paraId="2A0D4B91" w14:textId="77777777" w:rsidR="003D4EB0" w:rsidRPr="00FF4CAF" w:rsidRDefault="003D4EB0" w:rsidP="003D4EB0">
      <w:pPr>
        <w:pStyle w:val="BodyText"/>
        <w:tabs>
          <w:tab w:val="num" w:pos="567"/>
        </w:tabs>
        <w:ind w:left="567" w:hanging="567"/>
        <w:contextualSpacing/>
        <w:rPr>
          <w:rFonts w:ascii="Arial" w:hAnsi="Arial" w:cs="Arial"/>
          <w:sz w:val="22"/>
          <w:szCs w:val="22"/>
        </w:rPr>
      </w:pPr>
    </w:p>
    <w:p w14:paraId="2A0D4B92" w14:textId="77777777" w:rsidR="003D4EB0" w:rsidRPr="00FF4CAF" w:rsidRDefault="003D4EB0" w:rsidP="003D4EB0">
      <w:pPr>
        <w:pStyle w:val="BodyText"/>
        <w:numPr>
          <w:ilvl w:val="0"/>
          <w:numId w:val="1"/>
        </w:numPr>
        <w:tabs>
          <w:tab w:val="clear" w:pos="720"/>
          <w:tab w:val="num" w:pos="567"/>
        </w:tabs>
        <w:ind w:left="567" w:hanging="567"/>
        <w:contextualSpacing/>
        <w:rPr>
          <w:rFonts w:ascii="Arial" w:hAnsi="Arial" w:cs="Arial"/>
          <w:sz w:val="22"/>
          <w:szCs w:val="22"/>
        </w:rPr>
      </w:pPr>
      <w:r w:rsidRPr="00FF4CAF">
        <w:rPr>
          <w:rFonts w:ascii="Arial" w:hAnsi="Arial" w:cs="Arial"/>
          <w:sz w:val="22"/>
          <w:szCs w:val="22"/>
        </w:rPr>
        <w:t>Para cumplir con lo anterior el RIAC establece que los intermediarios de valores que ofrezcan servicios de gestión de portafolios deben contar con un contrato suscrito con alguna entidad de custodia autorizada, a través de la cual puedan actuar como ordenante en la cuenta y dar seguimiento al portafolio del inversionista.</w:t>
      </w:r>
    </w:p>
    <w:p w14:paraId="2A0D4B93" w14:textId="77777777" w:rsidR="003D4EB0" w:rsidRPr="00FF4CAF" w:rsidRDefault="003D4EB0" w:rsidP="003D4EB0">
      <w:pPr>
        <w:pStyle w:val="BodyText"/>
        <w:tabs>
          <w:tab w:val="num" w:pos="567"/>
        </w:tabs>
        <w:ind w:left="567" w:hanging="567"/>
        <w:contextualSpacing/>
        <w:rPr>
          <w:rFonts w:ascii="Arial" w:hAnsi="Arial" w:cs="Arial"/>
          <w:sz w:val="22"/>
          <w:szCs w:val="22"/>
        </w:rPr>
      </w:pPr>
    </w:p>
    <w:p w14:paraId="2A0D4B94" w14:textId="77777777" w:rsidR="003D4EB0" w:rsidRPr="00FF4CAF" w:rsidRDefault="003D4EB0" w:rsidP="003D4EB0">
      <w:pPr>
        <w:pStyle w:val="BodyText"/>
        <w:numPr>
          <w:ilvl w:val="0"/>
          <w:numId w:val="1"/>
        </w:numPr>
        <w:tabs>
          <w:tab w:val="clear" w:pos="720"/>
          <w:tab w:val="num" w:pos="567"/>
        </w:tabs>
        <w:ind w:left="567" w:hanging="567"/>
        <w:contextualSpacing/>
        <w:rPr>
          <w:rFonts w:ascii="Arial" w:hAnsi="Arial" w:cs="Arial"/>
          <w:sz w:val="22"/>
          <w:szCs w:val="22"/>
        </w:rPr>
      </w:pPr>
      <w:r w:rsidRPr="00FF4CAF">
        <w:rPr>
          <w:rFonts w:ascii="Arial" w:hAnsi="Arial" w:cs="Arial"/>
          <w:sz w:val="22"/>
          <w:szCs w:val="22"/>
          <w:lang w:val="es-ES"/>
        </w:rPr>
        <w:t>P</w:t>
      </w:r>
      <w:r w:rsidRPr="00FF4CAF">
        <w:rPr>
          <w:rFonts w:ascii="Arial" w:hAnsi="Arial" w:cs="Arial"/>
          <w:sz w:val="22"/>
          <w:szCs w:val="22"/>
        </w:rPr>
        <w:t xml:space="preserve">ara cumplir con esto, la entidad de custodia contratada debe abrir la cuenta a nombre del titular de los valores o instrumentos financieros y permitir el acceso del intermediario a la información del portafolio. </w:t>
      </w:r>
    </w:p>
    <w:p w14:paraId="2A0D4B95" w14:textId="77777777" w:rsidR="003D4EB0" w:rsidRPr="00FF4CAF" w:rsidRDefault="003D4EB0" w:rsidP="003D4EB0">
      <w:pPr>
        <w:pStyle w:val="BodyText"/>
        <w:tabs>
          <w:tab w:val="num" w:pos="567"/>
        </w:tabs>
        <w:ind w:left="567" w:hanging="567"/>
        <w:contextualSpacing/>
        <w:rPr>
          <w:rFonts w:ascii="Arial" w:hAnsi="Arial" w:cs="Arial"/>
          <w:sz w:val="22"/>
          <w:szCs w:val="22"/>
        </w:rPr>
      </w:pPr>
    </w:p>
    <w:p w14:paraId="2A0D4B96" w14:textId="77777777" w:rsidR="003D4EB0" w:rsidRPr="00FF4CAF" w:rsidRDefault="003D4EB0" w:rsidP="003D4EB0">
      <w:pPr>
        <w:pStyle w:val="BodyText"/>
        <w:numPr>
          <w:ilvl w:val="0"/>
          <w:numId w:val="1"/>
        </w:numPr>
        <w:tabs>
          <w:tab w:val="clear" w:pos="720"/>
          <w:tab w:val="num" w:pos="567"/>
        </w:tabs>
        <w:ind w:left="567" w:hanging="567"/>
        <w:contextualSpacing/>
        <w:rPr>
          <w:rFonts w:ascii="Arial" w:hAnsi="Arial" w:cs="Arial"/>
          <w:sz w:val="22"/>
          <w:szCs w:val="22"/>
        </w:rPr>
      </w:pPr>
      <w:r w:rsidRPr="00FF4CAF">
        <w:rPr>
          <w:rFonts w:ascii="Arial" w:hAnsi="Arial" w:cs="Arial"/>
          <w:sz w:val="22"/>
          <w:szCs w:val="22"/>
          <w:lang w:val="es-ES"/>
        </w:rPr>
        <w:t>Esta</w:t>
      </w:r>
      <w:r w:rsidRPr="00FF4CAF">
        <w:rPr>
          <w:rFonts w:ascii="Arial" w:hAnsi="Arial" w:cs="Arial"/>
          <w:sz w:val="22"/>
          <w:szCs w:val="22"/>
        </w:rPr>
        <w:t xml:space="preserve"> autorización de acceso y la designación del ordenante deben también quedar explícitas en el contrato de servicios que se suscriba entre el custodio y el inversionista.</w:t>
      </w:r>
    </w:p>
    <w:p w14:paraId="2A0D4B97" w14:textId="77777777" w:rsidR="003D4EB0" w:rsidRPr="00FF4CAF" w:rsidRDefault="003D4EB0" w:rsidP="003D4EB0">
      <w:pPr>
        <w:pStyle w:val="BodyText"/>
        <w:tabs>
          <w:tab w:val="num" w:pos="567"/>
        </w:tabs>
        <w:ind w:left="567" w:hanging="567"/>
        <w:contextualSpacing/>
        <w:rPr>
          <w:rFonts w:ascii="Arial" w:hAnsi="Arial" w:cs="Arial"/>
          <w:sz w:val="22"/>
          <w:szCs w:val="22"/>
        </w:rPr>
      </w:pPr>
    </w:p>
    <w:p w14:paraId="2A0D4B98" w14:textId="77777777" w:rsidR="003D4EB0" w:rsidRPr="00FF4CAF" w:rsidRDefault="003D4EB0" w:rsidP="003D4EB0">
      <w:pPr>
        <w:pStyle w:val="BodyText"/>
        <w:numPr>
          <w:ilvl w:val="0"/>
          <w:numId w:val="1"/>
        </w:numPr>
        <w:tabs>
          <w:tab w:val="clear" w:pos="720"/>
          <w:tab w:val="num" w:pos="567"/>
        </w:tabs>
        <w:ind w:left="567" w:hanging="567"/>
        <w:contextualSpacing/>
        <w:rPr>
          <w:rFonts w:ascii="Arial" w:hAnsi="Arial" w:cs="Arial"/>
          <w:sz w:val="22"/>
          <w:szCs w:val="22"/>
        </w:rPr>
      </w:pPr>
      <w:r w:rsidRPr="00FF4CAF">
        <w:rPr>
          <w:rFonts w:ascii="Arial" w:hAnsi="Arial" w:cs="Arial"/>
          <w:sz w:val="22"/>
          <w:szCs w:val="22"/>
        </w:rPr>
        <w:t>En la prestación del servicio de gestión de portafolios, el intermediario de valores debe verificar que la entidad de custodia autorice que el cliente pueda ejecutar estrategias de apalancamiento.</w:t>
      </w:r>
    </w:p>
    <w:p w14:paraId="2A0D4B99" w14:textId="77777777" w:rsidR="003D4EB0" w:rsidRPr="00FF4CAF" w:rsidRDefault="003D4EB0" w:rsidP="003D4EB0">
      <w:pPr>
        <w:pStyle w:val="BodyText"/>
        <w:tabs>
          <w:tab w:val="num" w:pos="567"/>
        </w:tabs>
        <w:ind w:left="567" w:hanging="567"/>
        <w:contextualSpacing/>
        <w:rPr>
          <w:rFonts w:ascii="Arial" w:hAnsi="Arial" w:cs="Arial"/>
          <w:sz w:val="22"/>
          <w:szCs w:val="22"/>
        </w:rPr>
      </w:pPr>
    </w:p>
    <w:p w14:paraId="2A0D4B9A" w14:textId="77777777" w:rsidR="003D4EB0" w:rsidRPr="00FF4CAF" w:rsidRDefault="003D4EB0" w:rsidP="003D4EB0">
      <w:pPr>
        <w:pStyle w:val="BodyText"/>
        <w:numPr>
          <w:ilvl w:val="0"/>
          <w:numId w:val="1"/>
        </w:numPr>
        <w:tabs>
          <w:tab w:val="clear" w:pos="720"/>
          <w:tab w:val="num" w:pos="142"/>
          <w:tab w:val="num" w:pos="567"/>
        </w:tabs>
        <w:ind w:left="567" w:hanging="567"/>
        <w:contextualSpacing/>
        <w:rPr>
          <w:rFonts w:ascii="Arial" w:hAnsi="Arial" w:cs="Arial"/>
          <w:sz w:val="22"/>
          <w:szCs w:val="22"/>
        </w:rPr>
      </w:pPr>
      <w:r w:rsidRPr="00FF4CAF">
        <w:rPr>
          <w:rFonts w:ascii="Arial" w:hAnsi="Arial" w:cs="Arial"/>
          <w:sz w:val="22"/>
          <w:szCs w:val="22"/>
        </w:rPr>
        <w:t>En la prestación del servicio de asesoría de inversión, el intermediario de valores debe suscribir un contrato de servicios con una o más entidades de custodia autorizadas a través de las cuales pueda dar seguimiento al portafolio del inversionista.</w:t>
      </w:r>
    </w:p>
    <w:p w14:paraId="2A0D4B9B" w14:textId="77777777" w:rsidR="003D4EB0" w:rsidRPr="00FF4CAF" w:rsidRDefault="003D4EB0" w:rsidP="003D4EB0">
      <w:pPr>
        <w:pStyle w:val="BodyText"/>
        <w:tabs>
          <w:tab w:val="num" w:pos="567"/>
        </w:tabs>
        <w:ind w:left="567" w:hanging="567"/>
        <w:contextualSpacing/>
        <w:rPr>
          <w:rFonts w:ascii="Arial" w:hAnsi="Arial" w:cs="Arial"/>
          <w:sz w:val="22"/>
          <w:szCs w:val="22"/>
        </w:rPr>
      </w:pPr>
    </w:p>
    <w:p w14:paraId="2A0D4B9C" w14:textId="77777777" w:rsidR="003D4EB0" w:rsidRPr="00FF4CAF" w:rsidRDefault="003D4EB0" w:rsidP="003D4EB0">
      <w:pPr>
        <w:pStyle w:val="BodyText"/>
        <w:numPr>
          <w:ilvl w:val="0"/>
          <w:numId w:val="1"/>
        </w:numPr>
        <w:tabs>
          <w:tab w:val="clear" w:pos="720"/>
          <w:tab w:val="num" w:pos="567"/>
        </w:tabs>
        <w:ind w:left="567" w:hanging="567"/>
        <w:contextualSpacing/>
        <w:rPr>
          <w:rFonts w:ascii="Arial" w:hAnsi="Arial" w:cs="Arial"/>
          <w:sz w:val="22"/>
          <w:szCs w:val="22"/>
        </w:rPr>
      </w:pPr>
      <w:r w:rsidRPr="00FF4CAF">
        <w:rPr>
          <w:rFonts w:ascii="Arial" w:hAnsi="Arial" w:cs="Arial"/>
          <w:sz w:val="22"/>
          <w:szCs w:val="22"/>
        </w:rPr>
        <w:t xml:space="preserve">Para estos efectos, la entidad de custodia contratada debe abrir la cuenta a nombre del titular de los valores o instrumentos financieros y permitir el acceso del intermediario a la información del portafolio.  </w:t>
      </w:r>
    </w:p>
    <w:p w14:paraId="2A0D4B9D" w14:textId="77777777" w:rsidR="003D4EB0" w:rsidRPr="00FF4CAF" w:rsidRDefault="003D4EB0" w:rsidP="003D4EB0">
      <w:pPr>
        <w:pStyle w:val="ListParagraph"/>
        <w:tabs>
          <w:tab w:val="num" w:pos="567"/>
        </w:tabs>
        <w:spacing w:line="240" w:lineRule="auto"/>
        <w:ind w:left="567" w:hanging="567"/>
        <w:rPr>
          <w:rFonts w:cs="Arial"/>
        </w:rPr>
      </w:pPr>
    </w:p>
    <w:p w14:paraId="2A0D4B9E" w14:textId="77777777" w:rsidR="003D4EB0" w:rsidRPr="00FF4CAF" w:rsidRDefault="003D4EB0" w:rsidP="003D4EB0">
      <w:pPr>
        <w:pStyle w:val="BodyText"/>
        <w:numPr>
          <w:ilvl w:val="0"/>
          <w:numId w:val="1"/>
        </w:numPr>
        <w:tabs>
          <w:tab w:val="clear" w:pos="720"/>
          <w:tab w:val="num" w:pos="567"/>
        </w:tabs>
        <w:ind w:left="567" w:hanging="567"/>
        <w:contextualSpacing/>
        <w:rPr>
          <w:rFonts w:ascii="Arial" w:hAnsi="Arial" w:cs="Arial"/>
          <w:sz w:val="22"/>
          <w:szCs w:val="22"/>
        </w:rPr>
      </w:pPr>
      <w:r w:rsidRPr="00FF4CAF">
        <w:rPr>
          <w:rFonts w:ascii="Arial" w:hAnsi="Arial" w:cs="Arial"/>
          <w:sz w:val="22"/>
          <w:szCs w:val="22"/>
        </w:rPr>
        <w:t>Esta autorización de acceso debe quedar explícita en el contrato de servicios que se suscriba entre el custodio y el inversionista, pero no implica que ese intermediario sea ordenante en la cuenta de custodia del titular.</w:t>
      </w:r>
    </w:p>
    <w:p w14:paraId="2A0D4B9F" w14:textId="77777777" w:rsidR="003D4EB0" w:rsidRPr="00FF4CAF" w:rsidRDefault="003D4EB0" w:rsidP="003D4EB0">
      <w:pPr>
        <w:pStyle w:val="BodyText"/>
        <w:tabs>
          <w:tab w:val="num" w:pos="567"/>
        </w:tabs>
        <w:ind w:left="567" w:hanging="567"/>
        <w:contextualSpacing/>
        <w:rPr>
          <w:rFonts w:ascii="Arial" w:hAnsi="Arial" w:cs="Arial"/>
          <w:sz w:val="22"/>
          <w:szCs w:val="22"/>
        </w:rPr>
      </w:pPr>
    </w:p>
    <w:p w14:paraId="2A0D4BA0" w14:textId="77777777" w:rsidR="003D4EB0" w:rsidRPr="00FF4CAF" w:rsidRDefault="003D4EB0" w:rsidP="003D4EB0">
      <w:pPr>
        <w:numPr>
          <w:ilvl w:val="0"/>
          <w:numId w:val="1"/>
        </w:numPr>
        <w:tabs>
          <w:tab w:val="clear" w:pos="720"/>
          <w:tab w:val="num" w:pos="567"/>
        </w:tabs>
        <w:spacing w:after="0" w:line="240" w:lineRule="auto"/>
        <w:ind w:left="567" w:hanging="567"/>
        <w:contextualSpacing/>
        <w:jc w:val="both"/>
        <w:rPr>
          <w:rFonts w:cs="Arial"/>
        </w:rPr>
      </w:pPr>
      <w:r w:rsidRPr="00FF4CAF">
        <w:rPr>
          <w:rFonts w:cs="Arial"/>
        </w:rPr>
        <w:t>De conformidad con el artículo 8 de la Ley Reguladora del Mercado de Valores,  le corresponde al Superintendente realizar todas las acciones necesarias para el efectivo cumplimiento de las funciones de regulación, supervisión y fiscalización que competen a la Superintendencia General de Valores.</w:t>
      </w:r>
    </w:p>
    <w:p w14:paraId="2A0D4BA1" w14:textId="77777777" w:rsidR="003D4EB0" w:rsidRPr="00FF4CAF" w:rsidRDefault="003D4EB0" w:rsidP="003D4EB0">
      <w:pPr>
        <w:tabs>
          <w:tab w:val="num" w:pos="567"/>
        </w:tabs>
        <w:spacing w:after="0" w:line="240" w:lineRule="auto"/>
        <w:ind w:left="567" w:hanging="567"/>
        <w:contextualSpacing/>
        <w:jc w:val="both"/>
        <w:rPr>
          <w:rFonts w:cs="Arial"/>
        </w:rPr>
      </w:pPr>
    </w:p>
    <w:p w14:paraId="2A0D4BA2" w14:textId="77777777" w:rsidR="003D4EB0" w:rsidRPr="00FF4CAF" w:rsidRDefault="003D4EB0" w:rsidP="003D4EB0">
      <w:pPr>
        <w:numPr>
          <w:ilvl w:val="0"/>
          <w:numId w:val="1"/>
        </w:numPr>
        <w:tabs>
          <w:tab w:val="clear" w:pos="720"/>
          <w:tab w:val="num" w:pos="567"/>
        </w:tabs>
        <w:spacing w:after="0" w:line="240" w:lineRule="auto"/>
        <w:ind w:left="567" w:hanging="567"/>
        <w:contextualSpacing/>
        <w:jc w:val="both"/>
        <w:rPr>
          <w:rFonts w:cs="Arial"/>
        </w:rPr>
      </w:pPr>
      <w:r w:rsidRPr="00FF4CAF">
        <w:rPr>
          <w:rFonts w:cs="Arial"/>
        </w:rPr>
        <w:t>Según lo previsto en la “</w:t>
      </w:r>
      <w:r w:rsidRPr="00FF4CAF">
        <w:rPr>
          <w:rFonts w:cs="Arial"/>
          <w:i/>
        </w:rPr>
        <w:t>Ley General de Administración Pública</w:t>
      </w:r>
      <w:r w:rsidRPr="00FF4CAF">
        <w:rPr>
          <w:rFonts w:cs="Arial"/>
        </w:rPr>
        <w:t>” y en la “</w:t>
      </w:r>
      <w:r w:rsidRPr="00FF4CAF">
        <w:rPr>
          <w:rFonts w:cs="Arial"/>
          <w:i/>
        </w:rPr>
        <w:t>Ley de Protección al Ciudadano del exceso de trámites y requisitos</w:t>
      </w:r>
      <w:r w:rsidRPr="00FF4CAF">
        <w:rPr>
          <w:rFonts w:cs="Arial"/>
        </w:rPr>
        <w:t>”, por tratarse de una modificación de normas a partir de una normativa aprobada que salió en su momento a consulta, y no establecerse nuevos requisitos a los administrados, se omite la realización de una consulta particular al mercado sobre el presente acuerdo.</w:t>
      </w:r>
    </w:p>
    <w:p w14:paraId="2A0D4BA3" w14:textId="77777777" w:rsidR="003D4EB0" w:rsidRPr="00FF4CAF" w:rsidRDefault="003D4EB0" w:rsidP="003D4EB0">
      <w:pPr>
        <w:pStyle w:val="BodyText"/>
        <w:contextualSpacing/>
        <w:rPr>
          <w:rFonts w:ascii="Arial" w:hAnsi="Arial" w:cs="Arial"/>
          <w:sz w:val="22"/>
          <w:szCs w:val="22"/>
          <w:lang w:val="es-ES"/>
        </w:rPr>
      </w:pPr>
    </w:p>
    <w:p w14:paraId="2A0D4BA4" w14:textId="77777777" w:rsidR="003D4EB0" w:rsidRPr="00FF4CAF" w:rsidRDefault="003D4EB0" w:rsidP="003D4EB0">
      <w:pPr>
        <w:pStyle w:val="Numeracin"/>
        <w:numPr>
          <w:ilvl w:val="0"/>
          <w:numId w:val="0"/>
        </w:numPr>
        <w:tabs>
          <w:tab w:val="left" w:pos="567"/>
        </w:tabs>
        <w:spacing w:before="0"/>
        <w:contextualSpacing/>
        <w:rPr>
          <w:rFonts w:ascii="Arial" w:hAnsi="Arial" w:cs="Arial"/>
          <w:b/>
          <w:szCs w:val="22"/>
        </w:rPr>
      </w:pPr>
      <w:r w:rsidRPr="00FF4CAF">
        <w:rPr>
          <w:rFonts w:ascii="Arial" w:hAnsi="Arial" w:cs="Arial"/>
          <w:b/>
          <w:szCs w:val="22"/>
        </w:rPr>
        <w:t>Por tanto dispone el presente acuerdo:</w:t>
      </w:r>
    </w:p>
    <w:p w14:paraId="2A0D4BA5" w14:textId="77777777" w:rsidR="003D4EB0" w:rsidRPr="00FF4CAF" w:rsidRDefault="003D4EB0" w:rsidP="003D4EB0">
      <w:pPr>
        <w:spacing w:after="0" w:line="240" w:lineRule="auto"/>
        <w:contextualSpacing/>
        <w:jc w:val="center"/>
        <w:rPr>
          <w:rFonts w:cs="Arial"/>
          <w:b/>
        </w:rPr>
      </w:pPr>
    </w:p>
    <w:p w14:paraId="2A0D4BA6" w14:textId="77777777" w:rsidR="003D4EB0" w:rsidRPr="00FF4CAF" w:rsidRDefault="003D4EB0" w:rsidP="003D4EB0">
      <w:pPr>
        <w:spacing w:after="0" w:line="240" w:lineRule="auto"/>
        <w:contextualSpacing/>
        <w:jc w:val="center"/>
        <w:rPr>
          <w:rFonts w:cs="Arial"/>
          <w:b/>
          <w:lang w:val="es-CR"/>
        </w:rPr>
      </w:pPr>
      <w:r w:rsidRPr="00FF4CAF">
        <w:rPr>
          <w:rFonts w:cs="Arial"/>
          <w:b/>
          <w:lang w:val="es-CR"/>
        </w:rPr>
        <w:t>SGV-A-217</w:t>
      </w:r>
      <w:r w:rsidR="00D6678B" w:rsidRPr="00FF4CAF">
        <w:rPr>
          <w:rFonts w:cs="Arial"/>
          <w:b/>
          <w:lang w:val="es-CR"/>
        </w:rPr>
        <w:t>. MODIFICACIÓN AL ACUERDO “SGV-A-198 ACUERDO PARA LA</w:t>
      </w:r>
    </w:p>
    <w:p w14:paraId="2A0D4BA7" w14:textId="77777777" w:rsidR="003D4EB0" w:rsidRPr="00FF4CAF" w:rsidRDefault="00D6678B" w:rsidP="003D4EB0">
      <w:pPr>
        <w:spacing w:after="0" w:line="240" w:lineRule="auto"/>
        <w:contextualSpacing/>
        <w:jc w:val="center"/>
        <w:rPr>
          <w:rFonts w:cs="Arial"/>
          <w:b/>
          <w:lang w:val="es-CR"/>
        </w:rPr>
      </w:pPr>
      <w:r w:rsidRPr="00FF4CAF">
        <w:rPr>
          <w:rFonts w:cs="Arial"/>
          <w:b/>
          <w:lang w:val="es-CR"/>
        </w:rPr>
        <w:t>IMPLANTACIÓN DEL REGLAMENTO DE CUSTODIA”</w:t>
      </w:r>
    </w:p>
    <w:p w14:paraId="2A0D4BA8" w14:textId="77777777" w:rsidR="003D4EB0" w:rsidRPr="00FF4CAF" w:rsidRDefault="003D4EB0" w:rsidP="003D4EB0">
      <w:pPr>
        <w:pStyle w:val="BodyText"/>
        <w:ind w:left="360"/>
        <w:contextualSpacing/>
        <w:rPr>
          <w:rFonts w:ascii="Arial" w:hAnsi="Arial" w:cs="Arial"/>
          <w:sz w:val="22"/>
          <w:szCs w:val="22"/>
        </w:rPr>
      </w:pPr>
    </w:p>
    <w:p w14:paraId="2A0D4BA9" w14:textId="77777777" w:rsidR="003D4EB0" w:rsidRPr="00FF4CAF" w:rsidRDefault="003D4EB0" w:rsidP="003D4EB0">
      <w:pPr>
        <w:pStyle w:val="BodyText"/>
        <w:contextualSpacing/>
        <w:jc w:val="left"/>
        <w:rPr>
          <w:rFonts w:ascii="Arial" w:hAnsi="Arial" w:cs="Arial"/>
          <w:b/>
          <w:sz w:val="22"/>
          <w:szCs w:val="22"/>
        </w:rPr>
      </w:pPr>
      <w:r w:rsidRPr="00FF4CAF">
        <w:rPr>
          <w:rFonts w:ascii="Arial" w:hAnsi="Arial" w:cs="Arial"/>
          <w:b/>
          <w:sz w:val="22"/>
          <w:szCs w:val="22"/>
        </w:rPr>
        <w:t>Artículo 1. Modificaciones</w:t>
      </w:r>
    </w:p>
    <w:p w14:paraId="2A0D4BAA" w14:textId="77777777" w:rsidR="003D4EB0" w:rsidRPr="00FF4CAF" w:rsidRDefault="003D4EB0" w:rsidP="003D4EB0">
      <w:pPr>
        <w:pStyle w:val="BodyText"/>
        <w:contextualSpacing/>
        <w:rPr>
          <w:rFonts w:ascii="Arial" w:hAnsi="Arial" w:cs="Arial"/>
          <w:sz w:val="22"/>
          <w:szCs w:val="22"/>
        </w:rPr>
      </w:pPr>
    </w:p>
    <w:p w14:paraId="2A0D4BAB" w14:textId="77777777" w:rsidR="003D4EB0" w:rsidRPr="00FF4CAF" w:rsidRDefault="003D4EB0" w:rsidP="003D4EB0">
      <w:pPr>
        <w:pStyle w:val="BodyText"/>
        <w:contextualSpacing/>
        <w:rPr>
          <w:rFonts w:ascii="Arial" w:hAnsi="Arial" w:cs="Arial"/>
          <w:sz w:val="22"/>
          <w:szCs w:val="22"/>
        </w:rPr>
      </w:pPr>
      <w:r w:rsidRPr="00FF4CAF">
        <w:rPr>
          <w:rFonts w:ascii="Arial" w:hAnsi="Arial" w:cs="Arial"/>
          <w:sz w:val="22"/>
          <w:szCs w:val="22"/>
        </w:rPr>
        <w:t>Se modifica el transitorio I para que en adelante se lea de la siguiente forma:</w:t>
      </w:r>
    </w:p>
    <w:p w14:paraId="2A0D4BAC" w14:textId="77777777" w:rsidR="003D4EB0" w:rsidRPr="00FF4CAF" w:rsidRDefault="003D4EB0" w:rsidP="003D4EB0">
      <w:pPr>
        <w:pStyle w:val="BodyText"/>
        <w:contextualSpacing/>
        <w:rPr>
          <w:rFonts w:ascii="Arial" w:hAnsi="Arial" w:cs="Arial"/>
          <w:sz w:val="22"/>
          <w:szCs w:val="22"/>
        </w:rPr>
      </w:pPr>
    </w:p>
    <w:p w14:paraId="2A0D4BAD" w14:textId="77777777" w:rsidR="003D4EB0" w:rsidRPr="00FF4CAF" w:rsidRDefault="003D4EB0" w:rsidP="003D4EB0">
      <w:pPr>
        <w:pStyle w:val="BodyText"/>
        <w:contextualSpacing/>
        <w:rPr>
          <w:rFonts w:ascii="Arial" w:hAnsi="Arial" w:cs="Arial"/>
          <w:bCs/>
          <w:i/>
          <w:sz w:val="22"/>
          <w:szCs w:val="22"/>
        </w:rPr>
      </w:pPr>
      <w:r w:rsidRPr="00FF4CAF">
        <w:rPr>
          <w:rFonts w:ascii="Arial" w:hAnsi="Arial" w:cs="Arial"/>
          <w:bCs/>
          <w:i/>
          <w:sz w:val="22"/>
          <w:szCs w:val="22"/>
        </w:rPr>
        <w:t>“Transitorio I</w:t>
      </w:r>
    </w:p>
    <w:p w14:paraId="2A0D4BAE" w14:textId="77777777" w:rsidR="003D4EB0" w:rsidRPr="00FF4CAF" w:rsidRDefault="003D4EB0" w:rsidP="003D4EB0">
      <w:pPr>
        <w:pStyle w:val="BodyText"/>
        <w:contextualSpacing/>
        <w:rPr>
          <w:rFonts w:ascii="Arial" w:hAnsi="Arial" w:cs="Arial"/>
          <w:i/>
          <w:sz w:val="22"/>
          <w:szCs w:val="22"/>
          <w:lang w:val="es-ES"/>
        </w:rPr>
      </w:pPr>
      <w:r w:rsidRPr="00FF4CAF">
        <w:rPr>
          <w:rFonts w:ascii="Arial" w:hAnsi="Arial" w:cs="Arial"/>
          <w:i/>
          <w:sz w:val="22"/>
          <w:szCs w:val="22"/>
          <w:lang w:val="es-ES"/>
        </w:rPr>
        <w:t>Las entidades de custodia cuentan con un plazo de 8 meses contados a partir del 30 de junio de 2016 para actualizar los contratos con sus clientes, si esto se requiere para que ostenten las facultades necesarias para la prestación de los servicios, en consideración de las disposiciones aprobadas en el Reglamento de Intermediación de Valores y Actividades Complementarias”.</w:t>
      </w:r>
    </w:p>
    <w:p w14:paraId="2A0D4BAF" w14:textId="77777777" w:rsidR="003D4EB0" w:rsidRPr="00FF4CAF" w:rsidRDefault="003D4EB0" w:rsidP="003D4EB0">
      <w:pPr>
        <w:pStyle w:val="BodyText"/>
        <w:contextualSpacing/>
        <w:jc w:val="left"/>
        <w:rPr>
          <w:rFonts w:ascii="Arial" w:hAnsi="Arial" w:cs="Arial"/>
          <w:b/>
          <w:sz w:val="22"/>
          <w:szCs w:val="22"/>
        </w:rPr>
      </w:pPr>
    </w:p>
    <w:p w14:paraId="2A0D4BB0" w14:textId="77777777" w:rsidR="003D4EB0" w:rsidRPr="00FF4CAF" w:rsidRDefault="003D4EB0" w:rsidP="003D4EB0">
      <w:pPr>
        <w:pStyle w:val="BodyText"/>
        <w:contextualSpacing/>
        <w:jc w:val="left"/>
        <w:rPr>
          <w:rFonts w:ascii="Arial" w:hAnsi="Arial" w:cs="Arial"/>
          <w:b/>
          <w:sz w:val="22"/>
          <w:szCs w:val="22"/>
        </w:rPr>
      </w:pPr>
      <w:r w:rsidRPr="00FF4CAF">
        <w:rPr>
          <w:rFonts w:ascii="Arial" w:hAnsi="Arial" w:cs="Arial"/>
          <w:b/>
          <w:sz w:val="22"/>
          <w:szCs w:val="22"/>
        </w:rPr>
        <w:t>Artículo 2. Adiciones</w:t>
      </w:r>
    </w:p>
    <w:p w14:paraId="2A0D4BB1" w14:textId="77777777" w:rsidR="003D4EB0" w:rsidRPr="00FF4CAF" w:rsidRDefault="003D4EB0" w:rsidP="003D4EB0">
      <w:pPr>
        <w:pStyle w:val="BodyText"/>
        <w:contextualSpacing/>
        <w:rPr>
          <w:rFonts w:ascii="Arial" w:hAnsi="Arial" w:cs="Arial"/>
          <w:sz w:val="22"/>
          <w:szCs w:val="22"/>
        </w:rPr>
      </w:pPr>
    </w:p>
    <w:p w14:paraId="2A0D4BB2" w14:textId="77777777" w:rsidR="003D4EB0" w:rsidRPr="00FF4CAF" w:rsidRDefault="003D4EB0" w:rsidP="003D4EB0">
      <w:pPr>
        <w:pStyle w:val="BodyText"/>
        <w:contextualSpacing/>
        <w:rPr>
          <w:rFonts w:ascii="Arial" w:hAnsi="Arial" w:cs="Arial"/>
          <w:sz w:val="22"/>
          <w:szCs w:val="22"/>
        </w:rPr>
      </w:pPr>
      <w:r w:rsidRPr="00FF4CAF">
        <w:rPr>
          <w:rFonts w:ascii="Arial" w:hAnsi="Arial" w:cs="Arial"/>
          <w:sz w:val="22"/>
          <w:szCs w:val="22"/>
        </w:rPr>
        <w:t>Se adiciona el Transitorio V para que se lea de la siguiente forma:</w:t>
      </w:r>
    </w:p>
    <w:p w14:paraId="2A0D4BB3" w14:textId="77777777" w:rsidR="003D4EB0" w:rsidRPr="00FF4CAF" w:rsidRDefault="003D4EB0" w:rsidP="003D4EB0">
      <w:pPr>
        <w:pStyle w:val="BodyText"/>
        <w:contextualSpacing/>
        <w:rPr>
          <w:rFonts w:ascii="Arial" w:hAnsi="Arial" w:cs="Arial"/>
          <w:sz w:val="22"/>
          <w:szCs w:val="22"/>
        </w:rPr>
      </w:pPr>
    </w:p>
    <w:p w14:paraId="2A0D4BB4" w14:textId="77777777" w:rsidR="003D4EB0" w:rsidRPr="00FF4CAF" w:rsidRDefault="003D4EB0" w:rsidP="003D4EB0">
      <w:pPr>
        <w:pStyle w:val="BodyText"/>
        <w:contextualSpacing/>
        <w:rPr>
          <w:rFonts w:ascii="Arial" w:hAnsi="Arial" w:cs="Arial"/>
          <w:i/>
          <w:sz w:val="22"/>
          <w:szCs w:val="22"/>
        </w:rPr>
      </w:pPr>
      <w:r w:rsidRPr="00FF4CAF">
        <w:rPr>
          <w:rFonts w:ascii="Arial" w:hAnsi="Arial" w:cs="Arial"/>
          <w:i/>
          <w:sz w:val="22"/>
          <w:szCs w:val="22"/>
        </w:rPr>
        <w:t>“Transitorio V</w:t>
      </w:r>
    </w:p>
    <w:p w14:paraId="2A0D4BB5" w14:textId="77777777" w:rsidR="003D4EB0" w:rsidRPr="00FF4CAF" w:rsidRDefault="003D4EB0" w:rsidP="003D4EB0">
      <w:pPr>
        <w:pStyle w:val="BodyText"/>
        <w:contextualSpacing/>
        <w:rPr>
          <w:rFonts w:ascii="Arial" w:hAnsi="Arial" w:cs="Arial"/>
          <w:i/>
          <w:sz w:val="22"/>
          <w:szCs w:val="22"/>
          <w:lang w:val="es-ES"/>
        </w:rPr>
      </w:pPr>
      <w:r w:rsidRPr="00FF4CAF">
        <w:rPr>
          <w:rFonts w:ascii="Arial" w:hAnsi="Arial" w:cs="Arial"/>
          <w:i/>
          <w:sz w:val="22"/>
          <w:szCs w:val="22"/>
        </w:rPr>
        <w:t xml:space="preserve">Al vencimiento del </w:t>
      </w:r>
      <w:r w:rsidRPr="00FF4CAF">
        <w:rPr>
          <w:rFonts w:ascii="Arial" w:hAnsi="Arial" w:cs="Arial"/>
          <w:i/>
          <w:sz w:val="22"/>
          <w:szCs w:val="22"/>
          <w:lang w:val="es-ES"/>
        </w:rPr>
        <w:t xml:space="preserve">Transitorio I cada entidad debe remitir un plan de actualización para los contratos de los clientes activos para su autorización a la Superintendencia General de Valores”. </w:t>
      </w:r>
    </w:p>
    <w:p w14:paraId="2A0D4BB6" w14:textId="77777777" w:rsidR="003D4EB0" w:rsidRPr="00FF4CAF" w:rsidRDefault="003D4EB0" w:rsidP="003D4EB0">
      <w:pPr>
        <w:pStyle w:val="BodyText"/>
        <w:contextualSpacing/>
        <w:rPr>
          <w:rFonts w:ascii="Arial" w:hAnsi="Arial" w:cs="Arial"/>
          <w:sz w:val="22"/>
          <w:szCs w:val="22"/>
          <w:lang w:val="es-ES"/>
        </w:rPr>
      </w:pPr>
    </w:p>
    <w:p w14:paraId="2A0D4BB7" w14:textId="77777777" w:rsidR="003D4EB0" w:rsidRPr="00FF4CAF" w:rsidRDefault="003D4EB0" w:rsidP="003D4EB0">
      <w:pPr>
        <w:pStyle w:val="BodyText"/>
        <w:contextualSpacing/>
        <w:jc w:val="left"/>
        <w:rPr>
          <w:rFonts w:ascii="Arial" w:hAnsi="Arial" w:cs="Arial"/>
          <w:b/>
          <w:sz w:val="22"/>
          <w:szCs w:val="22"/>
        </w:rPr>
      </w:pPr>
      <w:r w:rsidRPr="00FF4CAF">
        <w:rPr>
          <w:rFonts w:ascii="Arial" w:hAnsi="Arial" w:cs="Arial"/>
          <w:b/>
          <w:sz w:val="22"/>
          <w:szCs w:val="22"/>
        </w:rPr>
        <w:t>Artículo 3. Vigencia</w:t>
      </w:r>
    </w:p>
    <w:p w14:paraId="2A0D4BB8" w14:textId="77777777" w:rsidR="003D4EB0" w:rsidRPr="00FF4CAF" w:rsidRDefault="003D4EB0" w:rsidP="003D4EB0">
      <w:pPr>
        <w:pStyle w:val="BodyText"/>
        <w:contextualSpacing/>
        <w:rPr>
          <w:rFonts w:ascii="Arial" w:hAnsi="Arial" w:cs="Arial"/>
          <w:sz w:val="22"/>
          <w:szCs w:val="22"/>
        </w:rPr>
      </w:pPr>
    </w:p>
    <w:p w14:paraId="2A0D4BB9" w14:textId="77777777" w:rsidR="003D4EB0" w:rsidRPr="00FF4CAF" w:rsidRDefault="003D4EB0" w:rsidP="003D4EB0">
      <w:pPr>
        <w:pStyle w:val="BodyText"/>
        <w:contextualSpacing/>
        <w:rPr>
          <w:rFonts w:ascii="Arial" w:hAnsi="Arial" w:cs="Arial"/>
          <w:sz w:val="22"/>
          <w:szCs w:val="22"/>
        </w:rPr>
      </w:pPr>
      <w:r w:rsidRPr="00FF4CAF">
        <w:rPr>
          <w:rFonts w:ascii="Arial" w:hAnsi="Arial" w:cs="Arial"/>
          <w:sz w:val="22"/>
          <w:szCs w:val="22"/>
        </w:rPr>
        <w:t>Rige a partir del 30 de junio del 2016.</w:t>
      </w:r>
    </w:p>
    <w:p w14:paraId="2A0D4BBA" w14:textId="77777777" w:rsidR="003D4EB0" w:rsidRPr="00FF4CAF" w:rsidRDefault="003D4EB0" w:rsidP="003D4EB0">
      <w:pPr>
        <w:pStyle w:val="BodyText"/>
        <w:contextualSpacing/>
        <w:rPr>
          <w:rFonts w:ascii="Arial" w:hAnsi="Arial" w:cs="Arial"/>
          <w:sz w:val="22"/>
          <w:szCs w:val="22"/>
        </w:rPr>
      </w:pPr>
    </w:p>
    <w:p w14:paraId="2A0D4BBB" w14:textId="77777777" w:rsidR="003D4EB0" w:rsidRPr="00FF4CAF" w:rsidRDefault="003D4EB0" w:rsidP="003D4EB0">
      <w:pPr>
        <w:pStyle w:val="BodyText"/>
        <w:contextualSpacing/>
        <w:rPr>
          <w:rFonts w:ascii="Arial" w:hAnsi="Arial" w:cs="Arial"/>
          <w:sz w:val="22"/>
          <w:szCs w:val="22"/>
        </w:rPr>
      </w:pPr>
      <w:r w:rsidRPr="00FF4CAF">
        <w:rPr>
          <w:rFonts w:ascii="Arial" w:eastAsia="Calibri" w:hAnsi="Arial" w:cs="Arial"/>
          <w:noProof/>
          <w:sz w:val="22"/>
          <w:szCs w:val="22"/>
          <w:lang w:eastAsia="es-CR"/>
        </w:rPr>
        <w:drawing>
          <wp:inline distT="0" distB="0" distL="0" distR="0" wp14:anchorId="2A0D4BBD" wp14:editId="2A0D4BBE">
            <wp:extent cx="2732405" cy="32956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2405" cy="329565"/>
                    </a:xfrm>
                    <a:prstGeom prst="rect">
                      <a:avLst/>
                    </a:prstGeom>
                    <a:noFill/>
                    <a:ln>
                      <a:noFill/>
                    </a:ln>
                  </pic:spPr>
                </pic:pic>
              </a:graphicData>
            </a:graphic>
          </wp:inline>
        </w:drawing>
      </w:r>
    </w:p>
    <w:p w14:paraId="2A0D4BBC" w14:textId="77777777" w:rsidR="003D4EB0" w:rsidRPr="00FF4CAF" w:rsidRDefault="003D4EB0">
      <w:pPr>
        <w:rPr>
          <w:rFonts w:cs="Arial"/>
        </w:rPr>
      </w:pPr>
    </w:p>
    <w:sectPr w:rsidR="003D4EB0" w:rsidRPr="00FF4CAF" w:rsidSect="00E7324F">
      <w:headerReference w:type="default" r:id="rId12"/>
      <w:footerReference w:type="first" r:id="rId13"/>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D4BC1" w14:textId="77777777" w:rsidR="00E7324F" w:rsidRDefault="00E7324F" w:rsidP="00E7324F">
      <w:pPr>
        <w:spacing w:after="0" w:line="240" w:lineRule="auto"/>
      </w:pPr>
      <w:r>
        <w:separator/>
      </w:r>
    </w:p>
  </w:endnote>
  <w:endnote w:type="continuationSeparator" w:id="0">
    <w:p w14:paraId="2A0D4BC2" w14:textId="77777777" w:rsidR="00E7324F" w:rsidRDefault="00E7324F" w:rsidP="00E7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1B75BB"/>
      </w:rPr>
      <w:id w:val="-1903664416"/>
      <w:docPartObj>
        <w:docPartGallery w:val="Page Numbers (Bottom of Page)"/>
        <w:docPartUnique/>
      </w:docPartObj>
    </w:sdtPr>
    <w:sdtEndPr>
      <w:rPr>
        <w:noProof/>
      </w:rPr>
    </w:sdtEndPr>
    <w:sdtContent>
      <w:p w14:paraId="2A0D4BC5" w14:textId="77777777" w:rsidR="00E7324F" w:rsidRPr="00E7324F" w:rsidRDefault="00E7324F">
        <w:pPr>
          <w:pStyle w:val="Footer"/>
          <w:rPr>
            <w:color w:val="1B75BB"/>
          </w:rPr>
        </w:pPr>
        <w:r w:rsidRPr="00E7324F">
          <w:rPr>
            <w:color w:val="1B75BB"/>
          </w:rPr>
          <w:t xml:space="preserve">| </w:t>
        </w:r>
        <w:r w:rsidRPr="00E7324F">
          <w:rPr>
            <w:color w:val="1B75BB"/>
          </w:rPr>
          <w:fldChar w:fldCharType="begin"/>
        </w:r>
        <w:r w:rsidRPr="00E7324F">
          <w:rPr>
            <w:color w:val="1B75BB"/>
          </w:rPr>
          <w:instrText xml:space="preserve"> PAGE   \* MERGEFORMAT </w:instrText>
        </w:r>
        <w:r w:rsidRPr="00E7324F">
          <w:rPr>
            <w:color w:val="1B75BB"/>
          </w:rPr>
          <w:fldChar w:fldCharType="separate"/>
        </w:r>
        <w:r w:rsidR="00DB5C42">
          <w:rPr>
            <w:noProof/>
            <w:color w:val="1B75BB"/>
          </w:rPr>
          <w:t>1</w:t>
        </w:r>
        <w:r w:rsidRPr="00E7324F">
          <w:rPr>
            <w:noProof/>
            <w:color w:val="1B75BB"/>
          </w:rPr>
          <w:fldChar w:fldCharType="end"/>
        </w:r>
      </w:p>
    </w:sdtContent>
  </w:sdt>
  <w:p w14:paraId="2A0D4BC6" w14:textId="77777777" w:rsidR="00E7324F" w:rsidRDefault="00E73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D4BBF" w14:textId="77777777" w:rsidR="00E7324F" w:rsidRDefault="00E7324F" w:rsidP="00E7324F">
      <w:pPr>
        <w:spacing w:after="0" w:line="240" w:lineRule="auto"/>
      </w:pPr>
      <w:r>
        <w:separator/>
      </w:r>
    </w:p>
  </w:footnote>
  <w:footnote w:type="continuationSeparator" w:id="0">
    <w:p w14:paraId="2A0D4BC0" w14:textId="77777777" w:rsidR="00E7324F" w:rsidRDefault="00E7324F" w:rsidP="00E7324F">
      <w:pPr>
        <w:spacing w:after="0" w:line="240" w:lineRule="auto"/>
      </w:pPr>
      <w:r>
        <w:continuationSeparator/>
      </w:r>
    </w:p>
  </w:footnote>
  <w:footnote w:id="1">
    <w:p w14:paraId="2A0D4BCB" w14:textId="33626527" w:rsidR="00E7324F" w:rsidRPr="00D7779C" w:rsidRDefault="00E7324F" w:rsidP="00E7324F">
      <w:pPr>
        <w:widowControl w:val="0"/>
        <w:spacing w:after="0" w:line="240" w:lineRule="auto"/>
        <w:contextualSpacing/>
        <w:jc w:val="both"/>
        <w:rPr>
          <w:rFonts w:eastAsia="Times New Roman" w:cs="Arial"/>
        </w:rPr>
      </w:pPr>
      <w:r>
        <w:rPr>
          <w:rStyle w:val="FootnoteReference"/>
        </w:rPr>
        <w:footnoteRef/>
      </w:r>
      <w:r>
        <w:t xml:space="preserve"> </w:t>
      </w:r>
      <w:r w:rsidRPr="00CC7D61">
        <w:rPr>
          <w:rFonts w:eastAsia="Times New Roman" w:cs="Arial"/>
        </w:rPr>
        <w:t>Superintendencia General de Valores.  Despacho del Superintendente A las catorce horas del veintiocho de junio del dos mil dieciséis.</w:t>
      </w:r>
      <w:r w:rsidR="00DB5C42">
        <w:rPr>
          <w:rFonts w:eastAsia="Times New Roman" w:cs="Arial"/>
        </w:rPr>
        <w:t xml:space="preserve"> Publicado en el Diario Oficial La Gaceta No. 187 del 29 de setiembre del 2016.</w:t>
      </w:r>
      <w:bookmarkStart w:id="0" w:name="_GoBack"/>
      <w:bookmarkEnd w:id="0"/>
    </w:p>
    <w:p w14:paraId="2A0D4BCC" w14:textId="77777777" w:rsidR="00E7324F" w:rsidRPr="00E7324F" w:rsidRDefault="00E7324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4BC3" w14:textId="77777777" w:rsidR="00E7324F" w:rsidRDefault="00E7324F" w:rsidP="00E7324F">
    <w:pPr>
      <w:pStyle w:val="Header"/>
      <w:jc w:val="right"/>
    </w:pPr>
    <w:r>
      <w:rPr>
        <w:noProof/>
        <w:lang w:val="es-CR" w:eastAsia="es-CR"/>
      </w:rPr>
      <w:drawing>
        <wp:inline distT="0" distB="0" distL="0" distR="0" wp14:anchorId="2A0D4BC7" wp14:editId="2A0D4BC8">
          <wp:extent cx="1579245" cy="38989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389890"/>
                  </a:xfrm>
                  <a:prstGeom prst="rect">
                    <a:avLst/>
                  </a:prstGeom>
                  <a:noFill/>
                </pic:spPr>
              </pic:pic>
            </a:graphicData>
          </a:graphic>
        </wp:inline>
      </w:drawing>
    </w:r>
  </w:p>
  <w:p w14:paraId="2A0D4BC4" w14:textId="77777777" w:rsidR="00E7324F" w:rsidRDefault="00E7324F" w:rsidP="00E7324F">
    <w:pPr>
      <w:pStyle w:val="Header"/>
      <w:jc w:val="right"/>
    </w:pPr>
    <w:r>
      <w:rPr>
        <w:noProof/>
        <w:lang w:val="es-CR" w:eastAsia="es-CR"/>
      </w:rPr>
      <mc:AlternateContent>
        <mc:Choice Requires="wps">
          <w:drawing>
            <wp:anchor distT="4294967293" distB="4294967293" distL="114300" distR="114300" simplePos="0" relativeHeight="251659264" behindDoc="0" locked="0" layoutInCell="1" allowOverlap="1" wp14:anchorId="2A0D4BC9" wp14:editId="2A0D4BCA">
              <wp:simplePos x="0" y="0"/>
              <wp:positionH relativeFrom="margin">
                <wp:posOffset>0</wp:posOffset>
              </wp:positionH>
              <wp:positionV relativeFrom="paragraph">
                <wp:posOffset>-635</wp:posOffset>
              </wp:positionV>
              <wp:extent cx="5278755" cy="0"/>
              <wp:effectExtent l="0" t="0" r="3619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8755" cy="0"/>
                      </a:xfrm>
                      <a:prstGeom prst="line">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1A767" id="Straight Connector 11"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05pt" to="415.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" strokecolor="#0070c0" strokeweight="1.5pt">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A0C"/>
    <w:multiLevelType w:val="hybridMultilevel"/>
    <w:tmpl w:val="4C2ED8D4"/>
    <w:lvl w:ilvl="0" w:tplc="C1C42DD0">
      <w:start w:val="1"/>
      <w:numFmt w:val="decimal"/>
      <w:pStyle w:val="Numeracin"/>
      <w:lvlText w:val="%1."/>
      <w:lvlJc w:val="left"/>
      <w:pPr>
        <w:ind w:left="360" w:hanging="360"/>
      </w:pPr>
      <w:rPr>
        <w:b w:val="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595FC9"/>
    <w:multiLevelType w:val="singleLevel"/>
    <w:tmpl w:val="04090013"/>
    <w:lvl w:ilvl="0">
      <w:start w:val="1"/>
      <w:numFmt w:val="upperRoman"/>
      <w:lvlText w:val="%1."/>
      <w:lvlJc w:val="left"/>
      <w:pPr>
        <w:tabs>
          <w:tab w:val="num" w:pos="720"/>
        </w:tabs>
        <w:ind w:left="72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B0"/>
    <w:rsid w:val="003D4EB0"/>
    <w:rsid w:val="00413618"/>
    <w:rsid w:val="00D50369"/>
    <w:rsid w:val="00D6678B"/>
    <w:rsid w:val="00DB5C42"/>
    <w:rsid w:val="00E7324F"/>
    <w:rsid w:val="00E8781E"/>
    <w:rsid w:val="00FF4C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0D4B85"/>
  <w15:chartTrackingRefBased/>
  <w15:docId w15:val="{83F87833-D199-4604-92E2-AF0FE6CB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4EB0"/>
    <w:pPr>
      <w:spacing w:after="0" w:line="240" w:lineRule="auto"/>
      <w:jc w:val="both"/>
    </w:pPr>
    <w:rPr>
      <w:rFonts w:ascii="Times New Roman" w:eastAsia="Times New Roman" w:hAnsi="Times New Roman" w:cs="Times New Roman"/>
      <w:sz w:val="24"/>
      <w:szCs w:val="20"/>
      <w:lang w:val="es-CR"/>
    </w:rPr>
  </w:style>
  <w:style w:type="character" w:customStyle="1" w:styleId="BodyTextChar">
    <w:name w:val="Body Text Char"/>
    <w:basedOn w:val="DefaultParagraphFont"/>
    <w:link w:val="BodyText"/>
    <w:rsid w:val="003D4EB0"/>
    <w:rPr>
      <w:rFonts w:ascii="Times New Roman" w:eastAsia="Times New Roman" w:hAnsi="Times New Roman" w:cs="Times New Roman"/>
      <w:sz w:val="24"/>
      <w:szCs w:val="20"/>
      <w:lang w:val="es-CR"/>
    </w:rPr>
  </w:style>
  <w:style w:type="paragraph" w:styleId="ListParagraph">
    <w:name w:val="List Paragraph"/>
    <w:basedOn w:val="Normal"/>
    <w:uiPriority w:val="34"/>
    <w:qFormat/>
    <w:rsid w:val="003D4EB0"/>
    <w:pPr>
      <w:ind w:left="720"/>
      <w:contextualSpacing/>
    </w:pPr>
  </w:style>
  <w:style w:type="paragraph" w:customStyle="1" w:styleId="Numeracin">
    <w:name w:val="Numeración"/>
    <w:basedOn w:val="Normal"/>
    <w:link w:val="NumeracinChar"/>
    <w:qFormat/>
    <w:rsid w:val="003D4EB0"/>
    <w:pPr>
      <w:numPr>
        <w:numId w:val="2"/>
      </w:numPr>
      <w:spacing w:before="120" w:after="0" w:line="240" w:lineRule="auto"/>
      <w:jc w:val="both"/>
    </w:pPr>
    <w:rPr>
      <w:rFonts w:ascii="Times New Roman" w:eastAsia="Times New Roman" w:hAnsi="Times New Roman" w:cs="Times New Roman"/>
      <w:szCs w:val="24"/>
      <w:lang w:eastAsia="es-ES"/>
    </w:rPr>
  </w:style>
  <w:style w:type="character" w:customStyle="1" w:styleId="NumeracinChar">
    <w:name w:val="Numeración Char"/>
    <w:link w:val="Numeracin"/>
    <w:rsid w:val="003D4EB0"/>
    <w:rPr>
      <w:rFonts w:ascii="Times New Roman" w:eastAsia="Times New Roman" w:hAnsi="Times New Roman" w:cs="Times New Roman"/>
      <w:szCs w:val="24"/>
      <w:lang w:eastAsia="es-ES"/>
    </w:rPr>
  </w:style>
  <w:style w:type="paragraph" w:styleId="FootnoteText">
    <w:name w:val="footnote text"/>
    <w:basedOn w:val="Normal"/>
    <w:link w:val="FootnoteTextChar"/>
    <w:uiPriority w:val="99"/>
    <w:semiHidden/>
    <w:unhideWhenUsed/>
    <w:rsid w:val="00E73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24F"/>
    <w:rPr>
      <w:sz w:val="20"/>
      <w:szCs w:val="20"/>
    </w:rPr>
  </w:style>
  <w:style w:type="character" w:styleId="FootnoteReference">
    <w:name w:val="footnote reference"/>
    <w:basedOn w:val="DefaultParagraphFont"/>
    <w:uiPriority w:val="99"/>
    <w:semiHidden/>
    <w:unhideWhenUsed/>
    <w:rsid w:val="00E7324F"/>
    <w:rPr>
      <w:vertAlign w:val="superscript"/>
    </w:rPr>
  </w:style>
  <w:style w:type="paragraph" w:styleId="Header">
    <w:name w:val="header"/>
    <w:basedOn w:val="Normal"/>
    <w:link w:val="HeaderChar"/>
    <w:uiPriority w:val="99"/>
    <w:unhideWhenUsed/>
    <w:rsid w:val="00E7324F"/>
    <w:pPr>
      <w:tabs>
        <w:tab w:val="center" w:pos="4419"/>
        <w:tab w:val="right" w:pos="8838"/>
      </w:tabs>
      <w:spacing w:after="0" w:line="240" w:lineRule="auto"/>
    </w:pPr>
  </w:style>
  <w:style w:type="character" w:customStyle="1" w:styleId="HeaderChar">
    <w:name w:val="Header Char"/>
    <w:basedOn w:val="DefaultParagraphFont"/>
    <w:link w:val="Header"/>
    <w:uiPriority w:val="99"/>
    <w:rsid w:val="00E7324F"/>
  </w:style>
  <w:style w:type="paragraph" w:styleId="Footer">
    <w:name w:val="footer"/>
    <w:basedOn w:val="Normal"/>
    <w:link w:val="FooterChar"/>
    <w:uiPriority w:val="99"/>
    <w:unhideWhenUsed/>
    <w:rsid w:val="00E7324F"/>
    <w:pPr>
      <w:tabs>
        <w:tab w:val="center" w:pos="4419"/>
        <w:tab w:val="right" w:pos="8838"/>
      </w:tabs>
      <w:spacing w:after="0" w:line="240" w:lineRule="auto"/>
    </w:pPr>
  </w:style>
  <w:style w:type="character" w:customStyle="1" w:styleId="FooterChar">
    <w:name w:val="Footer Char"/>
    <w:basedOn w:val="DefaultParagraphFont"/>
    <w:link w:val="Footer"/>
    <w:uiPriority w:val="99"/>
    <w:rsid w:val="00E73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header1.xml.rels><?xml version="1.0" encoding="UTF-8"?>

<Relationships xmlns="http://schemas.openxmlformats.org/package/2006/relationships">
  <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35C95-1884-4BA9-9999-1A1C2B4C3018}"/>
</file>

<file path=customXml/itemProps2.xml><?xml version="1.0" encoding="utf-8"?>
<ds:datastoreItem xmlns:ds="http://schemas.openxmlformats.org/officeDocument/2006/customXml" ds:itemID="{4F2B1DDE-DF4E-4FC6-B2B7-2CAB7A94AB61}"/>
</file>

<file path=customXml/itemProps3.xml><?xml version="1.0" encoding="utf-8"?>
<ds:datastoreItem xmlns:ds="http://schemas.openxmlformats.org/officeDocument/2006/customXml" ds:itemID="{4051BC4C-1FC7-4362-9E15-00AB55BE202F}"/>
</file>

<file path=customXml/itemProps4.xml><?xml version="1.0" encoding="utf-8"?>
<ds:datastoreItem xmlns:ds="http://schemas.openxmlformats.org/officeDocument/2006/customXml" ds:itemID="{6E65A845-9CF7-4FAE-BF85-E198FC8A1503}"/>
</file>

<file path=docProps/app.xml><?xml version="1.0" encoding="utf-8"?>
<Properties xmlns="http://schemas.openxmlformats.org/officeDocument/2006/extended-properties" xmlns:vt="http://schemas.openxmlformats.org/officeDocument/2006/docPropsVTypes">
  <Template>Normal</Template>
  <TotalTime>32</TotalTime>
  <Pages>2</Pages>
  <Words>681</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SUGEVAL</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del Superintendente del 28 de junio del 2016</dc:title>
  <dc:creator>Patricia Fernández Porras</dc:creator>
  <cp:lastModifiedBy>Patricia Fernández Porras</cp:lastModifiedBy>
  <cp:revision>4</cp:revision>
  <dcterms:created xsi:type="dcterms:W3CDTF">2016-06-28T21:51:00Z</dcterms:created>
  <dcterms:modified xsi:type="dcterms:W3CDTF">2016-09-29T22:13:00Z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5" name="FileLeafRef">
    <vt:lpwstr>SGV-A-217.docx</vt:lpwstr>
  </property>
</Properties>
</file>