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603C9" w14:textId="77777777" w:rsidR="00CE7ACA" w:rsidRPr="00372FD5" w:rsidRDefault="00372FD5" w:rsidP="00372FD5">
      <w:pPr>
        <w:pStyle w:val="Numeracin"/>
        <w:numPr>
          <w:ilvl w:val="0"/>
          <w:numId w:val="0"/>
        </w:numPr>
        <w:spacing w:before="0"/>
        <w:ind w:right="-193"/>
        <w:rPr>
          <w:rFonts w:ascii="Arial" w:hAnsi="Arial" w:cs="Arial"/>
          <w:b/>
          <w:sz w:val="24"/>
        </w:rPr>
      </w:pPr>
      <w:r w:rsidRPr="00372FD5">
        <w:rPr>
          <w:rFonts w:ascii="Arial" w:hAnsi="Arial" w:cs="Arial"/>
          <w:b/>
          <w:bCs/>
          <w:sz w:val="24"/>
          <w:lang w:val="es-MX" w:eastAsia="en-US"/>
        </w:rPr>
        <w:t xml:space="preserve">SGV-A-220. </w:t>
      </w:r>
      <w:r w:rsidRPr="00372FD5">
        <w:rPr>
          <w:rFonts w:ascii="Arial" w:hAnsi="Arial" w:cs="Arial"/>
          <w:b/>
          <w:sz w:val="24"/>
        </w:rPr>
        <w:t>MODIFICACIÓN AL ACUERDO SGV-A-75 “SUMINISTRO DE INFORMACIÓN PERIÓDICA”</w:t>
      </w:r>
      <w:r>
        <w:rPr>
          <w:rStyle w:val="FootnoteReference"/>
          <w:rFonts w:ascii="Arial" w:hAnsi="Arial" w:cs="Arial"/>
          <w:b/>
          <w:sz w:val="24"/>
        </w:rPr>
        <w:footnoteReference w:id="1"/>
      </w:r>
    </w:p>
    <w:p w14:paraId="729603CA" w14:textId="77777777" w:rsidR="00CE7ACA" w:rsidRPr="00DB3BAA" w:rsidRDefault="00CE7ACA" w:rsidP="00CE7ACA">
      <w:pPr>
        <w:pStyle w:val="Numeracin"/>
        <w:numPr>
          <w:ilvl w:val="0"/>
          <w:numId w:val="0"/>
        </w:numPr>
        <w:spacing w:before="0"/>
        <w:ind w:right="-193"/>
        <w:rPr>
          <w:rFonts w:ascii="Arial" w:hAnsi="Arial" w:cs="Arial"/>
          <w:b/>
          <w:szCs w:val="22"/>
        </w:rPr>
      </w:pPr>
    </w:p>
    <w:p w14:paraId="729603CB" w14:textId="77777777" w:rsidR="00CE7ACA" w:rsidRPr="00CE7ACA" w:rsidRDefault="00CE7ACA" w:rsidP="00084D3C">
      <w:pPr>
        <w:pStyle w:val="Numeracin"/>
        <w:numPr>
          <w:ilvl w:val="0"/>
          <w:numId w:val="0"/>
        </w:numPr>
        <w:spacing w:before="0"/>
        <w:ind w:right="-193"/>
        <w:rPr>
          <w:rFonts w:ascii="Arial" w:hAnsi="Arial" w:cs="Arial"/>
          <w:bCs/>
          <w:szCs w:val="22"/>
          <w:lang w:eastAsia="en-US"/>
        </w:rPr>
      </w:pPr>
    </w:p>
    <w:p w14:paraId="729603CC" w14:textId="77777777" w:rsidR="00084D3C" w:rsidRPr="00AF2E71" w:rsidRDefault="00084D3C" w:rsidP="00084D3C">
      <w:pPr>
        <w:pStyle w:val="Textodereglamento"/>
        <w:spacing w:before="0" w:line="276" w:lineRule="auto"/>
        <w:ind w:right="-193"/>
        <w:rPr>
          <w:rFonts w:ascii="Arial" w:hAnsi="Arial" w:cs="Arial"/>
          <w:b/>
          <w:bCs/>
          <w:szCs w:val="22"/>
          <w:lang w:val="es-CR"/>
        </w:rPr>
      </w:pPr>
      <w:r w:rsidRPr="00AF2E71">
        <w:rPr>
          <w:rFonts w:ascii="Arial" w:hAnsi="Arial" w:cs="Arial"/>
          <w:b/>
          <w:bCs/>
          <w:szCs w:val="22"/>
          <w:lang w:val="es-CR"/>
        </w:rPr>
        <w:t>Considerando que:</w:t>
      </w:r>
    </w:p>
    <w:p w14:paraId="729603CD" w14:textId="77777777" w:rsidR="00084D3C" w:rsidRPr="00AF2E71" w:rsidRDefault="00084D3C" w:rsidP="00084D3C">
      <w:pPr>
        <w:pStyle w:val="Textodereglamento"/>
        <w:spacing w:before="0" w:line="276" w:lineRule="auto"/>
        <w:ind w:right="-193"/>
        <w:rPr>
          <w:rFonts w:ascii="Arial" w:hAnsi="Arial" w:cs="Arial"/>
          <w:b/>
          <w:bCs/>
          <w:szCs w:val="22"/>
          <w:lang w:val="es-CR"/>
        </w:rPr>
      </w:pPr>
    </w:p>
    <w:p w14:paraId="729603CE" w14:textId="77777777" w:rsidR="00084D3C" w:rsidRPr="00372FD5" w:rsidRDefault="00084D3C" w:rsidP="00084D3C">
      <w:pPr>
        <w:pStyle w:val="Numeracin"/>
        <w:tabs>
          <w:tab w:val="left" w:pos="567"/>
        </w:tabs>
        <w:spacing w:before="0"/>
        <w:ind w:left="567" w:right="-193" w:hanging="567"/>
        <w:rPr>
          <w:rFonts w:ascii="Arial" w:hAnsi="Arial" w:cs="Arial"/>
          <w:szCs w:val="22"/>
        </w:rPr>
      </w:pPr>
      <w:r w:rsidRPr="00372FD5">
        <w:rPr>
          <w:rFonts w:ascii="Arial" w:hAnsi="Arial" w:cs="Arial"/>
          <w:szCs w:val="22"/>
          <w:lang w:val="es-CR"/>
        </w:rPr>
        <w:t xml:space="preserve">El </w:t>
      </w:r>
      <w:r w:rsidRPr="00372FD5">
        <w:rPr>
          <w:rFonts w:ascii="Arial" w:hAnsi="Arial" w:cs="Arial"/>
          <w:szCs w:val="22"/>
        </w:rPr>
        <w:t>Artículo 8 inciso l) de la Ley Reguladora del Mercado de Valores faculta al Superintendente a exigir a los sujetos fiscalizados toda la información razonablemente necesaria, en las condiciones y periodicidad que la Superintendencia determine, para cumplir adecuadamente con sus funciones supervisoras del mercado de valores, según lo disponga el reglamento.</w:t>
      </w:r>
    </w:p>
    <w:p w14:paraId="729603CF" w14:textId="77777777" w:rsidR="00084D3C" w:rsidRPr="00372FD5" w:rsidRDefault="00084D3C" w:rsidP="00084D3C">
      <w:pPr>
        <w:pStyle w:val="Numeracin"/>
        <w:numPr>
          <w:ilvl w:val="0"/>
          <w:numId w:val="0"/>
        </w:numPr>
        <w:tabs>
          <w:tab w:val="left" w:pos="567"/>
        </w:tabs>
        <w:spacing w:before="0"/>
        <w:ind w:left="567" w:right="-193"/>
        <w:rPr>
          <w:rFonts w:ascii="Arial" w:hAnsi="Arial" w:cs="Arial"/>
          <w:szCs w:val="22"/>
        </w:rPr>
      </w:pPr>
    </w:p>
    <w:p w14:paraId="729603D0" w14:textId="77777777" w:rsidR="00084D3C" w:rsidRPr="00372FD5" w:rsidRDefault="00084D3C" w:rsidP="00084D3C">
      <w:pPr>
        <w:pStyle w:val="Numeracin"/>
        <w:tabs>
          <w:tab w:val="left" w:pos="567"/>
        </w:tabs>
        <w:spacing w:before="0"/>
        <w:ind w:left="567" w:right="-193" w:hanging="567"/>
        <w:rPr>
          <w:rFonts w:ascii="Arial" w:hAnsi="Arial" w:cs="Arial"/>
          <w:szCs w:val="22"/>
        </w:rPr>
      </w:pPr>
      <w:r w:rsidRPr="00372FD5">
        <w:rPr>
          <w:rFonts w:ascii="Arial" w:hAnsi="Arial" w:cs="Arial"/>
          <w:szCs w:val="22"/>
        </w:rPr>
        <w:t>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w:t>
      </w:r>
    </w:p>
    <w:p w14:paraId="729603D1" w14:textId="77777777" w:rsidR="00084D3C" w:rsidRPr="00372FD5" w:rsidRDefault="00084D3C" w:rsidP="00084D3C">
      <w:pPr>
        <w:pStyle w:val="Numeracin"/>
        <w:numPr>
          <w:ilvl w:val="0"/>
          <w:numId w:val="0"/>
        </w:numPr>
        <w:tabs>
          <w:tab w:val="left" w:pos="567"/>
        </w:tabs>
        <w:spacing w:before="0"/>
        <w:ind w:left="567" w:right="-193"/>
        <w:rPr>
          <w:rFonts w:ascii="Arial" w:hAnsi="Arial" w:cs="Arial"/>
          <w:szCs w:val="22"/>
        </w:rPr>
      </w:pPr>
    </w:p>
    <w:p w14:paraId="729603D2" w14:textId="77777777" w:rsidR="00084D3C" w:rsidRPr="00372FD5" w:rsidRDefault="00084D3C" w:rsidP="00084D3C">
      <w:pPr>
        <w:pStyle w:val="Numeracin"/>
        <w:tabs>
          <w:tab w:val="left" w:pos="567"/>
        </w:tabs>
        <w:spacing w:before="0"/>
        <w:ind w:left="567" w:right="-193" w:hanging="567"/>
        <w:rPr>
          <w:rFonts w:ascii="Arial" w:hAnsi="Arial" w:cs="Arial"/>
          <w:szCs w:val="22"/>
        </w:rPr>
      </w:pPr>
      <w:r w:rsidRPr="00372FD5">
        <w:rPr>
          <w:rFonts w:ascii="Arial" w:hAnsi="Arial" w:cs="Arial"/>
          <w:szCs w:val="22"/>
        </w:rPr>
        <w:t>Este reglamento confiere al Superintendente la potestad para definir el contenido, la periodicidad y los medios de suministro de la información periódica que debe remitirse a la Superintendencia General de Valores, por lo que emitió el SGV-A-75, Acuerdo sobre el Suministro de Información Periódica con fecha 24 de abril del 2003, y se ha retomado durante los últimos años para actualizar los deberes de información de las entidades.</w:t>
      </w:r>
    </w:p>
    <w:p w14:paraId="729603D3" w14:textId="77777777" w:rsidR="00084D3C" w:rsidRPr="00372FD5" w:rsidRDefault="00084D3C" w:rsidP="00084D3C">
      <w:pPr>
        <w:pStyle w:val="Numeracin"/>
        <w:numPr>
          <w:ilvl w:val="0"/>
          <w:numId w:val="0"/>
        </w:numPr>
        <w:tabs>
          <w:tab w:val="left" w:pos="567"/>
        </w:tabs>
        <w:spacing w:before="0"/>
        <w:ind w:left="567" w:right="-193"/>
        <w:rPr>
          <w:rFonts w:ascii="Arial" w:hAnsi="Arial" w:cs="Arial"/>
          <w:szCs w:val="22"/>
        </w:rPr>
      </w:pPr>
    </w:p>
    <w:p w14:paraId="729603D4" w14:textId="77777777" w:rsidR="00084D3C" w:rsidRPr="00372FD5" w:rsidRDefault="00084D3C" w:rsidP="00084D3C">
      <w:pPr>
        <w:pStyle w:val="Numeracin"/>
        <w:tabs>
          <w:tab w:val="left" w:pos="567"/>
        </w:tabs>
        <w:spacing w:before="0"/>
        <w:ind w:left="567" w:right="-193" w:hanging="567"/>
        <w:rPr>
          <w:rFonts w:ascii="Arial" w:hAnsi="Arial" w:cs="Arial"/>
          <w:szCs w:val="22"/>
        </w:rPr>
      </w:pPr>
      <w:r w:rsidRPr="00372FD5">
        <w:rPr>
          <w:rFonts w:ascii="Arial" w:hAnsi="Arial" w:cs="Arial"/>
          <w:szCs w:val="22"/>
        </w:rPr>
        <w:t>Tanto el Reglamento de Intermediación y Actividades Complementarias, publicado en el Alcance Digital N° 100 del 17 de junio del 2016,  en sus artículos 12, 38 y 64, como la aprobación del SGV-A-198 Acuerdo de la Implantación del Reglamento de Custodia publicado en el Diario Oficial La Gaceta No. 214, contribuyen con una mayor apertura para la negociación de productos en los mercados internacionales, por lo que se considera necesario actualizar los requerimientos de información de acuerdo con las derogatorias realizadas en el artículo 61, inciso b del citado reglamento, con el propósito de dar una adecuada accesibilidad de la información transaccional realizada por los intermediarios en los distintos mercados, tanto a nivel local como internacional.</w:t>
      </w:r>
    </w:p>
    <w:p w14:paraId="729603D5" w14:textId="77777777" w:rsidR="00084D3C" w:rsidRPr="00372FD5" w:rsidRDefault="00084D3C" w:rsidP="00084D3C">
      <w:pPr>
        <w:pStyle w:val="Numeracin"/>
        <w:numPr>
          <w:ilvl w:val="0"/>
          <w:numId w:val="0"/>
        </w:numPr>
        <w:tabs>
          <w:tab w:val="left" w:pos="567"/>
        </w:tabs>
        <w:spacing w:before="0"/>
        <w:ind w:left="360" w:right="-193" w:hanging="360"/>
        <w:rPr>
          <w:rFonts w:ascii="Arial" w:hAnsi="Arial" w:cs="Arial"/>
          <w:szCs w:val="22"/>
        </w:rPr>
      </w:pPr>
    </w:p>
    <w:p w14:paraId="729603D6" w14:textId="77777777" w:rsidR="00084D3C" w:rsidRPr="00372FD5" w:rsidRDefault="00084D3C" w:rsidP="00084D3C">
      <w:pPr>
        <w:pStyle w:val="Numeracin"/>
        <w:tabs>
          <w:tab w:val="left" w:pos="567"/>
        </w:tabs>
        <w:spacing w:before="0"/>
        <w:ind w:left="567" w:right="-193" w:hanging="567"/>
        <w:rPr>
          <w:rFonts w:ascii="Arial" w:hAnsi="Arial" w:cs="Arial"/>
          <w:szCs w:val="22"/>
        </w:rPr>
      </w:pPr>
      <w:r w:rsidRPr="00372FD5">
        <w:rPr>
          <w:rFonts w:ascii="Arial" w:hAnsi="Arial" w:cs="Arial"/>
          <w:szCs w:val="22"/>
        </w:rPr>
        <w:t>La Bolsa Nacional de Valores realizó cambios a la estructura de los archivos XML de la información que se recibe de las operaciones en los mercados organizados, por lo que se procede a actualizar el anexo 19 en forma integral para ajustarlo a la nueva práctica.</w:t>
      </w:r>
    </w:p>
    <w:p w14:paraId="729603D7" w14:textId="77777777" w:rsidR="00084D3C" w:rsidRPr="00372FD5" w:rsidRDefault="00084D3C" w:rsidP="00084D3C">
      <w:pPr>
        <w:pStyle w:val="Numeracin"/>
        <w:numPr>
          <w:ilvl w:val="0"/>
          <w:numId w:val="0"/>
        </w:numPr>
        <w:tabs>
          <w:tab w:val="left" w:pos="567"/>
        </w:tabs>
        <w:spacing w:before="0"/>
        <w:ind w:left="567" w:right="-193"/>
        <w:rPr>
          <w:rFonts w:ascii="Arial" w:hAnsi="Arial" w:cs="Arial"/>
          <w:szCs w:val="22"/>
        </w:rPr>
      </w:pPr>
    </w:p>
    <w:p w14:paraId="729603D8" w14:textId="77777777" w:rsidR="00084D3C" w:rsidRPr="00372FD5" w:rsidRDefault="00084D3C" w:rsidP="00084D3C">
      <w:pPr>
        <w:pStyle w:val="Numeracin"/>
        <w:tabs>
          <w:tab w:val="left" w:pos="567"/>
        </w:tabs>
        <w:spacing w:before="0"/>
        <w:ind w:left="567" w:right="-193" w:hanging="567"/>
        <w:rPr>
          <w:rFonts w:ascii="Arial" w:hAnsi="Arial" w:cs="Arial"/>
          <w:szCs w:val="22"/>
        </w:rPr>
      </w:pPr>
      <w:r w:rsidRPr="00372FD5">
        <w:rPr>
          <w:rFonts w:ascii="Arial" w:hAnsi="Arial" w:cs="Arial"/>
          <w:szCs w:val="22"/>
        </w:rPr>
        <w:t>La reforma integral al Reglamento de Suficiencia Patrimonial de Grupos y Conglomerados Financieros; publicado en el Alcance No.200 del Diario Oficial La Gaceta No.185 del martes 27 de setiembre del 2016, menciona un nuevo requerimiento de información al representante legal sobre la capacidad de cada empresa del grupo, para que los fondos equivalentes al superávit individual transferible de cada empresa puedan ser utilizados libremente dentro del grupo en caso de ser requerido, se incluye el requerimiento en el cuadro de información periódica como parte de la información trimestral que remiten estas entidades.</w:t>
      </w:r>
    </w:p>
    <w:p w14:paraId="729603D9" w14:textId="77777777" w:rsidR="00084D3C" w:rsidRPr="00372FD5" w:rsidRDefault="00084D3C" w:rsidP="00084D3C">
      <w:pPr>
        <w:pStyle w:val="Numeracin"/>
        <w:numPr>
          <w:ilvl w:val="0"/>
          <w:numId w:val="0"/>
        </w:numPr>
        <w:tabs>
          <w:tab w:val="left" w:pos="567"/>
        </w:tabs>
        <w:spacing w:before="0"/>
        <w:ind w:left="567" w:right="-193"/>
        <w:rPr>
          <w:rFonts w:ascii="Arial" w:hAnsi="Arial" w:cs="Arial"/>
          <w:szCs w:val="22"/>
        </w:rPr>
      </w:pPr>
    </w:p>
    <w:p w14:paraId="729603DA" w14:textId="77777777" w:rsidR="00084D3C" w:rsidRPr="00372FD5" w:rsidRDefault="00084D3C" w:rsidP="00084D3C">
      <w:pPr>
        <w:pStyle w:val="Numeracin"/>
        <w:tabs>
          <w:tab w:val="left" w:pos="567"/>
        </w:tabs>
        <w:spacing w:before="0"/>
        <w:ind w:left="567" w:right="-193" w:hanging="567"/>
        <w:rPr>
          <w:rFonts w:ascii="Arial" w:hAnsi="Arial" w:cs="Arial"/>
          <w:szCs w:val="22"/>
        </w:rPr>
      </w:pPr>
      <w:r w:rsidRPr="00372FD5">
        <w:rPr>
          <w:rFonts w:ascii="Arial" w:hAnsi="Arial" w:cs="Arial"/>
          <w:szCs w:val="22"/>
        </w:rPr>
        <w:t>El Consejo Nacional de Supervisión del Sistema Financiero en los artículos 5 y 7 de las actas de las sesiones 1294-2016 y 1295-2016, celebradas el 8 de noviembre del 2016, aprobó el nuevo Reglamento sobre Gobierno Corporativo, publicado en el Diario Oficial La Gaceta  Alcance N° 290 D del 07 de diciembre de 2016, indica que es responsabilidad de cada entidad revelar en su sitio web o por medio de otro mecanismo de fácil acceso a las Partes Interesadas, la información sobre su marco de Gobierno Corporativo, en forma anual y cuando ocurran cambios relevantes, por lo que se elimina el requerimiento por parte de la Superintendencia del informe de Gobierno Corporativo, dado que su seguimiento se realizará como parte de las labores de supervisión a distancia a partir de la disponible en la página web de cada entidad, lo cual redundará en un disminución en los costos de remisión de información de las entidades.</w:t>
      </w:r>
    </w:p>
    <w:p w14:paraId="729603DB" w14:textId="77777777" w:rsidR="00084D3C" w:rsidRPr="00372FD5" w:rsidRDefault="00084D3C" w:rsidP="00084D3C">
      <w:pPr>
        <w:pStyle w:val="Numeracin"/>
        <w:numPr>
          <w:ilvl w:val="0"/>
          <w:numId w:val="0"/>
        </w:numPr>
        <w:tabs>
          <w:tab w:val="left" w:pos="567"/>
        </w:tabs>
        <w:spacing w:before="0"/>
        <w:ind w:left="567" w:right="-193"/>
        <w:rPr>
          <w:rFonts w:ascii="Arial" w:hAnsi="Arial" w:cs="Arial"/>
          <w:szCs w:val="22"/>
        </w:rPr>
      </w:pPr>
    </w:p>
    <w:p w14:paraId="729603DC" w14:textId="77777777" w:rsidR="00084D3C" w:rsidRPr="00372FD5" w:rsidRDefault="00084D3C" w:rsidP="00084D3C">
      <w:pPr>
        <w:pStyle w:val="Numeracin"/>
        <w:tabs>
          <w:tab w:val="left" w:pos="567"/>
        </w:tabs>
        <w:spacing w:before="0"/>
        <w:ind w:left="567" w:right="-193" w:hanging="567"/>
        <w:rPr>
          <w:rFonts w:ascii="Arial" w:hAnsi="Arial" w:cs="Arial"/>
          <w:szCs w:val="22"/>
        </w:rPr>
      </w:pPr>
      <w:r w:rsidRPr="00372FD5">
        <w:rPr>
          <w:rFonts w:ascii="Arial" w:hAnsi="Arial" w:cs="Arial"/>
          <w:szCs w:val="22"/>
        </w:rPr>
        <w:t>La recepción y emisión de certificados de inversión, depósitos a plazo y cualquier otro título valor emitido al portador, ha disminuido drásticamente en los reportes de valores al portador de las sociedades administradoras, puestos de bolsa y emisores de valores, por considerar la utilización de estos títulos como inconvenientes y las entidades han decidido no transarlos, o en su defecto aumentar las medidas para su control y registro, se elimina la obligación de remitir a la Superintendencia esta información, dado que su seguimiento se realizará como parte de las labores de supervisión in situ que emprenda este órgano regulador.</w:t>
      </w:r>
    </w:p>
    <w:p w14:paraId="729603DD" w14:textId="77777777" w:rsidR="00084D3C" w:rsidRPr="00372FD5" w:rsidRDefault="00084D3C" w:rsidP="00084D3C">
      <w:pPr>
        <w:pStyle w:val="Numeracin"/>
        <w:numPr>
          <w:ilvl w:val="0"/>
          <w:numId w:val="0"/>
        </w:numPr>
        <w:tabs>
          <w:tab w:val="left" w:pos="567"/>
        </w:tabs>
        <w:spacing w:before="0"/>
        <w:ind w:left="567" w:right="-193"/>
        <w:rPr>
          <w:rFonts w:ascii="Arial" w:hAnsi="Arial" w:cs="Arial"/>
          <w:szCs w:val="22"/>
        </w:rPr>
      </w:pPr>
    </w:p>
    <w:p w14:paraId="729603DE" w14:textId="77777777" w:rsidR="00084D3C" w:rsidRPr="00372FD5" w:rsidRDefault="00084D3C" w:rsidP="00084D3C">
      <w:pPr>
        <w:pStyle w:val="Numeracin"/>
        <w:tabs>
          <w:tab w:val="left" w:pos="567"/>
        </w:tabs>
        <w:spacing w:before="0"/>
        <w:ind w:left="567" w:right="-193" w:hanging="567"/>
        <w:rPr>
          <w:rFonts w:ascii="Arial" w:hAnsi="Arial" w:cs="Arial"/>
          <w:szCs w:val="22"/>
        </w:rPr>
      </w:pPr>
      <w:r w:rsidRPr="00372FD5">
        <w:rPr>
          <w:rFonts w:ascii="Arial" w:hAnsi="Arial" w:cs="Arial"/>
          <w:szCs w:val="22"/>
        </w:rPr>
        <w:t>De conformidad con el artículo 70 del Reglamento sobre Autorizaciones de Entidades Supervisadas por la SUGEF, y sobre Autorizaciones y Funcionamiento de Grupos y Conglomerados Financieros, la entidad controladora debe informar al supervisor del grupo sobre los depósitos derivados de incrementos o disminuciones en el número de acciones de las empresas en las que participe, mediante la certificación de la entidad de custodia autorizada, se elimina la solicitud periódica de esta certificación ya que su supervisión se realizará a distancia a partir de la información remitida por las entidades de custodia, lo cual redundará en un disminución en los costos de remisión de información de las entidades.</w:t>
      </w:r>
    </w:p>
    <w:p w14:paraId="729603DF" w14:textId="77777777" w:rsidR="00084D3C" w:rsidRPr="00372FD5" w:rsidRDefault="00084D3C" w:rsidP="00084D3C">
      <w:pPr>
        <w:pStyle w:val="Numeracin"/>
        <w:numPr>
          <w:ilvl w:val="0"/>
          <w:numId w:val="0"/>
        </w:numPr>
        <w:tabs>
          <w:tab w:val="left" w:pos="567"/>
        </w:tabs>
        <w:spacing w:before="0"/>
        <w:ind w:left="567" w:right="-193"/>
        <w:rPr>
          <w:rFonts w:ascii="Arial" w:hAnsi="Arial" w:cs="Arial"/>
          <w:szCs w:val="22"/>
        </w:rPr>
      </w:pPr>
    </w:p>
    <w:p w14:paraId="729603E0" w14:textId="77777777" w:rsidR="00084D3C" w:rsidRPr="00372FD5" w:rsidRDefault="00084D3C" w:rsidP="00084D3C">
      <w:pPr>
        <w:pStyle w:val="Numeracin"/>
        <w:tabs>
          <w:tab w:val="left" w:pos="567"/>
        </w:tabs>
        <w:spacing w:before="0"/>
        <w:ind w:left="567" w:right="-193" w:hanging="567"/>
        <w:rPr>
          <w:rFonts w:ascii="Arial" w:hAnsi="Arial" w:cs="Arial"/>
          <w:szCs w:val="22"/>
        </w:rPr>
      </w:pPr>
      <w:r w:rsidRPr="00372FD5">
        <w:rPr>
          <w:rFonts w:ascii="Arial" w:hAnsi="Arial" w:cs="Arial"/>
          <w:szCs w:val="22"/>
        </w:rPr>
        <w:t>Mediante el  Reglamento de Intermediación y Actividades Complementarias, el artículo 62 plantea modificación a los mecanismos de colocación del Reglamento de Oferta Pública, por lo que se actualiza en el anexo 3 el nombre del  método de colocación, pasando de “ventanilla” a “colocación directa”.</w:t>
      </w:r>
    </w:p>
    <w:p w14:paraId="729603E1" w14:textId="77777777" w:rsidR="00084D3C" w:rsidRPr="00372FD5" w:rsidRDefault="00084D3C" w:rsidP="00084D3C">
      <w:pPr>
        <w:pStyle w:val="Numeracin"/>
        <w:numPr>
          <w:ilvl w:val="0"/>
          <w:numId w:val="0"/>
        </w:numPr>
        <w:tabs>
          <w:tab w:val="left" w:pos="567"/>
        </w:tabs>
        <w:spacing w:before="0"/>
        <w:ind w:left="567" w:right="-193"/>
        <w:rPr>
          <w:rFonts w:ascii="Arial" w:hAnsi="Arial" w:cs="Arial"/>
          <w:szCs w:val="22"/>
        </w:rPr>
      </w:pPr>
    </w:p>
    <w:p w14:paraId="729603E2" w14:textId="77777777" w:rsidR="00084D3C" w:rsidRPr="00372FD5" w:rsidRDefault="00084D3C" w:rsidP="00084D3C">
      <w:pPr>
        <w:pStyle w:val="Numeracin"/>
        <w:tabs>
          <w:tab w:val="left" w:pos="567"/>
        </w:tabs>
        <w:spacing w:before="0"/>
        <w:ind w:left="567" w:right="-193" w:hanging="567"/>
        <w:rPr>
          <w:rFonts w:ascii="Arial" w:hAnsi="Arial" w:cs="Arial"/>
          <w:szCs w:val="22"/>
        </w:rPr>
      </w:pPr>
      <w:r w:rsidRPr="00372FD5">
        <w:rPr>
          <w:rFonts w:ascii="Arial" w:hAnsi="Arial" w:cs="Arial"/>
          <w:szCs w:val="22"/>
        </w:rPr>
        <w:t>Es necesario realizar actualizaciones a los reportes de información consignados en los anexos del  acuerdo SGV-A-75 Suministro de Información Periódica, para simplificar la remisión de  la información, se completan los catálogos de cuentas, para ajustarlos a los requerimientos de las Sociedades Calificadoras de Riesgos y los Proveedores de Precios, y de la misma forma se actualizan los nombres de los emisores que han cambiado administración en el catálogo de sectorización.</w:t>
      </w:r>
    </w:p>
    <w:p w14:paraId="729603E3" w14:textId="77777777" w:rsidR="00084D3C" w:rsidRPr="00372FD5" w:rsidRDefault="00084D3C" w:rsidP="00084D3C">
      <w:pPr>
        <w:pStyle w:val="Numeracin"/>
        <w:numPr>
          <w:ilvl w:val="0"/>
          <w:numId w:val="0"/>
        </w:numPr>
        <w:tabs>
          <w:tab w:val="left" w:pos="567"/>
        </w:tabs>
        <w:spacing w:before="0"/>
        <w:ind w:left="360" w:right="-193" w:hanging="360"/>
        <w:rPr>
          <w:rFonts w:ascii="Arial" w:hAnsi="Arial" w:cs="Arial"/>
          <w:szCs w:val="22"/>
        </w:rPr>
      </w:pPr>
    </w:p>
    <w:p w14:paraId="729603E4" w14:textId="77777777" w:rsidR="00084D3C" w:rsidRPr="00372FD5" w:rsidRDefault="00084D3C" w:rsidP="00084D3C">
      <w:pPr>
        <w:pStyle w:val="Numeracin"/>
        <w:tabs>
          <w:tab w:val="left" w:pos="567"/>
        </w:tabs>
        <w:spacing w:before="0"/>
        <w:ind w:left="567" w:right="-193" w:hanging="567"/>
        <w:rPr>
          <w:rFonts w:ascii="Arial" w:hAnsi="Arial" w:cs="Arial"/>
          <w:szCs w:val="22"/>
        </w:rPr>
      </w:pPr>
      <w:r w:rsidRPr="00372FD5">
        <w:rPr>
          <w:rFonts w:ascii="Arial" w:hAnsi="Arial" w:cs="Arial"/>
          <w:szCs w:val="22"/>
        </w:rPr>
        <w:t xml:space="preserve">En el caso de fideicomisos de garantía que acompañen emisiones de valores, se simplifica la información a presentar a la Superintendencia, por lo que se sustituye el anexo 6 y se sustituye por la presentación de los estados financieros del fideicomiso de garantía por parte del Fiduciario, con la periodicidad exigida a los emisores.  </w:t>
      </w:r>
    </w:p>
    <w:p w14:paraId="729603E5" w14:textId="77777777" w:rsidR="00084D3C" w:rsidRPr="00372FD5" w:rsidRDefault="00084D3C" w:rsidP="00084D3C">
      <w:pPr>
        <w:pStyle w:val="Numeracin"/>
        <w:numPr>
          <w:ilvl w:val="0"/>
          <w:numId w:val="0"/>
        </w:numPr>
        <w:tabs>
          <w:tab w:val="left" w:pos="567"/>
        </w:tabs>
        <w:spacing w:before="0"/>
        <w:ind w:left="567" w:right="-193"/>
        <w:rPr>
          <w:rFonts w:ascii="Arial" w:hAnsi="Arial" w:cs="Arial"/>
          <w:szCs w:val="22"/>
        </w:rPr>
      </w:pPr>
    </w:p>
    <w:p w14:paraId="729603E6" w14:textId="77777777" w:rsidR="00084D3C" w:rsidRPr="00372FD5" w:rsidRDefault="00084D3C" w:rsidP="00084D3C">
      <w:pPr>
        <w:pStyle w:val="Numeracin"/>
        <w:tabs>
          <w:tab w:val="left" w:pos="567"/>
        </w:tabs>
        <w:spacing w:before="0"/>
        <w:ind w:left="567" w:right="-193" w:hanging="567"/>
        <w:rPr>
          <w:rFonts w:ascii="Arial" w:hAnsi="Arial" w:cs="Arial"/>
          <w:szCs w:val="22"/>
        </w:rPr>
      </w:pPr>
      <w:r w:rsidRPr="00372FD5">
        <w:rPr>
          <w:rFonts w:ascii="Arial" w:hAnsi="Arial" w:cs="Arial"/>
          <w:szCs w:val="22"/>
        </w:rPr>
        <w:lastRenderedPageBreak/>
        <w:t>La presente reforma al Acuerdo fue sometida a consulta de conformidad con el Artículo 361 de la Ley General de Administración Pública.</w:t>
      </w:r>
    </w:p>
    <w:p w14:paraId="729603E7" w14:textId="77777777" w:rsidR="00084D3C" w:rsidRPr="00372FD5" w:rsidRDefault="00084D3C" w:rsidP="00084D3C">
      <w:pPr>
        <w:pStyle w:val="Numeracin"/>
        <w:numPr>
          <w:ilvl w:val="0"/>
          <w:numId w:val="0"/>
        </w:numPr>
        <w:tabs>
          <w:tab w:val="left" w:pos="567"/>
        </w:tabs>
        <w:spacing w:before="0"/>
        <w:ind w:left="567" w:right="-193"/>
        <w:rPr>
          <w:rFonts w:ascii="Arial" w:hAnsi="Arial" w:cs="Arial"/>
          <w:szCs w:val="22"/>
        </w:rPr>
      </w:pPr>
    </w:p>
    <w:p w14:paraId="729603E8" w14:textId="77777777" w:rsidR="00084D3C" w:rsidRPr="00372FD5" w:rsidRDefault="00084D3C" w:rsidP="00084D3C">
      <w:pPr>
        <w:pStyle w:val="Numeracin"/>
        <w:numPr>
          <w:ilvl w:val="0"/>
          <w:numId w:val="0"/>
        </w:numPr>
        <w:tabs>
          <w:tab w:val="left" w:pos="567"/>
        </w:tabs>
        <w:spacing w:before="0"/>
        <w:ind w:right="-193"/>
        <w:rPr>
          <w:rFonts w:ascii="Arial" w:hAnsi="Arial" w:cs="Arial"/>
          <w:b/>
          <w:szCs w:val="22"/>
        </w:rPr>
      </w:pPr>
    </w:p>
    <w:p w14:paraId="729603E9" w14:textId="77777777" w:rsidR="00084D3C" w:rsidRPr="00372FD5" w:rsidRDefault="00084D3C" w:rsidP="00084D3C">
      <w:pPr>
        <w:pStyle w:val="Numeracin"/>
        <w:numPr>
          <w:ilvl w:val="0"/>
          <w:numId w:val="0"/>
        </w:numPr>
        <w:tabs>
          <w:tab w:val="left" w:pos="567"/>
        </w:tabs>
        <w:spacing w:before="0"/>
        <w:ind w:right="-193"/>
        <w:rPr>
          <w:rFonts w:ascii="Arial" w:hAnsi="Arial" w:cs="Arial"/>
          <w:b/>
          <w:szCs w:val="22"/>
        </w:rPr>
      </w:pPr>
      <w:r w:rsidRPr="00372FD5">
        <w:rPr>
          <w:rFonts w:ascii="Arial" w:hAnsi="Arial" w:cs="Arial"/>
          <w:b/>
          <w:szCs w:val="22"/>
        </w:rPr>
        <w:t>Por tanto dispone el presente acuerdo:</w:t>
      </w:r>
    </w:p>
    <w:p w14:paraId="729603EA" w14:textId="77777777" w:rsidR="00084D3C" w:rsidRPr="00372FD5" w:rsidRDefault="00084D3C" w:rsidP="00084D3C">
      <w:pPr>
        <w:pStyle w:val="Numeracin"/>
        <w:numPr>
          <w:ilvl w:val="0"/>
          <w:numId w:val="0"/>
        </w:numPr>
        <w:tabs>
          <w:tab w:val="left" w:pos="567"/>
        </w:tabs>
        <w:spacing w:before="0"/>
        <w:ind w:right="-193"/>
        <w:rPr>
          <w:rFonts w:ascii="Arial" w:hAnsi="Arial" w:cs="Arial"/>
          <w:b/>
          <w:szCs w:val="22"/>
        </w:rPr>
      </w:pPr>
    </w:p>
    <w:p w14:paraId="729603EB" w14:textId="77777777" w:rsidR="00084D3C" w:rsidRPr="00372FD5" w:rsidRDefault="00372FD5" w:rsidP="00084D3C">
      <w:pPr>
        <w:pStyle w:val="Numeracin"/>
        <w:numPr>
          <w:ilvl w:val="0"/>
          <w:numId w:val="0"/>
        </w:numPr>
        <w:spacing w:before="0"/>
        <w:ind w:right="-193"/>
        <w:jc w:val="center"/>
        <w:rPr>
          <w:rFonts w:ascii="Arial" w:hAnsi="Arial" w:cs="Arial"/>
          <w:b/>
          <w:szCs w:val="22"/>
        </w:rPr>
      </w:pPr>
      <w:r w:rsidRPr="00372FD5">
        <w:rPr>
          <w:rFonts w:ascii="Arial" w:hAnsi="Arial" w:cs="Arial"/>
          <w:b/>
          <w:szCs w:val="22"/>
        </w:rPr>
        <w:t>SGV-A-220.  MODIFICACIÓN AL ACUERDO SGV-A-75 “SUMINISTRO DE INFORMACIÓN PERIÓDICA”</w:t>
      </w:r>
    </w:p>
    <w:p w14:paraId="729603EC" w14:textId="77777777" w:rsidR="00084D3C" w:rsidRPr="00372FD5" w:rsidRDefault="00084D3C" w:rsidP="00084D3C">
      <w:pPr>
        <w:pStyle w:val="Numeracin"/>
        <w:numPr>
          <w:ilvl w:val="0"/>
          <w:numId w:val="0"/>
        </w:numPr>
        <w:spacing w:before="0"/>
        <w:ind w:right="-193"/>
        <w:rPr>
          <w:rFonts w:ascii="Arial" w:hAnsi="Arial" w:cs="Arial"/>
          <w:b/>
          <w:szCs w:val="22"/>
        </w:rPr>
      </w:pPr>
    </w:p>
    <w:p w14:paraId="729603ED" w14:textId="77777777" w:rsidR="00084D3C" w:rsidRPr="00372FD5" w:rsidRDefault="00084D3C" w:rsidP="00084D3C">
      <w:pPr>
        <w:pStyle w:val="Numeracin"/>
        <w:numPr>
          <w:ilvl w:val="0"/>
          <w:numId w:val="0"/>
        </w:numPr>
        <w:spacing w:before="0"/>
        <w:ind w:right="-193"/>
        <w:rPr>
          <w:rFonts w:ascii="Arial" w:hAnsi="Arial" w:cs="Arial"/>
          <w:b/>
          <w:szCs w:val="22"/>
        </w:rPr>
      </w:pPr>
      <w:r w:rsidRPr="00372FD5">
        <w:rPr>
          <w:rFonts w:ascii="Arial" w:eastAsia="Arial Unicode MS" w:hAnsi="Arial" w:cs="Arial"/>
          <w:b/>
          <w:szCs w:val="22"/>
          <w:lang w:val="es-CR"/>
        </w:rPr>
        <w:t>Artículo 1</w:t>
      </w:r>
      <w:r w:rsidR="008448AA">
        <w:rPr>
          <w:rFonts w:ascii="Arial" w:eastAsia="Arial Unicode MS" w:hAnsi="Arial" w:cs="Arial"/>
          <w:b/>
          <w:szCs w:val="22"/>
          <w:lang w:val="es-CR"/>
        </w:rPr>
        <w:t>.</w:t>
      </w:r>
      <w:r w:rsidRPr="00372FD5">
        <w:rPr>
          <w:rFonts w:ascii="Arial" w:hAnsi="Arial" w:cs="Arial"/>
          <w:b/>
          <w:szCs w:val="22"/>
        </w:rPr>
        <w:t xml:space="preserve"> Adiciones</w:t>
      </w:r>
    </w:p>
    <w:p w14:paraId="729603EE" w14:textId="77777777" w:rsidR="00084D3C" w:rsidRPr="00372FD5" w:rsidRDefault="00084D3C" w:rsidP="00084D3C">
      <w:pPr>
        <w:pStyle w:val="Numeracin"/>
        <w:numPr>
          <w:ilvl w:val="0"/>
          <w:numId w:val="0"/>
        </w:numPr>
        <w:spacing w:before="0"/>
        <w:ind w:right="-193"/>
        <w:rPr>
          <w:rFonts w:ascii="Arial" w:hAnsi="Arial" w:cs="Arial"/>
          <w:b/>
          <w:szCs w:val="22"/>
        </w:rPr>
      </w:pPr>
    </w:p>
    <w:p w14:paraId="729603EF" w14:textId="77777777" w:rsidR="00084D3C" w:rsidRPr="00372FD5" w:rsidRDefault="00084D3C" w:rsidP="00084D3C">
      <w:pPr>
        <w:pStyle w:val="Numeracin"/>
        <w:numPr>
          <w:ilvl w:val="0"/>
          <w:numId w:val="0"/>
        </w:numPr>
        <w:spacing w:before="0"/>
        <w:ind w:right="-193"/>
        <w:rPr>
          <w:rFonts w:ascii="Arial" w:hAnsi="Arial" w:cs="Arial"/>
          <w:szCs w:val="22"/>
        </w:rPr>
      </w:pPr>
      <w:r w:rsidRPr="00372FD5">
        <w:rPr>
          <w:rFonts w:ascii="Arial" w:hAnsi="Arial" w:cs="Arial"/>
          <w:szCs w:val="22"/>
        </w:rPr>
        <w:t>Se realizan las siguientes adiciones a las disposiciones del acuerdo SGV-A-75:</w:t>
      </w:r>
    </w:p>
    <w:p w14:paraId="729603F0" w14:textId="77777777" w:rsidR="00084D3C" w:rsidRPr="00372FD5" w:rsidRDefault="00084D3C" w:rsidP="00084D3C">
      <w:pPr>
        <w:pStyle w:val="Numeracin"/>
        <w:numPr>
          <w:ilvl w:val="0"/>
          <w:numId w:val="0"/>
        </w:numPr>
        <w:spacing w:before="0"/>
        <w:ind w:right="-193"/>
        <w:rPr>
          <w:rFonts w:ascii="Arial" w:hAnsi="Arial" w:cs="Arial"/>
          <w:b/>
          <w:szCs w:val="22"/>
        </w:rPr>
      </w:pPr>
    </w:p>
    <w:p w14:paraId="729603F1" w14:textId="77777777" w:rsidR="00084D3C" w:rsidRPr="00372FD5" w:rsidRDefault="00084D3C" w:rsidP="00084D3C">
      <w:pPr>
        <w:pStyle w:val="Numeracin"/>
        <w:numPr>
          <w:ilvl w:val="0"/>
          <w:numId w:val="3"/>
        </w:numPr>
        <w:spacing w:before="0"/>
        <w:ind w:right="-193"/>
        <w:rPr>
          <w:rFonts w:ascii="Arial" w:hAnsi="Arial" w:cs="Arial"/>
          <w:szCs w:val="22"/>
        </w:rPr>
      </w:pPr>
      <w:r w:rsidRPr="00372FD5">
        <w:rPr>
          <w:rFonts w:ascii="Arial" w:hAnsi="Arial" w:cs="Arial"/>
          <w:szCs w:val="22"/>
        </w:rPr>
        <w:t xml:space="preserve">Se adiciona el requerimiento del “Informe de Operaciones Internacionales”, Anexo 61, que es de atención para los Intermediarios de Valores (Puestos de Bolsa, Bancos del Sistema Bancario Nacional), de acuerdo con el siguiente detalle:  </w:t>
      </w:r>
    </w:p>
    <w:p w14:paraId="729603F2" w14:textId="77777777" w:rsidR="00084D3C" w:rsidRPr="00372FD5" w:rsidRDefault="00084D3C" w:rsidP="00084D3C">
      <w:pPr>
        <w:pStyle w:val="Numeracin"/>
        <w:numPr>
          <w:ilvl w:val="0"/>
          <w:numId w:val="0"/>
        </w:numPr>
        <w:spacing w:before="0"/>
        <w:ind w:left="720" w:right="-193"/>
        <w:rPr>
          <w:rFonts w:ascii="Arial" w:hAnsi="Arial" w:cs="Arial"/>
          <w:szCs w:val="22"/>
        </w:rPr>
      </w:pPr>
    </w:p>
    <w:tbl>
      <w:tblPr>
        <w:tblW w:w="9948" w:type="dxa"/>
        <w:tblInd w:w="-739" w:type="dxa"/>
        <w:tblLook w:val="04A0" w:firstRow="1" w:lastRow="0" w:firstColumn="1" w:lastColumn="0" w:noHBand="0" w:noVBand="1"/>
      </w:tblPr>
      <w:tblGrid>
        <w:gridCol w:w="1696"/>
        <w:gridCol w:w="1537"/>
        <w:gridCol w:w="1645"/>
        <w:gridCol w:w="1502"/>
        <w:gridCol w:w="1268"/>
        <w:gridCol w:w="2300"/>
      </w:tblGrid>
      <w:tr w:rsidR="00084D3C" w:rsidRPr="00372FD5" w14:paraId="729603FA" w14:textId="77777777" w:rsidTr="0077641B">
        <w:trPr>
          <w:trHeight w:val="51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603F3"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Informe o Reporte</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29603F4"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Periodicidad</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729603F5"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Plazo máximo de entrega</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729603F6"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Formato o normas sobre el Contenido</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29603F7"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Medio de envío</w:t>
            </w:r>
          </w:p>
        </w:tc>
        <w:tc>
          <w:tcPr>
            <w:tcW w:w="2300" w:type="dxa"/>
            <w:tcBorders>
              <w:top w:val="single" w:sz="4" w:space="0" w:color="auto"/>
              <w:left w:val="nil"/>
              <w:bottom w:val="single" w:sz="4" w:space="0" w:color="auto"/>
              <w:right w:val="single" w:sz="4" w:space="0" w:color="auto"/>
            </w:tcBorders>
          </w:tcPr>
          <w:p w14:paraId="729603F8" w14:textId="77777777" w:rsidR="00084D3C" w:rsidRPr="00372FD5" w:rsidRDefault="00084D3C" w:rsidP="004166A6">
            <w:pPr>
              <w:spacing w:after="0" w:line="240" w:lineRule="auto"/>
              <w:ind w:right="-193"/>
              <w:jc w:val="center"/>
              <w:rPr>
                <w:rFonts w:eastAsia="Times New Roman" w:cs="Arial"/>
                <w:b/>
                <w:bCs/>
                <w:lang w:val="es-CR"/>
              </w:rPr>
            </w:pPr>
          </w:p>
          <w:p w14:paraId="729603F9"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Nota Aclaratoria</w:t>
            </w:r>
          </w:p>
        </w:tc>
      </w:tr>
      <w:tr w:rsidR="00084D3C" w:rsidRPr="00372FD5" w14:paraId="72960401" w14:textId="77777777" w:rsidTr="0077641B">
        <w:trPr>
          <w:trHeight w:val="1056"/>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29603FB" w14:textId="77777777" w:rsidR="00084D3C" w:rsidRPr="00372FD5" w:rsidRDefault="00084D3C" w:rsidP="004166A6">
            <w:pPr>
              <w:spacing w:after="0" w:line="240" w:lineRule="auto"/>
              <w:ind w:right="-193"/>
              <w:jc w:val="center"/>
              <w:rPr>
                <w:rFonts w:eastAsia="Times New Roman" w:cs="Arial"/>
                <w:lang w:val="en-US"/>
              </w:rPr>
            </w:pPr>
            <w:r w:rsidRPr="00372FD5">
              <w:rPr>
                <w:rFonts w:eastAsia="Times New Roman" w:cs="Arial"/>
                <w:lang w:val="en-US"/>
              </w:rPr>
              <w:t xml:space="preserve"> </w:t>
            </w:r>
            <w:r w:rsidRPr="00372FD5">
              <w:rPr>
                <w:rFonts w:eastAsia="Times New Roman" w:cs="Arial"/>
                <w:lang w:val="es-CR"/>
              </w:rPr>
              <w:t>Información sobre operaciones internacionales</w:t>
            </w:r>
          </w:p>
        </w:tc>
        <w:tc>
          <w:tcPr>
            <w:tcW w:w="1537" w:type="dxa"/>
            <w:tcBorders>
              <w:top w:val="nil"/>
              <w:left w:val="nil"/>
              <w:bottom w:val="single" w:sz="4" w:space="0" w:color="auto"/>
              <w:right w:val="single" w:sz="4" w:space="0" w:color="auto"/>
            </w:tcBorders>
            <w:shd w:val="clear" w:color="auto" w:fill="auto"/>
            <w:vAlign w:val="center"/>
            <w:hideMark/>
          </w:tcPr>
          <w:p w14:paraId="729603FC" w14:textId="77777777" w:rsidR="00084D3C" w:rsidRPr="00372FD5" w:rsidRDefault="00084D3C" w:rsidP="004166A6">
            <w:pPr>
              <w:spacing w:after="0" w:line="240" w:lineRule="auto"/>
              <w:ind w:right="-193"/>
              <w:jc w:val="center"/>
              <w:rPr>
                <w:rFonts w:eastAsia="Times New Roman" w:cs="Arial"/>
                <w:lang w:val="en-US"/>
              </w:rPr>
            </w:pPr>
            <w:proofErr w:type="spellStart"/>
            <w:r w:rsidRPr="00372FD5">
              <w:rPr>
                <w:rFonts w:eastAsia="Times New Roman" w:cs="Arial"/>
                <w:lang w:val="en-US"/>
              </w:rPr>
              <w:t>Diaria</w:t>
            </w:r>
            <w:proofErr w:type="spellEnd"/>
          </w:p>
        </w:tc>
        <w:tc>
          <w:tcPr>
            <w:tcW w:w="1645" w:type="dxa"/>
            <w:tcBorders>
              <w:top w:val="nil"/>
              <w:left w:val="nil"/>
              <w:bottom w:val="single" w:sz="4" w:space="0" w:color="auto"/>
              <w:right w:val="single" w:sz="4" w:space="0" w:color="auto"/>
            </w:tcBorders>
            <w:shd w:val="clear" w:color="auto" w:fill="auto"/>
            <w:vAlign w:val="center"/>
            <w:hideMark/>
          </w:tcPr>
          <w:p w14:paraId="729603FD" w14:textId="77777777" w:rsidR="00084D3C" w:rsidRPr="00372FD5" w:rsidRDefault="00084D3C" w:rsidP="004166A6">
            <w:pPr>
              <w:spacing w:after="0" w:line="240" w:lineRule="auto"/>
              <w:ind w:right="-193"/>
              <w:jc w:val="center"/>
              <w:rPr>
                <w:rFonts w:eastAsia="Times New Roman" w:cs="Arial"/>
                <w:lang w:val="es-CR"/>
              </w:rPr>
            </w:pPr>
            <w:r w:rsidRPr="00372FD5">
              <w:rPr>
                <w:rFonts w:eastAsia="Times New Roman" w:cs="Arial"/>
                <w:lang w:val="es-CR"/>
              </w:rPr>
              <w:t>2 días hábiles después de la fecha de negociación.</w:t>
            </w:r>
          </w:p>
        </w:tc>
        <w:tc>
          <w:tcPr>
            <w:tcW w:w="1502" w:type="dxa"/>
            <w:tcBorders>
              <w:top w:val="nil"/>
              <w:left w:val="nil"/>
              <w:bottom w:val="single" w:sz="4" w:space="0" w:color="auto"/>
              <w:right w:val="single" w:sz="4" w:space="0" w:color="auto"/>
            </w:tcBorders>
            <w:shd w:val="clear" w:color="auto" w:fill="auto"/>
            <w:vAlign w:val="center"/>
            <w:hideMark/>
          </w:tcPr>
          <w:p w14:paraId="729603FE" w14:textId="77777777" w:rsidR="00084D3C" w:rsidRPr="00372FD5" w:rsidRDefault="00084D3C" w:rsidP="004166A6">
            <w:pPr>
              <w:spacing w:after="0" w:line="240" w:lineRule="auto"/>
              <w:ind w:right="-193"/>
              <w:jc w:val="center"/>
              <w:rPr>
                <w:rFonts w:eastAsia="Times New Roman" w:cs="Arial"/>
                <w:lang w:val="es-CR"/>
              </w:rPr>
            </w:pPr>
            <w:r w:rsidRPr="00372FD5">
              <w:rPr>
                <w:rFonts w:eastAsia="Times New Roman" w:cs="Arial"/>
                <w:lang w:val="es-CR"/>
              </w:rPr>
              <w:t>Anexo 61</w:t>
            </w:r>
          </w:p>
        </w:tc>
        <w:tc>
          <w:tcPr>
            <w:tcW w:w="1268" w:type="dxa"/>
            <w:tcBorders>
              <w:top w:val="nil"/>
              <w:left w:val="nil"/>
              <w:bottom w:val="single" w:sz="4" w:space="0" w:color="auto"/>
              <w:right w:val="single" w:sz="4" w:space="0" w:color="auto"/>
            </w:tcBorders>
            <w:shd w:val="clear" w:color="auto" w:fill="auto"/>
            <w:vAlign w:val="center"/>
            <w:hideMark/>
          </w:tcPr>
          <w:p w14:paraId="729603FF" w14:textId="77777777" w:rsidR="00084D3C" w:rsidRPr="00372FD5" w:rsidRDefault="00084D3C" w:rsidP="004166A6">
            <w:pPr>
              <w:spacing w:after="0" w:line="240" w:lineRule="auto"/>
              <w:ind w:right="-193"/>
              <w:jc w:val="center"/>
              <w:rPr>
                <w:rFonts w:eastAsia="Times New Roman" w:cs="Arial"/>
                <w:lang w:val="en-US"/>
              </w:rPr>
            </w:pPr>
            <w:r w:rsidRPr="00372FD5">
              <w:rPr>
                <w:rFonts w:eastAsia="Times New Roman" w:cs="Arial"/>
                <w:lang w:val="en-US"/>
              </w:rPr>
              <w:t xml:space="preserve">Sistema </w:t>
            </w:r>
            <w:proofErr w:type="spellStart"/>
            <w:r w:rsidRPr="00372FD5">
              <w:rPr>
                <w:rFonts w:eastAsia="Times New Roman" w:cs="Arial"/>
                <w:lang w:val="en-US"/>
              </w:rPr>
              <w:t>Ingresador</w:t>
            </w:r>
            <w:proofErr w:type="spellEnd"/>
          </w:p>
        </w:tc>
        <w:tc>
          <w:tcPr>
            <w:tcW w:w="2300" w:type="dxa"/>
            <w:tcBorders>
              <w:top w:val="nil"/>
              <w:left w:val="nil"/>
              <w:bottom w:val="single" w:sz="4" w:space="0" w:color="auto"/>
              <w:right w:val="single" w:sz="4" w:space="0" w:color="auto"/>
            </w:tcBorders>
          </w:tcPr>
          <w:p w14:paraId="72960400" w14:textId="77777777" w:rsidR="00084D3C" w:rsidRPr="00372FD5" w:rsidRDefault="00084D3C" w:rsidP="004166A6">
            <w:pPr>
              <w:spacing w:after="0" w:line="240" w:lineRule="auto"/>
              <w:ind w:right="-193"/>
              <w:jc w:val="center"/>
              <w:rPr>
                <w:rFonts w:eastAsia="Times New Roman" w:cs="Arial"/>
                <w:lang w:val="es-CR"/>
              </w:rPr>
            </w:pPr>
            <w:r w:rsidRPr="00372FD5">
              <w:rPr>
                <w:rFonts w:eastAsia="Times New Roman" w:cs="Arial"/>
                <w:lang w:val="es-CR"/>
              </w:rPr>
              <w:t>Corresponde únicamente a Puestos de Bolsa y Bancos del Sistema Bancario Nacional</w:t>
            </w:r>
          </w:p>
        </w:tc>
      </w:tr>
    </w:tbl>
    <w:p w14:paraId="72960402" w14:textId="77777777" w:rsidR="00084D3C" w:rsidRPr="00372FD5" w:rsidRDefault="00084D3C" w:rsidP="00084D3C">
      <w:pPr>
        <w:pStyle w:val="Numeracin"/>
        <w:numPr>
          <w:ilvl w:val="0"/>
          <w:numId w:val="0"/>
        </w:numPr>
        <w:spacing w:before="0"/>
        <w:ind w:right="-193"/>
        <w:rPr>
          <w:rFonts w:ascii="Arial" w:hAnsi="Arial" w:cs="Arial"/>
          <w:b/>
          <w:szCs w:val="22"/>
        </w:rPr>
      </w:pPr>
    </w:p>
    <w:bookmarkStart w:id="1" w:name="_MON_1542786376"/>
    <w:bookmarkEnd w:id="1"/>
    <w:p w14:paraId="72960403" w14:textId="77777777" w:rsidR="00084D3C" w:rsidRPr="00372FD5" w:rsidRDefault="00084D3C" w:rsidP="00084D3C">
      <w:pPr>
        <w:pStyle w:val="Numeracin"/>
        <w:numPr>
          <w:ilvl w:val="0"/>
          <w:numId w:val="0"/>
        </w:numPr>
        <w:spacing w:before="0"/>
        <w:ind w:right="-193"/>
        <w:jc w:val="center"/>
        <w:rPr>
          <w:rFonts w:ascii="Arial" w:hAnsi="Arial" w:cs="Arial"/>
          <w:szCs w:val="22"/>
          <w:lang w:val="es-CR"/>
        </w:rPr>
      </w:pPr>
      <w:r w:rsidRPr="00372FD5">
        <w:rPr>
          <w:rFonts w:ascii="Arial" w:hAnsi="Arial" w:cs="Arial"/>
          <w:szCs w:val="22"/>
          <w:lang w:val="es-CR"/>
        </w:rPr>
        <w:object w:dxaOrig="1531" w:dyaOrig="990" w14:anchorId="72960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554727332" r:id="rId12">
            <o:FieldCodes>\s</o:FieldCodes>
          </o:OLEObject>
        </w:object>
      </w:r>
      <w:r w:rsidR="0077641B">
        <w:rPr>
          <w:rFonts w:ascii="Arial" w:hAnsi="Arial" w:cs="Arial"/>
          <w:szCs w:val="22"/>
          <w:lang w:val="es-CR"/>
        </w:rPr>
        <w:t xml:space="preserve">     </w:t>
      </w:r>
      <w:bookmarkStart w:id="2" w:name="_MON_1529829369"/>
      <w:bookmarkEnd w:id="2"/>
      <w:r w:rsidR="0077641B" w:rsidRPr="00372FD5">
        <w:rPr>
          <w:rFonts w:ascii="Arial" w:hAnsi="Arial" w:cs="Arial"/>
          <w:szCs w:val="22"/>
        </w:rPr>
        <w:object w:dxaOrig="1531" w:dyaOrig="990" w14:anchorId="7296057B">
          <v:shape id="_x0000_i1026" type="#_x0000_t75" style="width:77.25pt;height:49.5pt" o:ole="">
            <v:imagedata r:id="rId13" o:title=""/>
          </v:shape>
          <o:OLEObject Type="Embed" ProgID="Excel.Sheet.8" ShapeID="_x0000_i1026" DrawAspect="Icon" ObjectID="_1554727333" r:id="rId14"/>
        </w:object>
      </w:r>
    </w:p>
    <w:p w14:paraId="72960404" w14:textId="77777777" w:rsidR="00084D3C" w:rsidRPr="00372FD5" w:rsidRDefault="00084D3C" w:rsidP="00084D3C">
      <w:pPr>
        <w:pStyle w:val="Numeracin"/>
        <w:numPr>
          <w:ilvl w:val="0"/>
          <w:numId w:val="0"/>
        </w:numPr>
        <w:spacing w:before="0"/>
        <w:ind w:right="-193"/>
        <w:jc w:val="center"/>
        <w:rPr>
          <w:rFonts w:ascii="Arial" w:hAnsi="Arial" w:cs="Arial"/>
          <w:szCs w:val="22"/>
          <w:lang w:val="es-CR"/>
        </w:rPr>
      </w:pPr>
    </w:p>
    <w:p w14:paraId="72960405" w14:textId="77777777" w:rsidR="00084D3C" w:rsidRPr="00372FD5" w:rsidRDefault="00084D3C" w:rsidP="00084D3C">
      <w:pPr>
        <w:pStyle w:val="Numeracin"/>
        <w:numPr>
          <w:ilvl w:val="0"/>
          <w:numId w:val="3"/>
        </w:numPr>
        <w:spacing w:before="0"/>
        <w:ind w:right="-193"/>
        <w:rPr>
          <w:rFonts w:ascii="Arial" w:hAnsi="Arial" w:cs="Arial"/>
          <w:szCs w:val="22"/>
          <w:lang w:val="es-CR"/>
        </w:rPr>
      </w:pPr>
      <w:r w:rsidRPr="00372FD5">
        <w:rPr>
          <w:rFonts w:ascii="Arial" w:hAnsi="Arial" w:cs="Arial"/>
          <w:szCs w:val="22"/>
          <w:lang w:val="es-CR"/>
        </w:rPr>
        <w:t>Se adiciona el inciso q. al artículo 3 del acuerdo SGV-A-75, para que se lea de la siguiente manera:</w:t>
      </w:r>
    </w:p>
    <w:p w14:paraId="72960406" w14:textId="77777777" w:rsidR="00084D3C" w:rsidRPr="00372FD5" w:rsidRDefault="00084D3C" w:rsidP="00084D3C">
      <w:pPr>
        <w:pStyle w:val="Numeracin"/>
        <w:numPr>
          <w:ilvl w:val="0"/>
          <w:numId w:val="0"/>
        </w:numPr>
        <w:tabs>
          <w:tab w:val="left" w:pos="567"/>
        </w:tabs>
        <w:spacing w:before="0"/>
        <w:ind w:left="2367" w:right="-193"/>
        <w:rPr>
          <w:rFonts w:ascii="Arial" w:hAnsi="Arial" w:cs="Arial"/>
          <w:szCs w:val="22"/>
          <w:lang w:val="es-CR"/>
        </w:rPr>
      </w:pPr>
    </w:p>
    <w:p w14:paraId="72960407" w14:textId="77777777" w:rsidR="00084D3C" w:rsidRPr="00372FD5" w:rsidRDefault="00084D3C" w:rsidP="00084D3C">
      <w:pPr>
        <w:pStyle w:val="Numeracin"/>
        <w:numPr>
          <w:ilvl w:val="0"/>
          <w:numId w:val="0"/>
        </w:numPr>
        <w:tabs>
          <w:tab w:val="left" w:pos="567"/>
        </w:tabs>
        <w:spacing w:before="0"/>
        <w:ind w:left="851" w:right="-193"/>
        <w:rPr>
          <w:rFonts w:ascii="Arial" w:hAnsi="Arial" w:cs="Arial"/>
          <w:i/>
          <w:szCs w:val="22"/>
          <w:lang w:val="es-CR"/>
        </w:rPr>
      </w:pPr>
      <w:r w:rsidRPr="00372FD5">
        <w:rPr>
          <w:rFonts w:ascii="Arial" w:hAnsi="Arial" w:cs="Arial"/>
          <w:i/>
          <w:szCs w:val="22"/>
          <w:lang w:val="es-CR"/>
        </w:rPr>
        <w:t xml:space="preserve"> “q. Reporte de Operaciones Internacionales, Anexo 61 las variables: código de operación, forma de liquidación, tipo de identificación, número de identificación del cliente, nombre o razón social del cliente, cuenta de valores, custodio y entidad contraparte.”</w:t>
      </w:r>
    </w:p>
    <w:p w14:paraId="72960408" w14:textId="77777777" w:rsidR="00084D3C" w:rsidRPr="00372FD5" w:rsidRDefault="00084D3C" w:rsidP="008448AA">
      <w:pPr>
        <w:pStyle w:val="Numeracin"/>
        <w:numPr>
          <w:ilvl w:val="0"/>
          <w:numId w:val="0"/>
        </w:numPr>
        <w:spacing w:before="0"/>
        <w:ind w:right="-193"/>
        <w:rPr>
          <w:rFonts w:ascii="Arial" w:hAnsi="Arial" w:cs="Arial"/>
          <w:szCs w:val="22"/>
          <w:lang w:val="es-CR"/>
        </w:rPr>
      </w:pPr>
    </w:p>
    <w:p w14:paraId="72960409" w14:textId="77777777" w:rsidR="00084D3C" w:rsidRPr="00372FD5" w:rsidRDefault="00084D3C" w:rsidP="00084D3C">
      <w:pPr>
        <w:pStyle w:val="Numeracin"/>
        <w:numPr>
          <w:ilvl w:val="0"/>
          <w:numId w:val="3"/>
        </w:numPr>
        <w:spacing w:before="0"/>
        <w:ind w:right="-193"/>
        <w:rPr>
          <w:rFonts w:ascii="Arial" w:hAnsi="Arial" w:cs="Arial"/>
          <w:szCs w:val="22"/>
        </w:rPr>
      </w:pPr>
      <w:r w:rsidRPr="00372FD5">
        <w:rPr>
          <w:rFonts w:ascii="Arial" w:hAnsi="Arial" w:cs="Arial"/>
          <w:szCs w:val="22"/>
        </w:rPr>
        <w:t>En el “Reporte de Colocaciones”, Anexo 3b Reporte de movimientos de colocaciones de acciones, se adicionan las siguientes cuentas:</w:t>
      </w:r>
    </w:p>
    <w:p w14:paraId="7296040A" w14:textId="77777777" w:rsidR="00084D3C" w:rsidRPr="00372FD5" w:rsidRDefault="00084D3C" w:rsidP="00084D3C">
      <w:pPr>
        <w:pStyle w:val="Numeracin"/>
        <w:numPr>
          <w:ilvl w:val="0"/>
          <w:numId w:val="0"/>
        </w:numPr>
        <w:tabs>
          <w:tab w:val="left" w:pos="567"/>
        </w:tabs>
        <w:spacing w:before="0"/>
        <w:ind w:right="-193"/>
        <w:rPr>
          <w:rFonts w:ascii="Arial" w:hAnsi="Arial" w:cs="Arial"/>
          <w:szCs w:val="22"/>
        </w:rPr>
      </w:pPr>
    </w:p>
    <w:tbl>
      <w:tblPr>
        <w:tblW w:w="9918" w:type="dxa"/>
        <w:jc w:val="center"/>
        <w:tblLook w:val="04A0" w:firstRow="1" w:lastRow="0" w:firstColumn="1" w:lastColumn="0" w:noHBand="0" w:noVBand="1"/>
      </w:tblPr>
      <w:tblGrid>
        <w:gridCol w:w="1696"/>
        <w:gridCol w:w="1195"/>
        <w:gridCol w:w="1195"/>
        <w:gridCol w:w="6222"/>
      </w:tblGrid>
      <w:tr w:rsidR="00084D3C" w:rsidRPr="00372FD5" w14:paraId="7296040F" w14:textId="77777777" w:rsidTr="004166A6">
        <w:trPr>
          <w:trHeight w:val="1119"/>
          <w:jc w:val="center"/>
        </w:trPr>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96040B"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Catálogo Movimientos Emisiones de Acciones</w:t>
            </w:r>
          </w:p>
        </w:tc>
        <w:tc>
          <w:tcPr>
            <w:tcW w:w="1109" w:type="dxa"/>
            <w:tcBorders>
              <w:top w:val="single" w:sz="4" w:space="0" w:color="auto"/>
              <w:left w:val="nil"/>
              <w:bottom w:val="single" w:sz="4" w:space="0" w:color="auto"/>
              <w:right w:val="single" w:sz="4" w:space="0" w:color="auto"/>
            </w:tcBorders>
            <w:shd w:val="clear" w:color="000000" w:fill="FFFFFF"/>
            <w:vAlign w:val="center"/>
            <w:hideMark/>
          </w:tcPr>
          <w:p w14:paraId="7296040C"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Código Cuenta</w:t>
            </w:r>
          </w:p>
        </w:tc>
        <w:tc>
          <w:tcPr>
            <w:tcW w:w="1109" w:type="dxa"/>
            <w:tcBorders>
              <w:top w:val="single" w:sz="4" w:space="0" w:color="auto"/>
              <w:left w:val="nil"/>
              <w:bottom w:val="single" w:sz="4" w:space="0" w:color="auto"/>
              <w:right w:val="single" w:sz="4" w:space="0" w:color="auto"/>
            </w:tcBorders>
            <w:shd w:val="clear" w:color="000000" w:fill="FFFFFF"/>
            <w:vAlign w:val="center"/>
            <w:hideMark/>
          </w:tcPr>
          <w:p w14:paraId="7296040D"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Cuenta Madre</w:t>
            </w:r>
          </w:p>
        </w:tc>
        <w:tc>
          <w:tcPr>
            <w:tcW w:w="6222" w:type="dxa"/>
            <w:tcBorders>
              <w:top w:val="single" w:sz="4" w:space="0" w:color="auto"/>
              <w:left w:val="nil"/>
              <w:bottom w:val="nil"/>
              <w:right w:val="single" w:sz="4" w:space="0" w:color="auto"/>
            </w:tcBorders>
            <w:shd w:val="clear" w:color="000000" w:fill="FFFFFF"/>
            <w:vAlign w:val="center"/>
            <w:hideMark/>
          </w:tcPr>
          <w:p w14:paraId="7296040E"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Descripción</w:t>
            </w:r>
          </w:p>
        </w:tc>
      </w:tr>
      <w:tr w:rsidR="00084D3C" w:rsidRPr="00372FD5" w14:paraId="72960414" w14:textId="77777777" w:rsidTr="004166A6">
        <w:trPr>
          <w:trHeight w:val="279"/>
          <w:jc w:val="center"/>
        </w:trPr>
        <w:tc>
          <w:tcPr>
            <w:tcW w:w="1478" w:type="dxa"/>
            <w:tcBorders>
              <w:top w:val="nil"/>
              <w:left w:val="single" w:sz="4" w:space="0" w:color="auto"/>
              <w:bottom w:val="single" w:sz="4" w:space="0" w:color="auto"/>
              <w:right w:val="single" w:sz="4" w:space="0" w:color="auto"/>
            </w:tcBorders>
            <w:shd w:val="clear" w:color="auto" w:fill="auto"/>
            <w:noWrap/>
            <w:vAlign w:val="bottom"/>
            <w:hideMark/>
          </w:tcPr>
          <w:p w14:paraId="72960410" w14:textId="77777777" w:rsidR="00084D3C" w:rsidRPr="00372FD5" w:rsidRDefault="00084D3C" w:rsidP="004166A6">
            <w:pPr>
              <w:spacing w:after="0" w:line="240" w:lineRule="auto"/>
              <w:ind w:right="-193"/>
              <w:rPr>
                <w:rFonts w:eastAsia="Times New Roman" w:cs="Arial"/>
                <w:lang w:val="en-US"/>
              </w:rPr>
            </w:pPr>
            <w:r w:rsidRPr="00372FD5">
              <w:rPr>
                <w:rFonts w:eastAsia="Times New Roman" w:cs="Arial"/>
                <w:lang w:val="en-US"/>
              </w:rPr>
              <w:t>RMA_EMISOR</w:t>
            </w:r>
          </w:p>
        </w:tc>
        <w:tc>
          <w:tcPr>
            <w:tcW w:w="1109" w:type="dxa"/>
            <w:tcBorders>
              <w:top w:val="nil"/>
              <w:left w:val="nil"/>
              <w:bottom w:val="single" w:sz="4" w:space="0" w:color="auto"/>
              <w:right w:val="single" w:sz="4" w:space="0" w:color="auto"/>
            </w:tcBorders>
            <w:shd w:val="clear" w:color="auto" w:fill="auto"/>
            <w:noWrap/>
            <w:vAlign w:val="bottom"/>
            <w:hideMark/>
          </w:tcPr>
          <w:p w14:paraId="72960411" w14:textId="77777777" w:rsidR="00084D3C" w:rsidRPr="00372FD5" w:rsidRDefault="00084D3C" w:rsidP="004166A6">
            <w:pPr>
              <w:spacing w:after="0" w:line="240" w:lineRule="auto"/>
              <w:ind w:right="-193"/>
              <w:rPr>
                <w:rFonts w:eastAsia="Times New Roman" w:cs="Arial"/>
                <w:lang w:val="en-US"/>
              </w:rPr>
            </w:pPr>
            <w:r w:rsidRPr="00372FD5">
              <w:rPr>
                <w:rFonts w:eastAsia="Times New Roman" w:cs="Arial"/>
                <w:lang w:val="en-US"/>
              </w:rPr>
              <w:t>19000000</w:t>
            </w:r>
          </w:p>
        </w:tc>
        <w:tc>
          <w:tcPr>
            <w:tcW w:w="1109" w:type="dxa"/>
            <w:tcBorders>
              <w:top w:val="nil"/>
              <w:left w:val="nil"/>
              <w:bottom w:val="single" w:sz="4" w:space="0" w:color="auto"/>
              <w:right w:val="nil"/>
            </w:tcBorders>
            <w:shd w:val="clear" w:color="auto" w:fill="auto"/>
            <w:noWrap/>
            <w:vAlign w:val="bottom"/>
            <w:hideMark/>
          </w:tcPr>
          <w:p w14:paraId="72960412" w14:textId="77777777" w:rsidR="00084D3C" w:rsidRPr="00372FD5" w:rsidRDefault="00084D3C" w:rsidP="004166A6">
            <w:pPr>
              <w:spacing w:after="0" w:line="240" w:lineRule="auto"/>
              <w:ind w:right="-193"/>
              <w:rPr>
                <w:rFonts w:eastAsia="Times New Roman" w:cs="Arial"/>
                <w:lang w:val="en-US"/>
              </w:rPr>
            </w:pPr>
            <w:r w:rsidRPr="00372FD5">
              <w:rPr>
                <w:rFonts w:eastAsia="Times New Roman" w:cs="Arial"/>
                <w:lang w:val="en-US"/>
              </w:rPr>
              <w:t xml:space="preserve">0              </w:t>
            </w:r>
          </w:p>
        </w:tc>
        <w:tc>
          <w:tcPr>
            <w:tcW w:w="6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60413"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 xml:space="preserve">    Monto colocado por suscripción preferente de accionistas a valor facial</w:t>
            </w:r>
          </w:p>
        </w:tc>
      </w:tr>
      <w:tr w:rsidR="00084D3C" w:rsidRPr="00372FD5" w14:paraId="72960419" w14:textId="77777777" w:rsidTr="004166A6">
        <w:trPr>
          <w:trHeight w:val="279"/>
          <w:jc w:val="center"/>
        </w:trPr>
        <w:tc>
          <w:tcPr>
            <w:tcW w:w="1478" w:type="dxa"/>
            <w:tcBorders>
              <w:top w:val="nil"/>
              <w:left w:val="single" w:sz="4" w:space="0" w:color="auto"/>
              <w:bottom w:val="single" w:sz="4" w:space="0" w:color="auto"/>
              <w:right w:val="single" w:sz="4" w:space="0" w:color="auto"/>
            </w:tcBorders>
            <w:shd w:val="clear" w:color="auto" w:fill="auto"/>
            <w:noWrap/>
            <w:vAlign w:val="bottom"/>
            <w:hideMark/>
          </w:tcPr>
          <w:p w14:paraId="72960415" w14:textId="77777777" w:rsidR="00084D3C" w:rsidRPr="00372FD5" w:rsidRDefault="00084D3C" w:rsidP="004166A6">
            <w:pPr>
              <w:spacing w:after="0" w:line="240" w:lineRule="auto"/>
              <w:ind w:right="-193"/>
              <w:rPr>
                <w:rFonts w:eastAsia="Times New Roman" w:cs="Arial"/>
                <w:lang w:val="en-US"/>
              </w:rPr>
            </w:pPr>
            <w:r w:rsidRPr="00372FD5">
              <w:rPr>
                <w:rFonts w:eastAsia="Times New Roman" w:cs="Arial"/>
                <w:lang w:val="en-US"/>
              </w:rPr>
              <w:t>RMA_EMISOR</w:t>
            </w:r>
          </w:p>
        </w:tc>
        <w:tc>
          <w:tcPr>
            <w:tcW w:w="1109" w:type="dxa"/>
            <w:tcBorders>
              <w:top w:val="nil"/>
              <w:left w:val="nil"/>
              <w:bottom w:val="single" w:sz="4" w:space="0" w:color="auto"/>
              <w:right w:val="single" w:sz="4" w:space="0" w:color="auto"/>
            </w:tcBorders>
            <w:shd w:val="clear" w:color="auto" w:fill="auto"/>
            <w:noWrap/>
            <w:vAlign w:val="bottom"/>
            <w:hideMark/>
          </w:tcPr>
          <w:p w14:paraId="72960416" w14:textId="77777777" w:rsidR="00084D3C" w:rsidRPr="00372FD5" w:rsidRDefault="00084D3C" w:rsidP="004166A6">
            <w:pPr>
              <w:spacing w:after="0" w:line="240" w:lineRule="auto"/>
              <w:ind w:right="-193"/>
              <w:rPr>
                <w:rFonts w:eastAsia="Times New Roman" w:cs="Arial"/>
                <w:lang w:val="en-US"/>
              </w:rPr>
            </w:pPr>
            <w:r w:rsidRPr="00372FD5">
              <w:rPr>
                <w:rFonts w:eastAsia="Times New Roman" w:cs="Arial"/>
                <w:lang w:val="en-US"/>
              </w:rPr>
              <w:t xml:space="preserve">19010000       </w:t>
            </w:r>
          </w:p>
        </w:tc>
        <w:tc>
          <w:tcPr>
            <w:tcW w:w="1109" w:type="dxa"/>
            <w:tcBorders>
              <w:top w:val="nil"/>
              <w:left w:val="nil"/>
              <w:bottom w:val="single" w:sz="4" w:space="0" w:color="auto"/>
              <w:right w:val="single" w:sz="4" w:space="0" w:color="auto"/>
            </w:tcBorders>
            <w:shd w:val="clear" w:color="auto" w:fill="auto"/>
            <w:noWrap/>
            <w:vAlign w:val="bottom"/>
            <w:hideMark/>
          </w:tcPr>
          <w:p w14:paraId="72960417" w14:textId="77777777" w:rsidR="00084D3C" w:rsidRPr="00372FD5" w:rsidRDefault="00084D3C" w:rsidP="004166A6">
            <w:pPr>
              <w:spacing w:after="0" w:line="240" w:lineRule="auto"/>
              <w:ind w:right="-193"/>
              <w:rPr>
                <w:rFonts w:eastAsia="Times New Roman" w:cs="Arial"/>
                <w:lang w:val="en-US"/>
              </w:rPr>
            </w:pPr>
            <w:r w:rsidRPr="00372FD5">
              <w:rPr>
                <w:rFonts w:eastAsia="Times New Roman" w:cs="Arial"/>
                <w:lang w:val="en-US"/>
              </w:rPr>
              <w:t>19000000</w:t>
            </w:r>
          </w:p>
        </w:tc>
        <w:tc>
          <w:tcPr>
            <w:tcW w:w="6222" w:type="dxa"/>
            <w:tcBorders>
              <w:top w:val="nil"/>
              <w:left w:val="nil"/>
              <w:bottom w:val="single" w:sz="4" w:space="0" w:color="auto"/>
              <w:right w:val="single" w:sz="4" w:space="0" w:color="auto"/>
            </w:tcBorders>
            <w:shd w:val="clear" w:color="auto" w:fill="auto"/>
            <w:noWrap/>
            <w:vAlign w:val="center"/>
            <w:hideMark/>
          </w:tcPr>
          <w:p w14:paraId="72960418"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 xml:space="preserve">    Monto colocado por suscripción a valor transado</w:t>
            </w:r>
          </w:p>
        </w:tc>
      </w:tr>
      <w:tr w:rsidR="00084D3C" w:rsidRPr="00372FD5" w14:paraId="7296041E" w14:textId="77777777" w:rsidTr="004166A6">
        <w:trPr>
          <w:trHeight w:val="279"/>
          <w:jc w:val="center"/>
        </w:trPr>
        <w:tc>
          <w:tcPr>
            <w:tcW w:w="1478" w:type="dxa"/>
            <w:tcBorders>
              <w:top w:val="nil"/>
              <w:left w:val="single" w:sz="4" w:space="0" w:color="auto"/>
              <w:bottom w:val="single" w:sz="4" w:space="0" w:color="auto"/>
              <w:right w:val="single" w:sz="4" w:space="0" w:color="auto"/>
            </w:tcBorders>
            <w:shd w:val="clear" w:color="auto" w:fill="auto"/>
            <w:noWrap/>
            <w:vAlign w:val="bottom"/>
            <w:hideMark/>
          </w:tcPr>
          <w:p w14:paraId="7296041A" w14:textId="77777777" w:rsidR="00084D3C" w:rsidRPr="00372FD5" w:rsidRDefault="00084D3C" w:rsidP="004166A6">
            <w:pPr>
              <w:spacing w:after="0" w:line="240" w:lineRule="auto"/>
              <w:ind w:right="-193"/>
              <w:rPr>
                <w:rFonts w:eastAsia="Times New Roman" w:cs="Arial"/>
                <w:lang w:val="en-US"/>
              </w:rPr>
            </w:pPr>
            <w:r w:rsidRPr="00372FD5">
              <w:rPr>
                <w:rFonts w:eastAsia="Times New Roman" w:cs="Arial"/>
                <w:lang w:val="en-US"/>
              </w:rPr>
              <w:t>RMA_EMISOR</w:t>
            </w:r>
          </w:p>
        </w:tc>
        <w:tc>
          <w:tcPr>
            <w:tcW w:w="1109" w:type="dxa"/>
            <w:tcBorders>
              <w:top w:val="nil"/>
              <w:left w:val="nil"/>
              <w:bottom w:val="single" w:sz="4" w:space="0" w:color="auto"/>
              <w:right w:val="single" w:sz="4" w:space="0" w:color="auto"/>
            </w:tcBorders>
            <w:shd w:val="clear" w:color="auto" w:fill="auto"/>
            <w:noWrap/>
            <w:vAlign w:val="bottom"/>
            <w:hideMark/>
          </w:tcPr>
          <w:p w14:paraId="7296041B" w14:textId="77777777" w:rsidR="00084D3C" w:rsidRPr="00372FD5" w:rsidRDefault="00084D3C" w:rsidP="004166A6">
            <w:pPr>
              <w:spacing w:after="0" w:line="240" w:lineRule="auto"/>
              <w:ind w:right="-193"/>
              <w:rPr>
                <w:rFonts w:eastAsia="Times New Roman" w:cs="Arial"/>
                <w:lang w:val="en-US"/>
              </w:rPr>
            </w:pPr>
            <w:r w:rsidRPr="00372FD5">
              <w:rPr>
                <w:rFonts w:eastAsia="Times New Roman" w:cs="Arial"/>
                <w:lang w:val="en-US"/>
              </w:rPr>
              <w:t xml:space="preserve">19020000       </w:t>
            </w:r>
          </w:p>
        </w:tc>
        <w:tc>
          <w:tcPr>
            <w:tcW w:w="1109" w:type="dxa"/>
            <w:tcBorders>
              <w:top w:val="nil"/>
              <w:left w:val="nil"/>
              <w:bottom w:val="single" w:sz="4" w:space="0" w:color="auto"/>
              <w:right w:val="single" w:sz="4" w:space="0" w:color="auto"/>
            </w:tcBorders>
            <w:shd w:val="clear" w:color="auto" w:fill="auto"/>
            <w:noWrap/>
            <w:vAlign w:val="bottom"/>
            <w:hideMark/>
          </w:tcPr>
          <w:p w14:paraId="7296041C" w14:textId="77777777" w:rsidR="00084D3C" w:rsidRPr="00372FD5" w:rsidRDefault="00084D3C" w:rsidP="004166A6">
            <w:pPr>
              <w:spacing w:after="0" w:line="240" w:lineRule="auto"/>
              <w:ind w:right="-193"/>
              <w:rPr>
                <w:rFonts w:eastAsia="Times New Roman" w:cs="Arial"/>
                <w:lang w:val="en-US"/>
              </w:rPr>
            </w:pPr>
            <w:r w:rsidRPr="00372FD5">
              <w:rPr>
                <w:rFonts w:eastAsia="Times New Roman" w:cs="Arial"/>
                <w:lang w:val="en-US"/>
              </w:rPr>
              <w:t>19000000</w:t>
            </w:r>
          </w:p>
        </w:tc>
        <w:tc>
          <w:tcPr>
            <w:tcW w:w="6222" w:type="dxa"/>
            <w:tcBorders>
              <w:top w:val="nil"/>
              <w:left w:val="nil"/>
              <w:bottom w:val="single" w:sz="4" w:space="0" w:color="auto"/>
              <w:right w:val="single" w:sz="4" w:space="0" w:color="auto"/>
            </w:tcBorders>
            <w:shd w:val="clear" w:color="auto" w:fill="auto"/>
            <w:noWrap/>
            <w:vAlign w:val="center"/>
            <w:hideMark/>
          </w:tcPr>
          <w:p w14:paraId="7296041D"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 xml:space="preserve">    Cantidad de valores colocados por suscripción preferente</w:t>
            </w:r>
          </w:p>
        </w:tc>
      </w:tr>
      <w:tr w:rsidR="00084D3C" w:rsidRPr="00372FD5" w14:paraId="72960423" w14:textId="77777777" w:rsidTr="004166A6">
        <w:trPr>
          <w:trHeight w:val="279"/>
          <w:jc w:val="center"/>
        </w:trPr>
        <w:tc>
          <w:tcPr>
            <w:tcW w:w="1478" w:type="dxa"/>
            <w:tcBorders>
              <w:top w:val="nil"/>
              <w:left w:val="single" w:sz="4" w:space="0" w:color="auto"/>
              <w:bottom w:val="single" w:sz="4" w:space="0" w:color="auto"/>
              <w:right w:val="single" w:sz="4" w:space="0" w:color="auto"/>
            </w:tcBorders>
            <w:shd w:val="clear" w:color="auto" w:fill="auto"/>
            <w:noWrap/>
            <w:vAlign w:val="bottom"/>
            <w:hideMark/>
          </w:tcPr>
          <w:p w14:paraId="7296041F" w14:textId="77777777" w:rsidR="00084D3C" w:rsidRPr="00372FD5" w:rsidRDefault="00084D3C" w:rsidP="004166A6">
            <w:pPr>
              <w:spacing w:after="0" w:line="240" w:lineRule="auto"/>
              <w:ind w:right="-193"/>
              <w:rPr>
                <w:rFonts w:eastAsia="Times New Roman" w:cs="Arial"/>
                <w:lang w:val="en-US"/>
              </w:rPr>
            </w:pPr>
            <w:r w:rsidRPr="00372FD5">
              <w:rPr>
                <w:rFonts w:eastAsia="Times New Roman" w:cs="Arial"/>
                <w:lang w:val="en-US"/>
              </w:rPr>
              <w:t>RMA_EMISOR</w:t>
            </w:r>
          </w:p>
        </w:tc>
        <w:tc>
          <w:tcPr>
            <w:tcW w:w="1109" w:type="dxa"/>
            <w:tcBorders>
              <w:top w:val="nil"/>
              <w:left w:val="nil"/>
              <w:bottom w:val="single" w:sz="4" w:space="0" w:color="auto"/>
              <w:right w:val="single" w:sz="4" w:space="0" w:color="auto"/>
            </w:tcBorders>
            <w:shd w:val="clear" w:color="auto" w:fill="auto"/>
            <w:noWrap/>
            <w:vAlign w:val="bottom"/>
            <w:hideMark/>
          </w:tcPr>
          <w:p w14:paraId="72960420" w14:textId="77777777" w:rsidR="00084D3C" w:rsidRPr="00372FD5" w:rsidRDefault="00084D3C" w:rsidP="004166A6">
            <w:pPr>
              <w:spacing w:after="0" w:line="240" w:lineRule="auto"/>
              <w:ind w:right="-193"/>
              <w:rPr>
                <w:rFonts w:eastAsia="Times New Roman" w:cs="Arial"/>
                <w:lang w:val="en-US"/>
              </w:rPr>
            </w:pPr>
            <w:r w:rsidRPr="00372FD5">
              <w:rPr>
                <w:rFonts w:eastAsia="Times New Roman" w:cs="Arial"/>
                <w:lang w:val="en-US"/>
              </w:rPr>
              <w:t xml:space="preserve">19030000       </w:t>
            </w:r>
          </w:p>
        </w:tc>
        <w:tc>
          <w:tcPr>
            <w:tcW w:w="1109" w:type="dxa"/>
            <w:tcBorders>
              <w:top w:val="nil"/>
              <w:left w:val="nil"/>
              <w:bottom w:val="single" w:sz="4" w:space="0" w:color="auto"/>
              <w:right w:val="single" w:sz="4" w:space="0" w:color="auto"/>
            </w:tcBorders>
            <w:shd w:val="clear" w:color="auto" w:fill="auto"/>
            <w:noWrap/>
            <w:vAlign w:val="bottom"/>
            <w:hideMark/>
          </w:tcPr>
          <w:p w14:paraId="72960421" w14:textId="77777777" w:rsidR="00084D3C" w:rsidRPr="00372FD5" w:rsidRDefault="00084D3C" w:rsidP="004166A6">
            <w:pPr>
              <w:spacing w:after="0" w:line="240" w:lineRule="auto"/>
              <w:ind w:right="-193"/>
              <w:rPr>
                <w:rFonts w:eastAsia="Times New Roman" w:cs="Arial"/>
                <w:lang w:val="en-US"/>
              </w:rPr>
            </w:pPr>
            <w:r w:rsidRPr="00372FD5">
              <w:rPr>
                <w:rFonts w:eastAsia="Times New Roman" w:cs="Arial"/>
                <w:lang w:val="en-US"/>
              </w:rPr>
              <w:t>19000000</w:t>
            </w:r>
          </w:p>
        </w:tc>
        <w:tc>
          <w:tcPr>
            <w:tcW w:w="6222" w:type="dxa"/>
            <w:tcBorders>
              <w:top w:val="nil"/>
              <w:left w:val="nil"/>
              <w:bottom w:val="single" w:sz="4" w:space="0" w:color="auto"/>
              <w:right w:val="single" w:sz="4" w:space="0" w:color="auto"/>
            </w:tcBorders>
            <w:shd w:val="clear" w:color="auto" w:fill="auto"/>
            <w:noWrap/>
            <w:vAlign w:val="center"/>
            <w:hideMark/>
          </w:tcPr>
          <w:p w14:paraId="72960422" w14:textId="77777777" w:rsidR="00084D3C" w:rsidRPr="00372FD5" w:rsidRDefault="00084D3C" w:rsidP="004166A6">
            <w:pPr>
              <w:spacing w:after="0" w:line="240" w:lineRule="auto"/>
              <w:ind w:right="-193"/>
              <w:rPr>
                <w:rFonts w:eastAsia="Times New Roman" w:cs="Arial"/>
                <w:lang w:val="en-US"/>
              </w:rPr>
            </w:pPr>
            <w:r w:rsidRPr="00372FD5">
              <w:rPr>
                <w:rFonts w:eastAsia="Times New Roman" w:cs="Arial"/>
                <w:lang w:val="en-US"/>
              </w:rPr>
              <w:t xml:space="preserve">    </w:t>
            </w:r>
            <w:r w:rsidRPr="00372FD5">
              <w:rPr>
                <w:rFonts w:eastAsia="Times New Roman" w:cs="Arial"/>
                <w:lang w:val="es-CR"/>
              </w:rPr>
              <w:t>Precio</w:t>
            </w:r>
            <w:r w:rsidRPr="00372FD5">
              <w:rPr>
                <w:rFonts w:eastAsia="Times New Roman" w:cs="Arial"/>
                <w:lang w:val="en-US"/>
              </w:rPr>
              <w:t xml:space="preserve"> de </w:t>
            </w:r>
            <w:r w:rsidRPr="00372FD5">
              <w:rPr>
                <w:rFonts w:eastAsia="Times New Roman" w:cs="Arial"/>
                <w:lang w:val="es-CR"/>
              </w:rPr>
              <w:t>colocación</w:t>
            </w:r>
          </w:p>
        </w:tc>
      </w:tr>
    </w:tbl>
    <w:p w14:paraId="72960424" w14:textId="77777777" w:rsidR="00084D3C" w:rsidRPr="00372FD5" w:rsidRDefault="00084D3C" w:rsidP="00084D3C">
      <w:pPr>
        <w:pStyle w:val="Numeracin"/>
        <w:numPr>
          <w:ilvl w:val="0"/>
          <w:numId w:val="0"/>
        </w:numPr>
        <w:tabs>
          <w:tab w:val="left" w:pos="567"/>
        </w:tabs>
        <w:spacing w:before="0"/>
        <w:ind w:left="1647" w:right="-193"/>
        <w:jc w:val="center"/>
        <w:rPr>
          <w:rFonts w:ascii="Arial" w:hAnsi="Arial" w:cs="Arial"/>
          <w:szCs w:val="22"/>
        </w:rPr>
      </w:pPr>
    </w:p>
    <w:bookmarkStart w:id="3" w:name="_MON_1529918967"/>
    <w:bookmarkEnd w:id="3"/>
    <w:p w14:paraId="72960425" w14:textId="77777777" w:rsidR="00084D3C" w:rsidRPr="00372FD5" w:rsidRDefault="0077641B" w:rsidP="00084D3C">
      <w:pPr>
        <w:pStyle w:val="Numeracin"/>
        <w:numPr>
          <w:ilvl w:val="0"/>
          <w:numId w:val="0"/>
        </w:numPr>
        <w:tabs>
          <w:tab w:val="left" w:pos="567"/>
        </w:tabs>
        <w:spacing w:before="0"/>
        <w:ind w:left="1647" w:right="-193"/>
        <w:jc w:val="center"/>
        <w:rPr>
          <w:rFonts w:ascii="Arial" w:hAnsi="Arial" w:cs="Arial"/>
          <w:szCs w:val="22"/>
        </w:rPr>
      </w:pPr>
      <w:r w:rsidRPr="00372FD5">
        <w:rPr>
          <w:rFonts w:ascii="Arial" w:hAnsi="Arial" w:cs="Arial"/>
          <w:szCs w:val="22"/>
        </w:rPr>
        <w:object w:dxaOrig="2040" w:dyaOrig="1320" w14:anchorId="7296057C">
          <v:shape id="_x0000_i1027" type="#_x0000_t75" style="width:99pt;height:63pt" o:ole="">
            <v:imagedata r:id="rId15" o:title=""/>
          </v:shape>
          <o:OLEObject Type="Embed" ProgID="Excel.Sheet.12" ShapeID="_x0000_i1027" DrawAspect="Icon" ObjectID="_1554727334" r:id="rId16"/>
        </w:object>
      </w:r>
    </w:p>
    <w:p w14:paraId="72960426" w14:textId="77777777" w:rsidR="00084D3C" w:rsidRPr="00372FD5" w:rsidRDefault="00084D3C" w:rsidP="00084D3C">
      <w:pPr>
        <w:pStyle w:val="Numeracin"/>
        <w:numPr>
          <w:ilvl w:val="0"/>
          <w:numId w:val="0"/>
        </w:numPr>
        <w:spacing w:before="0"/>
        <w:ind w:right="-193"/>
        <w:rPr>
          <w:rFonts w:ascii="Arial" w:hAnsi="Arial" w:cs="Arial"/>
          <w:szCs w:val="22"/>
          <w:lang w:val="es-CR"/>
        </w:rPr>
      </w:pPr>
    </w:p>
    <w:p w14:paraId="72960427" w14:textId="77777777" w:rsidR="00084D3C" w:rsidRPr="00372FD5" w:rsidRDefault="00084D3C" w:rsidP="00084D3C">
      <w:pPr>
        <w:pStyle w:val="Numeracin"/>
        <w:numPr>
          <w:ilvl w:val="0"/>
          <w:numId w:val="3"/>
        </w:numPr>
        <w:spacing w:before="0"/>
        <w:ind w:right="-193"/>
        <w:rPr>
          <w:rFonts w:ascii="Arial" w:hAnsi="Arial" w:cs="Arial"/>
          <w:szCs w:val="22"/>
        </w:rPr>
      </w:pPr>
      <w:r w:rsidRPr="00372FD5">
        <w:rPr>
          <w:rFonts w:ascii="Arial" w:hAnsi="Arial" w:cs="Arial"/>
          <w:szCs w:val="22"/>
        </w:rPr>
        <w:t>En el “Reporte de Información Diaria”, Anexo 13, aplicable a los fondos de inversión se adicionan dos subcuentas que detallan la información de los beneficios periódicos distribuidos por los fondos cerrados, de acuerdo con el siguiente detalle:</w:t>
      </w:r>
    </w:p>
    <w:p w14:paraId="72960428" w14:textId="77777777" w:rsidR="00084D3C" w:rsidRPr="00372FD5" w:rsidRDefault="00084D3C" w:rsidP="008448AA">
      <w:pPr>
        <w:pStyle w:val="Numeracin"/>
        <w:numPr>
          <w:ilvl w:val="0"/>
          <w:numId w:val="0"/>
        </w:numPr>
        <w:tabs>
          <w:tab w:val="left" w:pos="567"/>
        </w:tabs>
        <w:spacing w:before="0"/>
        <w:ind w:right="-193"/>
        <w:rPr>
          <w:rFonts w:ascii="Arial" w:hAnsi="Arial" w:cs="Arial"/>
          <w:szCs w:val="22"/>
        </w:rPr>
      </w:pPr>
    </w:p>
    <w:tbl>
      <w:tblPr>
        <w:tblW w:w="8647" w:type="dxa"/>
        <w:tblInd w:w="-5" w:type="dxa"/>
        <w:tblLook w:val="04A0" w:firstRow="1" w:lastRow="0" w:firstColumn="1" w:lastColumn="0" w:noHBand="0" w:noVBand="1"/>
      </w:tblPr>
      <w:tblGrid>
        <w:gridCol w:w="1967"/>
        <w:gridCol w:w="1967"/>
        <w:gridCol w:w="4713"/>
      </w:tblGrid>
      <w:tr w:rsidR="00084D3C" w:rsidRPr="00372FD5" w14:paraId="7296042C" w14:textId="77777777" w:rsidTr="004166A6">
        <w:trPr>
          <w:trHeight w:val="632"/>
        </w:trPr>
        <w:tc>
          <w:tcPr>
            <w:tcW w:w="1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60429" w14:textId="77777777" w:rsidR="00084D3C" w:rsidRPr="00372FD5" w:rsidRDefault="00084D3C" w:rsidP="004166A6">
            <w:pPr>
              <w:spacing w:after="0" w:line="240" w:lineRule="auto"/>
              <w:ind w:right="-193"/>
              <w:jc w:val="center"/>
              <w:rPr>
                <w:rFonts w:eastAsia="Times New Roman" w:cs="Arial"/>
                <w:b/>
                <w:bCs/>
                <w:lang w:val="en-US"/>
              </w:rPr>
            </w:pPr>
            <w:r w:rsidRPr="00372FD5">
              <w:rPr>
                <w:rFonts w:cs="Arial"/>
                <w:b/>
                <w:bCs/>
              </w:rPr>
              <w:t>Código Cuenta</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7296042A" w14:textId="77777777" w:rsidR="00084D3C" w:rsidRPr="00372FD5" w:rsidRDefault="00084D3C" w:rsidP="004166A6">
            <w:pPr>
              <w:spacing w:after="0" w:line="240" w:lineRule="auto"/>
              <w:ind w:right="-193"/>
              <w:jc w:val="center"/>
              <w:rPr>
                <w:rFonts w:eastAsia="Times New Roman" w:cs="Arial"/>
                <w:b/>
                <w:bCs/>
                <w:lang w:val="en-US"/>
              </w:rPr>
            </w:pPr>
            <w:r w:rsidRPr="00372FD5">
              <w:rPr>
                <w:rFonts w:cs="Arial"/>
                <w:b/>
                <w:bCs/>
              </w:rPr>
              <w:t>Cuenta Madre</w:t>
            </w:r>
          </w:p>
        </w:tc>
        <w:tc>
          <w:tcPr>
            <w:tcW w:w="4713" w:type="dxa"/>
            <w:tcBorders>
              <w:top w:val="single" w:sz="4" w:space="0" w:color="auto"/>
              <w:left w:val="nil"/>
              <w:bottom w:val="single" w:sz="4" w:space="0" w:color="auto"/>
              <w:right w:val="single" w:sz="4" w:space="0" w:color="auto"/>
            </w:tcBorders>
            <w:shd w:val="clear" w:color="auto" w:fill="auto"/>
            <w:noWrap/>
            <w:vAlign w:val="center"/>
            <w:hideMark/>
          </w:tcPr>
          <w:p w14:paraId="7296042B" w14:textId="77777777" w:rsidR="00084D3C" w:rsidRPr="00372FD5" w:rsidRDefault="00084D3C" w:rsidP="004166A6">
            <w:pPr>
              <w:spacing w:after="0" w:line="240" w:lineRule="auto"/>
              <w:ind w:right="-193"/>
              <w:jc w:val="center"/>
              <w:rPr>
                <w:rFonts w:eastAsia="Times New Roman" w:cs="Arial"/>
                <w:b/>
                <w:bCs/>
                <w:lang w:val="en-US"/>
              </w:rPr>
            </w:pPr>
            <w:r w:rsidRPr="00372FD5">
              <w:rPr>
                <w:rFonts w:cs="Arial"/>
                <w:b/>
                <w:bCs/>
              </w:rPr>
              <w:t>Descripción</w:t>
            </w:r>
          </w:p>
        </w:tc>
      </w:tr>
      <w:tr w:rsidR="00084D3C" w:rsidRPr="00372FD5" w14:paraId="72960430" w14:textId="77777777" w:rsidTr="004166A6">
        <w:trPr>
          <w:trHeight w:val="308"/>
        </w:trPr>
        <w:tc>
          <w:tcPr>
            <w:tcW w:w="1967" w:type="dxa"/>
            <w:tcBorders>
              <w:top w:val="nil"/>
              <w:left w:val="single" w:sz="4" w:space="0" w:color="auto"/>
              <w:bottom w:val="single" w:sz="4" w:space="0" w:color="auto"/>
              <w:right w:val="single" w:sz="4" w:space="0" w:color="auto"/>
            </w:tcBorders>
            <w:shd w:val="clear" w:color="auto" w:fill="auto"/>
            <w:noWrap/>
            <w:vAlign w:val="bottom"/>
            <w:hideMark/>
          </w:tcPr>
          <w:p w14:paraId="7296042D" w14:textId="77777777" w:rsidR="00084D3C" w:rsidRPr="00372FD5" w:rsidRDefault="00084D3C" w:rsidP="004166A6">
            <w:pPr>
              <w:spacing w:after="0" w:line="240" w:lineRule="auto"/>
              <w:ind w:right="-193"/>
              <w:rPr>
                <w:rFonts w:eastAsia="Times New Roman" w:cs="Arial"/>
                <w:lang w:val="en-US"/>
              </w:rPr>
            </w:pPr>
            <w:r w:rsidRPr="00372FD5">
              <w:rPr>
                <w:rFonts w:cs="Arial"/>
              </w:rPr>
              <w:t>470100000000</w:t>
            </w:r>
          </w:p>
        </w:tc>
        <w:tc>
          <w:tcPr>
            <w:tcW w:w="1967" w:type="dxa"/>
            <w:tcBorders>
              <w:top w:val="nil"/>
              <w:left w:val="nil"/>
              <w:bottom w:val="single" w:sz="4" w:space="0" w:color="auto"/>
              <w:right w:val="single" w:sz="4" w:space="0" w:color="auto"/>
            </w:tcBorders>
            <w:shd w:val="clear" w:color="auto" w:fill="auto"/>
            <w:noWrap/>
            <w:vAlign w:val="bottom"/>
            <w:hideMark/>
          </w:tcPr>
          <w:p w14:paraId="7296042E" w14:textId="77777777" w:rsidR="00084D3C" w:rsidRPr="00372FD5" w:rsidRDefault="00084D3C" w:rsidP="004166A6">
            <w:pPr>
              <w:spacing w:after="0" w:line="240" w:lineRule="auto"/>
              <w:ind w:right="-193"/>
              <w:rPr>
                <w:rFonts w:eastAsia="Times New Roman" w:cs="Arial"/>
                <w:lang w:val="en-US"/>
              </w:rPr>
            </w:pPr>
            <w:r w:rsidRPr="00372FD5">
              <w:rPr>
                <w:rFonts w:cs="Arial"/>
              </w:rPr>
              <w:t>470000000000</w:t>
            </w:r>
          </w:p>
        </w:tc>
        <w:tc>
          <w:tcPr>
            <w:tcW w:w="4713" w:type="dxa"/>
            <w:tcBorders>
              <w:top w:val="nil"/>
              <w:left w:val="nil"/>
              <w:bottom w:val="single" w:sz="4" w:space="0" w:color="auto"/>
              <w:right w:val="single" w:sz="4" w:space="0" w:color="auto"/>
            </w:tcBorders>
            <w:shd w:val="clear" w:color="auto" w:fill="auto"/>
            <w:noWrap/>
            <w:vAlign w:val="bottom"/>
            <w:hideMark/>
          </w:tcPr>
          <w:p w14:paraId="7296042F" w14:textId="77777777" w:rsidR="00084D3C" w:rsidRPr="00372FD5" w:rsidRDefault="00084D3C" w:rsidP="004166A6">
            <w:pPr>
              <w:spacing w:after="0" w:line="240" w:lineRule="auto"/>
              <w:ind w:right="-193"/>
              <w:rPr>
                <w:rFonts w:eastAsia="Times New Roman" w:cs="Arial"/>
                <w:lang w:val="es-CR"/>
              </w:rPr>
            </w:pPr>
            <w:r w:rsidRPr="00372FD5">
              <w:rPr>
                <w:rFonts w:cs="Arial"/>
              </w:rPr>
              <w:t>Monto de beneficios de resultados del período</w:t>
            </w:r>
          </w:p>
        </w:tc>
      </w:tr>
      <w:tr w:rsidR="00084D3C" w:rsidRPr="00372FD5" w14:paraId="72960434" w14:textId="77777777" w:rsidTr="004166A6">
        <w:trPr>
          <w:trHeight w:val="308"/>
        </w:trPr>
        <w:tc>
          <w:tcPr>
            <w:tcW w:w="1967" w:type="dxa"/>
            <w:tcBorders>
              <w:top w:val="nil"/>
              <w:left w:val="single" w:sz="4" w:space="0" w:color="auto"/>
              <w:bottom w:val="single" w:sz="4" w:space="0" w:color="auto"/>
              <w:right w:val="single" w:sz="4" w:space="0" w:color="auto"/>
            </w:tcBorders>
            <w:shd w:val="clear" w:color="auto" w:fill="auto"/>
            <w:noWrap/>
            <w:vAlign w:val="bottom"/>
            <w:hideMark/>
          </w:tcPr>
          <w:p w14:paraId="72960431" w14:textId="77777777" w:rsidR="00084D3C" w:rsidRPr="00372FD5" w:rsidRDefault="00084D3C" w:rsidP="004166A6">
            <w:pPr>
              <w:spacing w:after="0" w:line="240" w:lineRule="auto"/>
              <w:ind w:right="-193"/>
              <w:rPr>
                <w:rFonts w:eastAsia="Times New Roman" w:cs="Arial"/>
                <w:lang w:val="en-US"/>
              </w:rPr>
            </w:pPr>
            <w:r w:rsidRPr="00372FD5">
              <w:rPr>
                <w:rFonts w:cs="Arial"/>
              </w:rPr>
              <w:t>470200000000</w:t>
            </w:r>
          </w:p>
        </w:tc>
        <w:tc>
          <w:tcPr>
            <w:tcW w:w="1967" w:type="dxa"/>
            <w:tcBorders>
              <w:top w:val="nil"/>
              <w:left w:val="nil"/>
              <w:bottom w:val="single" w:sz="4" w:space="0" w:color="auto"/>
              <w:right w:val="single" w:sz="4" w:space="0" w:color="auto"/>
            </w:tcBorders>
            <w:shd w:val="clear" w:color="auto" w:fill="auto"/>
            <w:noWrap/>
            <w:vAlign w:val="bottom"/>
            <w:hideMark/>
          </w:tcPr>
          <w:p w14:paraId="72960432" w14:textId="77777777" w:rsidR="00084D3C" w:rsidRPr="00372FD5" w:rsidRDefault="00084D3C" w:rsidP="004166A6">
            <w:pPr>
              <w:spacing w:after="0" w:line="240" w:lineRule="auto"/>
              <w:ind w:right="-193"/>
              <w:rPr>
                <w:rFonts w:eastAsia="Times New Roman" w:cs="Arial"/>
                <w:lang w:val="en-US"/>
              </w:rPr>
            </w:pPr>
            <w:r w:rsidRPr="00372FD5">
              <w:rPr>
                <w:rFonts w:cs="Arial"/>
              </w:rPr>
              <w:t>470000000000</w:t>
            </w:r>
          </w:p>
        </w:tc>
        <w:tc>
          <w:tcPr>
            <w:tcW w:w="4713" w:type="dxa"/>
            <w:tcBorders>
              <w:top w:val="nil"/>
              <w:left w:val="nil"/>
              <w:bottom w:val="single" w:sz="4" w:space="0" w:color="auto"/>
              <w:right w:val="single" w:sz="4" w:space="0" w:color="auto"/>
            </w:tcBorders>
            <w:shd w:val="clear" w:color="auto" w:fill="auto"/>
            <w:noWrap/>
            <w:vAlign w:val="bottom"/>
            <w:hideMark/>
          </w:tcPr>
          <w:p w14:paraId="72960433" w14:textId="77777777" w:rsidR="00084D3C" w:rsidRPr="00372FD5" w:rsidRDefault="00084D3C" w:rsidP="004166A6">
            <w:pPr>
              <w:spacing w:after="0" w:line="240" w:lineRule="auto"/>
              <w:ind w:right="-193"/>
              <w:rPr>
                <w:rFonts w:eastAsia="Times New Roman" w:cs="Arial"/>
                <w:lang w:val="es-CR"/>
              </w:rPr>
            </w:pPr>
            <w:r w:rsidRPr="00372FD5">
              <w:rPr>
                <w:rFonts w:cs="Arial"/>
              </w:rPr>
              <w:t>Monto de beneficios de capital pagado en exceso</w:t>
            </w:r>
          </w:p>
        </w:tc>
      </w:tr>
    </w:tbl>
    <w:p w14:paraId="72960435" w14:textId="77777777" w:rsidR="00084D3C" w:rsidRPr="00372FD5" w:rsidRDefault="00084D3C" w:rsidP="00084D3C">
      <w:pPr>
        <w:pStyle w:val="Numeracin"/>
        <w:numPr>
          <w:ilvl w:val="0"/>
          <w:numId w:val="0"/>
        </w:numPr>
        <w:tabs>
          <w:tab w:val="left" w:pos="567"/>
        </w:tabs>
        <w:spacing w:before="0"/>
        <w:ind w:left="360" w:right="-193" w:hanging="360"/>
        <w:jc w:val="center"/>
        <w:rPr>
          <w:rFonts w:ascii="Arial" w:hAnsi="Arial" w:cs="Arial"/>
          <w:szCs w:val="22"/>
          <w:lang w:val="es-CR"/>
        </w:rPr>
      </w:pPr>
    </w:p>
    <w:bookmarkStart w:id="4" w:name="_MON_1543319356"/>
    <w:bookmarkEnd w:id="4"/>
    <w:p w14:paraId="72960436" w14:textId="77777777" w:rsidR="00084D3C" w:rsidRPr="00372FD5" w:rsidRDefault="00084D3C" w:rsidP="00084D3C">
      <w:pPr>
        <w:pStyle w:val="Numeracin"/>
        <w:numPr>
          <w:ilvl w:val="0"/>
          <w:numId w:val="0"/>
        </w:numPr>
        <w:tabs>
          <w:tab w:val="left" w:pos="567"/>
        </w:tabs>
        <w:spacing w:before="0"/>
        <w:ind w:left="360" w:right="-193" w:hanging="360"/>
        <w:jc w:val="center"/>
        <w:rPr>
          <w:rFonts w:ascii="Arial" w:hAnsi="Arial" w:cs="Arial"/>
          <w:szCs w:val="22"/>
          <w:lang w:val="es-CR"/>
        </w:rPr>
      </w:pPr>
      <w:r w:rsidRPr="00372FD5">
        <w:rPr>
          <w:rFonts w:ascii="Arial" w:hAnsi="Arial" w:cs="Arial"/>
          <w:szCs w:val="22"/>
          <w:lang w:val="es-CR"/>
        </w:rPr>
        <w:object w:dxaOrig="2040" w:dyaOrig="1320" w14:anchorId="7296057D">
          <v:shape id="_x0000_i1028" type="#_x0000_t75" style="width:102pt;height:66pt" o:ole="">
            <v:imagedata r:id="rId17" o:title=""/>
          </v:shape>
          <o:OLEObject Type="Embed" ProgID="Excel.Sheet.12" ShapeID="_x0000_i1028" DrawAspect="Icon" ObjectID="_1554727335" r:id="rId18"/>
        </w:object>
      </w:r>
    </w:p>
    <w:p w14:paraId="72960437" w14:textId="77777777" w:rsidR="00084D3C" w:rsidRPr="00372FD5" w:rsidRDefault="00084D3C" w:rsidP="00084D3C">
      <w:pPr>
        <w:pStyle w:val="Numeracin"/>
        <w:numPr>
          <w:ilvl w:val="0"/>
          <w:numId w:val="0"/>
        </w:numPr>
        <w:tabs>
          <w:tab w:val="left" w:pos="567"/>
        </w:tabs>
        <w:spacing w:before="0"/>
        <w:ind w:left="360" w:right="-193" w:hanging="360"/>
        <w:rPr>
          <w:rFonts w:ascii="Arial" w:hAnsi="Arial" w:cs="Arial"/>
          <w:b/>
          <w:szCs w:val="22"/>
        </w:rPr>
      </w:pPr>
    </w:p>
    <w:p w14:paraId="72960438" w14:textId="77777777" w:rsidR="00084D3C" w:rsidRPr="00372FD5" w:rsidRDefault="00084D3C" w:rsidP="00084D3C">
      <w:pPr>
        <w:pStyle w:val="Numeracin"/>
        <w:numPr>
          <w:ilvl w:val="0"/>
          <w:numId w:val="3"/>
        </w:numPr>
        <w:spacing w:before="0"/>
        <w:ind w:right="-193"/>
        <w:rPr>
          <w:rFonts w:ascii="Arial" w:hAnsi="Arial" w:cs="Arial"/>
          <w:b/>
          <w:szCs w:val="22"/>
        </w:rPr>
      </w:pPr>
      <w:r w:rsidRPr="00372FD5">
        <w:rPr>
          <w:rFonts w:ascii="Arial" w:hAnsi="Arial" w:cs="Arial"/>
          <w:szCs w:val="22"/>
        </w:rPr>
        <w:t>Se adicionan las siguientes cuentas a los Estados Financieros, Anexo 59, de las sociedades calificadoras de riesgo y proveedores de precios:</w:t>
      </w:r>
    </w:p>
    <w:p w14:paraId="72960439" w14:textId="77777777" w:rsidR="00084D3C" w:rsidRPr="00372FD5" w:rsidRDefault="00084D3C" w:rsidP="00084D3C">
      <w:pPr>
        <w:pStyle w:val="Numeracin"/>
        <w:numPr>
          <w:ilvl w:val="0"/>
          <w:numId w:val="0"/>
        </w:numPr>
        <w:tabs>
          <w:tab w:val="left" w:pos="567"/>
        </w:tabs>
        <w:spacing w:before="0"/>
        <w:ind w:left="1647" w:right="-193"/>
        <w:rPr>
          <w:rFonts w:ascii="Arial" w:hAnsi="Arial" w:cs="Arial"/>
          <w:szCs w:val="22"/>
        </w:rPr>
      </w:pPr>
    </w:p>
    <w:tbl>
      <w:tblPr>
        <w:tblW w:w="9800" w:type="dxa"/>
        <w:jc w:val="center"/>
        <w:tblLook w:val="04A0" w:firstRow="1" w:lastRow="0" w:firstColumn="1" w:lastColumn="0" w:noHBand="0" w:noVBand="1"/>
      </w:tblPr>
      <w:tblGrid>
        <w:gridCol w:w="1317"/>
        <w:gridCol w:w="1276"/>
        <w:gridCol w:w="1195"/>
        <w:gridCol w:w="6119"/>
      </w:tblGrid>
      <w:tr w:rsidR="00084D3C" w:rsidRPr="00372FD5" w14:paraId="7296043E" w14:textId="77777777" w:rsidTr="004166A6">
        <w:trPr>
          <w:trHeight w:val="708"/>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7296043A"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Estado de Situación Financiera</w:t>
            </w:r>
          </w:p>
        </w:tc>
        <w:tc>
          <w:tcPr>
            <w:tcW w:w="1276" w:type="dxa"/>
            <w:tcBorders>
              <w:top w:val="single" w:sz="4" w:space="0" w:color="auto"/>
              <w:left w:val="nil"/>
              <w:bottom w:val="single" w:sz="4" w:space="0" w:color="auto"/>
              <w:right w:val="single" w:sz="4" w:space="0" w:color="auto"/>
            </w:tcBorders>
            <w:shd w:val="clear" w:color="auto" w:fill="auto"/>
            <w:hideMark/>
          </w:tcPr>
          <w:p w14:paraId="7296043B"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Código Cuenta</w:t>
            </w:r>
          </w:p>
        </w:tc>
        <w:tc>
          <w:tcPr>
            <w:tcW w:w="1134" w:type="dxa"/>
            <w:tcBorders>
              <w:top w:val="single" w:sz="4" w:space="0" w:color="auto"/>
              <w:left w:val="nil"/>
              <w:bottom w:val="single" w:sz="4" w:space="0" w:color="auto"/>
              <w:right w:val="single" w:sz="4" w:space="0" w:color="auto"/>
            </w:tcBorders>
            <w:shd w:val="clear" w:color="auto" w:fill="auto"/>
            <w:hideMark/>
          </w:tcPr>
          <w:p w14:paraId="7296043C"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Cuenta Madre</w:t>
            </w:r>
          </w:p>
        </w:tc>
        <w:tc>
          <w:tcPr>
            <w:tcW w:w="6119" w:type="dxa"/>
            <w:tcBorders>
              <w:top w:val="single" w:sz="4" w:space="0" w:color="auto"/>
              <w:left w:val="nil"/>
              <w:bottom w:val="single" w:sz="4" w:space="0" w:color="auto"/>
              <w:right w:val="single" w:sz="4" w:space="0" w:color="auto"/>
            </w:tcBorders>
            <w:shd w:val="clear" w:color="auto" w:fill="auto"/>
            <w:hideMark/>
          </w:tcPr>
          <w:p w14:paraId="7296043D"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Descripción</w:t>
            </w:r>
          </w:p>
        </w:tc>
      </w:tr>
      <w:tr w:rsidR="00084D3C" w:rsidRPr="00372FD5" w14:paraId="72960443" w14:textId="77777777" w:rsidTr="004166A6">
        <w:trPr>
          <w:trHeight w:val="495"/>
          <w:tblHeader/>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96043F"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BG_PC</w:t>
            </w:r>
          </w:p>
        </w:tc>
        <w:tc>
          <w:tcPr>
            <w:tcW w:w="1276" w:type="dxa"/>
            <w:tcBorders>
              <w:top w:val="nil"/>
              <w:left w:val="nil"/>
              <w:bottom w:val="single" w:sz="4" w:space="0" w:color="auto"/>
              <w:right w:val="single" w:sz="4" w:space="0" w:color="auto"/>
            </w:tcBorders>
            <w:shd w:val="clear" w:color="auto" w:fill="auto"/>
            <w:noWrap/>
            <w:vAlign w:val="bottom"/>
            <w:hideMark/>
          </w:tcPr>
          <w:p w14:paraId="72960440"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11600000</w:t>
            </w:r>
          </w:p>
        </w:tc>
        <w:tc>
          <w:tcPr>
            <w:tcW w:w="1134" w:type="dxa"/>
            <w:tcBorders>
              <w:top w:val="nil"/>
              <w:left w:val="nil"/>
              <w:bottom w:val="single" w:sz="4" w:space="0" w:color="auto"/>
              <w:right w:val="single" w:sz="4" w:space="0" w:color="auto"/>
            </w:tcBorders>
            <w:shd w:val="clear" w:color="auto" w:fill="auto"/>
            <w:noWrap/>
            <w:vAlign w:val="bottom"/>
            <w:hideMark/>
          </w:tcPr>
          <w:p w14:paraId="72960441"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 xml:space="preserve">11000000       </w:t>
            </w:r>
          </w:p>
        </w:tc>
        <w:tc>
          <w:tcPr>
            <w:tcW w:w="6119" w:type="dxa"/>
            <w:tcBorders>
              <w:top w:val="nil"/>
              <w:left w:val="nil"/>
              <w:bottom w:val="single" w:sz="4" w:space="0" w:color="auto"/>
              <w:right w:val="single" w:sz="4" w:space="0" w:color="auto"/>
            </w:tcBorders>
            <w:shd w:val="clear" w:color="auto" w:fill="auto"/>
            <w:noWrap/>
            <w:vAlign w:val="bottom"/>
            <w:hideMark/>
          </w:tcPr>
          <w:p w14:paraId="72960442"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Disponibilidades Restringidas</w:t>
            </w:r>
          </w:p>
        </w:tc>
      </w:tr>
      <w:tr w:rsidR="00084D3C" w:rsidRPr="00372FD5" w14:paraId="72960448" w14:textId="77777777" w:rsidTr="004166A6">
        <w:trPr>
          <w:trHeight w:val="495"/>
          <w:tblHeader/>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960444"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BG_PC</w:t>
            </w:r>
          </w:p>
        </w:tc>
        <w:tc>
          <w:tcPr>
            <w:tcW w:w="1276" w:type="dxa"/>
            <w:tcBorders>
              <w:top w:val="nil"/>
              <w:left w:val="nil"/>
              <w:bottom w:val="single" w:sz="4" w:space="0" w:color="auto"/>
              <w:right w:val="single" w:sz="4" w:space="0" w:color="auto"/>
            </w:tcBorders>
            <w:shd w:val="clear" w:color="auto" w:fill="auto"/>
            <w:noWrap/>
            <w:vAlign w:val="bottom"/>
            <w:hideMark/>
          </w:tcPr>
          <w:p w14:paraId="72960445"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12200000</w:t>
            </w:r>
          </w:p>
        </w:tc>
        <w:tc>
          <w:tcPr>
            <w:tcW w:w="1134" w:type="dxa"/>
            <w:tcBorders>
              <w:top w:val="nil"/>
              <w:left w:val="nil"/>
              <w:bottom w:val="single" w:sz="4" w:space="0" w:color="auto"/>
              <w:right w:val="single" w:sz="4" w:space="0" w:color="auto"/>
            </w:tcBorders>
            <w:shd w:val="clear" w:color="auto" w:fill="auto"/>
            <w:noWrap/>
            <w:vAlign w:val="bottom"/>
            <w:hideMark/>
          </w:tcPr>
          <w:p w14:paraId="72960446"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 xml:space="preserve">12000000       </w:t>
            </w:r>
          </w:p>
        </w:tc>
        <w:tc>
          <w:tcPr>
            <w:tcW w:w="6119" w:type="dxa"/>
            <w:tcBorders>
              <w:top w:val="nil"/>
              <w:left w:val="nil"/>
              <w:bottom w:val="single" w:sz="4" w:space="0" w:color="auto"/>
              <w:right w:val="single" w:sz="4" w:space="0" w:color="auto"/>
            </w:tcBorders>
            <w:shd w:val="clear" w:color="auto" w:fill="auto"/>
            <w:noWrap/>
            <w:vAlign w:val="bottom"/>
            <w:hideMark/>
          </w:tcPr>
          <w:p w14:paraId="72960447"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Inversiones al Valor Razonable</w:t>
            </w:r>
          </w:p>
        </w:tc>
      </w:tr>
      <w:tr w:rsidR="00084D3C" w:rsidRPr="00372FD5" w14:paraId="7296044D" w14:textId="77777777" w:rsidTr="004166A6">
        <w:trPr>
          <w:trHeight w:val="495"/>
          <w:tblHeader/>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960449"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BG_PC</w:t>
            </w:r>
          </w:p>
        </w:tc>
        <w:tc>
          <w:tcPr>
            <w:tcW w:w="1276" w:type="dxa"/>
            <w:tcBorders>
              <w:top w:val="nil"/>
              <w:left w:val="nil"/>
              <w:bottom w:val="single" w:sz="4" w:space="0" w:color="auto"/>
              <w:right w:val="single" w:sz="4" w:space="0" w:color="auto"/>
            </w:tcBorders>
            <w:shd w:val="clear" w:color="auto" w:fill="auto"/>
            <w:noWrap/>
            <w:vAlign w:val="bottom"/>
            <w:hideMark/>
          </w:tcPr>
          <w:p w14:paraId="7296044A"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12300000</w:t>
            </w:r>
          </w:p>
        </w:tc>
        <w:tc>
          <w:tcPr>
            <w:tcW w:w="1134" w:type="dxa"/>
            <w:tcBorders>
              <w:top w:val="nil"/>
              <w:left w:val="nil"/>
              <w:bottom w:val="single" w:sz="4" w:space="0" w:color="auto"/>
              <w:right w:val="single" w:sz="4" w:space="0" w:color="auto"/>
            </w:tcBorders>
            <w:shd w:val="clear" w:color="auto" w:fill="auto"/>
            <w:noWrap/>
            <w:vAlign w:val="bottom"/>
            <w:hideMark/>
          </w:tcPr>
          <w:p w14:paraId="7296044B"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 xml:space="preserve">12000000       </w:t>
            </w:r>
          </w:p>
        </w:tc>
        <w:tc>
          <w:tcPr>
            <w:tcW w:w="6119" w:type="dxa"/>
            <w:tcBorders>
              <w:top w:val="nil"/>
              <w:left w:val="nil"/>
              <w:bottom w:val="single" w:sz="4" w:space="0" w:color="auto"/>
              <w:right w:val="single" w:sz="4" w:space="0" w:color="auto"/>
            </w:tcBorders>
            <w:shd w:val="clear" w:color="auto" w:fill="auto"/>
            <w:noWrap/>
            <w:vAlign w:val="bottom"/>
            <w:hideMark/>
          </w:tcPr>
          <w:p w14:paraId="7296044C"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Inversiones Mantenidas al Vencimiento</w:t>
            </w:r>
          </w:p>
        </w:tc>
      </w:tr>
      <w:tr w:rsidR="00084D3C" w:rsidRPr="00372FD5" w14:paraId="72960452" w14:textId="77777777" w:rsidTr="004166A6">
        <w:trPr>
          <w:trHeight w:val="49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96044E"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BG_PC</w:t>
            </w:r>
          </w:p>
        </w:tc>
        <w:tc>
          <w:tcPr>
            <w:tcW w:w="1276" w:type="dxa"/>
            <w:tcBorders>
              <w:top w:val="nil"/>
              <w:left w:val="nil"/>
              <w:bottom w:val="single" w:sz="4" w:space="0" w:color="auto"/>
              <w:right w:val="single" w:sz="4" w:space="0" w:color="auto"/>
            </w:tcBorders>
            <w:shd w:val="clear" w:color="auto" w:fill="auto"/>
            <w:noWrap/>
            <w:vAlign w:val="bottom"/>
            <w:hideMark/>
          </w:tcPr>
          <w:p w14:paraId="7296044F"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12800000</w:t>
            </w:r>
          </w:p>
        </w:tc>
        <w:tc>
          <w:tcPr>
            <w:tcW w:w="1134" w:type="dxa"/>
            <w:tcBorders>
              <w:top w:val="nil"/>
              <w:left w:val="nil"/>
              <w:bottom w:val="single" w:sz="4" w:space="0" w:color="auto"/>
              <w:right w:val="single" w:sz="4" w:space="0" w:color="auto"/>
            </w:tcBorders>
            <w:shd w:val="clear" w:color="auto" w:fill="auto"/>
            <w:noWrap/>
            <w:vAlign w:val="bottom"/>
            <w:hideMark/>
          </w:tcPr>
          <w:p w14:paraId="72960450"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 xml:space="preserve">10000000        </w:t>
            </w:r>
          </w:p>
        </w:tc>
        <w:tc>
          <w:tcPr>
            <w:tcW w:w="6119" w:type="dxa"/>
            <w:tcBorders>
              <w:top w:val="nil"/>
              <w:left w:val="nil"/>
              <w:bottom w:val="single" w:sz="4" w:space="0" w:color="auto"/>
              <w:right w:val="single" w:sz="4" w:space="0" w:color="auto"/>
            </w:tcBorders>
            <w:shd w:val="clear" w:color="auto" w:fill="auto"/>
            <w:noWrap/>
            <w:vAlign w:val="bottom"/>
            <w:hideMark/>
          </w:tcPr>
          <w:p w14:paraId="72960451"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Cuentas y Productos por Cobrar asociados a Inversiones en Instrumentos Financieros</w:t>
            </w:r>
          </w:p>
        </w:tc>
      </w:tr>
      <w:tr w:rsidR="00084D3C" w:rsidRPr="00372FD5" w14:paraId="72960457" w14:textId="77777777" w:rsidTr="004166A6">
        <w:trPr>
          <w:trHeight w:val="495"/>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72960453"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BG_PC</w:t>
            </w:r>
          </w:p>
        </w:tc>
        <w:tc>
          <w:tcPr>
            <w:tcW w:w="1276" w:type="dxa"/>
            <w:tcBorders>
              <w:top w:val="nil"/>
              <w:left w:val="nil"/>
              <w:bottom w:val="single" w:sz="4" w:space="0" w:color="auto"/>
              <w:right w:val="single" w:sz="4" w:space="0" w:color="auto"/>
            </w:tcBorders>
            <w:shd w:val="clear" w:color="auto" w:fill="auto"/>
            <w:noWrap/>
            <w:vAlign w:val="bottom"/>
          </w:tcPr>
          <w:p w14:paraId="72960454"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12808000</w:t>
            </w:r>
          </w:p>
        </w:tc>
        <w:tc>
          <w:tcPr>
            <w:tcW w:w="1134" w:type="dxa"/>
            <w:tcBorders>
              <w:top w:val="nil"/>
              <w:left w:val="nil"/>
              <w:bottom w:val="single" w:sz="4" w:space="0" w:color="auto"/>
              <w:right w:val="single" w:sz="4" w:space="0" w:color="auto"/>
            </w:tcBorders>
            <w:shd w:val="clear" w:color="auto" w:fill="auto"/>
            <w:noWrap/>
            <w:vAlign w:val="bottom"/>
          </w:tcPr>
          <w:p w14:paraId="72960455"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12800000</w:t>
            </w:r>
          </w:p>
        </w:tc>
        <w:tc>
          <w:tcPr>
            <w:tcW w:w="6119" w:type="dxa"/>
            <w:tcBorders>
              <w:top w:val="nil"/>
              <w:left w:val="nil"/>
              <w:bottom w:val="single" w:sz="4" w:space="0" w:color="auto"/>
              <w:right w:val="single" w:sz="4" w:space="0" w:color="auto"/>
            </w:tcBorders>
            <w:shd w:val="clear" w:color="auto" w:fill="auto"/>
            <w:noWrap/>
            <w:vAlign w:val="bottom"/>
          </w:tcPr>
          <w:p w14:paraId="72960456"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Productos por cobrar asociados a inversiones en instrumentos financieros</w:t>
            </w:r>
          </w:p>
        </w:tc>
      </w:tr>
      <w:tr w:rsidR="00084D3C" w:rsidRPr="00372FD5" w14:paraId="7296045C" w14:textId="77777777" w:rsidTr="004166A6">
        <w:trPr>
          <w:trHeight w:val="495"/>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72960458"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BG_PC</w:t>
            </w:r>
          </w:p>
        </w:tc>
        <w:tc>
          <w:tcPr>
            <w:tcW w:w="1276" w:type="dxa"/>
            <w:tcBorders>
              <w:top w:val="nil"/>
              <w:left w:val="nil"/>
              <w:bottom w:val="single" w:sz="4" w:space="0" w:color="auto"/>
              <w:right w:val="single" w:sz="4" w:space="0" w:color="auto"/>
            </w:tcBorders>
            <w:shd w:val="clear" w:color="auto" w:fill="auto"/>
            <w:noWrap/>
            <w:vAlign w:val="bottom"/>
          </w:tcPr>
          <w:p w14:paraId="72960459"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14800000</w:t>
            </w:r>
          </w:p>
        </w:tc>
        <w:tc>
          <w:tcPr>
            <w:tcW w:w="1134" w:type="dxa"/>
            <w:tcBorders>
              <w:top w:val="nil"/>
              <w:left w:val="nil"/>
              <w:bottom w:val="single" w:sz="4" w:space="0" w:color="auto"/>
              <w:right w:val="single" w:sz="4" w:space="0" w:color="auto"/>
            </w:tcBorders>
            <w:shd w:val="clear" w:color="auto" w:fill="auto"/>
            <w:noWrap/>
            <w:vAlign w:val="bottom"/>
          </w:tcPr>
          <w:p w14:paraId="7296045A"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 xml:space="preserve">10000000        </w:t>
            </w:r>
          </w:p>
        </w:tc>
        <w:tc>
          <w:tcPr>
            <w:tcW w:w="6119" w:type="dxa"/>
            <w:tcBorders>
              <w:top w:val="nil"/>
              <w:left w:val="nil"/>
              <w:bottom w:val="single" w:sz="4" w:space="0" w:color="auto"/>
              <w:right w:val="single" w:sz="4" w:space="0" w:color="auto"/>
            </w:tcBorders>
            <w:shd w:val="clear" w:color="auto" w:fill="auto"/>
            <w:noWrap/>
            <w:vAlign w:val="bottom"/>
          </w:tcPr>
          <w:p w14:paraId="7296045B"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color w:val="000000"/>
                <w:lang w:val="es-CR"/>
              </w:rPr>
              <w:t>Productos por cobrar asociados a las cuentas por cobrar</w:t>
            </w:r>
          </w:p>
        </w:tc>
      </w:tr>
      <w:tr w:rsidR="00084D3C" w:rsidRPr="00372FD5" w14:paraId="72960461" w14:textId="77777777" w:rsidTr="004166A6">
        <w:trPr>
          <w:trHeight w:val="495"/>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7296045D"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BG_PC</w:t>
            </w:r>
          </w:p>
        </w:tc>
        <w:tc>
          <w:tcPr>
            <w:tcW w:w="1276" w:type="dxa"/>
            <w:tcBorders>
              <w:top w:val="nil"/>
              <w:left w:val="nil"/>
              <w:bottom w:val="single" w:sz="4" w:space="0" w:color="auto"/>
              <w:right w:val="single" w:sz="4" w:space="0" w:color="auto"/>
            </w:tcBorders>
            <w:shd w:val="clear" w:color="auto" w:fill="auto"/>
            <w:noWrap/>
            <w:vAlign w:val="bottom"/>
          </w:tcPr>
          <w:p w14:paraId="7296045E"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14805000</w:t>
            </w:r>
          </w:p>
        </w:tc>
        <w:tc>
          <w:tcPr>
            <w:tcW w:w="1134" w:type="dxa"/>
            <w:tcBorders>
              <w:top w:val="nil"/>
              <w:left w:val="nil"/>
              <w:bottom w:val="single" w:sz="4" w:space="0" w:color="auto"/>
              <w:right w:val="single" w:sz="4" w:space="0" w:color="auto"/>
            </w:tcBorders>
            <w:shd w:val="clear" w:color="auto" w:fill="auto"/>
            <w:noWrap/>
            <w:vAlign w:val="bottom"/>
          </w:tcPr>
          <w:p w14:paraId="7296045F"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 xml:space="preserve">14800000       </w:t>
            </w:r>
          </w:p>
        </w:tc>
        <w:tc>
          <w:tcPr>
            <w:tcW w:w="6119" w:type="dxa"/>
            <w:tcBorders>
              <w:top w:val="nil"/>
              <w:left w:val="nil"/>
              <w:bottom w:val="single" w:sz="4" w:space="0" w:color="auto"/>
              <w:right w:val="single" w:sz="4" w:space="0" w:color="auto"/>
            </w:tcBorders>
            <w:shd w:val="clear" w:color="auto" w:fill="auto"/>
            <w:noWrap/>
            <w:vAlign w:val="bottom"/>
          </w:tcPr>
          <w:p w14:paraId="72960460"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 xml:space="preserve">Productos acumulados por cobrar </w:t>
            </w:r>
          </w:p>
        </w:tc>
      </w:tr>
      <w:tr w:rsidR="00084D3C" w:rsidRPr="00372FD5" w14:paraId="72960466" w14:textId="77777777" w:rsidTr="004166A6">
        <w:trPr>
          <w:trHeight w:val="49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960462"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BG_PC</w:t>
            </w:r>
          </w:p>
        </w:tc>
        <w:tc>
          <w:tcPr>
            <w:tcW w:w="1276" w:type="dxa"/>
            <w:tcBorders>
              <w:top w:val="nil"/>
              <w:left w:val="nil"/>
              <w:bottom w:val="single" w:sz="4" w:space="0" w:color="auto"/>
              <w:right w:val="single" w:sz="4" w:space="0" w:color="auto"/>
            </w:tcBorders>
            <w:shd w:val="clear" w:color="auto" w:fill="auto"/>
            <w:noWrap/>
            <w:vAlign w:val="bottom"/>
            <w:hideMark/>
          </w:tcPr>
          <w:p w14:paraId="72960463"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16200000</w:t>
            </w:r>
          </w:p>
        </w:tc>
        <w:tc>
          <w:tcPr>
            <w:tcW w:w="1134" w:type="dxa"/>
            <w:tcBorders>
              <w:top w:val="nil"/>
              <w:left w:val="nil"/>
              <w:bottom w:val="single" w:sz="4" w:space="0" w:color="auto"/>
              <w:right w:val="single" w:sz="4" w:space="0" w:color="auto"/>
            </w:tcBorders>
            <w:shd w:val="clear" w:color="auto" w:fill="auto"/>
            <w:noWrap/>
            <w:vAlign w:val="bottom"/>
            <w:hideMark/>
          </w:tcPr>
          <w:p w14:paraId="72960464"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 xml:space="preserve">10000000       </w:t>
            </w:r>
          </w:p>
        </w:tc>
        <w:tc>
          <w:tcPr>
            <w:tcW w:w="6119" w:type="dxa"/>
            <w:tcBorders>
              <w:top w:val="nil"/>
              <w:left w:val="nil"/>
              <w:bottom w:val="single" w:sz="4" w:space="0" w:color="auto"/>
              <w:right w:val="single" w:sz="4" w:space="0" w:color="auto"/>
            </w:tcBorders>
            <w:shd w:val="clear" w:color="auto" w:fill="auto"/>
            <w:noWrap/>
            <w:vAlign w:val="bottom"/>
            <w:hideMark/>
          </w:tcPr>
          <w:p w14:paraId="72960465"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Participaciones en el capital de otras empresas del exterior</w:t>
            </w:r>
          </w:p>
        </w:tc>
      </w:tr>
      <w:tr w:rsidR="00084D3C" w:rsidRPr="00372FD5" w14:paraId="7296046B" w14:textId="77777777" w:rsidTr="004166A6">
        <w:trPr>
          <w:trHeight w:val="49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960467"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BG_PC</w:t>
            </w:r>
          </w:p>
        </w:tc>
        <w:tc>
          <w:tcPr>
            <w:tcW w:w="1276" w:type="dxa"/>
            <w:tcBorders>
              <w:top w:val="nil"/>
              <w:left w:val="nil"/>
              <w:bottom w:val="single" w:sz="4" w:space="0" w:color="auto"/>
              <w:right w:val="single" w:sz="4" w:space="0" w:color="auto"/>
            </w:tcBorders>
            <w:shd w:val="clear" w:color="auto" w:fill="auto"/>
            <w:noWrap/>
            <w:vAlign w:val="bottom"/>
            <w:hideMark/>
          </w:tcPr>
          <w:p w14:paraId="72960468"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16201000</w:t>
            </w:r>
          </w:p>
        </w:tc>
        <w:tc>
          <w:tcPr>
            <w:tcW w:w="1134" w:type="dxa"/>
            <w:tcBorders>
              <w:top w:val="nil"/>
              <w:left w:val="nil"/>
              <w:bottom w:val="single" w:sz="4" w:space="0" w:color="auto"/>
              <w:right w:val="single" w:sz="4" w:space="0" w:color="auto"/>
            </w:tcBorders>
            <w:shd w:val="clear" w:color="auto" w:fill="auto"/>
            <w:noWrap/>
            <w:vAlign w:val="bottom"/>
            <w:hideMark/>
          </w:tcPr>
          <w:p w14:paraId="72960469"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16200000</w:t>
            </w:r>
          </w:p>
        </w:tc>
        <w:tc>
          <w:tcPr>
            <w:tcW w:w="6119" w:type="dxa"/>
            <w:tcBorders>
              <w:top w:val="nil"/>
              <w:left w:val="nil"/>
              <w:bottom w:val="single" w:sz="4" w:space="0" w:color="auto"/>
              <w:right w:val="single" w:sz="4" w:space="0" w:color="auto"/>
            </w:tcBorders>
            <w:shd w:val="clear" w:color="auto" w:fill="auto"/>
            <w:noWrap/>
            <w:vAlign w:val="bottom"/>
            <w:hideMark/>
          </w:tcPr>
          <w:p w14:paraId="7296046A"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Participaciones en entidades financieras del exterior</w:t>
            </w:r>
          </w:p>
        </w:tc>
      </w:tr>
      <w:tr w:rsidR="00084D3C" w:rsidRPr="00372FD5" w14:paraId="72960470" w14:textId="77777777" w:rsidTr="004166A6">
        <w:trPr>
          <w:trHeight w:val="49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96046C"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BG_PC</w:t>
            </w:r>
          </w:p>
        </w:tc>
        <w:tc>
          <w:tcPr>
            <w:tcW w:w="1276" w:type="dxa"/>
            <w:tcBorders>
              <w:top w:val="nil"/>
              <w:left w:val="nil"/>
              <w:bottom w:val="single" w:sz="4" w:space="0" w:color="auto"/>
              <w:right w:val="single" w:sz="4" w:space="0" w:color="auto"/>
            </w:tcBorders>
            <w:shd w:val="clear" w:color="auto" w:fill="auto"/>
            <w:noWrap/>
            <w:vAlign w:val="bottom"/>
            <w:hideMark/>
          </w:tcPr>
          <w:p w14:paraId="7296046D"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16202000</w:t>
            </w:r>
          </w:p>
        </w:tc>
        <w:tc>
          <w:tcPr>
            <w:tcW w:w="1134" w:type="dxa"/>
            <w:tcBorders>
              <w:top w:val="nil"/>
              <w:left w:val="nil"/>
              <w:bottom w:val="single" w:sz="4" w:space="0" w:color="auto"/>
              <w:right w:val="single" w:sz="4" w:space="0" w:color="auto"/>
            </w:tcBorders>
            <w:shd w:val="clear" w:color="auto" w:fill="auto"/>
            <w:noWrap/>
            <w:vAlign w:val="bottom"/>
            <w:hideMark/>
          </w:tcPr>
          <w:p w14:paraId="7296046E"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16200000</w:t>
            </w:r>
          </w:p>
        </w:tc>
        <w:tc>
          <w:tcPr>
            <w:tcW w:w="6119" w:type="dxa"/>
            <w:tcBorders>
              <w:top w:val="nil"/>
              <w:left w:val="nil"/>
              <w:bottom w:val="single" w:sz="4" w:space="0" w:color="auto"/>
              <w:right w:val="single" w:sz="4" w:space="0" w:color="auto"/>
            </w:tcBorders>
            <w:shd w:val="clear" w:color="auto" w:fill="auto"/>
            <w:noWrap/>
            <w:vAlign w:val="bottom"/>
            <w:hideMark/>
          </w:tcPr>
          <w:p w14:paraId="7296046F"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Participaciones en empresas no financieras del exterior</w:t>
            </w:r>
          </w:p>
        </w:tc>
      </w:tr>
      <w:tr w:rsidR="00084D3C" w:rsidRPr="00372FD5" w14:paraId="72960475" w14:textId="77777777" w:rsidTr="004166A6">
        <w:trPr>
          <w:trHeight w:val="49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960471"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BG_PC</w:t>
            </w:r>
          </w:p>
        </w:tc>
        <w:tc>
          <w:tcPr>
            <w:tcW w:w="1276" w:type="dxa"/>
            <w:tcBorders>
              <w:top w:val="nil"/>
              <w:left w:val="nil"/>
              <w:bottom w:val="single" w:sz="4" w:space="0" w:color="auto"/>
              <w:right w:val="single" w:sz="4" w:space="0" w:color="auto"/>
            </w:tcBorders>
            <w:shd w:val="clear" w:color="auto" w:fill="auto"/>
            <w:noWrap/>
            <w:vAlign w:val="bottom"/>
            <w:hideMark/>
          </w:tcPr>
          <w:p w14:paraId="72960472"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18600000</w:t>
            </w:r>
          </w:p>
        </w:tc>
        <w:tc>
          <w:tcPr>
            <w:tcW w:w="1134" w:type="dxa"/>
            <w:tcBorders>
              <w:top w:val="nil"/>
              <w:left w:val="nil"/>
              <w:bottom w:val="single" w:sz="4" w:space="0" w:color="auto"/>
              <w:right w:val="single" w:sz="4" w:space="0" w:color="auto"/>
            </w:tcBorders>
            <w:shd w:val="clear" w:color="auto" w:fill="auto"/>
            <w:noWrap/>
            <w:vAlign w:val="bottom"/>
            <w:hideMark/>
          </w:tcPr>
          <w:p w14:paraId="72960473"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 xml:space="preserve">18000000       </w:t>
            </w:r>
          </w:p>
        </w:tc>
        <w:tc>
          <w:tcPr>
            <w:tcW w:w="6119" w:type="dxa"/>
            <w:tcBorders>
              <w:top w:val="nil"/>
              <w:left w:val="nil"/>
              <w:bottom w:val="single" w:sz="4" w:space="0" w:color="auto"/>
              <w:right w:val="single" w:sz="4" w:space="0" w:color="auto"/>
            </w:tcBorders>
            <w:shd w:val="clear" w:color="auto" w:fill="auto"/>
            <w:noWrap/>
            <w:vAlign w:val="bottom"/>
            <w:hideMark/>
          </w:tcPr>
          <w:p w14:paraId="72960474"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Activos Intangibles</w:t>
            </w:r>
          </w:p>
        </w:tc>
      </w:tr>
      <w:tr w:rsidR="00084D3C" w:rsidRPr="00372FD5" w14:paraId="7296047A" w14:textId="77777777" w:rsidTr="004166A6">
        <w:trPr>
          <w:trHeight w:val="49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960476"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BG_PC</w:t>
            </w:r>
          </w:p>
        </w:tc>
        <w:tc>
          <w:tcPr>
            <w:tcW w:w="1276" w:type="dxa"/>
            <w:tcBorders>
              <w:top w:val="nil"/>
              <w:left w:val="nil"/>
              <w:bottom w:val="single" w:sz="4" w:space="0" w:color="auto"/>
              <w:right w:val="single" w:sz="4" w:space="0" w:color="auto"/>
            </w:tcBorders>
            <w:shd w:val="clear" w:color="auto" w:fill="auto"/>
            <w:noWrap/>
            <w:vAlign w:val="bottom"/>
            <w:hideMark/>
          </w:tcPr>
          <w:p w14:paraId="72960477"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24216000</w:t>
            </w:r>
          </w:p>
        </w:tc>
        <w:tc>
          <w:tcPr>
            <w:tcW w:w="1134" w:type="dxa"/>
            <w:tcBorders>
              <w:top w:val="nil"/>
              <w:left w:val="nil"/>
              <w:bottom w:val="single" w:sz="4" w:space="0" w:color="auto"/>
              <w:right w:val="single" w:sz="4" w:space="0" w:color="auto"/>
            </w:tcBorders>
            <w:shd w:val="clear" w:color="auto" w:fill="auto"/>
            <w:noWrap/>
            <w:vAlign w:val="bottom"/>
            <w:hideMark/>
          </w:tcPr>
          <w:p w14:paraId="72960478"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 xml:space="preserve">24200000       </w:t>
            </w:r>
          </w:p>
        </w:tc>
        <w:tc>
          <w:tcPr>
            <w:tcW w:w="6119" w:type="dxa"/>
            <w:tcBorders>
              <w:top w:val="nil"/>
              <w:left w:val="nil"/>
              <w:bottom w:val="single" w:sz="4" w:space="0" w:color="auto"/>
              <w:right w:val="single" w:sz="4" w:space="0" w:color="auto"/>
            </w:tcBorders>
            <w:shd w:val="clear" w:color="auto" w:fill="auto"/>
            <w:noWrap/>
            <w:vAlign w:val="bottom"/>
            <w:hideMark/>
          </w:tcPr>
          <w:p w14:paraId="72960479"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Obligaciones por pagar sobre préstamos con partes relacionadas</w:t>
            </w:r>
          </w:p>
        </w:tc>
      </w:tr>
      <w:tr w:rsidR="00084D3C" w:rsidRPr="00372FD5" w14:paraId="7296047F" w14:textId="77777777" w:rsidTr="004166A6">
        <w:trPr>
          <w:trHeight w:val="44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96047B"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lastRenderedPageBreak/>
              <w:t>RA_PC</w:t>
            </w:r>
          </w:p>
        </w:tc>
        <w:tc>
          <w:tcPr>
            <w:tcW w:w="1276" w:type="dxa"/>
            <w:tcBorders>
              <w:top w:val="nil"/>
              <w:left w:val="nil"/>
              <w:bottom w:val="single" w:sz="4" w:space="0" w:color="auto"/>
              <w:right w:val="single" w:sz="4" w:space="0" w:color="auto"/>
            </w:tcBorders>
            <w:shd w:val="clear" w:color="auto" w:fill="auto"/>
            <w:noWrap/>
            <w:vAlign w:val="bottom"/>
            <w:hideMark/>
          </w:tcPr>
          <w:p w14:paraId="7296047C"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43400000</w:t>
            </w:r>
          </w:p>
        </w:tc>
        <w:tc>
          <w:tcPr>
            <w:tcW w:w="1134" w:type="dxa"/>
            <w:tcBorders>
              <w:top w:val="nil"/>
              <w:left w:val="nil"/>
              <w:bottom w:val="single" w:sz="4" w:space="0" w:color="auto"/>
              <w:right w:val="single" w:sz="4" w:space="0" w:color="auto"/>
            </w:tcBorders>
            <w:shd w:val="clear" w:color="auto" w:fill="auto"/>
            <w:noWrap/>
            <w:vAlign w:val="bottom"/>
            <w:hideMark/>
          </w:tcPr>
          <w:p w14:paraId="7296047D"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 xml:space="preserve">40000000       </w:t>
            </w:r>
          </w:p>
        </w:tc>
        <w:tc>
          <w:tcPr>
            <w:tcW w:w="6119" w:type="dxa"/>
            <w:tcBorders>
              <w:top w:val="nil"/>
              <w:left w:val="nil"/>
              <w:bottom w:val="single" w:sz="4" w:space="0" w:color="auto"/>
              <w:right w:val="single" w:sz="4" w:space="0" w:color="auto"/>
            </w:tcBorders>
            <w:shd w:val="clear" w:color="auto" w:fill="auto"/>
            <w:noWrap/>
            <w:vAlign w:val="bottom"/>
            <w:hideMark/>
          </w:tcPr>
          <w:p w14:paraId="7296047E"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 xml:space="preserve">Cargos por bienes diversos </w:t>
            </w:r>
          </w:p>
        </w:tc>
      </w:tr>
      <w:tr w:rsidR="00084D3C" w:rsidRPr="00372FD5" w14:paraId="72960484" w14:textId="77777777" w:rsidTr="004166A6">
        <w:trPr>
          <w:trHeight w:val="44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960480"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RA_PC</w:t>
            </w:r>
          </w:p>
        </w:tc>
        <w:tc>
          <w:tcPr>
            <w:tcW w:w="1276" w:type="dxa"/>
            <w:tcBorders>
              <w:top w:val="nil"/>
              <w:left w:val="nil"/>
              <w:bottom w:val="single" w:sz="4" w:space="0" w:color="auto"/>
              <w:right w:val="single" w:sz="4" w:space="0" w:color="auto"/>
            </w:tcBorders>
            <w:shd w:val="clear" w:color="auto" w:fill="auto"/>
            <w:noWrap/>
            <w:vAlign w:val="bottom"/>
            <w:hideMark/>
          </w:tcPr>
          <w:p w14:paraId="72960481"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43407000</w:t>
            </w:r>
          </w:p>
        </w:tc>
        <w:tc>
          <w:tcPr>
            <w:tcW w:w="1134" w:type="dxa"/>
            <w:tcBorders>
              <w:top w:val="nil"/>
              <w:left w:val="nil"/>
              <w:bottom w:val="single" w:sz="4" w:space="0" w:color="auto"/>
              <w:right w:val="single" w:sz="4" w:space="0" w:color="auto"/>
            </w:tcBorders>
            <w:shd w:val="clear" w:color="auto" w:fill="auto"/>
            <w:noWrap/>
            <w:vAlign w:val="bottom"/>
            <w:hideMark/>
          </w:tcPr>
          <w:p w14:paraId="72960482"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43400000</w:t>
            </w:r>
          </w:p>
        </w:tc>
        <w:tc>
          <w:tcPr>
            <w:tcW w:w="6119" w:type="dxa"/>
            <w:tcBorders>
              <w:top w:val="nil"/>
              <w:left w:val="nil"/>
              <w:bottom w:val="single" w:sz="4" w:space="0" w:color="auto"/>
              <w:right w:val="single" w:sz="4" w:space="0" w:color="auto"/>
            </w:tcBorders>
            <w:shd w:val="clear" w:color="auto" w:fill="auto"/>
            <w:noWrap/>
            <w:vAlign w:val="bottom"/>
            <w:hideMark/>
          </w:tcPr>
          <w:p w14:paraId="72960483"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Depreciación de los bienes asignados para uso del personal</w:t>
            </w:r>
          </w:p>
        </w:tc>
      </w:tr>
      <w:tr w:rsidR="00084D3C" w:rsidRPr="00372FD5" w14:paraId="72960489" w14:textId="77777777" w:rsidTr="004166A6">
        <w:trPr>
          <w:trHeight w:val="469"/>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72960485" w14:textId="77777777" w:rsidR="00084D3C" w:rsidRPr="00372FD5" w:rsidRDefault="00084D3C" w:rsidP="004166A6">
            <w:pPr>
              <w:spacing w:after="0" w:line="240" w:lineRule="auto"/>
              <w:ind w:right="-193"/>
              <w:rPr>
                <w:rFonts w:eastAsia="Times New Roman" w:cs="Arial"/>
                <w:color w:val="000000"/>
                <w:lang w:val="es-CR"/>
              </w:rPr>
            </w:pPr>
            <w:r w:rsidRPr="00372FD5">
              <w:rPr>
                <w:rFonts w:eastAsia="Times New Roman" w:cs="Arial"/>
                <w:color w:val="000000"/>
                <w:lang w:val="es-CR"/>
              </w:rPr>
              <w:t>RA_PC</w:t>
            </w:r>
          </w:p>
        </w:tc>
        <w:tc>
          <w:tcPr>
            <w:tcW w:w="1276" w:type="dxa"/>
            <w:tcBorders>
              <w:top w:val="nil"/>
              <w:left w:val="nil"/>
              <w:bottom w:val="single" w:sz="4" w:space="0" w:color="auto"/>
              <w:right w:val="single" w:sz="4" w:space="0" w:color="auto"/>
            </w:tcBorders>
            <w:shd w:val="clear" w:color="auto" w:fill="auto"/>
            <w:noWrap/>
            <w:vAlign w:val="bottom"/>
          </w:tcPr>
          <w:p w14:paraId="72960486"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43499000</w:t>
            </w:r>
          </w:p>
        </w:tc>
        <w:tc>
          <w:tcPr>
            <w:tcW w:w="1134" w:type="dxa"/>
            <w:tcBorders>
              <w:top w:val="nil"/>
              <w:left w:val="nil"/>
              <w:bottom w:val="single" w:sz="4" w:space="0" w:color="auto"/>
              <w:right w:val="single" w:sz="4" w:space="0" w:color="auto"/>
            </w:tcBorders>
            <w:shd w:val="clear" w:color="auto" w:fill="auto"/>
            <w:noWrap/>
            <w:vAlign w:val="bottom"/>
          </w:tcPr>
          <w:p w14:paraId="72960487"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43400000</w:t>
            </w:r>
          </w:p>
        </w:tc>
        <w:tc>
          <w:tcPr>
            <w:tcW w:w="6119" w:type="dxa"/>
            <w:tcBorders>
              <w:top w:val="nil"/>
              <w:left w:val="nil"/>
              <w:bottom w:val="single" w:sz="4" w:space="0" w:color="auto"/>
              <w:right w:val="single" w:sz="4" w:space="0" w:color="auto"/>
            </w:tcBorders>
            <w:shd w:val="clear" w:color="auto" w:fill="auto"/>
            <w:noWrap/>
            <w:vAlign w:val="bottom"/>
          </w:tcPr>
          <w:p w14:paraId="72960488"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Otros cargos por bienes diversos</w:t>
            </w:r>
          </w:p>
        </w:tc>
      </w:tr>
      <w:tr w:rsidR="00084D3C" w:rsidRPr="00372FD5" w14:paraId="7296048E" w14:textId="77777777" w:rsidTr="004166A6">
        <w:trPr>
          <w:trHeight w:val="44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96048A"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RA_PC</w:t>
            </w:r>
          </w:p>
        </w:tc>
        <w:tc>
          <w:tcPr>
            <w:tcW w:w="1276" w:type="dxa"/>
            <w:tcBorders>
              <w:top w:val="nil"/>
              <w:left w:val="nil"/>
              <w:bottom w:val="single" w:sz="4" w:space="0" w:color="auto"/>
              <w:right w:val="single" w:sz="4" w:space="0" w:color="auto"/>
            </w:tcBorders>
            <w:shd w:val="clear" w:color="auto" w:fill="auto"/>
            <w:noWrap/>
            <w:vAlign w:val="bottom"/>
            <w:hideMark/>
          </w:tcPr>
          <w:p w14:paraId="7296048B"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44300000</w:t>
            </w:r>
          </w:p>
        </w:tc>
        <w:tc>
          <w:tcPr>
            <w:tcW w:w="1134" w:type="dxa"/>
            <w:tcBorders>
              <w:top w:val="nil"/>
              <w:left w:val="nil"/>
              <w:bottom w:val="single" w:sz="4" w:space="0" w:color="auto"/>
              <w:right w:val="single" w:sz="4" w:space="0" w:color="auto"/>
            </w:tcBorders>
            <w:shd w:val="clear" w:color="auto" w:fill="auto"/>
            <w:noWrap/>
            <w:vAlign w:val="bottom"/>
            <w:hideMark/>
          </w:tcPr>
          <w:p w14:paraId="7296048C"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 xml:space="preserve">44000000       </w:t>
            </w:r>
          </w:p>
        </w:tc>
        <w:tc>
          <w:tcPr>
            <w:tcW w:w="6119" w:type="dxa"/>
            <w:tcBorders>
              <w:top w:val="nil"/>
              <w:left w:val="nil"/>
              <w:bottom w:val="single" w:sz="4" w:space="0" w:color="auto"/>
              <w:right w:val="single" w:sz="4" w:space="0" w:color="auto"/>
            </w:tcBorders>
            <w:shd w:val="clear" w:color="auto" w:fill="auto"/>
            <w:noWrap/>
            <w:vAlign w:val="bottom"/>
            <w:hideMark/>
          </w:tcPr>
          <w:p w14:paraId="7296048D"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Gastos de Movilidad y Comunicaciones</w:t>
            </w:r>
          </w:p>
        </w:tc>
      </w:tr>
      <w:tr w:rsidR="00084D3C" w:rsidRPr="00372FD5" w14:paraId="72960493" w14:textId="77777777" w:rsidTr="004166A6">
        <w:trPr>
          <w:trHeight w:val="44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96048F"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RA_PC</w:t>
            </w:r>
          </w:p>
        </w:tc>
        <w:tc>
          <w:tcPr>
            <w:tcW w:w="1276" w:type="dxa"/>
            <w:tcBorders>
              <w:top w:val="nil"/>
              <w:left w:val="nil"/>
              <w:bottom w:val="single" w:sz="4" w:space="0" w:color="auto"/>
              <w:right w:val="single" w:sz="4" w:space="0" w:color="auto"/>
            </w:tcBorders>
            <w:shd w:val="clear" w:color="auto" w:fill="auto"/>
            <w:noWrap/>
            <w:vAlign w:val="bottom"/>
            <w:hideMark/>
          </w:tcPr>
          <w:p w14:paraId="72960490"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44400000</w:t>
            </w:r>
          </w:p>
        </w:tc>
        <w:tc>
          <w:tcPr>
            <w:tcW w:w="1134" w:type="dxa"/>
            <w:tcBorders>
              <w:top w:val="nil"/>
              <w:left w:val="nil"/>
              <w:bottom w:val="single" w:sz="4" w:space="0" w:color="auto"/>
              <w:right w:val="single" w:sz="4" w:space="0" w:color="auto"/>
            </w:tcBorders>
            <w:shd w:val="clear" w:color="auto" w:fill="auto"/>
            <w:noWrap/>
            <w:vAlign w:val="bottom"/>
            <w:hideMark/>
          </w:tcPr>
          <w:p w14:paraId="72960491"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 xml:space="preserve">44000000       </w:t>
            </w:r>
          </w:p>
        </w:tc>
        <w:tc>
          <w:tcPr>
            <w:tcW w:w="6119" w:type="dxa"/>
            <w:tcBorders>
              <w:top w:val="nil"/>
              <w:left w:val="nil"/>
              <w:bottom w:val="single" w:sz="4" w:space="0" w:color="auto"/>
              <w:right w:val="single" w:sz="4" w:space="0" w:color="auto"/>
            </w:tcBorders>
            <w:shd w:val="clear" w:color="auto" w:fill="auto"/>
            <w:noWrap/>
            <w:vAlign w:val="bottom"/>
            <w:hideMark/>
          </w:tcPr>
          <w:p w14:paraId="72960492"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Gastos de Infraestructura</w:t>
            </w:r>
          </w:p>
        </w:tc>
      </w:tr>
      <w:tr w:rsidR="00084D3C" w:rsidRPr="00372FD5" w14:paraId="72960498" w14:textId="77777777" w:rsidTr="004166A6">
        <w:trPr>
          <w:trHeight w:val="445"/>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72960494"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RA_PC</w:t>
            </w:r>
          </w:p>
        </w:tc>
        <w:tc>
          <w:tcPr>
            <w:tcW w:w="1276" w:type="dxa"/>
            <w:tcBorders>
              <w:top w:val="nil"/>
              <w:left w:val="nil"/>
              <w:bottom w:val="single" w:sz="4" w:space="0" w:color="auto"/>
              <w:right w:val="single" w:sz="4" w:space="0" w:color="auto"/>
            </w:tcBorders>
            <w:shd w:val="clear" w:color="auto" w:fill="auto"/>
            <w:noWrap/>
            <w:vAlign w:val="bottom"/>
          </w:tcPr>
          <w:p w14:paraId="72960495"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44403000</w:t>
            </w:r>
          </w:p>
        </w:tc>
        <w:tc>
          <w:tcPr>
            <w:tcW w:w="1134" w:type="dxa"/>
            <w:tcBorders>
              <w:top w:val="nil"/>
              <w:left w:val="nil"/>
              <w:bottom w:val="single" w:sz="4" w:space="0" w:color="auto"/>
              <w:right w:val="single" w:sz="4" w:space="0" w:color="auto"/>
            </w:tcBorders>
            <w:shd w:val="clear" w:color="auto" w:fill="auto"/>
            <w:noWrap/>
            <w:vAlign w:val="bottom"/>
          </w:tcPr>
          <w:p w14:paraId="72960496"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44400000</w:t>
            </w:r>
          </w:p>
        </w:tc>
        <w:tc>
          <w:tcPr>
            <w:tcW w:w="6119" w:type="dxa"/>
            <w:tcBorders>
              <w:top w:val="nil"/>
              <w:left w:val="nil"/>
              <w:bottom w:val="single" w:sz="4" w:space="0" w:color="auto"/>
              <w:right w:val="single" w:sz="4" w:space="0" w:color="auto"/>
            </w:tcBorders>
            <w:shd w:val="clear" w:color="auto" w:fill="auto"/>
            <w:noWrap/>
            <w:vAlign w:val="bottom"/>
          </w:tcPr>
          <w:p w14:paraId="72960497"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 xml:space="preserve">      Mantenimiento y reparación de inmuebles                               mobiliario y equipo,  excepto vehículos</w:t>
            </w:r>
          </w:p>
        </w:tc>
      </w:tr>
      <w:tr w:rsidR="00084D3C" w:rsidRPr="00372FD5" w14:paraId="7296049D" w14:textId="77777777" w:rsidTr="004166A6">
        <w:trPr>
          <w:trHeight w:val="445"/>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72960499"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RA_PC</w:t>
            </w:r>
          </w:p>
        </w:tc>
        <w:tc>
          <w:tcPr>
            <w:tcW w:w="1276" w:type="dxa"/>
            <w:tcBorders>
              <w:top w:val="nil"/>
              <w:left w:val="nil"/>
              <w:bottom w:val="single" w:sz="4" w:space="0" w:color="auto"/>
              <w:right w:val="single" w:sz="4" w:space="0" w:color="auto"/>
            </w:tcBorders>
            <w:shd w:val="clear" w:color="auto" w:fill="auto"/>
            <w:noWrap/>
            <w:vAlign w:val="bottom"/>
          </w:tcPr>
          <w:p w14:paraId="7296049A"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44404000</w:t>
            </w:r>
          </w:p>
        </w:tc>
        <w:tc>
          <w:tcPr>
            <w:tcW w:w="1134" w:type="dxa"/>
            <w:tcBorders>
              <w:top w:val="nil"/>
              <w:left w:val="nil"/>
              <w:bottom w:val="single" w:sz="4" w:space="0" w:color="auto"/>
              <w:right w:val="single" w:sz="4" w:space="0" w:color="auto"/>
            </w:tcBorders>
            <w:shd w:val="clear" w:color="auto" w:fill="auto"/>
            <w:noWrap/>
            <w:vAlign w:val="bottom"/>
          </w:tcPr>
          <w:p w14:paraId="7296049B"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44400000</w:t>
            </w:r>
          </w:p>
        </w:tc>
        <w:tc>
          <w:tcPr>
            <w:tcW w:w="6119" w:type="dxa"/>
            <w:tcBorders>
              <w:top w:val="nil"/>
              <w:left w:val="nil"/>
              <w:bottom w:val="single" w:sz="4" w:space="0" w:color="auto"/>
              <w:right w:val="single" w:sz="4" w:space="0" w:color="auto"/>
            </w:tcBorders>
            <w:shd w:val="clear" w:color="auto" w:fill="auto"/>
            <w:noWrap/>
            <w:vAlign w:val="bottom"/>
          </w:tcPr>
          <w:p w14:paraId="7296049C"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 xml:space="preserve">      Agua y energía eléctrica</w:t>
            </w:r>
          </w:p>
        </w:tc>
      </w:tr>
      <w:tr w:rsidR="00084D3C" w:rsidRPr="00372FD5" w14:paraId="729604A2" w14:textId="77777777" w:rsidTr="004166A6">
        <w:trPr>
          <w:trHeight w:val="44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96049E"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RA_PC</w:t>
            </w:r>
          </w:p>
        </w:tc>
        <w:tc>
          <w:tcPr>
            <w:tcW w:w="1276" w:type="dxa"/>
            <w:tcBorders>
              <w:top w:val="nil"/>
              <w:left w:val="nil"/>
              <w:bottom w:val="single" w:sz="4" w:space="0" w:color="auto"/>
              <w:right w:val="single" w:sz="4" w:space="0" w:color="auto"/>
            </w:tcBorders>
            <w:shd w:val="clear" w:color="auto" w:fill="auto"/>
            <w:noWrap/>
            <w:vAlign w:val="bottom"/>
            <w:hideMark/>
          </w:tcPr>
          <w:p w14:paraId="7296049F"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44500000</w:t>
            </w:r>
          </w:p>
        </w:tc>
        <w:tc>
          <w:tcPr>
            <w:tcW w:w="1134" w:type="dxa"/>
            <w:tcBorders>
              <w:top w:val="nil"/>
              <w:left w:val="nil"/>
              <w:bottom w:val="single" w:sz="4" w:space="0" w:color="auto"/>
              <w:right w:val="single" w:sz="4" w:space="0" w:color="auto"/>
            </w:tcBorders>
            <w:shd w:val="clear" w:color="auto" w:fill="auto"/>
            <w:noWrap/>
            <w:vAlign w:val="bottom"/>
            <w:hideMark/>
          </w:tcPr>
          <w:p w14:paraId="729604A0"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 xml:space="preserve">44000000       </w:t>
            </w:r>
          </w:p>
        </w:tc>
        <w:tc>
          <w:tcPr>
            <w:tcW w:w="6119" w:type="dxa"/>
            <w:tcBorders>
              <w:top w:val="nil"/>
              <w:left w:val="nil"/>
              <w:bottom w:val="single" w:sz="4" w:space="0" w:color="auto"/>
              <w:right w:val="single" w:sz="4" w:space="0" w:color="auto"/>
            </w:tcBorders>
            <w:shd w:val="clear" w:color="auto" w:fill="auto"/>
            <w:noWrap/>
            <w:vAlign w:val="bottom"/>
            <w:hideMark/>
          </w:tcPr>
          <w:p w14:paraId="729604A1"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 xml:space="preserve">      Gastos por servicios externos</w:t>
            </w:r>
          </w:p>
        </w:tc>
      </w:tr>
    </w:tbl>
    <w:p w14:paraId="729604A3" w14:textId="77777777" w:rsidR="0077641B" w:rsidRPr="0077641B" w:rsidRDefault="0077641B" w:rsidP="00084D3C">
      <w:pPr>
        <w:ind w:right="-193"/>
        <w:jc w:val="center"/>
        <w:rPr>
          <w:rFonts w:cs="Arial"/>
          <w:lang w:val="es-CR"/>
        </w:rPr>
      </w:pPr>
    </w:p>
    <w:bookmarkStart w:id="5" w:name="_MON_1531207047"/>
    <w:bookmarkEnd w:id="5"/>
    <w:p w14:paraId="729604A4" w14:textId="77777777" w:rsidR="00084D3C" w:rsidRPr="00372FD5" w:rsidRDefault="00372FD5" w:rsidP="0077641B">
      <w:pPr>
        <w:ind w:right="-193"/>
        <w:jc w:val="center"/>
        <w:rPr>
          <w:rFonts w:cs="Arial"/>
          <w:b/>
        </w:rPr>
      </w:pPr>
      <w:r w:rsidRPr="00372FD5">
        <w:rPr>
          <w:rFonts w:cs="Arial"/>
          <w:b/>
          <w:lang w:val="es-CR"/>
        </w:rPr>
        <w:object w:dxaOrig="1531" w:dyaOrig="990" w14:anchorId="7296057E">
          <v:shape id="_x0000_i1029" type="#_x0000_t75" style="width:122.25pt;height:77.25pt" o:ole="">
            <v:imagedata r:id="rId19" o:title=""/>
          </v:shape>
          <o:OLEObject Type="Embed" ProgID="Excel.Sheet.12" ShapeID="_x0000_i1029" DrawAspect="Icon" ObjectID="_1554727336" r:id="rId20"/>
        </w:object>
      </w:r>
    </w:p>
    <w:p w14:paraId="729604A5" w14:textId="77777777" w:rsidR="00084D3C" w:rsidRPr="00372FD5" w:rsidRDefault="00084D3C" w:rsidP="00084D3C">
      <w:pPr>
        <w:pStyle w:val="Numeracin"/>
        <w:numPr>
          <w:ilvl w:val="0"/>
          <w:numId w:val="3"/>
        </w:numPr>
        <w:spacing w:before="0"/>
        <w:ind w:right="-193"/>
        <w:rPr>
          <w:rFonts w:ascii="Arial" w:hAnsi="Arial" w:cs="Arial"/>
          <w:b/>
          <w:szCs w:val="22"/>
        </w:rPr>
      </w:pPr>
      <w:r w:rsidRPr="00372FD5">
        <w:rPr>
          <w:rFonts w:ascii="Arial" w:hAnsi="Arial" w:cs="Arial"/>
          <w:szCs w:val="22"/>
        </w:rPr>
        <w:t>Se adicionan las siguientes cuentas a los Estados Financieros, Anexo 14, de las sociedades administradoras de fondos de inversión:</w:t>
      </w:r>
    </w:p>
    <w:p w14:paraId="729604A6" w14:textId="77777777" w:rsidR="00084D3C" w:rsidRPr="00372FD5" w:rsidRDefault="00084D3C" w:rsidP="00084D3C">
      <w:pPr>
        <w:pStyle w:val="Numeracin"/>
        <w:numPr>
          <w:ilvl w:val="0"/>
          <w:numId w:val="0"/>
        </w:numPr>
        <w:tabs>
          <w:tab w:val="left" w:pos="567"/>
        </w:tabs>
        <w:spacing w:before="0"/>
        <w:ind w:left="1647" w:right="-193"/>
        <w:rPr>
          <w:rFonts w:ascii="Arial" w:hAnsi="Arial" w:cs="Arial"/>
          <w:szCs w:val="22"/>
        </w:rPr>
      </w:pPr>
    </w:p>
    <w:tbl>
      <w:tblPr>
        <w:tblW w:w="9846" w:type="dxa"/>
        <w:jc w:val="center"/>
        <w:tblLook w:val="04A0" w:firstRow="1" w:lastRow="0" w:firstColumn="1" w:lastColumn="0" w:noHBand="0" w:noVBand="1"/>
      </w:tblPr>
      <w:tblGrid>
        <w:gridCol w:w="1317"/>
        <w:gridCol w:w="1276"/>
        <w:gridCol w:w="1195"/>
        <w:gridCol w:w="6119"/>
      </w:tblGrid>
      <w:tr w:rsidR="00084D3C" w:rsidRPr="00372FD5" w14:paraId="729604AB" w14:textId="77777777" w:rsidTr="004166A6">
        <w:trPr>
          <w:trHeight w:val="708"/>
          <w:tblHeader/>
          <w:jc w:val="center"/>
        </w:trPr>
        <w:tc>
          <w:tcPr>
            <w:tcW w:w="1317" w:type="dxa"/>
            <w:tcBorders>
              <w:top w:val="single" w:sz="4" w:space="0" w:color="auto"/>
              <w:left w:val="single" w:sz="4" w:space="0" w:color="auto"/>
              <w:bottom w:val="single" w:sz="4" w:space="0" w:color="auto"/>
              <w:right w:val="single" w:sz="4" w:space="0" w:color="auto"/>
            </w:tcBorders>
            <w:shd w:val="clear" w:color="auto" w:fill="auto"/>
            <w:hideMark/>
          </w:tcPr>
          <w:p w14:paraId="729604A7"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Estado de Situación Financiera</w:t>
            </w:r>
          </w:p>
        </w:tc>
        <w:tc>
          <w:tcPr>
            <w:tcW w:w="1276" w:type="dxa"/>
            <w:tcBorders>
              <w:top w:val="single" w:sz="4" w:space="0" w:color="auto"/>
              <w:left w:val="nil"/>
              <w:bottom w:val="single" w:sz="4" w:space="0" w:color="auto"/>
              <w:right w:val="single" w:sz="4" w:space="0" w:color="auto"/>
            </w:tcBorders>
            <w:shd w:val="clear" w:color="auto" w:fill="auto"/>
            <w:hideMark/>
          </w:tcPr>
          <w:p w14:paraId="729604A8"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Código Cuenta</w:t>
            </w:r>
          </w:p>
        </w:tc>
        <w:tc>
          <w:tcPr>
            <w:tcW w:w="1134" w:type="dxa"/>
            <w:tcBorders>
              <w:top w:val="single" w:sz="4" w:space="0" w:color="auto"/>
              <w:left w:val="nil"/>
              <w:bottom w:val="single" w:sz="4" w:space="0" w:color="auto"/>
              <w:right w:val="single" w:sz="4" w:space="0" w:color="auto"/>
            </w:tcBorders>
            <w:shd w:val="clear" w:color="auto" w:fill="auto"/>
            <w:hideMark/>
          </w:tcPr>
          <w:p w14:paraId="729604A9"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Cuenta Madre</w:t>
            </w:r>
          </w:p>
        </w:tc>
        <w:tc>
          <w:tcPr>
            <w:tcW w:w="6119" w:type="dxa"/>
            <w:tcBorders>
              <w:top w:val="single" w:sz="4" w:space="0" w:color="auto"/>
              <w:left w:val="nil"/>
              <w:bottom w:val="single" w:sz="4" w:space="0" w:color="auto"/>
              <w:right w:val="single" w:sz="4" w:space="0" w:color="auto"/>
            </w:tcBorders>
            <w:shd w:val="clear" w:color="auto" w:fill="auto"/>
            <w:hideMark/>
          </w:tcPr>
          <w:p w14:paraId="729604AA"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Descripción</w:t>
            </w:r>
          </w:p>
        </w:tc>
      </w:tr>
      <w:tr w:rsidR="00084D3C" w:rsidRPr="00372FD5" w14:paraId="729604B0" w14:textId="77777777" w:rsidTr="004166A6">
        <w:trPr>
          <w:trHeight w:val="495"/>
          <w:tblHeader/>
          <w:jc w:val="center"/>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604AC" w14:textId="77777777" w:rsidR="00084D3C" w:rsidRPr="00372FD5" w:rsidRDefault="00084D3C" w:rsidP="004166A6">
            <w:pPr>
              <w:ind w:right="-193"/>
              <w:rPr>
                <w:rFonts w:cs="Arial"/>
              </w:rPr>
            </w:pPr>
            <w:r w:rsidRPr="00372FD5">
              <w:rPr>
                <w:rFonts w:cs="Arial"/>
              </w:rPr>
              <w:t>BG_SAFI</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9604AD" w14:textId="77777777" w:rsidR="00084D3C" w:rsidRPr="00372FD5" w:rsidRDefault="00084D3C" w:rsidP="004166A6">
            <w:pPr>
              <w:ind w:right="-193"/>
              <w:rPr>
                <w:rFonts w:cs="Arial"/>
              </w:rPr>
            </w:pPr>
            <w:r w:rsidRPr="00372FD5">
              <w:rPr>
                <w:rFonts w:cs="Arial"/>
              </w:rPr>
              <w:t>34300000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9604AE" w14:textId="77777777" w:rsidR="00084D3C" w:rsidRPr="00372FD5" w:rsidRDefault="00084D3C" w:rsidP="004166A6">
            <w:pPr>
              <w:ind w:right="-193"/>
              <w:rPr>
                <w:rFonts w:cs="Arial"/>
              </w:rPr>
            </w:pPr>
            <w:r w:rsidRPr="00372FD5">
              <w:rPr>
                <w:rFonts w:cs="Arial"/>
              </w:rPr>
              <w:t xml:space="preserve">34000000       </w:t>
            </w:r>
          </w:p>
        </w:tc>
        <w:tc>
          <w:tcPr>
            <w:tcW w:w="6119" w:type="dxa"/>
            <w:tcBorders>
              <w:top w:val="single" w:sz="4" w:space="0" w:color="auto"/>
              <w:left w:val="nil"/>
              <w:bottom w:val="single" w:sz="4" w:space="0" w:color="auto"/>
              <w:right w:val="single" w:sz="4" w:space="0" w:color="auto"/>
            </w:tcBorders>
            <w:shd w:val="clear" w:color="auto" w:fill="auto"/>
            <w:noWrap/>
            <w:vAlign w:val="center"/>
          </w:tcPr>
          <w:p w14:paraId="729604AF" w14:textId="77777777" w:rsidR="00084D3C" w:rsidRPr="00372FD5" w:rsidRDefault="00084D3C" w:rsidP="004166A6">
            <w:pPr>
              <w:ind w:right="-193"/>
              <w:rPr>
                <w:rFonts w:cs="Arial"/>
              </w:rPr>
            </w:pPr>
            <w:r w:rsidRPr="00372FD5">
              <w:rPr>
                <w:rFonts w:cs="Arial"/>
              </w:rPr>
              <w:t xml:space="preserve">     RESERVAS VOLUNTARIAS</w:t>
            </w:r>
          </w:p>
        </w:tc>
      </w:tr>
      <w:tr w:rsidR="00084D3C" w:rsidRPr="00372FD5" w14:paraId="729604B5" w14:textId="77777777" w:rsidTr="004166A6">
        <w:trPr>
          <w:trHeight w:val="495"/>
          <w:tblHeader/>
          <w:jc w:val="center"/>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604B1" w14:textId="77777777" w:rsidR="00084D3C" w:rsidRPr="00372FD5" w:rsidRDefault="00084D3C" w:rsidP="004166A6">
            <w:pPr>
              <w:ind w:right="-193"/>
              <w:rPr>
                <w:rFonts w:cs="Arial"/>
              </w:rPr>
            </w:pPr>
            <w:r w:rsidRPr="00372FD5">
              <w:rPr>
                <w:rFonts w:cs="Arial"/>
              </w:rPr>
              <w:t>BG_SAFI</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9604B2" w14:textId="77777777" w:rsidR="00084D3C" w:rsidRPr="00372FD5" w:rsidRDefault="00084D3C" w:rsidP="004166A6">
            <w:pPr>
              <w:ind w:right="-193"/>
              <w:rPr>
                <w:rFonts w:cs="Arial"/>
              </w:rPr>
            </w:pPr>
            <w:r w:rsidRPr="00372FD5">
              <w:rPr>
                <w:rFonts w:cs="Arial"/>
              </w:rPr>
              <w:t>34301000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9604B3" w14:textId="77777777" w:rsidR="00084D3C" w:rsidRPr="00372FD5" w:rsidRDefault="00084D3C" w:rsidP="004166A6">
            <w:pPr>
              <w:ind w:right="-193"/>
              <w:rPr>
                <w:rFonts w:cs="Arial"/>
              </w:rPr>
            </w:pPr>
            <w:r w:rsidRPr="00372FD5">
              <w:rPr>
                <w:rFonts w:cs="Arial"/>
              </w:rPr>
              <w:t>34300000</w:t>
            </w:r>
          </w:p>
        </w:tc>
        <w:tc>
          <w:tcPr>
            <w:tcW w:w="6119" w:type="dxa"/>
            <w:tcBorders>
              <w:top w:val="single" w:sz="4" w:space="0" w:color="auto"/>
              <w:left w:val="nil"/>
              <w:bottom w:val="single" w:sz="4" w:space="0" w:color="auto"/>
              <w:right w:val="single" w:sz="4" w:space="0" w:color="auto"/>
            </w:tcBorders>
            <w:shd w:val="clear" w:color="auto" w:fill="auto"/>
            <w:noWrap/>
            <w:vAlign w:val="center"/>
          </w:tcPr>
          <w:p w14:paraId="729604B4" w14:textId="77777777" w:rsidR="00084D3C" w:rsidRPr="00372FD5" w:rsidRDefault="00084D3C" w:rsidP="004166A6">
            <w:pPr>
              <w:ind w:right="-193"/>
              <w:rPr>
                <w:rFonts w:cs="Arial"/>
              </w:rPr>
            </w:pPr>
            <w:r w:rsidRPr="00372FD5">
              <w:rPr>
                <w:rFonts w:cs="Arial"/>
              </w:rPr>
              <w:t xml:space="preserve">           Reservas voluntarias sin destino específico</w:t>
            </w:r>
          </w:p>
        </w:tc>
      </w:tr>
      <w:tr w:rsidR="00084D3C" w:rsidRPr="00372FD5" w14:paraId="729604BA" w14:textId="77777777" w:rsidTr="004166A6">
        <w:trPr>
          <w:trHeight w:val="495"/>
          <w:tblHeader/>
          <w:jc w:val="center"/>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604B6" w14:textId="77777777" w:rsidR="00084D3C" w:rsidRPr="00372FD5" w:rsidRDefault="00084D3C" w:rsidP="004166A6">
            <w:pPr>
              <w:ind w:right="-193"/>
              <w:rPr>
                <w:rFonts w:cs="Arial"/>
              </w:rPr>
            </w:pPr>
            <w:r w:rsidRPr="00372FD5">
              <w:rPr>
                <w:rFonts w:cs="Arial"/>
              </w:rPr>
              <w:t>BG_SAFI</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9604B7" w14:textId="77777777" w:rsidR="00084D3C" w:rsidRPr="00372FD5" w:rsidRDefault="00084D3C" w:rsidP="004166A6">
            <w:pPr>
              <w:ind w:right="-193"/>
              <w:rPr>
                <w:rFonts w:cs="Arial"/>
              </w:rPr>
            </w:pPr>
            <w:r w:rsidRPr="00372FD5">
              <w:rPr>
                <w:rFonts w:cs="Arial"/>
              </w:rPr>
              <w:t>34301100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9604B8" w14:textId="77777777" w:rsidR="00084D3C" w:rsidRPr="00372FD5" w:rsidRDefault="00084D3C" w:rsidP="004166A6">
            <w:pPr>
              <w:ind w:right="-193"/>
              <w:rPr>
                <w:rFonts w:cs="Arial"/>
              </w:rPr>
            </w:pPr>
            <w:r w:rsidRPr="00372FD5">
              <w:rPr>
                <w:rFonts w:cs="Arial"/>
              </w:rPr>
              <w:t>34301000</w:t>
            </w:r>
          </w:p>
        </w:tc>
        <w:tc>
          <w:tcPr>
            <w:tcW w:w="6119" w:type="dxa"/>
            <w:tcBorders>
              <w:top w:val="single" w:sz="4" w:space="0" w:color="auto"/>
              <w:left w:val="nil"/>
              <w:bottom w:val="single" w:sz="4" w:space="0" w:color="auto"/>
              <w:right w:val="single" w:sz="4" w:space="0" w:color="auto"/>
            </w:tcBorders>
            <w:shd w:val="clear" w:color="auto" w:fill="auto"/>
            <w:noWrap/>
            <w:vAlign w:val="center"/>
          </w:tcPr>
          <w:p w14:paraId="729604B9" w14:textId="77777777" w:rsidR="00084D3C" w:rsidRPr="00372FD5" w:rsidRDefault="00084D3C" w:rsidP="004166A6">
            <w:pPr>
              <w:ind w:left="635" w:right="-193" w:hanging="635"/>
              <w:rPr>
                <w:rFonts w:cs="Arial"/>
              </w:rPr>
            </w:pPr>
            <w:r w:rsidRPr="00372FD5">
              <w:rPr>
                <w:rFonts w:cs="Arial"/>
              </w:rPr>
              <w:t xml:space="preserve">           Reservas voluntarias sin destino específico-Colones</w:t>
            </w:r>
          </w:p>
        </w:tc>
      </w:tr>
      <w:tr w:rsidR="00084D3C" w:rsidRPr="00372FD5" w14:paraId="729604BF" w14:textId="77777777" w:rsidTr="004166A6">
        <w:trPr>
          <w:trHeight w:val="495"/>
          <w:tblHeader/>
          <w:jc w:val="center"/>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604BB" w14:textId="77777777" w:rsidR="00084D3C" w:rsidRPr="00372FD5" w:rsidRDefault="00084D3C" w:rsidP="004166A6">
            <w:pPr>
              <w:ind w:right="-193"/>
              <w:rPr>
                <w:rFonts w:cs="Arial"/>
              </w:rPr>
            </w:pPr>
            <w:r w:rsidRPr="00372FD5">
              <w:rPr>
                <w:rFonts w:cs="Arial"/>
              </w:rPr>
              <w:t>BG_SAFI</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9604BC" w14:textId="77777777" w:rsidR="00084D3C" w:rsidRPr="00372FD5" w:rsidRDefault="00084D3C" w:rsidP="004166A6">
            <w:pPr>
              <w:ind w:right="-193"/>
              <w:rPr>
                <w:rFonts w:cs="Arial"/>
              </w:rPr>
            </w:pPr>
            <w:r w:rsidRPr="00372FD5">
              <w:rPr>
                <w:rFonts w:cs="Arial"/>
              </w:rPr>
              <w:t>34302000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9604BD" w14:textId="77777777" w:rsidR="00084D3C" w:rsidRPr="00372FD5" w:rsidRDefault="00084D3C" w:rsidP="004166A6">
            <w:pPr>
              <w:ind w:right="-193"/>
              <w:rPr>
                <w:rFonts w:cs="Arial"/>
              </w:rPr>
            </w:pPr>
            <w:r w:rsidRPr="00372FD5">
              <w:rPr>
                <w:rFonts w:cs="Arial"/>
              </w:rPr>
              <w:t>34300000</w:t>
            </w:r>
          </w:p>
        </w:tc>
        <w:tc>
          <w:tcPr>
            <w:tcW w:w="6119" w:type="dxa"/>
            <w:tcBorders>
              <w:top w:val="single" w:sz="4" w:space="0" w:color="auto"/>
              <w:left w:val="nil"/>
              <w:bottom w:val="single" w:sz="4" w:space="0" w:color="auto"/>
              <w:right w:val="single" w:sz="4" w:space="0" w:color="auto"/>
            </w:tcBorders>
            <w:shd w:val="clear" w:color="auto" w:fill="auto"/>
            <w:noWrap/>
            <w:vAlign w:val="center"/>
          </w:tcPr>
          <w:p w14:paraId="729604BE" w14:textId="77777777" w:rsidR="00084D3C" w:rsidRPr="00372FD5" w:rsidRDefault="00084D3C" w:rsidP="004166A6">
            <w:pPr>
              <w:ind w:right="-193"/>
              <w:rPr>
                <w:rFonts w:cs="Arial"/>
              </w:rPr>
            </w:pPr>
            <w:r w:rsidRPr="00372FD5">
              <w:rPr>
                <w:rFonts w:cs="Arial"/>
              </w:rPr>
              <w:t xml:space="preserve">           Reservas voluntarias con destino específico</w:t>
            </w:r>
          </w:p>
        </w:tc>
      </w:tr>
      <w:tr w:rsidR="00084D3C" w:rsidRPr="00372FD5" w14:paraId="729604C4" w14:textId="77777777" w:rsidTr="004166A6">
        <w:trPr>
          <w:trHeight w:val="495"/>
          <w:tblHeader/>
          <w:jc w:val="center"/>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604C0" w14:textId="77777777" w:rsidR="00084D3C" w:rsidRPr="00372FD5" w:rsidRDefault="00084D3C" w:rsidP="004166A6">
            <w:pPr>
              <w:ind w:right="-193"/>
              <w:rPr>
                <w:rFonts w:cs="Arial"/>
              </w:rPr>
            </w:pPr>
            <w:r w:rsidRPr="00372FD5">
              <w:rPr>
                <w:rFonts w:cs="Arial"/>
              </w:rPr>
              <w:t>BG_SAFI</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9604C1" w14:textId="77777777" w:rsidR="00084D3C" w:rsidRPr="00372FD5" w:rsidRDefault="00084D3C" w:rsidP="004166A6">
            <w:pPr>
              <w:ind w:right="-193"/>
              <w:rPr>
                <w:rFonts w:cs="Arial"/>
              </w:rPr>
            </w:pPr>
            <w:r w:rsidRPr="00372FD5">
              <w:rPr>
                <w:rFonts w:cs="Arial"/>
              </w:rPr>
              <w:t>34302100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9604C2" w14:textId="77777777" w:rsidR="00084D3C" w:rsidRPr="00372FD5" w:rsidRDefault="00084D3C" w:rsidP="004166A6">
            <w:pPr>
              <w:ind w:right="-193"/>
              <w:rPr>
                <w:rFonts w:cs="Arial"/>
              </w:rPr>
            </w:pPr>
            <w:r w:rsidRPr="00372FD5">
              <w:rPr>
                <w:rFonts w:cs="Arial"/>
              </w:rPr>
              <w:t>34302000</w:t>
            </w:r>
          </w:p>
        </w:tc>
        <w:tc>
          <w:tcPr>
            <w:tcW w:w="6119" w:type="dxa"/>
            <w:tcBorders>
              <w:top w:val="single" w:sz="4" w:space="0" w:color="auto"/>
              <w:left w:val="nil"/>
              <w:bottom w:val="single" w:sz="4" w:space="0" w:color="auto"/>
              <w:right w:val="single" w:sz="4" w:space="0" w:color="auto"/>
            </w:tcBorders>
            <w:shd w:val="clear" w:color="auto" w:fill="auto"/>
            <w:noWrap/>
            <w:vAlign w:val="center"/>
          </w:tcPr>
          <w:p w14:paraId="729604C3" w14:textId="77777777" w:rsidR="00084D3C" w:rsidRPr="00372FD5" w:rsidRDefault="00084D3C" w:rsidP="004166A6">
            <w:pPr>
              <w:ind w:right="-193"/>
              <w:rPr>
                <w:rFonts w:cs="Arial"/>
              </w:rPr>
            </w:pPr>
            <w:r w:rsidRPr="00372FD5">
              <w:rPr>
                <w:rFonts w:cs="Arial"/>
              </w:rPr>
              <w:t xml:space="preserve">           Reservas voluntarias con destino específico-Colones</w:t>
            </w:r>
          </w:p>
        </w:tc>
      </w:tr>
      <w:tr w:rsidR="00084D3C" w:rsidRPr="00372FD5" w14:paraId="729604C9" w14:textId="77777777" w:rsidTr="004166A6">
        <w:trPr>
          <w:trHeight w:val="495"/>
          <w:tblHeader/>
          <w:jc w:val="center"/>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604C5" w14:textId="77777777" w:rsidR="00084D3C" w:rsidRPr="00372FD5" w:rsidRDefault="00084D3C" w:rsidP="004166A6">
            <w:pPr>
              <w:ind w:right="-193"/>
              <w:rPr>
                <w:rFonts w:cs="Arial"/>
              </w:rPr>
            </w:pPr>
            <w:r w:rsidRPr="00372FD5">
              <w:rPr>
                <w:rFonts w:cs="Arial"/>
              </w:rPr>
              <w:t>BG_SAFI</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9604C6" w14:textId="77777777" w:rsidR="00084D3C" w:rsidRPr="00372FD5" w:rsidRDefault="00084D3C" w:rsidP="004166A6">
            <w:pPr>
              <w:ind w:right="-193"/>
              <w:rPr>
                <w:rFonts w:cs="Arial"/>
              </w:rPr>
            </w:pPr>
            <w:r w:rsidRPr="00372FD5">
              <w:rPr>
                <w:rFonts w:cs="Arial"/>
              </w:rPr>
              <w:t>34302101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9604C7" w14:textId="77777777" w:rsidR="00084D3C" w:rsidRPr="00372FD5" w:rsidRDefault="00084D3C" w:rsidP="004166A6">
            <w:pPr>
              <w:ind w:right="-193"/>
              <w:rPr>
                <w:rFonts w:cs="Arial"/>
              </w:rPr>
            </w:pPr>
            <w:r w:rsidRPr="00372FD5">
              <w:rPr>
                <w:rFonts w:cs="Arial"/>
              </w:rPr>
              <w:t>34302100</w:t>
            </w:r>
          </w:p>
        </w:tc>
        <w:tc>
          <w:tcPr>
            <w:tcW w:w="6119" w:type="dxa"/>
            <w:tcBorders>
              <w:top w:val="single" w:sz="4" w:space="0" w:color="auto"/>
              <w:left w:val="nil"/>
              <w:bottom w:val="single" w:sz="4" w:space="0" w:color="auto"/>
              <w:right w:val="single" w:sz="4" w:space="0" w:color="auto"/>
            </w:tcBorders>
            <w:shd w:val="clear" w:color="auto" w:fill="auto"/>
            <w:noWrap/>
            <w:vAlign w:val="center"/>
          </w:tcPr>
          <w:p w14:paraId="729604C8" w14:textId="77777777" w:rsidR="00084D3C" w:rsidRPr="00372FD5" w:rsidRDefault="00084D3C" w:rsidP="004166A6">
            <w:pPr>
              <w:ind w:right="-193"/>
              <w:rPr>
                <w:rFonts w:cs="Arial"/>
              </w:rPr>
            </w:pPr>
            <w:r w:rsidRPr="00372FD5">
              <w:rPr>
                <w:rFonts w:cs="Arial"/>
              </w:rPr>
              <w:t xml:space="preserve">                Reservas voluntarias para cobertura de pérdidas</w:t>
            </w:r>
          </w:p>
        </w:tc>
      </w:tr>
      <w:tr w:rsidR="00084D3C" w:rsidRPr="00372FD5" w14:paraId="729604CE" w14:textId="77777777" w:rsidTr="004166A6">
        <w:trPr>
          <w:trHeight w:val="495"/>
          <w:tblHeader/>
          <w:jc w:val="center"/>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604CA" w14:textId="77777777" w:rsidR="00084D3C" w:rsidRPr="00372FD5" w:rsidRDefault="00084D3C" w:rsidP="004166A6">
            <w:pPr>
              <w:ind w:right="-193"/>
              <w:rPr>
                <w:rFonts w:cs="Arial"/>
              </w:rPr>
            </w:pPr>
            <w:r w:rsidRPr="00372FD5">
              <w:rPr>
                <w:rFonts w:cs="Arial"/>
              </w:rPr>
              <w:t>BG_SAFI</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9604CB" w14:textId="77777777" w:rsidR="00084D3C" w:rsidRPr="00372FD5" w:rsidRDefault="00084D3C" w:rsidP="004166A6">
            <w:pPr>
              <w:ind w:right="-193"/>
              <w:rPr>
                <w:rFonts w:cs="Arial"/>
              </w:rPr>
            </w:pPr>
            <w:r w:rsidRPr="00372FD5">
              <w:rPr>
                <w:rFonts w:cs="Arial"/>
              </w:rPr>
              <w:t>34302102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9604CC" w14:textId="77777777" w:rsidR="00084D3C" w:rsidRPr="00372FD5" w:rsidRDefault="00084D3C" w:rsidP="004166A6">
            <w:pPr>
              <w:ind w:right="-193"/>
              <w:rPr>
                <w:rFonts w:cs="Arial"/>
              </w:rPr>
            </w:pPr>
            <w:r w:rsidRPr="00372FD5">
              <w:rPr>
                <w:rFonts w:cs="Arial"/>
              </w:rPr>
              <w:t>34302100</w:t>
            </w:r>
          </w:p>
        </w:tc>
        <w:tc>
          <w:tcPr>
            <w:tcW w:w="6119" w:type="dxa"/>
            <w:tcBorders>
              <w:top w:val="single" w:sz="4" w:space="0" w:color="auto"/>
              <w:left w:val="nil"/>
              <w:bottom w:val="single" w:sz="4" w:space="0" w:color="auto"/>
              <w:right w:val="single" w:sz="4" w:space="0" w:color="auto"/>
            </w:tcBorders>
            <w:shd w:val="clear" w:color="auto" w:fill="auto"/>
            <w:noWrap/>
            <w:vAlign w:val="center"/>
          </w:tcPr>
          <w:p w14:paraId="729604CD" w14:textId="77777777" w:rsidR="00084D3C" w:rsidRPr="00372FD5" w:rsidRDefault="00084D3C" w:rsidP="004166A6">
            <w:pPr>
              <w:ind w:left="919" w:right="-193" w:hanging="919"/>
              <w:rPr>
                <w:rFonts w:cs="Arial"/>
              </w:rPr>
            </w:pPr>
            <w:r w:rsidRPr="00372FD5">
              <w:rPr>
                <w:rFonts w:cs="Arial"/>
              </w:rPr>
              <w:t xml:space="preserve">                Reservas voluntarias para otros destinos específicos</w:t>
            </w:r>
          </w:p>
        </w:tc>
      </w:tr>
    </w:tbl>
    <w:p w14:paraId="729604CF" w14:textId="77777777" w:rsidR="00084D3C" w:rsidRPr="00372FD5" w:rsidRDefault="00084D3C" w:rsidP="00084D3C">
      <w:pPr>
        <w:pStyle w:val="Numeracin"/>
        <w:numPr>
          <w:ilvl w:val="0"/>
          <w:numId w:val="0"/>
        </w:numPr>
        <w:spacing w:before="0"/>
        <w:ind w:right="-193"/>
        <w:rPr>
          <w:rFonts w:ascii="Arial" w:hAnsi="Arial" w:cs="Arial"/>
          <w:b/>
          <w:szCs w:val="22"/>
          <w:lang w:val="es-CR"/>
        </w:rPr>
      </w:pPr>
    </w:p>
    <w:p w14:paraId="729604D0" w14:textId="77777777" w:rsidR="00E728D0" w:rsidRDefault="00E728D0" w:rsidP="00084D3C">
      <w:pPr>
        <w:pStyle w:val="Numeracin"/>
        <w:numPr>
          <w:ilvl w:val="0"/>
          <w:numId w:val="0"/>
        </w:numPr>
        <w:spacing w:before="0"/>
        <w:ind w:right="-193"/>
        <w:jc w:val="center"/>
        <w:rPr>
          <w:rFonts w:ascii="Arial" w:hAnsi="Arial" w:cs="Arial"/>
          <w:b/>
          <w:szCs w:val="22"/>
          <w:lang w:val="es-CR"/>
        </w:rPr>
      </w:pPr>
    </w:p>
    <w:bookmarkStart w:id="6" w:name="_MON_1546855695"/>
    <w:bookmarkEnd w:id="6"/>
    <w:p w14:paraId="729604D1" w14:textId="77777777" w:rsidR="00E728D0" w:rsidRDefault="00084D3C" w:rsidP="00E728D0">
      <w:pPr>
        <w:pStyle w:val="Numeracin"/>
        <w:numPr>
          <w:ilvl w:val="0"/>
          <w:numId w:val="0"/>
        </w:numPr>
        <w:spacing w:before="0"/>
        <w:ind w:right="-193"/>
        <w:jc w:val="center"/>
        <w:rPr>
          <w:rFonts w:ascii="Arial" w:hAnsi="Arial" w:cs="Arial"/>
          <w:b/>
          <w:szCs w:val="22"/>
          <w:lang w:val="es-CR"/>
        </w:rPr>
      </w:pPr>
      <w:r w:rsidRPr="00372FD5">
        <w:rPr>
          <w:rFonts w:ascii="Arial" w:hAnsi="Arial" w:cs="Arial"/>
          <w:b/>
          <w:szCs w:val="22"/>
          <w:lang w:val="es-CR"/>
        </w:rPr>
        <w:object w:dxaOrig="1513" w:dyaOrig="996" w14:anchorId="7296057F">
          <v:shape id="_x0000_i1030" type="#_x0000_t75" style="width:75.75pt;height:49.5pt" o:ole="">
            <v:imagedata r:id="rId21" o:title=""/>
          </v:shape>
          <o:OLEObject Type="Embed" ProgID="Excel.Sheet.12" ShapeID="_x0000_i1030" DrawAspect="Icon" ObjectID="_1554727337" r:id="rId22"/>
        </w:object>
      </w:r>
    </w:p>
    <w:p w14:paraId="729604D2" w14:textId="77777777" w:rsidR="00E728D0" w:rsidRDefault="00E728D0" w:rsidP="00E728D0">
      <w:pPr>
        <w:pStyle w:val="Numeracin"/>
        <w:numPr>
          <w:ilvl w:val="0"/>
          <w:numId w:val="0"/>
        </w:numPr>
        <w:spacing w:before="0"/>
        <w:ind w:right="-193"/>
        <w:rPr>
          <w:rFonts w:ascii="Arial" w:hAnsi="Arial" w:cs="Arial"/>
          <w:b/>
          <w:szCs w:val="22"/>
          <w:lang w:val="es-CR"/>
        </w:rPr>
      </w:pPr>
    </w:p>
    <w:p w14:paraId="729604D3" w14:textId="77777777" w:rsidR="00084D3C" w:rsidRPr="00372FD5" w:rsidRDefault="00084D3C" w:rsidP="00084D3C">
      <w:pPr>
        <w:pStyle w:val="Numeracin"/>
        <w:numPr>
          <w:ilvl w:val="0"/>
          <w:numId w:val="0"/>
        </w:numPr>
        <w:spacing w:before="0"/>
        <w:ind w:right="-193"/>
        <w:rPr>
          <w:rFonts w:ascii="Arial" w:hAnsi="Arial" w:cs="Arial"/>
          <w:b/>
          <w:szCs w:val="22"/>
        </w:rPr>
      </w:pPr>
      <w:r w:rsidRPr="00372FD5">
        <w:rPr>
          <w:rFonts w:ascii="Arial" w:hAnsi="Arial" w:cs="Arial"/>
          <w:b/>
          <w:szCs w:val="22"/>
        </w:rPr>
        <w:t>Artículo 2</w:t>
      </w:r>
      <w:r w:rsidR="008448AA">
        <w:rPr>
          <w:rFonts w:ascii="Arial" w:hAnsi="Arial" w:cs="Arial"/>
          <w:b/>
          <w:szCs w:val="22"/>
        </w:rPr>
        <w:t xml:space="preserve">. </w:t>
      </w:r>
      <w:r w:rsidRPr="00372FD5">
        <w:rPr>
          <w:rFonts w:ascii="Arial" w:hAnsi="Arial" w:cs="Arial"/>
          <w:b/>
          <w:szCs w:val="22"/>
        </w:rPr>
        <w:t>Modificaciones</w:t>
      </w:r>
    </w:p>
    <w:p w14:paraId="729604D4" w14:textId="77777777" w:rsidR="00084D3C" w:rsidRPr="00372FD5" w:rsidRDefault="00084D3C" w:rsidP="00084D3C">
      <w:pPr>
        <w:pStyle w:val="Numeracin"/>
        <w:numPr>
          <w:ilvl w:val="0"/>
          <w:numId w:val="0"/>
        </w:numPr>
        <w:spacing w:before="0"/>
        <w:ind w:right="-193"/>
        <w:rPr>
          <w:rFonts w:ascii="Arial" w:hAnsi="Arial" w:cs="Arial"/>
          <w:b/>
          <w:szCs w:val="22"/>
        </w:rPr>
      </w:pPr>
    </w:p>
    <w:p w14:paraId="729604D5" w14:textId="77777777" w:rsidR="00084D3C" w:rsidRPr="00372FD5" w:rsidRDefault="00084D3C" w:rsidP="00084D3C">
      <w:pPr>
        <w:pStyle w:val="Numeracin"/>
        <w:numPr>
          <w:ilvl w:val="0"/>
          <w:numId w:val="0"/>
        </w:numPr>
        <w:spacing w:before="0"/>
        <w:ind w:right="-193"/>
        <w:rPr>
          <w:rFonts w:ascii="Arial" w:hAnsi="Arial" w:cs="Arial"/>
          <w:szCs w:val="22"/>
        </w:rPr>
      </w:pPr>
      <w:r w:rsidRPr="00372FD5">
        <w:rPr>
          <w:rFonts w:ascii="Arial" w:hAnsi="Arial" w:cs="Arial"/>
          <w:szCs w:val="22"/>
        </w:rPr>
        <w:t>Se realizan las siguientes modificaciones a las disposiciones del acuerdo SGV-A-75:</w:t>
      </w:r>
    </w:p>
    <w:p w14:paraId="729604D6" w14:textId="77777777" w:rsidR="00084D3C" w:rsidRPr="00372FD5" w:rsidRDefault="00084D3C" w:rsidP="00084D3C">
      <w:pPr>
        <w:pStyle w:val="Numeracin"/>
        <w:numPr>
          <w:ilvl w:val="0"/>
          <w:numId w:val="0"/>
        </w:numPr>
        <w:spacing w:before="0"/>
        <w:ind w:right="-193"/>
        <w:rPr>
          <w:rFonts w:ascii="Arial" w:hAnsi="Arial" w:cs="Arial"/>
          <w:b/>
          <w:szCs w:val="22"/>
        </w:rPr>
      </w:pPr>
    </w:p>
    <w:p w14:paraId="729604D7" w14:textId="77777777" w:rsidR="00084D3C" w:rsidRPr="00372FD5" w:rsidRDefault="00084D3C" w:rsidP="00084D3C">
      <w:pPr>
        <w:pStyle w:val="Numeracin"/>
        <w:numPr>
          <w:ilvl w:val="0"/>
          <w:numId w:val="0"/>
        </w:numPr>
        <w:tabs>
          <w:tab w:val="left" w:pos="567"/>
        </w:tabs>
        <w:spacing w:before="0"/>
        <w:ind w:left="360" w:right="-193" w:hanging="360"/>
        <w:rPr>
          <w:rFonts w:ascii="Arial" w:hAnsi="Arial" w:cs="Arial"/>
          <w:b/>
          <w:szCs w:val="22"/>
        </w:rPr>
      </w:pPr>
    </w:p>
    <w:p w14:paraId="729604D8" w14:textId="77777777" w:rsidR="00084D3C" w:rsidRPr="00372FD5" w:rsidRDefault="00084D3C" w:rsidP="00084D3C">
      <w:pPr>
        <w:pStyle w:val="Numeracin"/>
        <w:numPr>
          <w:ilvl w:val="0"/>
          <w:numId w:val="6"/>
        </w:numPr>
        <w:spacing w:before="0"/>
        <w:ind w:right="-193"/>
        <w:rPr>
          <w:rFonts w:ascii="Arial" w:hAnsi="Arial" w:cs="Arial"/>
          <w:szCs w:val="22"/>
        </w:rPr>
      </w:pPr>
      <w:r w:rsidRPr="00372FD5">
        <w:rPr>
          <w:rFonts w:ascii="Arial" w:hAnsi="Arial" w:cs="Arial"/>
          <w:szCs w:val="22"/>
        </w:rPr>
        <w:t>Se modifica integralmente al archivo XML de remisión de información de las bolsas de valores, de acuerdo con el archivo adjunto.</w:t>
      </w:r>
    </w:p>
    <w:p w14:paraId="729604D9" w14:textId="77777777" w:rsidR="00084D3C" w:rsidRPr="00372FD5" w:rsidRDefault="00084D3C" w:rsidP="00084D3C">
      <w:pPr>
        <w:pStyle w:val="Numeracin"/>
        <w:numPr>
          <w:ilvl w:val="0"/>
          <w:numId w:val="0"/>
        </w:numPr>
        <w:tabs>
          <w:tab w:val="left" w:pos="567"/>
        </w:tabs>
        <w:spacing w:before="0"/>
        <w:ind w:left="360" w:right="-193" w:hanging="360"/>
        <w:rPr>
          <w:rFonts w:ascii="Arial" w:hAnsi="Arial" w:cs="Arial"/>
          <w:szCs w:val="22"/>
        </w:rPr>
      </w:pPr>
    </w:p>
    <w:bookmarkStart w:id="7" w:name="_MON_1529829351"/>
    <w:bookmarkEnd w:id="7"/>
    <w:p w14:paraId="729604DA" w14:textId="77777777" w:rsidR="00084D3C" w:rsidRPr="00372FD5" w:rsidRDefault="00084D3C" w:rsidP="00084D3C">
      <w:pPr>
        <w:pStyle w:val="Numeracin"/>
        <w:numPr>
          <w:ilvl w:val="0"/>
          <w:numId w:val="0"/>
        </w:numPr>
        <w:spacing w:before="0"/>
        <w:ind w:right="-193"/>
        <w:jc w:val="center"/>
        <w:rPr>
          <w:rFonts w:ascii="Arial" w:hAnsi="Arial" w:cs="Arial"/>
          <w:b/>
          <w:szCs w:val="22"/>
        </w:rPr>
      </w:pPr>
      <w:r w:rsidRPr="00372FD5">
        <w:rPr>
          <w:rFonts w:ascii="Arial" w:hAnsi="Arial" w:cs="Arial"/>
          <w:szCs w:val="22"/>
        </w:rPr>
        <w:object w:dxaOrig="1531" w:dyaOrig="990" w14:anchorId="72960580">
          <v:shape id="_x0000_i1031" type="#_x0000_t75" style="width:76.5pt;height:49.5pt" o:ole="">
            <v:imagedata r:id="rId23" o:title=""/>
          </v:shape>
          <o:OLEObject Type="Embed" ProgID="Word.Document.12" ShapeID="_x0000_i1031" DrawAspect="Icon" ObjectID="_1554727338" r:id="rId24">
            <o:FieldCodes>\s</o:FieldCodes>
          </o:OLEObject>
        </w:object>
      </w:r>
    </w:p>
    <w:p w14:paraId="729604DB" w14:textId="77777777" w:rsidR="00084D3C" w:rsidRPr="00372FD5" w:rsidRDefault="00084D3C" w:rsidP="00084D3C">
      <w:pPr>
        <w:pStyle w:val="Numeracin"/>
        <w:numPr>
          <w:ilvl w:val="0"/>
          <w:numId w:val="0"/>
        </w:numPr>
        <w:spacing w:before="0"/>
        <w:ind w:right="-193"/>
        <w:rPr>
          <w:rFonts w:ascii="Arial" w:hAnsi="Arial" w:cs="Arial"/>
          <w:b/>
          <w:szCs w:val="22"/>
        </w:rPr>
      </w:pPr>
    </w:p>
    <w:p w14:paraId="729604DC" w14:textId="77777777" w:rsidR="00084D3C" w:rsidRPr="00372FD5" w:rsidRDefault="00084D3C" w:rsidP="00084D3C">
      <w:pPr>
        <w:pStyle w:val="Numeracin"/>
        <w:numPr>
          <w:ilvl w:val="0"/>
          <w:numId w:val="6"/>
        </w:numPr>
        <w:spacing w:before="0"/>
        <w:ind w:right="-193"/>
        <w:rPr>
          <w:rFonts w:ascii="Arial" w:hAnsi="Arial" w:cs="Arial"/>
          <w:szCs w:val="22"/>
        </w:rPr>
      </w:pPr>
      <w:r w:rsidRPr="00372FD5">
        <w:rPr>
          <w:rFonts w:ascii="Arial" w:hAnsi="Arial" w:cs="Arial"/>
          <w:szCs w:val="22"/>
        </w:rPr>
        <w:t>En el “Reporte de Colocaciones”, Anexo 3a, 3b y 3c, se modifica el nombre de las siguientes cuentas que hacen referencia a colocación por ventanilla para que se muestren como colocación directa, de acuerdo con lo siguiente:</w:t>
      </w:r>
    </w:p>
    <w:p w14:paraId="729604DD" w14:textId="77777777" w:rsidR="00084D3C" w:rsidRPr="00372FD5" w:rsidRDefault="00084D3C" w:rsidP="00084D3C">
      <w:pPr>
        <w:pStyle w:val="Numeracin"/>
        <w:numPr>
          <w:ilvl w:val="0"/>
          <w:numId w:val="0"/>
        </w:numPr>
        <w:spacing w:before="0"/>
        <w:ind w:left="1065" w:right="-193"/>
        <w:rPr>
          <w:rFonts w:ascii="Arial" w:hAnsi="Arial" w:cs="Arial"/>
          <w:szCs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53"/>
        <w:gridCol w:w="4394"/>
      </w:tblGrid>
      <w:tr w:rsidR="00084D3C" w:rsidRPr="00372FD5" w14:paraId="729604E1" w14:textId="77777777" w:rsidTr="004166A6">
        <w:trPr>
          <w:trHeight w:val="757"/>
          <w:jc w:val="center"/>
        </w:trPr>
        <w:tc>
          <w:tcPr>
            <w:tcW w:w="1276" w:type="dxa"/>
            <w:shd w:val="clear" w:color="000000" w:fill="FFFFFF"/>
            <w:vAlign w:val="center"/>
            <w:hideMark/>
          </w:tcPr>
          <w:p w14:paraId="729604DE"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Código Cuenta</w:t>
            </w:r>
          </w:p>
        </w:tc>
        <w:tc>
          <w:tcPr>
            <w:tcW w:w="4253" w:type="dxa"/>
            <w:shd w:val="clear" w:color="000000" w:fill="FFFFFF"/>
            <w:vAlign w:val="center"/>
            <w:hideMark/>
          </w:tcPr>
          <w:p w14:paraId="729604DF"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Nombre Vigente</w:t>
            </w:r>
          </w:p>
        </w:tc>
        <w:tc>
          <w:tcPr>
            <w:tcW w:w="4394" w:type="dxa"/>
            <w:shd w:val="clear" w:color="000000" w:fill="FFFFFF"/>
            <w:vAlign w:val="center"/>
          </w:tcPr>
          <w:p w14:paraId="729604E0"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Nombre Propuesto</w:t>
            </w:r>
          </w:p>
        </w:tc>
      </w:tr>
      <w:tr w:rsidR="00084D3C" w:rsidRPr="00372FD5" w14:paraId="729604E5" w14:textId="77777777" w:rsidTr="004166A6">
        <w:trPr>
          <w:trHeight w:val="279"/>
          <w:jc w:val="center"/>
        </w:trPr>
        <w:tc>
          <w:tcPr>
            <w:tcW w:w="1276" w:type="dxa"/>
            <w:shd w:val="clear" w:color="auto" w:fill="auto"/>
            <w:noWrap/>
            <w:vAlign w:val="center"/>
          </w:tcPr>
          <w:p w14:paraId="729604E2" w14:textId="77777777" w:rsidR="00084D3C" w:rsidRPr="00372FD5" w:rsidRDefault="00084D3C" w:rsidP="004166A6">
            <w:pPr>
              <w:spacing w:after="0" w:line="240" w:lineRule="auto"/>
              <w:ind w:right="-193"/>
              <w:rPr>
                <w:rFonts w:eastAsia="Times New Roman" w:cs="Arial"/>
                <w:lang w:val="es-CR"/>
              </w:rPr>
            </w:pPr>
            <w:r w:rsidRPr="00372FD5">
              <w:rPr>
                <w:rFonts w:cs="Arial"/>
              </w:rPr>
              <w:t xml:space="preserve">12000000       </w:t>
            </w:r>
          </w:p>
        </w:tc>
        <w:tc>
          <w:tcPr>
            <w:tcW w:w="4253" w:type="dxa"/>
            <w:shd w:val="clear" w:color="auto" w:fill="auto"/>
            <w:noWrap/>
            <w:vAlign w:val="center"/>
            <w:hideMark/>
          </w:tcPr>
          <w:p w14:paraId="729604E3" w14:textId="77777777" w:rsidR="00084D3C" w:rsidRPr="00372FD5" w:rsidRDefault="00084D3C" w:rsidP="004166A6">
            <w:pPr>
              <w:spacing w:after="0" w:line="240" w:lineRule="auto"/>
              <w:ind w:right="-193"/>
              <w:rPr>
                <w:rFonts w:eastAsia="Times New Roman" w:cs="Arial"/>
                <w:lang w:val="es-CR"/>
              </w:rPr>
            </w:pPr>
            <w:r w:rsidRPr="00372FD5">
              <w:rPr>
                <w:rFonts w:cs="Arial"/>
              </w:rPr>
              <w:t>Monto colocado por ventanilla a valor facial</w:t>
            </w:r>
          </w:p>
        </w:tc>
        <w:tc>
          <w:tcPr>
            <w:tcW w:w="4394" w:type="dxa"/>
            <w:shd w:val="clear" w:color="auto" w:fill="auto"/>
            <w:vAlign w:val="center"/>
          </w:tcPr>
          <w:p w14:paraId="729604E4" w14:textId="77777777" w:rsidR="00084D3C" w:rsidRPr="00372FD5" w:rsidRDefault="00084D3C" w:rsidP="004166A6">
            <w:pPr>
              <w:spacing w:after="0" w:line="240" w:lineRule="auto"/>
              <w:ind w:right="-193"/>
              <w:rPr>
                <w:rFonts w:eastAsia="Times New Roman" w:cs="Arial"/>
                <w:lang w:val="es-CR"/>
              </w:rPr>
            </w:pPr>
            <w:r w:rsidRPr="00372FD5">
              <w:rPr>
                <w:rFonts w:cs="Arial"/>
              </w:rPr>
              <w:t>Monto por colocación directa a valor facial</w:t>
            </w:r>
          </w:p>
        </w:tc>
      </w:tr>
      <w:tr w:rsidR="00084D3C" w:rsidRPr="00372FD5" w14:paraId="729604EA" w14:textId="77777777" w:rsidTr="004166A6">
        <w:trPr>
          <w:trHeight w:val="279"/>
          <w:jc w:val="center"/>
        </w:trPr>
        <w:tc>
          <w:tcPr>
            <w:tcW w:w="1276" w:type="dxa"/>
            <w:shd w:val="clear" w:color="auto" w:fill="auto"/>
            <w:noWrap/>
            <w:vAlign w:val="center"/>
          </w:tcPr>
          <w:p w14:paraId="729604E6" w14:textId="77777777" w:rsidR="00084D3C" w:rsidRPr="00372FD5" w:rsidRDefault="00084D3C" w:rsidP="004166A6">
            <w:pPr>
              <w:spacing w:after="0" w:line="240" w:lineRule="auto"/>
              <w:ind w:right="-193"/>
              <w:rPr>
                <w:rFonts w:cs="Arial"/>
              </w:rPr>
            </w:pPr>
            <w:r w:rsidRPr="00372FD5">
              <w:rPr>
                <w:rFonts w:cs="Arial"/>
              </w:rPr>
              <w:t xml:space="preserve">12000000  </w:t>
            </w:r>
          </w:p>
          <w:p w14:paraId="729604E7" w14:textId="77777777" w:rsidR="00084D3C" w:rsidRPr="00372FD5" w:rsidRDefault="00084D3C" w:rsidP="004166A6">
            <w:pPr>
              <w:spacing w:after="0" w:line="240" w:lineRule="auto"/>
              <w:ind w:right="-193"/>
              <w:rPr>
                <w:rFonts w:cs="Arial"/>
              </w:rPr>
            </w:pPr>
            <w:r w:rsidRPr="00372FD5">
              <w:rPr>
                <w:rFonts w:cs="Arial"/>
              </w:rPr>
              <w:t xml:space="preserve">Instructivo    </w:t>
            </w:r>
          </w:p>
        </w:tc>
        <w:tc>
          <w:tcPr>
            <w:tcW w:w="4253" w:type="dxa"/>
            <w:shd w:val="clear" w:color="auto" w:fill="auto"/>
            <w:noWrap/>
            <w:vAlign w:val="center"/>
          </w:tcPr>
          <w:p w14:paraId="729604E8" w14:textId="77777777" w:rsidR="00084D3C" w:rsidRPr="00372FD5" w:rsidRDefault="00084D3C" w:rsidP="004166A6">
            <w:pPr>
              <w:spacing w:after="0" w:line="240" w:lineRule="auto"/>
              <w:ind w:right="-193"/>
              <w:rPr>
                <w:rFonts w:cs="Arial"/>
              </w:rPr>
            </w:pPr>
            <w:r w:rsidRPr="00372FD5">
              <w:rPr>
                <w:rFonts w:cs="Arial"/>
              </w:rPr>
              <w:t>Monto total colocado a valor facial, por medio del  mecanismo de ventanilla.</w:t>
            </w:r>
          </w:p>
        </w:tc>
        <w:tc>
          <w:tcPr>
            <w:tcW w:w="4394" w:type="dxa"/>
            <w:shd w:val="clear" w:color="auto" w:fill="auto"/>
            <w:vAlign w:val="center"/>
          </w:tcPr>
          <w:p w14:paraId="729604E9" w14:textId="77777777" w:rsidR="00084D3C" w:rsidRPr="00372FD5" w:rsidRDefault="00084D3C" w:rsidP="004166A6">
            <w:pPr>
              <w:spacing w:after="0" w:line="240" w:lineRule="auto"/>
              <w:ind w:right="-193"/>
              <w:rPr>
                <w:rFonts w:cs="Arial"/>
              </w:rPr>
            </w:pPr>
            <w:r w:rsidRPr="00372FD5">
              <w:rPr>
                <w:rFonts w:cs="Arial"/>
              </w:rPr>
              <w:t>Monto total colocado a valor facial, por medio del  mecanismo de colocación directa.</w:t>
            </w:r>
          </w:p>
        </w:tc>
      </w:tr>
      <w:tr w:rsidR="00084D3C" w:rsidRPr="00372FD5" w14:paraId="729604EE" w14:textId="77777777" w:rsidTr="004166A6">
        <w:trPr>
          <w:trHeight w:val="279"/>
          <w:jc w:val="center"/>
        </w:trPr>
        <w:tc>
          <w:tcPr>
            <w:tcW w:w="1276" w:type="dxa"/>
            <w:shd w:val="clear" w:color="auto" w:fill="auto"/>
            <w:noWrap/>
            <w:vAlign w:val="center"/>
          </w:tcPr>
          <w:p w14:paraId="729604EB" w14:textId="77777777" w:rsidR="00084D3C" w:rsidRPr="00372FD5" w:rsidRDefault="00084D3C" w:rsidP="004166A6">
            <w:pPr>
              <w:spacing w:after="0" w:line="240" w:lineRule="auto"/>
              <w:ind w:right="-193"/>
              <w:rPr>
                <w:rFonts w:cs="Arial"/>
              </w:rPr>
            </w:pPr>
            <w:r w:rsidRPr="00372FD5">
              <w:rPr>
                <w:rFonts w:cs="Arial"/>
              </w:rPr>
              <w:t xml:space="preserve">12010000       </w:t>
            </w:r>
          </w:p>
        </w:tc>
        <w:tc>
          <w:tcPr>
            <w:tcW w:w="4253" w:type="dxa"/>
            <w:shd w:val="clear" w:color="auto" w:fill="auto"/>
            <w:noWrap/>
            <w:vAlign w:val="center"/>
          </w:tcPr>
          <w:p w14:paraId="729604EC" w14:textId="77777777" w:rsidR="00084D3C" w:rsidRPr="00372FD5" w:rsidRDefault="00084D3C" w:rsidP="004166A6">
            <w:pPr>
              <w:spacing w:after="0" w:line="240" w:lineRule="auto"/>
              <w:ind w:right="-193"/>
              <w:rPr>
                <w:rFonts w:cs="Arial"/>
              </w:rPr>
            </w:pPr>
            <w:r w:rsidRPr="00372FD5">
              <w:rPr>
                <w:rFonts w:cs="Arial"/>
              </w:rPr>
              <w:t xml:space="preserve">    Monto  colocado por ventanilla a valor transado</w:t>
            </w:r>
          </w:p>
        </w:tc>
        <w:tc>
          <w:tcPr>
            <w:tcW w:w="4394" w:type="dxa"/>
            <w:shd w:val="clear" w:color="auto" w:fill="auto"/>
            <w:vAlign w:val="center"/>
          </w:tcPr>
          <w:p w14:paraId="729604ED" w14:textId="77777777" w:rsidR="00084D3C" w:rsidRPr="00372FD5" w:rsidRDefault="00084D3C" w:rsidP="004166A6">
            <w:pPr>
              <w:spacing w:after="0" w:line="240" w:lineRule="auto"/>
              <w:ind w:right="-193"/>
              <w:rPr>
                <w:rFonts w:cs="Arial"/>
              </w:rPr>
            </w:pPr>
            <w:r w:rsidRPr="00372FD5">
              <w:rPr>
                <w:rFonts w:cs="Arial"/>
              </w:rPr>
              <w:t xml:space="preserve">    Monto  por colocación directa a valor transado</w:t>
            </w:r>
          </w:p>
        </w:tc>
      </w:tr>
      <w:tr w:rsidR="00084D3C" w:rsidRPr="00372FD5" w14:paraId="729604F3" w14:textId="77777777" w:rsidTr="004166A6">
        <w:trPr>
          <w:trHeight w:val="279"/>
          <w:jc w:val="center"/>
        </w:trPr>
        <w:tc>
          <w:tcPr>
            <w:tcW w:w="1276" w:type="dxa"/>
            <w:shd w:val="clear" w:color="auto" w:fill="auto"/>
            <w:noWrap/>
            <w:vAlign w:val="center"/>
          </w:tcPr>
          <w:p w14:paraId="729604EF" w14:textId="77777777" w:rsidR="00084D3C" w:rsidRPr="00372FD5" w:rsidRDefault="00084D3C" w:rsidP="004166A6">
            <w:pPr>
              <w:spacing w:after="0" w:line="240" w:lineRule="auto"/>
              <w:ind w:right="-193"/>
              <w:rPr>
                <w:rFonts w:cs="Arial"/>
              </w:rPr>
            </w:pPr>
            <w:r w:rsidRPr="00372FD5">
              <w:rPr>
                <w:rFonts w:cs="Arial"/>
              </w:rPr>
              <w:t>12010000</w:t>
            </w:r>
          </w:p>
          <w:p w14:paraId="729604F0" w14:textId="77777777" w:rsidR="00084D3C" w:rsidRPr="00372FD5" w:rsidRDefault="00084D3C" w:rsidP="004166A6">
            <w:pPr>
              <w:spacing w:after="0" w:line="240" w:lineRule="auto"/>
              <w:ind w:right="-193"/>
              <w:rPr>
                <w:rFonts w:cs="Arial"/>
              </w:rPr>
            </w:pPr>
            <w:r w:rsidRPr="00372FD5">
              <w:rPr>
                <w:rFonts w:cs="Arial"/>
              </w:rPr>
              <w:t>Instructivo</w:t>
            </w:r>
          </w:p>
        </w:tc>
        <w:tc>
          <w:tcPr>
            <w:tcW w:w="4253" w:type="dxa"/>
            <w:shd w:val="clear" w:color="auto" w:fill="auto"/>
            <w:noWrap/>
            <w:vAlign w:val="center"/>
          </w:tcPr>
          <w:p w14:paraId="729604F1" w14:textId="77777777" w:rsidR="00084D3C" w:rsidRPr="00372FD5" w:rsidRDefault="00084D3C" w:rsidP="004166A6">
            <w:pPr>
              <w:spacing w:after="0" w:line="240" w:lineRule="auto"/>
              <w:ind w:right="-193"/>
              <w:rPr>
                <w:rFonts w:cs="Arial"/>
              </w:rPr>
            </w:pPr>
            <w:r w:rsidRPr="00372FD5">
              <w:rPr>
                <w:rFonts w:cs="Arial"/>
              </w:rPr>
              <w:t>Monto total colocado a valor transado, por medio del  mecanismo de ventanilla.</w:t>
            </w:r>
          </w:p>
        </w:tc>
        <w:tc>
          <w:tcPr>
            <w:tcW w:w="4394" w:type="dxa"/>
            <w:shd w:val="clear" w:color="auto" w:fill="auto"/>
            <w:vAlign w:val="center"/>
          </w:tcPr>
          <w:p w14:paraId="729604F2" w14:textId="77777777" w:rsidR="00084D3C" w:rsidRPr="00372FD5" w:rsidRDefault="00084D3C" w:rsidP="004166A6">
            <w:pPr>
              <w:spacing w:after="0" w:line="240" w:lineRule="auto"/>
              <w:ind w:right="-193"/>
              <w:rPr>
                <w:rFonts w:cs="Arial"/>
              </w:rPr>
            </w:pPr>
            <w:r w:rsidRPr="00372FD5">
              <w:rPr>
                <w:rFonts w:cs="Arial"/>
              </w:rPr>
              <w:t>Monto total colocado a valor transado, por medio del  mecanismo de colocación directa.</w:t>
            </w:r>
          </w:p>
        </w:tc>
      </w:tr>
      <w:tr w:rsidR="00084D3C" w:rsidRPr="00372FD5" w14:paraId="729604F7" w14:textId="77777777" w:rsidTr="004166A6">
        <w:trPr>
          <w:trHeight w:val="624"/>
          <w:jc w:val="center"/>
        </w:trPr>
        <w:tc>
          <w:tcPr>
            <w:tcW w:w="1276" w:type="dxa"/>
            <w:shd w:val="clear" w:color="auto" w:fill="auto"/>
            <w:noWrap/>
            <w:vAlign w:val="center"/>
          </w:tcPr>
          <w:p w14:paraId="729604F4" w14:textId="77777777" w:rsidR="00084D3C" w:rsidRPr="00372FD5" w:rsidRDefault="00084D3C" w:rsidP="004166A6">
            <w:pPr>
              <w:spacing w:after="0" w:line="240" w:lineRule="auto"/>
              <w:ind w:right="-193"/>
              <w:rPr>
                <w:rFonts w:cs="Arial"/>
              </w:rPr>
            </w:pPr>
            <w:r w:rsidRPr="00372FD5">
              <w:rPr>
                <w:rFonts w:cs="Arial"/>
              </w:rPr>
              <w:t>12002000</w:t>
            </w:r>
          </w:p>
        </w:tc>
        <w:tc>
          <w:tcPr>
            <w:tcW w:w="4253" w:type="dxa"/>
            <w:shd w:val="clear" w:color="auto" w:fill="auto"/>
            <w:noWrap/>
            <w:vAlign w:val="center"/>
          </w:tcPr>
          <w:p w14:paraId="729604F5" w14:textId="77777777" w:rsidR="00084D3C" w:rsidRPr="00372FD5" w:rsidRDefault="00084D3C" w:rsidP="004166A6">
            <w:pPr>
              <w:spacing w:after="0" w:line="240" w:lineRule="auto"/>
              <w:ind w:right="-193"/>
              <w:rPr>
                <w:rFonts w:cs="Arial"/>
              </w:rPr>
            </w:pPr>
            <w:r w:rsidRPr="00372FD5">
              <w:rPr>
                <w:rFonts w:cs="Arial"/>
              </w:rPr>
              <w:t>Cantidad de valores colocados por ventanilla</w:t>
            </w:r>
          </w:p>
        </w:tc>
        <w:tc>
          <w:tcPr>
            <w:tcW w:w="4394" w:type="dxa"/>
            <w:shd w:val="clear" w:color="auto" w:fill="auto"/>
            <w:vAlign w:val="center"/>
          </w:tcPr>
          <w:p w14:paraId="729604F6" w14:textId="77777777" w:rsidR="00084D3C" w:rsidRPr="00372FD5" w:rsidRDefault="00084D3C" w:rsidP="004166A6">
            <w:pPr>
              <w:spacing w:after="0" w:line="240" w:lineRule="auto"/>
              <w:ind w:right="-193"/>
              <w:rPr>
                <w:rFonts w:cs="Arial"/>
              </w:rPr>
            </w:pPr>
            <w:r w:rsidRPr="00372FD5">
              <w:rPr>
                <w:rFonts w:cs="Arial"/>
              </w:rPr>
              <w:t>Cantidad de valores por colocación directa</w:t>
            </w:r>
          </w:p>
        </w:tc>
      </w:tr>
      <w:tr w:rsidR="00084D3C" w:rsidRPr="00372FD5" w14:paraId="729604FC" w14:textId="77777777" w:rsidTr="004166A6">
        <w:trPr>
          <w:trHeight w:val="624"/>
          <w:jc w:val="center"/>
        </w:trPr>
        <w:tc>
          <w:tcPr>
            <w:tcW w:w="1276" w:type="dxa"/>
            <w:shd w:val="clear" w:color="auto" w:fill="auto"/>
            <w:noWrap/>
            <w:vAlign w:val="center"/>
          </w:tcPr>
          <w:p w14:paraId="729604F8" w14:textId="77777777" w:rsidR="00084D3C" w:rsidRPr="00372FD5" w:rsidRDefault="00084D3C" w:rsidP="004166A6">
            <w:pPr>
              <w:spacing w:after="0" w:line="240" w:lineRule="auto"/>
              <w:ind w:right="-193"/>
              <w:rPr>
                <w:rFonts w:cs="Arial"/>
              </w:rPr>
            </w:pPr>
            <w:r w:rsidRPr="00372FD5">
              <w:rPr>
                <w:rFonts w:cs="Arial"/>
              </w:rPr>
              <w:t>12002000</w:t>
            </w:r>
          </w:p>
          <w:p w14:paraId="729604F9" w14:textId="77777777" w:rsidR="00084D3C" w:rsidRPr="00372FD5" w:rsidRDefault="00084D3C" w:rsidP="004166A6">
            <w:pPr>
              <w:spacing w:after="0" w:line="240" w:lineRule="auto"/>
              <w:ind w:right="-193"/>
              <w:rPr>
                <w:rFonts w:cs="Arial"/>
              </w:rPr>
            </w:pPr>
            <w:r w:rsidRPr="00372FD5">
              <w:rPr>
                <w:rFonts w:cs="Arial"/>
              </w:rPr>
              <w:t>Instructivo</w:t>
            </w:r>
          </w:p>
        </w:tc>
        <w:tc>
          <w:tcPr>
            <w:tcW w:w="4253" w:type="dxa"/>
            <w:shd w:val="clear" w:color="auto" w:fill="auto"/>
            <w:noWrap/>
            <w:vAlign w:val="center"/>
          </w:tcPr>
          <w:p w14:paraId="729604FA" w14:textId="77777777" w:rsidR="00084D3C" w:rsidRPr="00372FD5" w:rsidRDefault="00084D3C" w:rsidP="004166A6">
            <w:pPr>
              <w:spacing w:after="0" w:line="240" w:lineRule="auto"/>
              <w:ind w:right="-193"/>
              <w:rPr>
                <w:rFonts w:cs="Arial"/>
              </w:rPr>
            </w:pPr>
            <w:r w:rsidRPr="00372FD5">
              <w:rPr>
                <w:rFonts w:cs="Arial"/>
              </w:rPr>
              <w:t>Número de valores colocados de la emisión de acciones por medio del mecanismo de ventanilla.</w:t>
            </w:r>
          </w:p>
        </w:tc>
        <w:tc>
          <w:tcPr>
            <w:tcW w:w="4394" w:type="dxa"/>
            <w:shd w:val="clear" w:color="auto" w:fill="auto"/>
            <w:vAlign w:val="center"/>
          </w:tcPr>
          <w:p w14:paraId="729604FB" w14:textId="77777777" w:rsidR="00084D3C" w:rsidRPr="00372FD5" w:rsidRDefault="00084D3C" w:rsidP="004166A6">
            <w:pPr>
              <w:spacing w:after="0" w:line="240" w:lineRule="auto"/>
              <w:ind w:right="-193"/>
              <w:rPr>
                <w:rFonts w:cs="Arial"/>
              </w:rPr>
            </w:pPr>
            <w:r w:rsidRPr="00372FD5">
              <w:rPr>
                <w:rFonts w:cs="Arial"/>
              </w:rPr>
              <w:t>Número de valores colocados de la emisión de acciones por medio del mecanismo de colocación directa.</w:t>
            </w:r>
          </w:p>
        </w:tc>
      </w:tr>
      <w:tr w:rsidR="00084D3C" w:rsidRPr="00372FD5" w14:paraId="72960501" w14:textId="77777777" w:rsidTr="004166A6">
        <w:trPr>
          <w:trHeight w:val="624"/>
          <w:jc w:val="center"/>
        </w:trPr>
        <w:tc>
          <w:tcPr>
            <w:tcW w:w="1276" w:type="dxa"/>
            <w:shd w:val="clear" w:color="auto" w:fill="auto"/>
            <w:noWrap/>
            <w:vAlign w:val="center"/>
          </w:tcPr>
          <w:p w14:paraId="729604FD" w14:textId="77777777" w:rsidR="00084D3C" w:rsidRPr="00372FD5" w:rsidRDefault="00084D3C" w:rsidP="004166A6">
            <w:pPr>
              <w:spacing w:after="0" w:line="240" w:lineRule="auto"/>
              <w:ind w:right="-193"/>
              <w:rPr>
                <w:rFonts w:cs="Arial"/>
              </w:rPr>
            </w:pPr>
            <w:r w:rsidRPr="00372FD5">
              <w:rPr>
                <w:rFonts w:cs="Arial"/>
              </w:rPr>
              <w:t>12003000</w:t>
            </w:r>
          </w:p>
          <w:p w14:paraId="729604FE" w14:textId="77777777" w:rsidR="00084D3C" w:rsidRPr="00372FD5" w:rsidRDefault="00084D3C" w:rsidP="004166A6">
            <w:pPr>
              <w:spacing w:after="0" w:line="240" w:lineRule="auto"/>
              <w:ind w:right="-193"/>
              <w:rPr>
                <w:rFonts w:cs="Arial"/>
              </w:rPr>
            </w:pPr>
            <w:r w:rsidRPr="00372FD5">
              <w:rPr>
                <w:rFonts w:cs="Arial"/>
              </w:rPr>
              <w:t>Instructivo</w:t>
            </w:r>
          </w:p>
        </w:tc>
        <w:tc>
          <w:tcPr>
            <w:tcW w:w="4253" w:type="dxa"/>
            <w:shd w:val="clear" w:color="auto" w:fill="auto"/>
            <w:noWrap/>
            <w:vAlign w:val="center"/>
          </w:tcPr>
          <w:p w14:paraId="729604FF" w14:textId="77777777" w:rsidR="00084D3C" w:rsidRPr="00372FD5" w:rsidRDefault="00084D3C" w:rsidP="004166A6">
            <w:pPr>
              <w:spacing w:after="0" w:line="240" w:lineRule="auto"/>
              <w:ind w:right="-193"/>
              <w:rPr>
                <w:rFonts w:cs="Arial"/>
              </w:rPr>
            </w:pPr>
            <w:r w:rsidRPr="00372FD5">
              <w:rPr>
                <w:rFonts w:cs="Arial"/>
              </w:rPr>
              <w:t>Precio  monetario único al cual fue realizada la colocación por ventanilla.</w:t>
            </w:r>
          </w:p>
        </w:tc>
        <w:tc>
          <w:tcPr>
            <w:tcW w:w="4394" w:type="dxa"/>
            <w:shd w:val="clear" w:color="auto" w:fill="auto"/>
            <w:vAlign w:val="center"/>
          </w:tcPr>
          <w:p w14:paraId="72960500" w14:textId="77777777" w:rsidR="00084D3C" w:rsidRPr="00372FD5" w:rsidRDefault="00084D3C" w:rsidP="004166A6">
            <w:pPr>
              <w:spacing w:after="0" w:line="240" w:lineRule="auto"/>
              <w:ind w:right="-193"/>
              <w:rPr>
                <w:rFonts w:cs="Arial"/>
              </w:rPr>
            </w:pPr>
            <w:r w:rsidRPr="00372FD5">
              <w:rPr>
                <w:rFonts w:cs="Arial"/>
              </w:rPr>
              <w:t>Precio  monetario único al cual fue realizada la colocación directa.</w:t>
            </w:r>
          </w:p>
        </w:tc>
      </w:tr>
      <w:tr w:rsidR="00084D3C" w:rsidRPr="00372FD5" w14:paraId="72960506" w14:textId="77777777" w:rsidTr="004166A6">
        <w:trPr>
          <w:trHeight w:val="624"/>
          <w:jc w:val="center"/>
        </w:trPr>
        <w:tc>
          <w:tcPr>
            <w:tcW w:w="1276" w:type="dxa"/>
            <w:shd w:val="clear" w:color="auto" w:fill="auto"/>
            <w:noWrap/>
            <w:vAlign w:val="center"/>
          </w:tcPr>
          <w:p w14:paraId="72960502" w14:textId="77777777" w:rsidR="00084D3C" w:rsidRPr="00372FD5" w:rsidRDefault="00084D3C" w:rsidP="004166A6">
            <w:pPr>
              <w:spacing w:after="0" w:line="240" w:lineRule="auto"/>
              <w:ind w:right="-193"/>
              <w:rPr>
                <w:rFonts w:cs="Arial"/>
              </w:rPr>
            </w:pPr>
            <w:r w:rsidRPr="00372FD5">
              <w:rPr>
                <w:rFonts w:cs="Arial"/>
              </w:rPr>
              <w:t>12040000</w:t>
            </w:r>
          </w:p>
          <w:p w14:paraId="72960503" w14:textId="77777777" w:rsidR="00084D3C" w:rsidRPr="00372FD5" w:rsidRDefault="00084D3C" w:rsidP="004166A6">
            <w:pPr>
              <w:spacing w:after="0" w:line="240" w:lineRule="auto"/>
              <w:ind w:right="-193"/>
              <w:rPr>
                <w:rFonts w:cs="Arial"/>
              </w:rPr>
            </w:pPr>
            <w:r w:rsidRPr="00372FD5">
              <w:rPr>
                <w:rFonts w:cs="Arial"/>
              </w:rPr>
              <w:t>Instructivo</w:t>
            </w:r>
          </w:p>
        </w:tc>
        <w:tc>
          <w:tcPr>
            <w:tcW w:w="4253" w:type="dxa"/>
            <w:shd w:val="clear" w:color="auto" w:fill="auto"/>
            <w:noWrap/>
            <w:vAlign w:val="center"/>
          </w:tcPr>
          <w:p w14:paraId="72960504" w14:textId="77777777" w:rsidR="00084D3C" w:rsidRPr="00372FD5" w:rsidRDefault="00084D3C" w:rsidP="004166A6">
            <w:pPr>
              <w:spacing w:after="0" w:line="240" w:lineRule="auto"/>
              <w:ind w:right="-193"/>
              <w:rPr>
                <w:rFonts w:cs="Arial"/>
              </w:rPr>
            </w:pPr>
            <w:r w:rsidRPr="00372FD5">
              <w:rPr>
                <w:rFonts w:cs="Arial"/>
              </w:rPr>
              <w:t>Monto total indicado  en el Comunicado de Hecho Relevante de convocatoria de la apertura de la ventanilla.</w:t>
            </w:r>
          </w:p>
        </w:tc>
        <w:tc>
          <w:tcPr>
            <w:tcW w:w="4394" w:type="dxa"/>
            <w:shd w:val="clear" w:color="auto" w:fill="auto"/>
            <w:vAlign w:val="center"/>
          </w:tcPr>
          <w:p w14:paraId="72960505" w14:textId="77777777" w:rsidR="00084D3C" w:rsidRPr="00372FD5" w:rsidRDefault="00084D3C" w:rsidP="004166A6">
            <w:pPr>
              <w:spacing w:after="0" w:line="240" w:lineRule="auto"/>
              <w:ind w:right="-193"/>
              <w:rPr>
                <w:rFonts w:cs="Arial"/>
              </w:rPr>
            </w:pPr>
            <w:r w:rsidRPr="00372FD5">
              <w:rPr>
                <w:rFonts w:cs="Arial"/>
              </w:rPr>
              <w:t>Monto total indicado  en el Comunicado de Hecho Relevante de convocatoria de la apertura de la colocación directa.</w:t>
            </w:r>
          </w:p>
        </w:tc>
      </w:tr>
    </w:tbl>
    <w:p w14:paraId="72960507" w14:textId="77777777" w:rsidR="00084D3C" w:rsidRPr="00372FD5" w:rsidRDefault="00084D3C" w:rsidP="008448AA">
      <w:pPr>
        <w:pStyle w:val="Numeracin"/>
        <w:numPr>
          <w:ilvl w:val="0"/>
          <w:numId w:val="0"/>
        </w:numPr>
        <w:tabs>
          <w:tab w:val="left" w:pos="567"/>
        </w:tabs>
        <w:spacing w:before="0"/>
        <w:ind w:right="-193"/>
        <w:rPr>
          <w:rFonts w:ascii="Arial" w:hAnsi="Arial" w:cs="Arial"/>
          <w:szCs w:val="22"/>
        </w:rPr>
      </w:pPr>
    </w:p>
    <w:p w14:paraId="72960508" w14:textId="77777777" w:rsidR="00084D3C" w:rsidRPr="00372FD5" w:rsidRDefault="00084D3C" w:rsidP="00084D3C">
      <w:pPr>
        <w:pStyle w:val="Numeracin"/>
        <w:numPr>
          <w:ilvl w:val="0"/>
          <w:numId w:val="6"/>
        </w:numPr>
        <w:spacing w:before="0"/>
        <w:ind w:right="-193"/>
        <w:rPr>
          <w:rFonts w:ascii="Arial" w:hAnsi="Arial" w:cs="Arial"/>
          <w:szCs w:val="22"/>
        </w:rPr>
      </w:pPr>
      <w:r w:rsidRPr="00372FD5">
        <w:rPr>
          <w:rFonts w:ascii="Arial" w:hAnsi="Arial" w:cs="Arial"/>
          <w:szCs w:val="22"/>
        </w:rPr>
        <w:t xml:space="preserve">Se modifica el nombre del “Reporte del superávit o déficit patrimonial de grupos financieros”, para que incluya la opinión sobre si el superávit individual transferible de cada empresa puede ser movilizado y utilizado libremente dentro del grupo o conglomerado. </w:t>
      </w:r>
    </w:p>
    <w:p w14:paraId="72960509" w14:textId="77777777" w:rsidR="00084D3C" w:rsidRPr="00372FD5" w:rsidRDefault="00084D3C" w:rsidP="00084D3C">
      <w:pPr>
        <w:pStyle w:val="Numeracin"/>
        <w:numPr>
          <w:ilvl w:val="0"/>
          <w:numId w:val="0"/>
        </w:numPr>
        <w:tabs>
          <w:tab w:val="left" w:pos="567"/>
        </w:tabs>
        <w:spacing w:before="0"/>
        <w:ind w:left="1647" w:right="-193"/>
        <w:jc w:val="center"/>
        <w:rPr>
          <w:rFonts w:ascii="Arial" w:hAnsi="Arial" w:cs="Arial"/>
          <w:szCs w:val="22"/>
        </w:rPr>
      </w:pPr>
    </w:p>
    <w:p w14:paraId="7296050A" w14:textId="77777777" w:rsidR="00084D3C" w:rsidRPr="00372FD5" w:rsidRDefault="00084D3C" w:rsidP="00084D3C">
      <w:pPr>
        <w:pStyle w:val="Numeracin"/>
        <w:numPr>
          <w:ilvl w:val="0"/>
          <w:numId w:val="0"/>
        </w:numPr>
        <w:tabs>
          <w:tab w:val="left" w:pos="567"/>
        </w:tabs>
        <w:spacing w:before="0"/>
        <w:ind w:left="1647" w:right="-193"/>
        <w:jc w:val="center"/>
        <w:rPr>
          <w:rFonts w:ascii="Arial" w:hAnsi="Arial" w:cs="Arial"/>
          <w:szCs w:val="22"/>
        </w:rPr>
      </w:pPr>
    </w:p>
    <w:tbl>
      <w:tblPr>
        <w:tblpPr w:leftFromText="141" w:rightFromText="141" w:horzAnchor="margin" w:tblpXSpec="center" w:tblpY="300"/>
        <w:tblW w:w="9776" w:type="dxa"/>
        <w:tblLook w:val="04A0" w:firstRow="1" w:lastRow="0" w:firstColumn="1" w:lastColumn="0" w:noHBand="0" w:noVBand="1"/>
      </w:tblPr>
      <w:tblGrid>
        <w:gridCol w:w="2111"/>
        <w:gridCol w:w="1858"/>
        <w:gridCol w:w="2228"/>
        <w:gridCol w:w="2042"/>
        <w:gridCol w:w="1537"/>
      </w:tblGrid>
      <w:tr w:rsidR="00084D3C" w:rsidRPr="00372FD5" w14:paraId="72960510" w14:textId="77777777" w:rsidTr="008448AA">
        <w:trPr>
          <w:trHeight w:val="510"/>
        </w:trPr>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6050B" w14:textId="77777777" w:rsidR="00084D3C" w:rsidRPr="00372FD5" w:rsidRDefault="00084D3C" w:rsidP="008448AA">
            <w:pPr>
              <w:spacing w:after="0" w:line="240" w:lineRule="auto"/>
              <w:ind w:right="-193"/>
              <w:jc w:val="center"/>
              <w:rPr>
                <w:rFonts w:eastAsia="Times New Roman" w:cs="Arial"/>
                <w:b/>
                <w:bCs/>
                <w:lang w:val="es-CR"/>
              </w:rPr>
            </w:pPr>
            <w:r w:rsidRPr="00372FD5">
              <w:rPr>
                <w:rFonts w:eastAsia="Times New Roman" w:cs="Arial"/>
                <w:b/>
                <w:bCs/>
                <w:lang w:val="es-CR"/>
              </w:rPr>
              <w:lastRenderedPageBreak/>
              <w:t>Informe o Reporte</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7296050C" w14:textId="77777777" w:rsidR="00084D3C" w:rsidRPr="00372FD5" w:rsidRDefault="00084D3C" w:rsidP="008448AA">
            <w:pPr>
              <w:spacing w:after="0" w:line="240" w:lineRule="auto"/>
              <w:ind w:right="-193"/>
              <w:jc w:val="center"/>
              <w:rPr>
                <w:rFonts w:eastAsia="Times New Roman" w:cs="Arial"/>
                <w:b/>
                <w:bCs/>
                <w:lang w:val="es-CR"/>
              </w:rPr>
            </w:pPr>
            <w:r w:rsidRPr="00372FD5">
              <w:rPr>
                <w:rFonts w:eastAsia="Times New Roman" w:cs="Arial"/>
                <w:b/>
                <w:bCs/>
                <w:lang w:val="es-CR"/>
              </w:rPr>
              <w:t>Periodicidad</w:t>
            </w:r>
          </w:p>
        </w:tc>
        <w:tc>
          <w:tcPr>
            <w:tcW w:w="2228" w:type="dxa"/>
            <w:tcBorders>
              <w:top w:val="single" w:sz="4" w:space="0" w:color="auto"/>
              <w:left w:val="nil"/>
              <w:bottom w:val="single" w:sz="4" w:space="0" w:color="auto"/>
              <w:right w:val="single" w:sz="4" w:space="0" w:color="auto"/>
            </w:tcBorders>
            <w:shd w:val="clear" w:color="auto" w:fill="auto"/>
            <w:vAlign w:val="center"/>
            <w:hideMark/>
          </w:tcPr>
          <w:p w14:paraId="7296050D" w14:textId="77777777" w:rsidR="00084D3C" w:rsidRPr="00372FD5" w:rsidRDefault="00084D3C" w:rsidP="008448AA">
            <w:pPr>
              <w:spacing w:after="0" w:line="240" w:lineRule="auto"/>
              <w:ind w:right="-193"/>
              <w:jc w:val="center"/>
              <w:rPr>
                <w:rFonts w:eastAsia="Times New Roman" w:cs="Arial"/>
                <w:b/>
                <w:bCs/>
                <w:lang w:val="es-CR"/>
              </w:rPr>
            </w:pPr>
            <w:r w:rsidRPr="00372FD5">
              <w:rPr>
                <w:rFonts w:eastAsia="Times New Roman" w:cs="Arial"/>
                <w:b/>
                <w:bCs/>
                <w:lang w:val="es-CR"/>
              </w:rPr>
              <w:t>Plazo máximo de entrega</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14:paraId="7296050E" w14:textId="77777777" w:rsidR="00084D3C" w:rsidRPr="00372FD5" w:rsidRDefault="00084D3C" w:rsidP="008448AA">
            <w:pPr>
              <w:spacing w:after="0" w:line="240" w:lineRule="auto"/>
              <w:ind w:right="-193"/>
              <w:jc w:val="center"/>
              <w:rPr>
                <w:rFonts w:eastAsia="Times New Roman" w:cs="Arial"/>
                <w:b/>
                <w:bCs/>
                <w:lang w:val="es-CR"/>
              </w:rPr>
            </w:pPr>
            <w:r w:rsidRPr="00372FD5">
              <w:rPr>
                <w:rFonts w:eastAsia="Times New Roman" w:cs="Arial"/>
                <w:b/>
                <w:bCs/>
                <w:lang w:val="es-CR"/>
              </w:rPr>
              <w:t>Formato o normas sobre el Contenido</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296050F" w14:textId="77777777" w:rsidR="00084D3C" w:rsidRPr="00372FD5" w:rsidRDefault="00084D3C" w:rsidP="008448AA">
            <w:pPr>
              <w:spacing w:after="0" w:line="240" w:lineRule="auto"/>
              <w:ind w:right="-193"/>
              <w:jc w:val="center"/>
              <w:rPr>
                <w:rFonts w:eastAsia="Times New Roman" w:cs="Arial"/>
                <w:b/>
                <w:bCs/>
                <w:lang w:val="es-CR"/>
              </w:rPr>
            </w:pPr>
            <w:r w:rsidRPr="00372FD5">
              <w:rPr>
                <w:rFonts w:eastAsia="Times New Roman" w:cs="Arial"/>
                <w:b/>
                <w:bCs/>
                <w:lang w:val="es-CR"/>
              </w:rPr>
              <w:t>Medio de envío</w:t>
            </w:r>
          </w:p>
        </w:tc>
      </w:tr>
      <w:tr w:rsidR="00084D3C" w:rsidRPr="00372FD5" w14:paraId="72960516" w14:textId="77777777" w:rsidTr="008448AA">
        <w:trPr>
          <w:trHeight w:val="1056"/>
        </w:trPr>
        <w:tc>
          <w:tcPr>
            <w:tcW w:w="2111" w:type="dxa"/>
            <w:tcBorders>
              <w:top w:val="nil"/>
              <w:left w:val="single" w:sz="4" w:space="0" w:color="auto"/>
              <w:bottom w:val="single" w:sz="4" w:space="0" w:color="auto"/>
              <w:right w:val="single" w:sz="4" w:space="0" w:color="auto"/>
            </w:tcBorders>
            <w:shd w:val="clear" w:color="auto" w:fill="auto"/>
            <w:vAlign w:val="center"/>
          </w:tcPr>
          <w:p w14:paraId="72960511" w14:textId="77777777" w:rsidR="00084D3C" w:rsidRPr="00372FD5" w:rsidRDefault="00084D3C" w:rsidP="008448AA">
            <w:pPr>
              <w:spacing w:after="0" w:line="240" w:lineRule="auto"/>
              <w:ind w:right="-193"/>
              <w:jc w:val="center"/>
              <w:rPr>
                <w:rFonts w:eastAsia="Times New Roman" w:cs="Arial"/>
                <w:lang w:val="es-CR"/>
              </w:rPr>
            </w:pPr>
            <w:r w:rsidRPr="00372FD5">
              <w:rPr>
                <w:rFonts w:cs="Arial"/>
              </w:rPr>
              <w:t xml:space="preserve"> Reporte del superávit o déficit patrimonial de grupos financieros, y opinión sobre si el superávit individual transferible de cada empresa puede ser movilizado y utilizado libremente dentro del grupo o conglomerado </w:t>
            </w:r>
          </w:p>
        </w:tc>
        <w:tc>
          <w:tcPr>
            <w:tcW w:w="1858" w:type="dxa"/>
            <w:tcBorders>
              <w:top w:val="nil"/>
              <w:left w:val="nil"/>
              <w:bottom w:val="single" w:sz="4" w:space="0" w:color="auto"/>
              <w:right w:val="single" w:sz="4" w:space="0" w:color="auto"/>
            </w:tcBorders>
            <w:shd w:val="clear" w:color="auto" w:fill="auto"/>
            <w:vAlign w:val="center"/>
          </w:tcPr>
          <w:p w14:paraId="72960512" w14:textId="77777777" w:rsidR="00084D3C" w:rsidRPr="00372FD5" w:rsidRDefault="00084D3C" w:rsidP="008448AA">
            <w:pPr>
              <w:spacing w:after="0" w:line="240" w:lineRule="auto"/>
              <w:ind w:right="-193"/>
              <w:jc w:val="center"/>
              <w:rPr>
                <w:rFonts w:eastAsia="Times New Roman" w:cs="Arial"/>
                <w:lang w:val="en-US"/>
              </w:rPr>
            </w:pPr>
            <w:r w:rsidRPr="00372FD5">
              <w:rPr>
                <w:rFonts w:cs="Arial"/>
              </w:rPr>
              <w:t xml:space="preserve"> Trimestral </w:t>
            </w:r>
          </w:p>
        </w:tc>
        <w:tc>
          <w:tcPr>
            <w:tcW w:w="2228" w:type="dxa"/>
            <w:tcBorders>
              <w:top w:val="nil"/>
              <w:left w:val="nil"/>
              <w:bottom w:val="single" w:sz="4" w:space="0" w:color="auto"/>
              <w:right w:val="single" w:sz="4" w:space="0" w:color="auto"/>
            </w:tcBorders>
            <w:shd w:val="clear" w:color="auto" w:fill="auto"/>
            <w:vAlign w:val="center"/>
          </w:tcPr>
          <w:p w14:paraId="72960513" w14:textId="77777777" w:rsidR="00084D3C" w:rsidRPr="00372FD5" w:rsidRDefault="00084D3C" w:rsidP="008448AA">
            <w:pPr>
              <w:spacing w:after="0" w:line="240" w:lineRule="auto"/>
              <w:ind w:right="-193"/>
              <w:jc w:val="center"/>
              <w:rPr>
                <w:rFonts w:eastAsia="Times New Roman" w:cs="Arial"/>
                <w:lang w:val="es-CR"/>
              </w:rPr>
            </w:pPr>
            <w:r w:rsidRPr="00372FD5">
              <w:rPr>
                <w:rFonts w:cs="Arial"/>
              </w:rPr>
              <w:t>Un mes después del cierre trimestral</w:t>
            </w:r>
          </w:p>
        </w:tc>
        <w:tc>
          <w:tcPr>
            <w:tcW w:w="2042" w:type="dxa"/>
            <w:tcBorders>
              <w:top w:val="nil"/>
              <w:left w:val="nil"/>
              <w:bottom w:val="single" w:sz="4" w:space="0" w:color="auto"/>
              <w:right w:val="single" w:sz="4" w:space="0" w:color="auto"/>
            </w:tcBorders>
            <w:shd w:val="clear" w:color="auto" w:fill="auto"/>
            <w:vAlign w:val="center"/>
          </w:tcPr>
          <w:p w14:paraId="72960514" w14:textId="77777777" w:rsidR="00084D3C" w:rsidRPr="00372FD5" w:rsidRDefault="00084D3C" w:rsidP="008448AA">
            <w:pPr>
              <w:spacing w:after="0" w:line="240" w:lineRule="auto"/>
              <w:ind w:right="-193"/>
              <w:jc w:val="center"/>
              <w:rPr>
                <w:rFonts w:eastAsia="Times New Roman" w:cs="Arial"/>
                <w:lang w:val="es-CR"/>
              </w:rPr>
            </w:pPr>
            <w:r w:rsidRPr="00372FD5">
              <w:rPr>
                <w:rFonts w:cs="Arial"/>
              </w:rPr>
              <w:t>Reglamento sobre suficiencia patrimonial de Grupos y Conglomerados Financieros</w:t>
            </w:r>
          </w:p>
        </w:tc>
        <w:tc>
          <w:tcPr>
            <w:tcW w:w="1537" w:type="dxa"/>
            <w:tcBorders>
              <w:top w:val="nil"/>
              <w:left w:val="nil"/>
              <w:bottom w:val="single" w:sz="4" w:space="0" w:color="auto"/>
              <w:right w:val="single" w:sz="4" w:space="0" w:color="auto"/>
            </w:tcBorders>
            <w:shd w:val="clear" w:color="auto" w:fill="auto"/>
            <w:vAlign w:val="center"/>
          </w:tcPr>
          <w:p w14:paraId="72960515" w14:textId="77777777" w:rsidR="00084D3C" w:rsidRPr="00372FD5" w:rsidRDefault="00084D3C" w:rsidP="008448AA">
            <w:pPr>
              <w:spacing w:after="0" w:line="240" w:lineRule="auto"/>
              <w:ind w:right="-193"/>
              <w:jc w:val="center"/>
              <w:rPr>
                <w:rFonts w:eastAsia="Times New Roman" w:cs="Arial"/>
                <w:lang w:val="en-US"/>
              </w:rPr>
            </w:pPr>
            <w:r w:rsidRPr="00372FD5">
              <w:rPr>
                <w:rFonts w:cs="Arial"/>
              </w:rPr>
              <w:t xml:space="preserve">MENDOCEL              </w:t>
            </w:r>
            <w:r w:rsidRPr="00372FD5">
              <w:rPr>
                <w:rFonts w:cs="Arial"/>
              </w:rPr>
              <w:br/>
              <w:t>SGV-A-188</w:t>
            </w:r>
          </w:p>
        </w:tc>
      </w:tr>
    </w:tbl>
    <w:p w14:paraId="72960517" w14:textId="77777777" w:rsidR="00084D3C" w:rsidRDefault="00084D3C" w:rsidP="008448AA">
      <w:pPr>
        <w:pStyle w:val="Numeracin"/>
        <w:numPr>
          <w:ilvl w:val="0"/>
          <w:numId w:val="0"/>
        </w:numPr>
        <w:tabs>
          <w:tab w:val="left" w:pos="567"/>
        </w:tabs>
        <w:spacing w:before="0"/>
        <w:ind w:right="-193"/>
        <w:rPr>
          <w:rFonts w:ascii="Arial" w:hAnsi="Arial" w:cs="Arial"/>
          <w:szCs w:val="22"/>
        </w:rPr>
      </w:pPr>
    </w:p>
    <w:p w14:paraId="72960518" w14:textId="77777777" w:rsidR="00084D3C" w:rsidRPr="00372FD5" w:rsidRDefault="00084D3C" w:rsidP="00084D3C">
      <w:pPr>
        <w:pStyle w:val="Numeracin"/>
        <w:numPr>
          <w:ilvl w:val="0"/>
          <w:numId w:val="6"/>
        </w:numPr>
        <w:spacing w:before="0"/>
        <w:ind w:right="-193"/>
        <w:rPr>
          <w:rFonts w:ascii="Arial" w:hAnsi="Arial" w:cs="Arial"/>
          <w:szCs w:val="22"/>
        </w:rPr>
      </w:pPr>
      <w:r w:rsidRPr="00372FD5">
        <w:rPr>
          <w:rFonts w:ascii="Arial" w:hAnsi="Arial" w:cs="Arial"/>
          <w:szCs w:val="22"/>
        </w:rPr>
        <w:t xml:space="preserve">Se modifica la información que remiten los fiduciarios de fideicomisos de garantía de emisiones, por lo que se sustituye el anexo 6 por los estados financieros del fideicomiso, de acuerdo con el siguiente detalle: </w:t>
      </w:r>
    </w:p>
    <w:p w14:paraId="72960519" w14:textId="77777777" w:rsidR="00084D3C" w:rsidRPr="00372FD5" w:rsidRDefault="00084D3C" w:rsidP="008448AA">
      <w:pPr>
        <w:pStyle w:val="Numeracin"/>
        <w:numPr>
          <w:ilvl w:val="0"/>
          <w:numId w:val="0"/>
        </w:numPr>
        <w:tabs>
          <w:tab w:val="left" w:pos="567"/>
        </w:tabs>
        <w:spacing w:before="0"/>
        <w:ind w:right="-193"/>
        <w:rPr>
          <w:rFonts w:ascii="Arial" w:hAnsi="Arial" w:cs="Arial"/>
          <w:szCs w:val="22"/>
        </w:rPr>
      </w:pPr>
    </w:p>
    <w:tbl>
      <w:tblPr>
        <w:tblW w:w="9776" w:type="dxa"/>
        <w:tblInd w:w="-739" w:type="dxa"/>
        <w:tblLook w:val="04A0" w:firstRow="1" w:lastRow="0" w:firstColumn="1" w:lastColumn="0" w:noHBand="0" w:noVBand="1"/>
      </w:tblPr>
      <w:tblGrid>
        <w:gridCol w:w="2111"/>
        <w:gridCol w:w="1858"/>
        <w:gridCol w:w="2228"/>
        <w:gridCol w:w="2042"/>
        <w:gridCol w:w="1537"/>
      </w:tblGrid>
      <w:tr w:rsidR="00084D3C" w:rsidRPr="00372FD5" w14:paraId="7296051F" w14:textId="77777777" w:rsidTr="004166A6">
        <w:trPr>
          <w:trHeight w:val="510"/>
        </w:trPr>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6051A"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Informe o Reporte</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7296051B"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Periodicidad</w:t>
            </w:r>
          </w:p>
        </w:tc>
        <w:tc>
          <w:tcPr>
            <w:tcW w:w="2228" w:type="dxa"/>
            <w:tcBorders>
              <w:top w:val="single" w:sz="4" w:space="0" w:color="auto"/>
              <w:left w:val="nil"/>
              <w:bottom w:val="single" w:sz="4" w:space="0" w:color="auto"/>
              <w:right w:val="single" w:sz="4" w:space="0" w:color="auto"/>
            </w:tcBorders>
            <w:shd w:val="clear" w:color="auto" w:fill="auto"/>
            <w:vAlign w:val="center"/>
            <w:hideMark/>
          </w:tcPr>
          <w:p w14:paraId="7296051C"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Plazo máximo de entrega</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14:paraId="7296051D"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Formato o normas sobre el Contenido</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296051E"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Medio de envío</w:t>
            </w:r>
          </w:p>
        </w:tc>
      </w:tr>
      <w:tr w:rsidR="00084D3C" w:rsidRPr="00372FD5" w14:paraId="72960521" w14:textId="77777777" w:rsidTr="004166A6">
        <w:trPr>
          <w:trHeight w:val="344"/>
        </w:trPr>
        <w:tc>
          <w:tcPr>
            <w:tcW w:w="9776" w:type="dxa"/>
            <w:gridSpan w:val="5"/>
            <w:tcBorders>
              <w:top w:val="nil"/>
              <w:left w:val="single" w:sz="4" w:space="0" w:color="auto"/>
              <w:bottom w:val="single" w:sz="4" w:space="0" w:color="auto"/>
              <w:right w:val="single" w:sz="4" w:space="0" w:color="auto"/>
            </w:tcBorders>
            <w:shd w:val="clear" w:color="auto" w:fill="auto"/>
            <w:vAlign w:val="center"/>
          </w:tcPr>
          <w:p w14:paraId="72960520" w14:textId="77777777" w:rsidR="00084D3C" w:rsidRPr="00372FD5" w:rsidRDefault="00084D3C" w:rsidP="004166A6">
            <w:pPr>
              <w:spacing w:after="0" w:line="240" w:lineRule="auto"/>
              <w:ind w:right="-193"/>
              <w:rPr>
                <w:rFonts w:eastAsia="Times New Roman" w:cs="Arial"/>
                <w:lang w:val="es-CR"/>
              </w:rPr>
            </w:pPr>
            <w:r w:rsidRPr="00372FD5">
              <w:rPr>
                <w:rFonts w:eastAsia="Times New Roman" w:cs="Arial"/>
                <w:lang w:val="es-CR"/>
              </w:rPr>
              <w:t>Estados financieros de fideicomisos de garantía de emisiones</w:t>
            </w:r>
          </w:p>
        </w:tc>
      </w:tr>
      <w:tr w:rsidR="00084D3C" w:rsidRPr="00372FD5" w14:paraId="72960527" w14:textId="77777777" w:rsidTr="004166A6">
        <w:trPr>
          <w:trHeight w:val="1056"/>
        </w:trPr>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14:paraId="72960522" w14:textId="77777777" w:rsidR="00084D3C" w:rsidRPr="00372FD5" w:rsidRDefault="00084D3C" w:rsidP="004166A6">
            <w:pPr>
              <w:spacing w:after="0" w:line="240" w:lineRule="auto"/>
              <w:ind w:right="-193"/>
              <w:jc w:val="center"/>
              <w:rPr>
                <w:rFonts w:cs="Arial"/>
              </w:rPr>
            </w:pPr>
            <w:r w:rsidRPr="00372FD5">
              <w:rPr>
                <w:rFonts w:cs="Arial"/>
              </w:rPr>
              <w:t>Estados financieros auditados de Fideicomisos de garantía</w:t>
            </w:r>
          </w:p>
        </w:tc>
        <w:tc>
          <w:tcPr>
            <w:tcW w:w="1858" w:type="dxa"/>
            <w:tcBorders>
              <w:top w:val="single" w:sz="4" w:space="0" w:color="auto"/>
              <w:left w:val="nil"/>
              <w:bottom w:val="single" w:sz="4" w:space="0" w:color="auto"/>
              <w:right w:val="single" w:sz="4" w:space="0" w:color="auto"/>
            </w:tcBorders>
            <w:shd w:val="clear" w:color="auto" w:fill="auto"/>
            <w:vAlign w:val="center"/>
          </w:tcPr>
          <w:p w14:paraId="72960523" w14:textId="77777777" w:rsidR="00084D3C" w:rsidRPr="00372FD5" w:rsidRDefault="00084D3C" w:rsidP="004166A6">
            <w:pPr>
              <w:spacing w:after="0" w:line="240" w:lineRule="auto"/>
              <w:ind w:right="-193"/>
              <w:jc w:val="center"/>
              <w:rPr>
                <w:rFonts w:cs="Arial"/>
              </w:rPr>
            </w:pPr>
            <w:r w:rsidRPr="00372FD5">
              <w:rPr>
                <w:rFonts w:cs="Arial"/>
              </w:rPr>
              <w:t xml:space="preserve"> Anual </w:t>
            </w:r>
          </w:p>
        </w:tc>
        <w:tc>
          <w:tcPr>
            <w:tcW w:w="2228" w:type="dxa"/>
            <w:tcBorders>
              <w:top w:val="single" w:sz="4" w:space="0" w:color="auto"/>
              <w:left w:val="nil"/>
              <w:bottom w:val="single" w:sz="4" w:space="0" w:color="auto"/>
              <w:right w:val="single" w:sz="4" w:space="0" w:color="auto"/>
            </w:tcBorders>
            <w:shd w:val="clear" w:color="auto" w:fill="auto"/>
            <w:vAlign w:val="center"/>
          </w:tcPr>
          <w:p w14:paraId="72960524" w14:textId="77777777" w:rsidR="00084D3C" w:rsidRPr="00372FD5" w:rsidRDefault="00084D3C" w:rsidP="004166A6">
            <w:pPr>
              <w:spacing w:after="0" w:line="240" w:lineRule="auto"/>
              <w:ind w:right="-193"/>
              <w:jc w:val="center"/>
              <w:rPr>
                <w:rFonts w:cs="Arial"/>
              </w:rPr>
            </w:pPr>
            <w:r w:rsidRPr="00372FD5">
              <w:rPr>
                <w:rFonts w:cs="Arial"/>
              </w:rPr>
              <w:t>De acuerdo con la periodicidad establecida al emisor</w:t>
            </w:r>
          </w:p>
        </w:tc>
        <w:tc>
          <w:tcPr>
            <w:tcW w:w="2042" w:type="dxa"/>
            <w:tcBorders>
              <w:top w:val="single" w:sz="4" w:space="0" w:color="auto"/>
              <w:left w:val="nil"/>
              <w:bottom w:val="single" w:sz="4" w:space="0" w:color="auto"/>
              <w:right w:val="single" w:sz="4" w:space="0" w:color="auto"/>
            </w:tcBorders>
            <w:shd w:val="clear" w:color="auto" w:fill="auto"/>
            <w:vAlign w:val="center"/>
          </w:tcPr>
          <w:p w14:paraId="72960525" w14:textId="77777777" w:rsidR="00084D3C" w:rsidRPr="00372FD5" w:rsidRDefault="00084D3C" w:rsidP="004166A6">
            <w:pPr>
              <w:spacing w:after="0" w:line="240" w:lineRule="auto"/>
              <w:ind w:right="-193"/>
              <w:jc w:val="center"/>
              <w:rPr>
                <w:rFonts w:cs="Arial"/>
              </w:rPr>
            </w:pPr>
            <w:r w:rsidRPr="00372FD5">
              <w:rPr>
                <w:rFonts w:cs="Arial"/>
              </w:rPr>
              <w:t>n/a</w:t>
            </w:r>
          </w:p>
        </w:tc>
        <w:tc>
          <w:tcPr>
            <w:tcW w:w="1537" w:type="dxa"/>
            <w:tcBorders>
              <w:top w:val="single" w:sz="4" w:space="0" w:color="auto"/>
              <w:left w:val="nil"/>
              <w:bottom w:val="single" w:sz="4" w:space="0" w:color="auto"/>
              <w:right w:val="single" w:sz="4" w:space="0" w:color="auto"/>
            </w:tcBorders>
            <w:shd w:val="clear" w:color="auto" w:fill="auto"/>
            <w:vAlign w:val="center"/>
          </w:tcPr>
          <w:p w14:paraId="72960526" w14:textId="77777777" w:rsidR="00084D3C" w:rsidRPr="00372FD5" w:rsidRDefault="00084D3C" w:rsidP="004166A6">
            <w:pPr>
              <w:spacing w:after="0" w:line="240" w:lineRule="auto"/>
              <w:ind w:right="-193"/>
              <w:jc w:val="center"/>
              <w:rPr>
                <w:rFonts w:cs="Arial"/>
              </w:rPr>
            </w:pPr>
            <w:r w:rsidRPr="00372FD5">
              <w:rPr>
                <w:rFonts w:cs="Arial"/>
              </w:rPr>
              <w:t>Papel</w:t>
            </w:r>
          </w:p>
        </w:tc>
      </w:tr>
      <w:tr w:rsidR="00084D3C" w:rsidRPr="00372FD5" w14:paraId="7296052D" w14:textId="77777777" w:rsidTr="004166A6">
        <w:trPr>
          <w:trHeight w:val="1056"/>
        </w:trPr>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14:paraId="72960528" w14:textId="77777777" w:rsidR="00084D3C" w:rsidRPr="00372FD5" w:rsidRDefault="00084D3C" w:rsidP="004166A6">
            <w:pPr>
              <w:spacing w:after="0" w:line="240" w:lineRule="auto"/>
              <w:ind w:right="-193"/>
              <w:jc w:val="center"/>
              <w:rPr>
                <w:rFonts w:cs="Arial"/>
              </w:rPr>
            </w:pPr>
            <w:r w:rsidRPr="00372FD5">
              <w:rPr>
                <w:rFonts w:cs="Arial"/>
              </w:rPr>
              <w:t>Estados financieros internos de Fideicomisos de garantía</w:t>
            </w:r>
          </w:p>
        </w:tc>
        <w:tc>
          <w:tcPr>
            <w:tcW w:w="1858" w:type="dxa"/>
            <w:tcBorders>
              <w:top w:val="single" w:sz="4" w:space="0" w:color="auto"/>
              <w:left w:val="nil"/>
              <w:bottom w:val="single" w:sz="4" w:space="0" w:color="auto"/>
              <w:right w:val="single" w:sz="4" w:space="0" w:color="auto"/>
            </w:tcBorders>
            <w:shd w:val="clear" w:color="auto" w:fill="auto"/>
            <w:vAlign w:val="center"/>
          </w:tcPr>
          <w:p w14:paraId="72960529" w14:textId="77777777" w:rsidR="00084D3C" w:rsidRPr="00372FD5" w:rsidRDefault="00084D3C" w:rsidP="004166A6">
            <w:pPr>
              <w:spacing w:after="0" w:line="240" w:lineRule="auto"/>
              <w:ind w:right="-193"/>
              <w:jc w:val="center"/>
              <w:rPr>
                <w:rFonts w:cs="Arial"/>
              </w:rPr>
            </w:pPr>
            <w:r w:rsidRPr="00372FD5">
              <w:rPr>
                <w:rFonts w:cs="Arial"/>
              </w:rPr>
              <w:t xml:space="preserve"> Trimestral </w:t>
            </w:r>
          </w:p>
        </w:tc>
        <w:tc>
          <w:tcPr>
            <w:tcW w:w="2228" w:type="dxa"/>
            <w:tcBorders>
              <w:top w:val="single" w:sz="4" w:space="0" w:color="auto"/>
              <w:left w:val="nil"/>
              <w:bottom w:val="single" w:sz="4" w:space="0" w:color="auto"/>
              <w:right w:val="single" w:sz="4" w:space="0" w:color="auto"/>
            </w:tcBorders>
            <w:shd w:val="clear" w:color="auto" w:fill="auto"/>
            <w:vAlign w:val="center"/>
          </w:tcPr>
          <w:p w14:paraId="7296052A" w14:textId="77777777" w:rsidR="00084D3C" w:rsidRPr="00372FD5" w:rsidRDefault="00084D3C" w:rsidP="004166A6">
            <w:pPr>
              <w:spacing w:after="0" w:line="240" w:lineRule="auto"/>
              <w:ind w:right="-193"/>
              <w:jc w:val="center"/>
              <w:rPr>
                <w:rFonts w:cs="Arial"/>
              </w:rPr>
            </w:pPr>
            <w:r w:rsidRPr="00372FD5">
              <w:rPr>
                <w:rFonts w:cs="Arial"/>
              </w:rPr>
              <w:t>De acuerdo con la periodicidad establecida al emisor</w:t>
            </w:r>
          </w:p>
        </w:tc>
        <w:tc>
          <w:tcPr>
            <w:tcW w:w="2042" w:type="dxa"/>
            <w:tcBorders>
              <w:top w:val="single" w:sz="4" w:space="0" w:color="auto"/>
              <w:left w:val="nil"/>
              <w:bottom w:val="single" w:sz="4" w:space="0" w:color="auto"/>
              <w:right w:val="single" w:sz="4" w:space="0" w:color="auto"/>
            </w:tcBorders>
            <w:shd w:val="clear" w:color="auto" w:fill="auto"/>
            <w:vAlign w:val="center"/>
          </w:tcPr>
          <w:p w14:paraId="7296052B" w14:textId="77777777" w:rsidR="00084D3C" w:rsidRPr="00372FD5" w:rsidRDefault="00084D3C" w:rsidP="004166A6">
            <w:pPr>
              <w:spacing w:after="0" w:line="240" w:lineRule="auto"/>
              <w:ind w:right="-193"/>
              <w:jc w:val="center"/>
              <w:rPr>
                <w:rFonts w:cs="Arial"/>
              </w:rPr>
            </w:pPr>
            <w:r w:rsidRPr="00372FD5">
              <w:rPr>
                <w:rFonts w:cs="Arial"/>
              </w:rPr>
              <w:t>n/a</w:t>
            </w:r>
          </w:p>
        </w:tc>
        <w:tc>
          <w:tcPr>
            <w:tcW w:w="1537" w:type="dxa"/>
            <w:tcBorders>
              <w:top w:val="single" w:sz="4" w:space="0" w:color="auto"/>
              <w:left w:val="nil"/>
              <w:bottom w:val="single" w:sz="4" w:space="0" w:color="auto"/>
              <w:right w:val="single" w:sz="4" w:space="0" w:color="auto"/>
            </w:tcBorders>
            <w:shd w:val="clear" w:color="auto" w:fill="auto"/>
            <w:vAlign w:val="center"/>
          </w:tcPr>
          <w:p w14:paraId="7296052C" w14:textId="77777777" w:rsidR="00084D3C" w:rsidRPr="00372FD5" w:rsidRDefault="00084D3C" w:rsidP="004166A6">
            <w:pPr>
              <w:spacing w:after="0" w:line="240" w:lineRule="auto"/>
              <w:ind w:right="-193"/>
              <w:jc w:val="center"/>
              <w:rPr>
                <w:rFonts w:cs="Arial"/>
              </w:rPr>
            </w:pPr>
            <w:r w:rsidRPr="00372FD5">
              <w:rPr>
                <w:rFonts w:cs="Arial"/>
              </w:rPr>
              <w:t xml:space="preserve">MENDOCEL              </w:t>
            </w:r>
            <w:r w:rsidRPr="00372FD5">
              <w:rPr>
                <w:rFonts w:cs="Arial"/>
              </w:rPr>
              <w:br/>
              <w:t>SGV-A-188</w:t>
            </w:r>
          </w:p>
        </w:tc>
      </w:tr>
    </w:tbl>
    <w:p w14:paraId="7296052E" w14:textId="77777777" w:rsidR="00084D3C" w:rsidRPr="00372FD5" w:rsidRDefault="00084D3C" w:rsidP="00E728D0">
      <w:pPr>
        <w:pStyle w:val="Numeracin"/>
        <w:numPr>
          <w:ilvl w:val="0"/>
          <w:numId w:val="0"/>
        </w:numPr>
        <w:tabs>
          <w:tab w:val="left" w:pos="567"/>
        </w:tabs>
        <w:spacing w:before="0"/>
        <w:ind w:right="-193"/>
        <w:rPr>
          <w:rFonts w:ascii="Arial" w:hAnsi="Arial" w:cs="Arial"/>
          <w:szCs w:val="22"/>
        </w:rPr>
      </w:pPr>
    </w:p>
    <w:p w14:paraId="7296052F" w14:textId="77777777" w:rsidR="00084D3C" w:rsidRPr="00372FD5" w:rsidRDefault="00084D3C" w:rsidP="00084D3C">
      <w:pPr>
        <w:pStyle w:val="Numeracin"/>
        <w:numPr>
          <w:ilvl w:val="0"/>
          <w:numId w:val="6"/>
        </w:numPr>
        <w:spacing w:before="0"/>
        <w:ind w:right="-193"/>
        <w:rPr>
          <w:rFonts w:ascii="Arial" w:hAnsi="Arial" w:cs="Arial"/>
          <w:szCs w:val="22"/>
        </w:rPr>
      </w:pPr>
      <w:r w:rsidRPr="00372FD5">
        <w:rPr>
          <w:rFonts w:ascii="Arial" w:hAnsi="Arial" w:cs="Arial"/>
          <w:szCs w:val="22"/>
        </w:rPr>
        <w:t xml:space="preserve">Se modifica el medio de envío del “Informe de auditores externos para emisores extranjeros que se autorizan en Costa Rica” y del “Avalúo de bienes por parte de un perito independiente” que deben remitir los emisores en que aplique, para que se realice a través del Acuerdo SGV-A-188  Directriz para la implementación del sistema de mensajería de documentos electrónicos (MENDOCEL). </w:t>
      </w:r>
    </w:p>
    <w:p w14:paraId="72960530" w14:textId="77777777" w:rsidR="00084D3C" w:rsidRPr="00372FD5" w:rsidRDefault="00084D3C" w:rsidP="00E728D0">
      <w:pPr>
        <w:pStyle w:val="Numeracin"/>
        <w:numPr>
          <w:ilvl w:val="0"/>
          <w:numId w:val="0"/>
        </w:numPr>
        <w:tabs>
          <w:tab w:val="left" w:pos="567"/>
        </w:tabs>
        <w:spacing w:before="0"/>
        <w:ind w:right="-193"/>
        <w:rPr>
          <w:rFonts w:ascii="Arial" w:hAnsi="Arial" w:cs="Arial"/>
          <w:szCs w:val="22"/>
        </w:rPr>
      </w:pPr>
    </w:p>
    <w:tbl>
      <w:tblPr>
        <w:tblW w:w="7685" w:type="dxa"/>
        <w:jc w:val="right"/>
        <w:tblLook w:val="04A0" w:firstRow="1" w:lastRow="0" w:firstColumn="1" w:lastColumn="0" w:noHBand="0" w:noVBand="1"/>
      </w:tblPr>
      <w:tblGrid>
        <w:gridCol w:w="3250"/>
        <w:gridCol w:w="1858"/>
        <w:gridCol w:w="2577"/>
      </w:tblGrid>
      <w:tr w:rsidR="00084D3C" w:rsidRPr="00372FD5" w14:paraId="72960535" w14:textId="77777777" w:rsidTr="004166A6">
        <w:trPr>
          <w:trHeight w:val="510"/>
          <w:jc w:val="right"/>
        </w:trPr>
        <w:tc>
          <w:tcPr>
            <w:tcW w:w="3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60531"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Informe o Reporte</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72960532"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Medio de envío vigente</w:t>
            </w:r>
          </w:p>
        </w:tc>
        <w:tc>
          <w:tcPr>
            <w:tcW w:w="2577" w:type="dxa"/>
            <w:tcBorders>
              <w:top w:val="single" w:sz="4" w:space="0" w:color="auto"/>
              <w:left w:val="nil"/>
              <w:bottom w:val="single" w:sz="4" w:space="0" w:color="auto"/>
              <w:right w:val="single" w:sz="4" w:space="0" w:color="auto"/>
            </w:tcBorders>
            <w:shd w:val="clear" w:color="auto" w:fill="auto"/>
            <w:vAlign w:val="center"/>
            <w:hideMark/>
          </w:tcPr>
          <w:p w14:paraId="72960533"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Medio de envío</w:t>
            </w:r>
          </w:p>
          <w:p w14:paraId="72960534" w14:textId="77777777" w:rsidR="00084D3C" w:rsidRPr="00372FD5" w:rsidRDefault="00084D3C" w:rsidP="004166A6">
            <w:pPr>
              <w:spacing w:after="0" w:line="240" w:lineRule="auto"/>
              <w:ind w:right="-193"/>
              <w:jc w:val="center"/>
              <w:rPr>
                <w:rFonts w:eastAsia="Times New Roman" w:cs="Arial"/>
                <w:b/>
                <w:bCs/>
                <w:lang w:val="es-CR"/>
              </w:rPr>
            </w:pPr>
            <w:r w:rsidRPr="00372FD5">
              <w:rPr>
                <w:rFonts w:eastAsia="Times New Roman" w:cs="Arial"/>
                <w:b/>
                <w:bCs/>
                <w:lang w:val="es-CR"/>
              </w:rPr>
              <w:t>propuesto</w:t>
            </w:r>
          </w:p>
        </w:tc>
      </w:tr>
      <w:tr w:rsidR="00084D3C" w:rsidRPr="00372FD5" w14:paraId="72960539" w14:textId="77777777" w:rsidTr="004166A6">
        <w:trPr>
          <w:trHeight w:val="617"/>
          <w:jc w:val="right"/>
        </w:trPr>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14:paraId="72960536" w14:textId="77777777" w:rsidR="00084D3C" w:rsidRPr="00372FD5" w:rsidRDefault="00084D3C" w:rsidP="004166A6">
            <w:pPr>
              <w:spacing w:after="0" w:line="240" w:lineRule="auto"/>
              <w:ind w:right="-193"/>
              <w:jc w:val="center"/>
              <w:rPr>
                <w:rFonts w:cs="Arial"/>
              </w:rPr>
            </w:pPr>
            <w:r w:rsidRPr="00372FD5">
              <w:rPr>
                <w:rFonts w:cs="Arial"/>
              </w:rPr>
              <w:t>Informe de auditores externos para emisores extranjeros que se autorizan en Costa Rica</w:t>
            </w:r>
          </w:p>
        </w:tc>
        <w:tc>
          <w:tcPr>
            <w:tcW w:w="1858" w:type="dxa"/>
            <w:tcBorders>
              <w:top w:val="single" w:sz="4" w:space="0" w:color="auto"/>
              <w:left w:val="nil"/>
              <w:bottom w:val="single" w:sz="4" w:space="0" w:color="auto"/>
              <w:right w:val="single" w:sz="4" w:space="0" w:color="auto"/>
            </w:tcBorders>
            <w:shd w:val="clear" w:color="auto" w:fill="auto"/>
            <w:vAlign w:val="center"/>
          </w:tcPr>
          <w:p w14:paraId="72960537" w14:textId="77777777" w:rsidR="00084D3C" w:rsidRPr="00372FD5" w:rsidRDefault="00084D3C" w:rsidP="004166A6">
            <w:pPr>
              <w:spacing w:after="0" w:line="240" w:lineRule="auto"/>
              <w:ind w:right="-193"/>
              <w:jc w:val="center"/>
              <w:rPr>
                <w:rFonts w:cs="Arial"/>
              </w:rPr>
            </w:pPr>
            <w:r w:rsidRPr="00372FD5">
              <w:rPr>
                <w:rFonts w:cs="Arial"/>
              </w:rPr>
              <w:t xml:space="preserve"> Papel </w:t>
            </w:r>
          </w:p>
        </w:tc>
        <w:tc>
          <w:tcPr>
            <w:tcW w:w="2577" w:type="dxa"/>
            <w:tcBorders>
              <w:top w:val="single" w:sz="4" w:space="0" w:color="auto"/>
              <w:left w:val="nil"/>
              <w:bottom w:val="single" w:sz="4" w:space="0" w:color="auto"/>
              <w:right w:val="single" w:sz="4" w:space="0" w:color="auto"/>
            </w:tcBorders>
            <w:shd w:val="clear" w:color="auto" w:fill="auto"/>
            <w:vAlign w:val="center"/>
          </w:tcPr>
          <w:p w14:paraId="72960538" w14:textId="77777777" w:rsidR="00084D3C" w:rsidRPr="00372FD5" w:rsidRDefault="00084D3C" w:rsidP="004166A6">
            <w:pPr>
              <w:spacing w:after="0" w:line="240" w:lineRule="auto"/>
              <w:ind w:right="-193"/>
              <w:jc w:val="center"/>
              <w:rPr>
                <w:rFonts w:cs="Arial"/>
              </w:rPr>
            </w:pPr>
            <w:r w:rsidRPr="00372FD5">
              <w:rPr>
                <w:rFonts w:cs="Arial"/>
              </w:rPr>
              <w:t xml:space="preserve">MENDOCEL              </w:t>
            </w:r>
            <w:r w:rsidRPr="00372FD5">
              <w:rPr>
                <w:rFonts w:cs="Arial"/>
              </w:rPr>
              <w:br/>
              <w:t>SGV-A-188</w:t>
            </w:r>
          </w:p>
        </w:tc>
      </w:tr>
      <w:tr w:rsidR="00084D3C" w:rsidRPr="00372FD5" w14:paraId="7296053D" w14:textId="77777777" w:rsidTr="004166A6">
        <w:trPr>
          <w:trHeight w:val="485"/>
          <w:jc w:val="right"/>
        </w:trPr>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14:paraId="7296053A" w14:textId="77777777" w:rsidR="00084D3C" w:rsidRPr="00372FD5" w:rsidRDefault="00084D3C" w:rsidP="004166A6">
            <w:pPr>
              <w:spacing w:after="0" w:line="240" w:lineRule="auto"/>
              <w:ind w:right="-193"/>
              <w:jc w:val="center"/>
              <w:rPr>
                <w:rFonts w:cs="Arial"/>
              </w:rPr>
            </w:pPr>
            <w:r w:rsidRPr="00372FD5">
              <w:rPr>
                <w:rFonts w:cs="Arial"/>
              </w:rPr>
              <w:t>Avalúo de bienes por parte de un perito independiente</w:t>
            </w:r>
          </w:p>
        </w:tc>
        <w:tc>
          <w:tcPr>
            <w:tcW w:w="1858" w:type="dxa"/>
            <w:tcBorders>
              <w:top w:val="single" w:sz="4" w:space="0" w:color="auto"/>
              <w:left w:val="nil"/>
              <w:bottom w:val="single" w:sz="4" w:space="0" w:color="auto"/>
              <w:right w:val="single" w:sz="4" w:space="0" w:color="auto"/>
            </w:tcBorders>
            <w:shd w:val="clear" w:color="auto" w:fill="auto"/>
            <w:vAlign w:val="center"/>
          </w:tcPr>
          <w:p w14:paraId="7296053B" w14:textId="77777777" w:rsidR="00084D3C" w:rsidRPr="00372FD5" w:rsidRDefault="00084D3C" w:rsidP="004166A6">
            <w:pPr>
              <w:spacing w:after="0" w:line="240" w:lineRule="auto"/>
              <w:ind w:right="-193"/>
              <w:jc w:val="center"/>
              <w:rPr>
                <w:rFonts w:cs="Arial"/>
              </w:rPr>
            </w:pPr>
            <w:r w:rsidRPr="00372FD5">
              <w:rPr>
                <w:rFonts w:cs="Arial"/>
              </w:rPr>
              <w:t xml:space="preserve"> Papel </w:t>
            </w:r>
          </w:p>
        </w:tc>
        <w:tc>
          <w:tcPr>
            <w:tcW w:w="2577" w:type="dxa"/>
            <w:tcBorders>
              <w:top w:val="single" w:sz="4" w:space="0" w:color="auto"/>
              <w:left w:val="nil"/>
              <w:bottom w:val="single" w:sz="4" w:space="0" w:color="auto"/>
              <w:right w:val="single" w:sz="4" w:space="0" w:color="auto"/>
            </w:tcBorders>
            <w:shd w:val="clear" w:color="auto" w:fill="auto"/>
            <w:vAlign w:val="center"/>
          </w:tcPr>
          <w:p w14:paraId="7296053C" w14:textId="77777777" w:rsidR="00084D3C" w:rsidRPr="00372FD5" w:rsidRDefault="00084D3C" w:rsidP="004166A6">
            <w:pPr>
              <w:spacing w:after="0" w:line="240" w:lineRule="auto"/>
              <w:ind w:right="-193"/>
              <w:jc w:val="center"/>
              <w:rPr>
                <w:rFonts w:cs="Arial"/>
              </w:rPr>
            </w:pPr>
            <w:r w:rsidRPr="00372FD5">
              <w:rPr>
                <w:rFonts w:cs="Arial"/>
              </w:rPr>
              <w:t xml:space="preserve">MENDOCEL              </w:t>
            </w:r>
            <w:r w:rsidRPr="00372FD5">
              <w:rPr>
                <w:rFonts w:cs="Arial"/>
              </w:rPr>
              <w:br/>
              <w:t>SGV-A-188</w:t>
            </w:r>
          </w:p>
        </w:tc>
      </w:tr>
    </w:tbl>
    <w:p w14:paraId="7296053E" w14:textId="77777777" w:rsidR="00084D3C" w:rsidRPr="00372FD5" w:rsidRDefault="00084D3C" w:rsidP="00E728D0">
      <w:pPr>
        <w:pStyle w:val="Numeracin"/>
        <w:numPr>
          <w:ilvl w:val="0"/>
          <w:numId w:val="0"/>
        </w:numPr>
        <w:tabs>
          <w:tab w:val="left" w:pos="567"/>
        </w:tabs>
        <w:spacing w:before="0"/>
        <w:ind w:right="-193"/>
        <w:rPr>
          <w:rFonts w:ascii="Arial" w:hAnsi="Arial" w:cs="Arial"/>
          <w:szCs w:val="22"/>
        </w:rPr>
      </w:pPr>
    </w:p>
    <w:p w14:paraId="7296053F" w14:textId="77777777" w:rsidR="00084D3C" w:rsidRPr="00372FD5" w:rsidRDefault="00084D3C" w:rsidP="00084D3C">
      <w:pPr>
        <w:pStyle w:val="Numeracin"/>
        <w:numPr>
          <w:ilvl w:val="0"/>
          <w:numId w:val="6"/>
        </w:numPr>
        <w:spacing w:before="0"/>
        <w:ind w:right="-193"/>
        <w:rPr>
          <w:rFonts w:ascii="Arial" w:hAnsi="Arial" w:cs="Arial"/>
          <w:szCs w:val="22"/>
        </w:rPr>
      </w:pPr>
      <w:r w:rsidRPr="00372FD5">
        <w:rPr>
          <w:rFonts w:ascii="Arial" w:hAnsi="Arial" w:cs="Arial"/>
          <w:szCs w:val="22"/>
        </w:rPr>
        <w:t>En el anexo 17.  Reporte de Composición de Carteras de Inversionistas de fondos de inversión, se cambia el nombre de la cuenta “Banco de Soluciones Bansol de Costa Rica S.A.” a “Prival Bank (Costa Rica) S.A.” y se incluyen las cuentas “Otros” en la sección de bancos privados de acuerdo con el siguiente detalle:</w:t>
      </w:r>
    </w:p>
    <w:p w14:paraId="72960540" w14:textId="77777777" w:rsidR="00084D3C" w:rsidRPr="00372FD5" w:rsidRDefault="00084D3C" w:rsidP="00084D3C">
      <w:pPr>
        <w:pStyle w:val="Numeracin"/>
        <w:numPr>
          <w:ilvl w:val="0"/>
          <w:numId w:val="0"/>
        </w:numPr>
        <w:tabs>
          <w:tab w:val="left" w:pos="567"/>
        </w:tabs>
        <w:spacing w:before="0"/>
        <w:ind w:left="927" w:right="-193"/>
        <w:rPr>
          <w:rFonts w:ascii="Arial" w:hAnsi="Arial" w:cs="Arial"/>
          <w:szCs w:val="22"/>
        </w:rPr>
      </w:pPr>
    </w:p>
    <w:tbl>
      <w:tblPr>
        <w:tblW w:w="8676" w:type="dxa"/>
        <w:tblInd w:w="-34" w:type="dxa"/>
        <w:tblLook w:val="01E0" w:firstRow="1" w:lastRow="1" w:firstColumn="1" w:lastColumn="1" w:noHBand="0" w:noVBand="0"/>
      </w:tblPr>
      <w:tblGrid>
        <w:gridCol w:w="2297"/>
        <w:gridCol w:w="2694"/>
        <w:gridCol w:w="3685"/>
      </w:tblGrid>
      <w:tr w:rsidR="00084D3C" w:rsidRPr="00372FD5" w14:paraId="72960544" w14:textId="77777777" w:rsidTr="004166A6">
        <w:tc>
          <w:tcPr>
            <w:tcW w:w="2297" w:type="dxa"/>
            <w:tcBorders>
              <w:top w:val="single" w:sz="4" w:space="0" w:color="auto"/>
              <w:left w:val="single" w:sz="4" w:space="0" w:color="auto"/>
              <w:bottom w:val="single" w:sz="4" w:space="0" w:color="auto"/>
              <w:right w:val="single" w:sz="4" w:space="0" w:color="auto"/>
            </w:tcBorders>
          </w:tcPr>
          <w:p w14:paraId="72960541" w14:textId="77777777" w:rsidR="00084D3C" w:rsidRPr="00372FD5" w:rsidRDefault="00084D3C" w:rsidP="004166A6">
            <w:pPr>
              <w:spacing w:after="0" w:line="240" w:lineRule="auto"/>
              <w:ind w:right="-193"/>
              <w:jc w:val="center"/>
              <w:rPr>
                <w:rFonts w:eastAsia="Calibri" w:cs="Arial"/>
                <w:b/>
                <w:lang w:val="es-CR"/>
              </w:rPr>
            </w:pPr>
            <w:r w:rsidRPr="00372FD5">
              <w:rPr>
                <w:rFonts w:eastAsia="Calibri" w:cs="Arial"/>
                <w:b/>
                <w:lang w:val="es-CR"/>
              </w:rPr>
              <w:lastRenderedPageBreak/>
              <w:t>Cuenta</w:t>
            </w:r>
          </w:p>
        </w:tc>
        <w:tc>
          <w:tcPr>
            <w:tcW w:w="2694" w:type="dxa"/>
            <w:tcBorders>
              <w:top w:val="single" w:sz="4" w:space="0" w:color="auto"/>
              <w:left w:val="single" w:sz="4" w:space="0" w:color="auto"/>
              <w:bottom w:val="single" w:sz="4" w:space="0" w:color="auto"/>
              <w:right w:val="single" w:sz="4" w:space="0" w:color="auto"/>
            </w:tcBorders>
            <w:vAlign w:val="center"/>
          </w:tcPr>
          <w:p w14:paraId="72960542" w14:textId="77777777" w:rsidR="00084D3C" w:rsidRPr="00372FD5" w:rsidRDefault="00084D3C" w:rsidP="004166A6">
            <w:pPr>
              <w:spacing w:after="0" w:line="240" w:lineRule="auto"/>
              <w:ind w:right="-193"/>
              <w:jc w:val="center"/>
              <w:rPr>
                <w:rFonts w:eastAsia="Calibri" w:cs="Arial"/>
                <w:b/>
                <w:lang w:val="es-CR"/>
              </w:rPr>
            </w:pPr>
            <w:r w:rsidRPr="00372FD5">
              <w:rPr>
                <w:rFonts w:eastAsia="Calibri" w:cs="Arial"/>
                <w:b/>
                <w:lang w:val="es-CR"/>
              </w:rPr>
              <w:t>Nombre Vigente</w:t>
            </w:r>
          </w:p>
        </w:tc>
        <w:tc>
          <w:tcPr>
            <w:tcW w:w="3685" w:type="dxa"/>
            <w:tcBorders>
              <w:top w:val="single" w:sz="4" w:space="0" w:color="auto"/>
              <w:left w:val="single" w:sz="4" w:space="0" w:color="auto"/>
              <w:bottom w:val="single" w:sz="4" w:space="0" w:color="auto"/>
              <w:right w:val="single" w:sz="4" w:space="0" w:color="auto"/>
            </w:tcBorders>
            <w:vAlign w:val="center"/>
          </w:tcPr>
          <w:p w14:paraId="72960543" w14:textId="77777777" w:rsidR="00084D3C" w:rsidRPr="00372FD5" w:rsidRDefault="00084D3C" w:rsidP="004166A6">
            <w:pPr>
              <w:spacing w:after="0" w:line="240" w:lineRule="auto"/>
              <w:ind w:right="-193"/>
              <w:jc w:val="center"/>
              <w:rPr>
                <w:rFonts w:eastAsia="Calibri" w:cs="Arial"/>
                <w:b/>
                <w:lang w:val="es-CR"/>
              </w:rPr>
            </w:pPr>
            <w:r w:rsidRPr="00372FD5">
              <w:rPr>
                <w:rFonts w:eastAsia="Calibri" w:cs="Arial"/>
                <w:b/>
                <w:lang w:val="es-CR"/>
              </w:rPr>
              <w:t>Nombre Propuesto</w:t>
            </w:r>
          </w:p>
        </w:tc>
      </w:tr>
      <w:tr w:rsidR="00084D3C" w:rsidRPr="00372FD5" w14:paraId="72960548" w14:textId="77777777" w:rsidTr="004166A6">
        <w:tc>
          <w:tcPr>
            <w:tcW w:w="2297" w:type="dxa"/>
            <w:tcBorders>
              <w:top w:val="single" w:sz="4" w:space="0" w:color="auto"/>
              <w:left w:val="single" w:sz="4" w:space="0" w:color="auto"/>
              <w:bottom w:val="single" w:sz="4" w:space="0" w:color="auto"/>
              <w:right w:val="single" w:sz="4" w:space="0" w:color="auto"/>
            </w:tcBorders>
            <w:vAlign w:val="center"/>
          </w:tcPr>
          <w:p w14:paraId="72960545" w14:textId="77777777" w:rsidR="00084D3C" w:rsidRPr="00372FD5" w:rsidRDefault="00084D3C" w:rsidP="004166A6">
            <w:pPr>
              <w:spacing w:after="0" w:line="240" w:lineRule="auto"/>
              <w:ind w:right="-193"/>
              <w:rPr>
                <w:rFonts w:eastAsia="Calibri" w:cs="Arial"/>
                <w:lang w:val="es-CR"/>
              </w:rPr>
            </w:pPr>
            <w:r w:rsidRPr="00372FD5">
              <w:rPr>
                <w:rFonts w:eastAsia="Calibri" w:cs="Arial"/>
                <w:lang w:val="es-CR"/>
              </w:rPr>
              <w:t>303010201026</w:t>
            </w:r>
          </w:p>
        </w:tc>
        <w:tc>
          <w:tcPr>
            <w:tcW w:w="2694" w:type="dxa"/>
            <w:tcBorders>
              <w:top w:val="single" w:sz="4" w:space="0" w:color="auto"/>
              <w:left w:val="single" w:sz="4" w:space="0" w:color="auto"/>
              <w:bottom w:val="single" w:sz="4" w:space="0" w:color="auto"/>
              <w:right w:val="single" w:sz="4" w:space="0" w:color="auto"/>
            </w:tcBorders>
            <w:vAlign w:val="center"/>
          </w:tcPr>
          <w:p w14:paraId="72960546" w14:textId="77777777" w:rsidR="00084D3C" w:rsidRPr="00372FD5" w:rsidRDefault="00084D3C" w:rsidP="004166A6">
            <w:pPr>
              <w:spacing w:after="0" w:line="240" w:lineRule="auto"/>
              <w:ind w:right="-193"/>
              <w:jc w:val="center"/>
              <w:rPr>
                <w:rFonts w:eastAsia="Calibri" w:cs="Arial"/>
                <w:lang w:val="es-CR"/>
              </w:rPr>
            </w:pPr>
            <w:r w:rsidRPr="00372FD5">
              <w:rPr>
                <w:rFonts w:eastAsia="Calibri" w:cs="Arial"/>
                <w:lang w:val="es-CR"/>
              </w:rPr>
              <w:t>Banco de Soluciones Bansol de Costa Rica S.A.</w:t>
            </w:r>
          </w:p>
        </w:tc>
        <w:tc>
          <w:tcPr>
            <w:tcW w:w="3685" w:type="dxa"/>
            <w:tcBorders>
              <w:top w:val="single" w:sz="4" w:space="0" w:color="auto"/>
              <w:left w:val="single" w:sz="4" w:space="0" w:color="auto"/>
              <w:bottom w:val="single" w:sz="4" w:space="0" w:color="auto"/>
              <w:right w:val="single" w:sz="4" w:space="0" w:color="auto"/>
            </w:tcBorders>
            <w:vAlign w:val="center"/>
          </w:tcPr>
          <w:p w14:paraId="72960547" w14:textId="77777777" w:rsidR="00084D3C" w:rsidRPr="00372FD5" w:rsidRDefault="00084D3C" w:rsidP="004166A6">
            <w:pPr>
              <w:spacing w:after="0" w:line="240" w:lineRule="auto"/>
              <w:ind w:right="-193"/>
              <w:jc w:val="center"/>
              <w:rPr>
                <w:rFonts w:eastAsia="Calibri" w:cs="Arial"/>
                <w:i/>
                <w:lang w:val="es-CR"/>
              </w:rPr>
            </w:pPr>
            <w:r w:rsidRPr="00372FD5">
              <w:rPr>
                <w:rFonts w:eastAsia="Calibri" w:cs="Arial"/>
                <w:i/>
                <w:lang w:val="es-CR"/>
              </w:rPr>
              <w:t>Prival Bank (Costa Rica) S.A.</w:t>
            </w:r>
          </w:p>
        </w:tc>
      </w:tr>
      <w:tr w:rsidR="00084D3C" w:rsidRPr="00372FD5" w14:paraId="7296054C" w14:textId="77777777" w:rsidTr="004166A6">
        <w:tc>
          <w:tcPr>
            <w:tcW w:w="2297" w:type="dxa"/>
            <w:tcBorders>
              <w:top w:val="single" w:sz="4" w:space="0" w:color="auto"/>
              <w:left w:val="single" w:sz="4" w:space="0" w:color="auto"/>
              <w:bottom w:val="single" w:sz="4" w:space="0" w:color="auto"/>
              <w:right w:val="single" w:sz="4" w:space="0" w:color="auto"/>
            </w:tcBorders>
            <w:vAlign w:val="center"/>
          </w:tcPr>
          <w:p w14:paraId="72960549" w14:textId="77777777" w:rsidR="00084D3C" w:rsidRPr="00372FD5" w:rsidRDefault="00084D3C" w:rsidP="004166A6">
            <w:pPr>
              <w:spacing w:after="0" w:line="240" w:lineRule="auto"/>
              <w:ind w:right="-193"/>
              <w:rPr>
                <w:rFonts w:eastAsia="Calibri" w:cs="Arial"/>
                <w:lang w:val="es-CR"/>
              </w:rPr>
            </w:pPr>
            <w:r w:rsidRPr="00372FD5">
              <w:rPr>
                <w:rFonts w:eastAsia="Calibri" w:cs="Arial"/>
                <w:lang w:val="es-CR"/>
              </w:rPr>
              <w:t>303010202026</w:t>
            </w:r>
          </w:p>
        </w:tc>
        <w:tc>
          <w:tcPr>
            <w:tcW w:w="2694" w:type="dxa"/>
            <w:tcBorders>
              <w:top w:val="single" w:sz="4" w:space="0" w:color="auto"/>
              <w:left w:val="single" w:sz="4" w:space="0" w:color="auto"/>
              <w:bottom w:val="single" w:sz="4" w:space="0" w:color="auto"/>
              <w:right w:val="single" w:sz="4" w:space="0" w:color="auto"/>
            </w:tcBorders>
            <w:vAlign w:val="center"/>
          </w:tcPr>
          <w:p w14:paraId="7296054A" w14:textId="77777777" w:rsidR="00084D3C" w:rsidRPr="00372FD5" w:rsidRDefault="00084D3C" w:rsidP="004166A6">
            <w:pPr>
              <w:spacing w:after="0" w:line="240" w:lineRule="auto"/>
              <w:ind w:right="-193"/>
              <w:jc w:val="center"/>
              <w:rPr>
                <w:rFonts w:eastAsia="Calibri" w:cs="Arial"/>
                <w:lang w:val="es-CR"/>
              </w:rPr>
            </w:pPr>
            <w:r w:rsidRPr="00372FD5">
              <w:rPr>
                <w:rFonts w:eastAsia="Calibri" w:cs="Arial"/>
                <w:lang w:val="es-CR"/>
              </w:rPr>
              <w:t>Banco de Soluciones Bansol de Costa Rica S.A.</w:t>
            </w:r>
          </w:p>
        </w:tc>
        <w:tc>
          <w:tcPr>
            <w:tcW w:w="3685" w:type="dxa"/>
            <w:tcBorders>
              <w:top w:val="single" w:sz="4" w:space="0" w:color="auto"/>
              <w:left w:val="single" w:sz="4" w:space="0" w:color="auto"/>
              <w:bottom w:val="single" w:sz="4" w:space="0" w:color="auto"/>
              <w:right w:val="single" w:sz="4" w:space="0" w:color="auto"/>
            </w:tcBorders>
            <w:vAlign w:val="center"/>
          </w:tcPr>
          <w:p w14:paraId="7296054B" w14:textId="77777777" w:rsidR="00084D3C" w:rsidRPr="00372FD5" w:rsidRDefault="00084D3C" w:rsidP="004166A6">
            <w:pPr>
              <w:spacing w:after="0" w:line="240" w:lineRule="auto"/>
              <w:ind w:right="-193"/>
              <w:jc w:val="center"/>
              <w:rPr>
                <w:rFonts w:eastAsia="Calibri" w:cs="Arial"/>
                <w:i/>
                <w:lang w:val="es-CR"/>
              </w:rPr>
            </w:pPr>
            <w:r w:rsidRPr="00372FD5">
              <w:rPr>
                <w:rFonts w:eastAsia="Calibri" w:cs="Arial"/>
                <w:i/>
                <w:lang w:val="es-CR"/>
              </w:rPr>
              <w:t>Prival Bank (Costa Rica) S.A.</w:t>
            </w:r>
          </w:p>
        </w:tc>
      </w:tr>
      <w:tr w:rsidR="00084D3C" w:rsidRPr="00372FD5" w14:paraId="72960550" w14:textId="77777777" w:rsidTr="004166A6">
        <w:tc>
          <w:tcPr>
            <w:tcW w:w="2297" w:type="dxa"/>
            <w:tcBorders>
              <w:top w:val="single" w:sz="4" w:space="0" w:color="auto"/>
              <w:left w:val="single" w:sz="4" w:space="0" w:color="auto"/>
              <w:bottom w:val="single" w:sz="4" w:space="0" w:color="auto"/>
              <w:right w:val="single" w:sz="4" w:space="0" w:color="auto"/>
            </w:tcBorders>
            <w:vAlign w:val="center"/>
          </w:tcPr>
          <w:p w14:paraId="7296054D" w14:textId="77777777" w:rsidR="00084D3C" w:rsidRPr="00372FD5" w:rsidRDefault="00084D3C" w:rsidP="004166A6">
            <w:pPr>
              <w:spacing w:after="0" w:line="240" w:lineRule="auto"/>
              <w:ind w:right="-193"/>
              <w:rPr>
                <w:rFonts w:eastAsia="Calibri" w:cs="Arial"/>
                <w:lang w:val="es-CR"/>
              </w:rPr>
            </w:pPr>
            <w:r w:rsidRPr="00372FD5">
              <w:rPr>
                <w:rFonts w:eastAsia="Calibri" w:cs="Arial"/>
                <w:lang w:val="es-CR"/>
              </w:rPr>
              <w:t>303010201034</w:t>
            </w:r>
          </w:p>
        </w:tc>
        <w:tc>
          <w:tcPr>
            <w:tcW w:w="2694" w:type="dxa"/>
            <w:tcBorders>
              <w:top w:val="single" w:sz="4" w:space="0" w:color="auto"/>
              <w:left w:val="single" w:sz="4" w:space="0" w:color="auto"/>
              <w:bottom w:val="single" w:sz="4" w:space="0" w:color="auto"/>
              <w:right w:val="single" w:sz="4" w:space="0" w:color="auto"/>
            </w:tcBorders>
            <w:vAlign w:val="center"/>
          </w:tcPr>
          <w:p w14:paraId="7296054E" w14:textId="77777777" w:rsidR="00084D3C" w:rsidRPr="00372FD5" w:rsidRDefault="00084D3C" w:rsidP="004166A6">
            <w:pPr>
              <w:spacing w:after="0" w:line="240" w:lineRule="auto"/>
              <w:ind w:right="-193"/>
              <w:jc w:val="center"/>
              <w:rPr>
                <w:rFonts w:eastAsia="Calibri" w:cs="Arial"/>
                <w:lang w:val="es-CR"/>
              </w:rPr>
            </w:pPr>
            <w:r w:rsidRPr="00372FD5">
              <w:rPr>
                <w:rFonts w:eastAsia="Calibri" w:cs="Arial"/>
                <w:lang w:val="es-CR"/>
              </w:rPr>
              <w:t>-</w:t>
            </w:r>
          </w:p>
        </w:tc>
        <w:tc>
          <w:tcPr>
            <w:tcW w:w="3685" w:type="dxa"/>
            <w:tcBorders>
              <w:top w:val="single" w:sz="4" w:space="0" w:color="auto"/>
              <w:left w:val="single" w:sz="4" w:space="0" w:color="auto"/>
              <w:bottom w:val="single" w:sz="4" w:space="0" w:color="auto"/>
              <w:right w:val="single" w:sz="4" w:space="0" w:color="auto"/>
            </w:tcBorders>
            <w:vAlign w:val="center"/>
          </w:tcPr>
          <w:p w14:paraId="7296054F" w14:textId="77777777" w:rsidR="00084D3C" w:rsidRPr="00372FD5" w:rsidRDefault="00084D3C" w:rsidP="004166A6">
            <w:pPr>
              <w:spacing w:after="0" w:line="240" w:lineRule="auto"/>
              <w:ind w:right="-193"/>
              <w:jc w:val="center"/>
              <w:rPr>
                <w:rFonts w:eastAsia="Calibri" w:cs="Arial"/>
                <w:lang w:val="es-CR"/>
              </w:rPr>
            </w:pPr>
            <w:r w:rsidRPr="00372FD5">
              <w:rPr>
                <w:rFonts w:eastAsia="Calibri" w:cs="Arial"/>
                <w:lang w:val="es-CR"/>
              </w:rPr>
              <w:t>Otros</w:t>
            </w:r>
          </w:p>
        </w:tc>
      </w:tr>
      <w:tr w:rsidR="00084D3C" w:rsidRPr="00372FD5" w14:paraId="72960554" w14:textId="77777777" w:rsidTr="004166A6">
        <w:tc>
          <w:tcPr>
            <w:tcW w:w="2297" w:type="dxa"/>
            <w:tcBorders>
              <w:top w:val="single" w:sz="4" w:space="0" w:color="auto"/>
              <w:left w:val="single" w:sz="4" w:space="0" w:color="auto"/>
              <w:bottom w:val="single" w:sz="4" w:space="0" w:color="auto"/>
              <w:right w:val="single" w:sz="4" w:space="0" w:color="auto"/>
            </w:tcBorders>
            <w:vAlign w:val="center"/>
          </w:tcPr>
          <w:p w14:paraId="72960551" w14:textId="77777777" w:rsidR="00084D3C" w:rsidRPr="00372FD5" w:rsidRDefault="00084D3C" w:rsidP="004166A6">
            <w:pPr>
              <w:spacing w:after="0" w:line="240" w:lineRule="auto"/>
              <w:ind w:right="-193"/>
              <w:rPr>
                <w:rFonts w:eastAsia="Calibri" w:cs="Arial"/>
                <w:lang w:val="es-CR"/>
              </w:rPr>
            </w:pPr>
            <w:r w:rsidRPr="00372FD5">
              <w:rPr>
                <w:rFonts w:eastAsia="Calibri" w:cs="Arial"/>
                <w:lang w:val="es-CR"/>
              </w:rPr>
              <w:t xml:space="preserve">303010202034  </w:t>
            </w:r>
          </w:p>
        </w:tc>
        <w:tc>
          <w:tcPr>
            <w:tcW w:w="2694" w:type="dxa"/>
            <w:tcBorders>
              <w:top w:val="single" w:sz="4" w:space="0" w:color="auto"/>
              <w:left w:val="single" w:sz="4" w:space="0" w:color="auto"/>
              <w:bottom w:val="single" w:sz="4" w:space="0" w:color="auto"/>
              <w:right w:val="single" w:sz="4" w:space="0" w:color="auto"/>
            </w:tcBorders>
            <w:vAlign w:val="center"/>
          </w:tcPr>
          <w:p w14:paraId="72960552" w14:textId="77777777" w:rsidR="00084D3C" w:rsidRPr="00372FD5" w:rsidRDefault="00084D3C" w:rsidP="004166A6">
            <w:pPr>
              <w:spacing w:after="0" w:line="240" w:lineRule="auto"/>
              <w:ind w:right="-193"/>
              <w:jc w:val="center"/>
              <w:rPr>
                <w:rFonts w:eastAsia="Calibri" w:cs="Arial"/>
                <w:lang w:val="es-CR"/>
              </w:rPr>
            </w:pPr>
            <w:r w:rsidRPr="00372FD5">
              <w:rPr>
                <w:rFonts w:eastAsia="Calibri" w:cs="Arial"/>
                <w:lang w:val="es-CR"/>
              </w:rPr>
              <w:t>-</w:t>
            </w:r>
          </w:p>
        </w:tc>
        <w:tc>
          <w:tcPr>
            <w:tcW w:w="3685" w:type="dxa"/>
            <w:tcBorders>
              <w:top w:val="single" w:sz="4" w:space="0" w:color="auto"/>
              <w:left w:val="single" w:sz="4" w:space="0" w:color="auto"/>
              <w:bottom w:val="single" w:sz="4" w:space="0" w:color="auto"/>
              <w:right w:val="single" w:sz="4" w:space="0" w:color="auto"/>
            </w:tcBorders>
            <w:vAlign w:val="center"/>
          </w:tcPr>
          <w:p w14:paraId="72960553" w14:textId="77777777" w:rsidR="00084D3C" w:rsidRPr="00372FD5" w:rsidRDefault="00084D3C" w:rsidP="004166A6">
            <w:pPr>
              <w:spacing w:after="0" w:line="240" w:lineRule="auto"/>
              <w:ind w:right="-193"/>
              <w:jc w:val="center"/>
              <w:rPr>
                <w:rFonts w:eastAsia="Calibri" w:cs="Arial"/>
                <w:lang w:val="es-CR"/>
              </w:rPr>
            </w:pPr>
            <w:r w:rsidRPr="00372FD5">
              <w:rPr>
                <w:rFonts w:eastAsia="Calibri" w:cs="Arial"/>
                <w:lang w:val="es-CR"/>
              </w:rPr>
              <w:t>Otros</w:t>
            </w:r>
          </w:p>
        </w:tc>
      </w:tr>
    </w:tbl>
    <w:p w14:paraId="72960555" w14:textId="77777777" w:rsidR="00084D3C" w:rsidRDefault="00084D3C" w:rsidP="00E728D0">
      <w:pPr>
        <w:pStyle w:val="Numeracin"/>
        <w:numPr>
          <w:ilvl w:val="0"/>
          <w:numId w:val="0"/>
        </w:numPr>
        <w:tabs>
          <w:tab w:val="left" w:pos="567"/>
        </w:tabs>
        <w:spacing w:before="0"/>
        <w:ind w:left="360" w:right="-193" w:hanging="360"/>
        <w:rPr>
          <w:rFonts w:ascii="Arial" w:hAnsi="Arial" w:cs="Arial"/>
          <w:b/>
          <w:i/>
          <w:szCs w:val="22"/>
        </w:rPr>
      </w:pPr>
    </w:p>
    <w:bookmarkStart w:id="8" w:name="_MON_1529822109"/>
    <w:bookmarkEnd w:id="8"/>
    <w:p w14:paraId="72960556" w14:textId="77777777" w:rsidR="00E728D0" w:rsidRDefault="00E728D0" w:rsidP="00084D3C">
      <w:pPr>
        <w:pStyle w:val="Numeracin"/>
        <w:numPr>
          <w:ilvl w:val="0"/>
          <w:numId w:val="0"/>
        </w:numPr>
        <w:tabs>
          <w:tab w:val="left" w:pos="567"/>
        </w:tabs>
        <w:spacing w:before="0"/>
        <w:ind w:left="360" w:right="-193" w:hanging="360"/>
        <w:jc w:val="center"/>
        <w:rPr>
          <w:rFonts w:ascii="Arial" w:hAnsi="Arial" w:cs="Arial"/>
          <w:b/>
          <w:i/>
          <w:szCs w:val="22"/>
        </w:rPr>
      </w:pPr>
      <w:r w:rsidRPr="00372FD5">
        <w:rPr>
          <w:rFonts w:ascii="Arial" w:hAnsi="Arial" w:cs="Arial"/>
          <w:b/>
          <w:i/>
          <w:szCs w:val="22"/>
        </w:rPr>
        <w:object w:dxaOrig="2040" w:dyaOrig="1320" w14:anchorId="72960581">
          <v:shape id="_x0000_i1032" type="#_x0000_t75" style="width:103.5pt;height:66pt" o:ole="">
            <v:imagedata r:id="rId25" o:title=""/>
          </v:shape>
          <o:OLEObject Type="Embed" ProgID="Excel.Sheet.12" ShapeID="_x0000_i1032" DrawAspect="Icon" ObjectID="_1554727339" r:id="rId26"/>
        </w:object>
      </w:r>
    </w:p>
    <w:p w14:paraId="72960557" w14:textId="77777777" w:rsidR="00E728D0" w:rsidRPr="00372FD5" w:rsidRDefault="00E728D0" w:rsidP="00E728D0">
      <w:pPr>
        <w:pStyle w:val="Numeracin"/>
        <w:numPr>
          <w:ilvl w:val="0"/>
          <w:numId w:val="0"/>
        </w:numPr>
        <w:tabs>
          <w:tab w:val="left" w:pos="567"/>
        </w:tabs>
        <w:spacing w:before="0"/>
        <w:ind w:left="360" w:right="-193" w:hanging="360"/>
        <w:rPr>
          <w:rFonts w:ascii="Arial" w:hAnsi="Arial" w:cs="Arial"/>
          <w:b/>
          <w:i/>
          <w:szCs w:val="22"/>
        </w:rPr>
      </w:pPr>
    </w:p>
    <w:p w14:paraId="72960558" w14:textId="77777777" w:rsidR="00084D3C" w:rsidRPr="00372FD5" w:rsidRDefault="00084D3C" w:rsidP="00084D3C">
      <w:pPr>
        <w:pStyle w:val="Artculo"/>
        <w:numPr>
          <w:ilvl w:val="0"/>
          <w:numId w:val="0"/>
        </w:numPr>
        <w:ind w:right="-193"/>
        <w:rPr>
          <w:rFonts w:ascii="Arial" w:eastAsia="Arial Unicode MS" w:hAnsi="Arial" w:cs="Arial"/>
          <w:szCs w:val="22"/>
          <w:lang w:val="es-CR"/>
        </w:rPr>
      </w:pPr>
      <w:r w:rsidRPr="00372FD5">
        <w:rPr>
          <w:rFonts w:ascii="Arial" w:eastAsia="Arial Unicode MS" w:hAnsi="Arial" w:cs="Arial"/>
          <w:szCs w:val="22"/>
          <w:lang w:val="es-CR"/>
        </w:rPr>
        <w:t>Artículo 3</w:t>
      </w:r>
      <w:r w:rsidR="008448AA">
        <w:rPr>
          <w:rFonts w:ascii="Arial" w:eastAsia="Arial Unicode MS" w:hAnsi="Arial" w:cs="Arial"/>
          <w:szCs w:val="22"/>
          <w:lang w:val="es-CR"/>
        </w:rPr>
        <w:t>.</w:t>
      </w:r>
      <w:r w:rsidRPr="00372FD5">
        <w:rPr>
          <w:rFonts w:ascii="Arial" w:eastAsia="Arial Unicode MS" w:hAnsi="Arial" w:cs="Arial"/>
          <w:szCs w:val="22"/>
          <w:lang w:val="es-CR"/>
        </w:rPr>
        <w:t xml:space="preserve"> Eliminaciones </w:t>
      </w:r>
    </w:p>
    <w:p w14:paraId="72960559" w14:textId="77777777" w:rsidR="00084D3C" w:rsidRPr="00372FD5" w:rsidRDefault="00084D3C" w:rsidP="00084D3C">
      <w:pPr>
        <w:pStyle w:val="Numeracin"/>
        <w:numPr>
          <w:ilvl w:val="0"/>
          <w:numId w:val="0"/>
        </w:numPr>
        <w:tabs>
          <w:tab w:val="left" w:pos="567"/>
        </w:tabs>
        <w:spacing w:before="0"/>
        <w:ind w:left="927" w:right="-193"/>
        <w:rPr>
          <w:rFonts w:ascii="Arial" w:hAnsi="Arial" w:cs="Arial"/>
          <w:b/>
          <w:szCs w:val="22"/>
          <w:lang w:val="es-CR"/>
        </w:rPr>
      </w:pPr>
    </w:p>
    <w:p w14:paraId="7296055A" w14:textId="77777777" w:rsidR="00084D3C" w:rsidRPr="00372FD5" w:rsidRDefault="00084D3C" w:rsidP="00084D3C">
      <w:pPr>
        <w:pStyle w:val="Numeracin"/>
        <w:numPr>
          <w:ilvl w:val="0"/>
          <w:numId w:val="0"/>
        </w:numPr>
        <w:spacing w:before="0"/>
        <w:ind w:right="-193"/>
        <w:rPr>
          <w:rFonts w:ascii="Arial" w:hAnsi="Arial" w:cs="Arial"/>
          <w:szCs w:val="22"/>
        </w:rPr>
      </w:pPr>
      <w:r w:rsidRPr="00372FD5">
        <w:rPr>
          <w:rFonts w:ascii="Arial" w:hAnsi="Arial" w:cs="Arial"/>
          <w:szCs w:val="22"/>
        </w:rPr>
        <w:t>Se realizan las siguientes eliminaciones de los reportes solicitados mediante el acuerdo SGV-A-75:</w:t>
      </w:r>
    </w:p>
    <w:p w14:paraId="7296055B" w14:textId="77777777" w:rsidR="00084D3C" w:rsidRPr="00372FD5" w:rsidRDefault="00084D3C" w:rsidP="00E728D0">
      <w:pPr>
        <w:pStyle w:val="Numeracin"/>
        <w:numPr>
          <w:ilvl w:val="0"/>
          <w:numId w:val="0"/>
        </w:numPr>
        <w:tabs>
          <w:tab w:val="left" w:pos="567"/>
        </w:tabs>
        <w:spacing w:before="0"/>
        <w:ind w:left="360" w:right="-193" w:hanging="360"/>
        <w:rPr>
          <w:rFonts w:ascii="Arial" w:hAnsi="Arial" w:cs="Arial"/>
          <w:szCs w:val="22"/>
        </w:rPr>
      </w:pPr>
    </w:p>
    <w:p w14:paraId="7296055C" w14:textId="77777777" w:rsidR="00084D3C" w:rsidRPr="00372FD5" w:rsidRDefault="00084D3C" w:rsidP="00084D3C">
      <w:pPr>
        <w:pStyle w:val="Numeracin"/>
        <w:numPr>
          <w:ilvl w:val="0"/>
          <w:numId w:val="2"/>
        </w:numPr>
        <w:tabs>
          <w:tab w:val="left" w:pos="567"/>
        </w:tabs>
        <w:spacing w:before="0"/>
        <w:ind w:right="-193"/>
        <w:rPr>
          <w:rFonts w:ascii="Arial" w:hAnsi="Arial" w:cs="Arial"/>
          <w:szCs w:val="22"/>
          <w:lang w:val="es-CR"/>
        </w:rPr>
      </w:pPr>
      <w:r w:rsidRPr="00372FD5">
        <w:rPr>
          <w:rFonts w:ascii="Arial" w:hAnsi="Arial" w:cs="Arial"/>
          <w:szCs w:val="22"/>
          <w:lang w:val="es-CR"/>
        </w:rPr>
        <w:t xml:space="preserve">Se elimina la remisión de una copia del Informe de Gobierno Corporativo a Emisores, Sociedades Administradoras de Fondos de Inversión, Puestos de Bolsa, Sociedades Titularizadoras, Fiduciarias, Universalidades y a Bolsas de Valores. </w:t>
      </w:r>
    </w:p>
    <w:p w14:paraId="7296055D" w14:textId="77777777" w:rsidR="00084D3C" w:rsidRPr="00372FD5" w:rsidRDefault="00084D3C" w:rsidP="00084D3C">
      <w:pPr>
        <w:pStyle w:val="Numeracin"/>
        <w:numPr>
          <w:ilvl w:val="0"/>
          <w:numId w:val="0"/>
        </w:numPr>
        <w:tabs>
          <w:tab w:val="left" w:pos="567"/>
        </w:tabs>
        <w:spacing w:before="0"/>
        <w:ind w:left="927" w:right="-193"/>
        <w:rPr>
          <w:rFonts w:ascii="Arial" w:hAnsi="Arial" w:cs="Arial"/>
          <w:szCs w:val="22"/>
          <w:lang w:val="es-CR"/>
        </w:rPr>
      </w:pPr>
    </w:p>
    <w:p w14:paraId="7296055E" w14:textId="77777777" w:rsidR="00084D3C" w:rsidRPr="00372FD5" w:rsidRDefault="00084D3C" w:rsidP="00084D3C">
      <w:pPr>
        <w:pStyle w:val="Numeracin"/>
        <w:numPr>
          <w:ilvl w:val="0"/>
          <w:numId w:val="2"/>
        </w:numPr>
        <w:tabs>
          <w:tab w:val="left" w:pos="567"/>
        </w:tabs>
        <w:spacing w:before="0"/>
        <w:ind w:right="-193"/>
        <w:rPr>
          <w:rFonts w:ascii="Arial" w:hAnsi="Arial" w:cs="Arial"/>
          <w:szCs w:val="22"/>
          <w:lang w:val="es-CR"/>
        </w:rPr>
      </w:pPr>
      <w:r w:rsidRPr="00372FD5">
        <w:rPr>
          <w:rFonts w:ascii="Arial" w:hAnsi="Arial" w:cs="Arial"/>
          <w:szCs w:val="22"/>
          <w:lang w:val="es-CR"/>
        </w:rPr>
        <w:t xml:space="preserve">Se elimina la solicitud del resumen de títulos valores recibidos o entregados al portador para Emisores, Puestos de Bolsa, Sociedades Administradoras de Fondos de Inversión, Sociedades Titularizadoras y Fiduciarias, Bolsas y Centrales de Valores. </w:t>
      </w:r>
    </w:p>
    <w:p w14:paraId="7296055F" w14:textId="77777777" w:rsidR="00084D3C" w:rsidRPr="00372FD5" w:rsidRDefault="00084D3C" w:rsidP="00084D3C">
      <w:pPr>
        <w:pStyle w:val="Numeracin"/>
        <w:numPr>
          <w:ilvl w:val="0"/>
          <w:numId w:val="0"/>
        </w:numPr>
        <w:tabs>
          <w:tab w:val="left" w:pos="567"/>
        </w:tabs>
        <w:spacing w:before="0"/>
        <w:ind w:left="1776" w:right="-193"/>
        <w:rPr>
          <w:rFonts w:ascii="Arial" w:hAnsi="Arial" w:cs="Arial"/>
          <w:b/>
          <w:szCs w:val="22"/>
        </w:rPr>
      </w:pPr>
    </w:p>
    <w:p w14:paraId="72960560" w14:textId="77777777" w:rsidR="00084D3C" w:rsidRPr="00372FD5" w:rsidRDefault="00084D3C" w:rsidP="00084D3C">
      <w:pPr>
        <w:pStyle w:val="Numeracin"/>
        <w:numPr>
          <w:ilvl w:val="0"/>
          <w:numId w:val="2"/>
        </w:numPr>
        <w:tabs>
          <w:tab w:val="left" w:pos="567"/>
        </w:tabs>
        <w:spacing w:before="0"/>
        <w:ind w:right="-193"/>
        <w:rPr>
          <w:rFonts w:ascii="Arial" w:hAnsi="Arial" w:cs="Arial"/>
          <w:b/>
          <w:szCs w:val="22"/>
        </w:rPr>
      </w:pPr>
      <w:r w:rsidRPr="00372FD5">
        <w:rPr>
          <w:rFonts w:ascii="Arial" w:hAnsi="Arial" w:cs="Arial"/>
          <w:szCs w:val="22"/>
        </w:rPr>
        <w:t>Se elimina la remisión de la Certificación del custodio del depósito de las acciones de las entidades que conforman el grupo financiero.</w:t>
      </w:r>
    </w:p>
    <w:p w14:paraId="72960561" w14:textId="77777777" w:rsidR="00084D3C" w:rsidRPr="00372FD5" w:rsidRDefault="00084D3C" w:rsidP="00084D3C">
      <w:pPr>
        <w:pStyle w:val="Numeracin"/>
        <w:numPr>
          <w:ilvl w:val="0"/>
          <w:numId w:val="0"/>
        </w:numPr>
        <w:tabs>
          <w:tab w:val="left" w:pos="567"/>
        </w:tabs>
        <w:spacing w:before="0"/>
        <w:ind w:left="927" w:right="-193"/>
        <w:rPr>
          <w:rFonts w:ascii="Arial" w:hAnsi="Arial" w:cs="Arial"/>
          <w:color w:val="FF0000"/>
          <w:szCs w:val="22"/>
        </w:rPr>
      </w:pPr>
    </w:p>
    <w:p w14:paraId="72960562" w14:textId="77777777" w:rsidR="00084D3C" w:rsidRPr="00372FD5" w:rsidRDefault="00084D3C" w:rsidP="00084D3C">
      <w:pPr>
        <w:pStyle w:val="Numeracin"/>
        <w:numPr>
          <w:ilvl w:val="0"/>
          <w:numId w:val="2"/>
        </w:numPr>
        <w:tabs>
          <w:tab w:val="left" w:pos="567"/>
        </w:tabs>
        <w:spacing w:before="0"/>
        <w:ind w:right="-193"/>
        <w:rPr>
          <w:rFonts w:ascii="Arial" w:hAnsi="Arial" w:cs="Arial"/>
          <w:color w:val="FF0000"/>
          <w:szCs w:val="22"/>
        </w:rPr>
      </w:pPr>
      <w:r w:rsidRPr="00372FD5">
        <w:rPr>
          <w:rFonts w:ascii="Arial" w:hAnsi="Arial" w:cs="Arial"/>
          <w:szCs w:val="22"/>
        </w:rPr>
        <w:t>Se elimina la columna: Fecha pago interés, (línea 16), del Anexo No. 10 Manual Descriptivo para “Reporte Inversiones Propias” de Puestos de Bolsa.</w:t>
      </w:r>
    </w:p>
    <w:p w14:paraId="72960563" w14:textId="77777777" w:rsidR="00084D3C" w:rsidRPr="00372FD5" w:rsidRDefault="00084D3C" w:rsidP="00084D3C">
      <w:pPr>
        <w:pStyle w:val="Numeracin"/>
        <w:numPr>
          <w:ilvl w:val="0"/>
          <w:numId w:val="0"/>
        </w:numPr>
        <w:tabs>
          <w:tab w:val="left" w:pos="567"/>
        </w:tabs>
        <w:spacing w:before="0"/>
        <w:ind w:left="1647" w:right="-193"/>
        <w:rPr>
          <w:rFonts w:ascii="Arial" w:hAnsi="Arial" w:cs="Arial"/>
          <w:color w:val="FF0000"/>
          <w:szCs w:val="22"/>
        </w:rPr>
      </w:pPr>
    </w:p>
    <w:bookmarkStart w:id="9" w:name="_MON_1543744038"/>
    <w:bookmarkEnd w:id="9"/>
    <w:p w14:paraId="72960564" w14:textId="77777777" w:rsidR="00084D3C" w:rsidRPr="00372FD5" w:rsidRDefault="00084D3C" w:rsidP="00084D3C">
      <w:pPr>
        <w:ind w:right="-193"/>
        <w:jc w:val="center"/>
        <w:rPr>
          <w:rFonts w:cs="Arial"/>
          <w:lang w:val="es-CR"/>
        </w:rPr>
      </w:pPr>
      <w:r w:rsidRPr="00372FD5">
        <w:rPr>
          <w:rFonts w:cs="Arial"/>
          <w:lang w:val="es-CR"/>
        </w:rPr>
        <w:object w:dxaOrig="1531" w:dyaOrig="990" w14:anchorId="72960582">
          <v:shape id="_x0000_i1033" type="#_x0000_t75" style="width:76.5pt;height:49.5pt" o:ole="">
            <v:imagedata r:id="rId27" o:title=""/>
          </v:shape>
          <o:OLEObject Type="Embed" ProgID="Word.Document.12" ShapeID="_x0000_i1033" DrawAspect="Icon" ObjectID="_1554727340" r:id="rId28">
            <o:FieldCodes>\s</o:FieldCodes>
          </o:OLEObject>
        </w:object>
      </w:r>
    </w:p>
    <w:p w14:paraId="72960565" w14:textId="77777777" w:rsidR="00084D3C" w:rsidRPr="008448AA" w:rsidRDefault="00084D3C" w:rsidP="008448AA">
      <w:pPr>
        <w:pStyle w:val="Textodereglamento"/>
        <w:ind w:right="-193"/>
        <w:rPr>
          <w:rFonts w:ascii="Arial" w:eastAsia="Arial Unicode MS" w:hAnsi="Arial" w:cs="Arial"/>
          <w:szCs w:val="22"/>
          <w:lang w:val="es-CR"/>
        </w:rPr>
      </w:pPr>
    </w:p>
    <w:p w14:paraId="72960566" w14:textId="77777777" w:rsidR="00084D3C" w:rsidRPr="008448AA" w:rsidRDefault="00084D3C" w:rsidP="008448AA">
      <w:pPr>
        <w:pStyle w:val="Textodereglamento"/>
        <w:ind w:right="-193"/>
        <w:rPr>
          <w:rFonts w:ascii="Arial" w:eastAsia="Arial Unicode MS" w:hAnsi="Arial" w:cs="Arial"/>
          <w:b/>
          <w:szCs w:val="22"/>
          <w:lang w:val="es-CR"/>
        </w:rPr>
      </w:pPr>
      <w:r w:rsidRPr="008448AA">
        <w:rPr>
          <w:rFonts w:ascii="Arial" w:eastAsia="Arial Unicode MS" w:hAnsi="Arial" w:cs="Arial"/>
          <w:b/>
          <w:szCs w:val="22"/>
          <w:lang w:val="es-CR"/>
        </w:rPr>
        <w:t>Artículo 4</w:t>
      </w:r>
      <w:r w:rsidR="008448AA">
        <w:rPr>
          <w:rFonts w:ascii="Arial" w:eastAsia="Arial Unicode MS" w:hAnsi="Arial" w:cs="Arial"/>
          <w:b/>
          <w:szCs w:val="22"/>
          <w:lang w:val="es-CR"/>
        </w:rPr>
        <w:t>. Derogatorias</w:t>
      </w:r>
    </w:p>
    <w:p w14:paraId="72960567" w14:textId="77777777" w:rsidR="00084D3C" w:rsidRPr="00372FD5" w:rsidRDefault="00084D3C" w:rsidP="00084D3C">
      <w:pPr>
        <w:pStyle w:val="Textodereglamento"/>
        <w:ind w:right="-193"/>
        <w:rPr>
          <w:rFonts w:ascii="Arial" w:eastAsia="Arial Unicode MS" w:hAnsi="Arial" w:cs="Arial"/>
          <w:szCs w:val="22"/>
          <w:lang w:val="es-CR"/>
        </w:rPr>
      </w:pPr>
    </w:p>
    <w:p w14:paraId="72960568" w14:textId="77777777" w:rsidR="00084D3C" w:rsidRPr="00372FD5" w:rsidRDefault="00084D3C" w:rsidP="00084D3C">
      <w:pPr>
        <w:spacing w:after="0" w:line="240" w:lineRule="auto"/>
        <w:ind w:right="-193"/>
        <w:jc w:val="both"/>
        <w:rPr>
          <w:rFonts w:cs="Arial"/>
          <w:lang w:val="es-CR"/>
        </w:rPr>
      </w:pPr>
      <w:r w:rsidRPr="00372FD5">
        <w:rPr>
          <w:rFonts w:eastAsia="Times New Roman" w:cs="Arial"/>
          <w:lang w:val="es-CR"/>
        </w:rPr>
        <w:t>Se deroga el Acuerdo SGV-A-111 “Normas para la comunicación y publicidad de las operaciones Internacionales y las efectuadas fuera de los mecanismos normales de negociación”</w:t>
      </w:r>
      <w:r w:rsidRPr="00372FD5">
        <w:rPr>
          <w:rFonts w:cs="Arial"/>
          <w:lang w:val="es-CR"/>
        </w:rPr>
        <w:t xml:space="preserve"> </w:t>
      </w:r>
    </w:p>
    <w:p w14:paraId="72960569" w14:textId="77777777" w:rsidR="00084D3C" w:rsidRPr="00372FD5" w:rsidRDefault="00084D3C" w:rsidP="00084D3C">
      <w:pPr>
        <w:pStyle w:val="incisos"/>
        <w:numPr>
          <w:ilvl w:val="0"/>
          <w:numId w:val="0"/>
        </w:numPr>
        <w:ind w:right="-193"/>
        <w:rPr>
          <w:rFonts w:ascii="Arial" w:hAnsi="Arial" w:cs="Arial"/>
          <w:sz w:val="22"/>
          <w:szCs w:val="22"/>
          <w:lang w:val="es-CR"/>
        </w:rPr>
      </w:pPr>
    </w:p>
    <w:p w14:paraId="7296056A" w14:textId="77777777" w:rsidR="00084D3C" w:rsidRPr="00372FD5" w:rsidRDefault="00084D3C" w:rsidP="00084D3C">
      <w:pPr>
        <w:pStyle w:val="Numeracin"/>
        <w:numPr>
          <w:ilvl w:val="0"/>
          <w:numId w:val="0"/>
        </w:numPr>
        <w:spacing w:before="0"/>
        <w:ind w:right="-193"/>
        <w:rPr>
          <w:rFonts w:ascii="Arial" w:hAnsi="Arial" w:cs="Arial"/>
          <w:b/>
          <w:szCs w:val="22"/>
          <w:lang w:val="es-CR"/>
        </w:rPr>
      </w:pPr>
      <w:r w:rsidRPr="00372FD5">
        <w:rPr>
          <w:rFonts w:ascii="Arial" w:hAnsi="Arial" w:cs="Arial"/>
          <w:b/>
          <w:szCs w:val="22"/>
          <w:lang w:val="es-CR"/>
        </w:rPr>
        <w:t>Artículo 5. Vigencia</w:t>
      </w:r>
    </w:p>
    <w:p w14:paraId="7296056B" w14:textId="77777777" w:rsidR="00084D3C" w:rsidRPr="00372FD5" w:rsidRDefault="00084D3C" w:rsidP="00084D3C">
      <w:pPr>
        <w:spacing w:after="0" w:line="240" w:lineRule="auto"/>
        <w:ind w:right="-193"/>
        <w:jc w:val="both"/>
        <w:rPr>
          <w:rFonts w:eastAsia="Times New Roman" w:cs="Arial"/>
          <w:lang w:val="es-CR"/>
        </w:rPr>
      </w:pPr>
    </w:p>
    <w:p w14:paraId="7296056C" w14:textId="77777777" w:rsidR="00084D3C" w:rsidRPr="00372FD5" w:rsidRDefault="00084D3C" w:rsidP="00084D3C">
      <w:pPr>
        <w:spacing w:after="0" w:line="240" w:lineRule="auto"/>
        <w:ind w:right="-193"/>
        <w:jc w:val="both"/>
        <w:rPr>
          <w:rFonts w:eastAsia="Times New Roman" w:cs="Arial"/>
          <w:lang w:val="es-CR"/>
        </w:rPr>
      </w:pPr>
      <w:r w:rsidRPr="00372FD5">
        <w:rPr>
          <w:rFonts w:eastAsia="Times New Roman" w:cs="Arial"/>
          <w:lang w:val="es-CR"/>
        </w:rPr>
        <w:t>Rige a partir del 1</w:t>
      </w:r>
      <w:r w:rsidRPr="00372FD5">
        <w:rPr>
          <w:rFonts w:eastAsia="Times New Roman" w:cs="Arial"/>
          <w:vertAlign w:val="superscript"/>
          <w:lang w:val="es-CR"/>
        </w:rPr>
        <w:t>ero</w:t>
      </w:r>
      <w:r w:rsidRPr="00372FD5">
        <w:rPr>
          <w:rFonts w:eastAsia="Times New Roman" w:cs="Arial"/>
          <w:lang w:val="es-CR"/>
        </w:rPr>
        <w:t xml:space="preserve"> de febrero del 2017. </w:t>
      </w:r>
    </w:p>
    <w:p w14:paraId="7296056D" w14:textId="77777777" w:rsidR="00084D3C" w:rsidRPr="00372FD5" w:rsidRDefault="00084D3C" w:rsidP="00084D3C">
      <w:pPr>
        <w:pStyle w:val="Numeracin"/>
        <w:numPr>
          <w:ilvl w:val="0"/>
          <w:numId w:val="0"/>
        </w:numPr>
        <w:ind w:right="-193"/>
        <w:rPr>
          <w:rFonts w:ascii="Arial" w:hAnsi="Arial" w:cs="Arial"/>
          <w:b/>
          <w:szCs w:val="22"/>
          <w:lang w:val="es-CR"/>
        </w:rPr>
      </w:pPr>
    </w:p>
    <w:p w14:paraId="7296056E" w14:textId="77777777" w:rsidR="008448AA" w:rsidRDefault="008448AA" w:rsidP="00084D3C">
      <w:pPr>
        <w:pStyle w:val="Numeracin"/>
        <w:numPr>
          <w:ilvl w:val="0"/>
          <w:numId w:val="0"/>
        </w:numPr>
        <w:spacing w:before="0"/>
        <w:ind w:right="-193"/>
        <w:rPr>
          <w:rFonts w:ascii="Arial" w:hAnsi="Arial" w:cs="Arial"/>
          <w:szCs w:val="22"/>
          <w:lang w:val="es-CR"/>
        </w:rPr>
      </w:pPr>
    </w:p>
    <w:p w14:paraId="7296056F" w14:textId="77777777" w:rsidR="00084D3C" w:rsidRPr="00372FD5" w:rsidRDefault="00084D3C" w:rsidP="00084D3C">
      <w:pPr>
        <w:pStyle w:val="Numeracin"/>
        <w:numPr>
          <w:ilvl w:val="0"/>
          <w:numId w:val="0"/>
        </w:numPr>
        <w:spacing w:before="0"/>
        <w:ind w:right="-193"/>
        <w:rPr>
          <w:rFonts w:ascii="Arial" w:hAnsi="Arial" w:cs="Arial"/>
          <w:szCs w:val="22"/>
          <w:lang w:val="es-CR"/>
        </w:rPr>
      </w:pPr>
      <w:r w:rsidRPr="00372FD5">
        <w:rPr>
          <w:rFonts w:ascii="Arial" w:hAnsi="Arial" w:cs="Arial"/>
          <w:szCs w:val="22"/>
          <w:lang w:val="es-CR"/>
        </w:rPr>
        <w:t>Se adicionan los transitorios IV al V del “SGV-A-75 “Suministro De Información Periódica”, qué se leerán de la siguiente forma:</w:t>
      </w:r>
    </w:p>
    <w:p w14:paraId="72960570" w14:textId="77777777" w:rsidR="00084D3C" w:rsidRPr="008448AA" w:rsidRDefault="00084D3C" w:rsidP="008448AA">
      <w:pPr>
        <w:pStyle w:val="Numeracin"/>
        <w:numPr>
          <w:ilvl w:val="0"/>
          <w:numId w:val="0"/>
        </w:numPr>
        <w:spacing w:before="0"/>
        <w:ind w:right="-193"/>
        <w:rPr>
          <w:rFonts w:ascii="Arial" w:hAnsi="Arial" w:cs="Arial"/>
          <w:szCs w:val="22"/>
          <w:lang w:val="es-CR"/>
        </w:rPr>
      </w:pPr>
    </w:p>
    <w:p w14:paraId="72960571" w14:textId="77777777" w:rsidR="00084D3C" w:rsidRPr="00372FD5" w:rsidRDefault="00084D3C" w:rsidP="00084D3C">
      <w:pPr>
        <w:pStyle w:val="Numeracin"/>
        <w:numPr>
          <w:ilvl w:val="0"/>
          <w:numId w:val="0"/>
        </w:numPr>
        <w:ind w:right="-193"/>
        <w:rPr>
          <w:rFonts w:ascii="Arial" w:hAnsi="Arial" w:cs="Arial"/>
          <w:b/>
          <w:szCs w:val="22"/>
          <w:lang w:val="es-CR"/>
        </w:rPr>
      </w:pPr>
      <w:r w:rsidRPr="00372FD5">
        <w:rPr>
          <w:rFonts w:ascii="Arial" w:hAnsi="Arial" w:cs="Arial"/>
          <w:b/>
          <w:szCs w:val="22"/>
          <w:lang w:val="es-CR"/>
        </w:rPr>
        <w:t xml:space="preserve">Transitorio IV. </w:t>
      </w:r>
    </w:p>
    <w:p w14:paraId="72960572" w14:textId="77777777" w:rsidR="00084D3C" w:rsidRPr="00372FD5" w:rsidRDefault="00084D3C" w:rsidP="00084D3C">
      <w:pPr>
        <w:pStyle w:val="Numeracin"/>
        <w:numPr>
          <w:ilvl w:val="0"/>
          <w:numId w:val="0"/>
        </w:numPr>
        <w:ind w:right="-193"/>
        <w:rPr>
          <w:rFonts w:ascii="Arial" w:hAnsi="Arial" w:cs="Arial"/>
          <w:szCs w:val="22"/>
          <w:lang w:val="es-CR"/>
        </w:rPr>
      </w:pPr>
      <w:r w:rsidRPr="00372FD5">
        <w:rPr>
          <w:rFonts w:ascii="Arial" w:hAnsi="Arial" w:cs="Arial"/>
          <w:szCs w:val="22"/>
          <w:lang w:val="es-CR"/>
        </w:rPr>
        <w:t>Las entidades que prestan servicios de intermediación y actividades complementarias que deben remitir el  Anexo 61 Reporte de Operaciones Internacionales, cuentan con tres meses a partir de la entrada en vigencia de este acuerdo para su cumplimiento.</w:t>
      </w:r>
    </w:p>
    <w:p w14:paraId="72960573" w14:textId="77777777" w:rsidR="00084D3C" w:rsidRPr="00372FD5" w:rsidRDefault="00084D3C" w:rsidP="00084D3C">
      <w:pPr>
        <w:pStyle w:val="Numeracin"/>
        <w:numPr>
          <w:ilvl w:val="0"/>
          <w:numId w:val="0"/>
        </w:numPr>
        <w:spacing w:before="0"/>
        <w:ind w:right="-193"/>
        <w:rPr>
          <w:rFonts w:ascii="Arial" w:hAnsi="Arial" w:cs="Arial"/>
          <w:szCs w:val="22"/>
          <w:lang w:val="es-CR"/>
        </w:rPr>
      </w:pPr>
    </w:p>
    <w:p w14:paraId="72960574" w14:textId="77777777" w:rsidR="00084D3C" w:rsidRPr="00372FD5" w:rsidRDefault="00084D3C" w:rsidP="00084D3C">
      <w:pPr>
        <w:pStyle w:val="Numeracin"/>
        <w:numPr>
          <w:ilvl w:val="0"/>
          <w:numId w:val="0"/>
        </w:numPr>
        <w:spacing w:before="0"/>
        <w:ind w:right="-193"/>
        <w:rPr>
          <w:rFonts w:ascii="Arial" w:hAnsi="Arial" w:cs="Arial"/>
          <w:b/>
          <w:szCs w:val="22"/>
          <w:lang w:val="es-CR"/>
        </w:rPr>
      </w:pPr>
      <w:r w:rsidRPr="00372FD5">
        <w:rPr>
          <w:rFonts w:ascii="Arial" w:hAnsi="Arial" w:cs="Arial"/>
          <w:b/>
          <w:szCs w:val="22"/>
          <w:lang w:val="es-CR"/>
        </w:rPr>
        <w:t>Transitorio V.</w:t>
      </w:r>
    </w:p>
    <w:p w14:paraId="72960575" w14:textId="77777777" w:rsidR="00084D3C" w:rsidRPr="00372FD5" w:rsidRDefault="00084D3C" w:rsidP="00084D3C">
      <w:pPr>
        <w:pStyle w:val="Numeracin"/>
        <w:numPr>
          <w:ilvl w:val="0"/>
          <w:numId w:val="0"/>
        </w:numPr>
        <w:spacing w:before="0"/>
        <w:ind w:right="-193"/>
        <w:rPr>
          <w:rFonts w:ascii="Arial" w:hAnsi="Arial" w:cs="Arial"/>
          <w:szCs w:val="22"/>
          <w:lang w:val="es-CR"/>
        </w:rPr>
      </w:pPr>
    </w:p>
    <w:p w14:paraId="72960576" w14:textId="77777777" w:rsidR="00084D3C" w:rsidRPr="00372FD5" w:rsidRDefault="00084D3C" w:rsidP="00084D3C">
      <w:pPr>
        <w:pStyle w:val="Numeracin"/>
        <w:numPr>
          <w:ilvl w:val="0"/>
          <w:numId w:val="0"/>
        </w:numPr>
        <w:ind w:right="-193"/>
        <w:rPr>
          <w:rFonts w:ascii="Arial" w:hAnsi="Arial" w:cs="Arial"/>
          <w:szCs w:val="22"/>
          <w:lang w:val="es-CR"/>
        </w:rPr>
      </w:pPr>
      <w:r w:rsidRPr="00372FD5">
        <w:rPr>
          <w:rFonts w:ascii="Arial" w:hAnsi="Arial" w:cs="Arial"/>
          <w:szCs w:val="22"/>
          <w:lang w:val="es-CR"/>
        </w:rPr>
        <w:t xml:space="preserve">La eliminación de la remisión de una copia del Informe de Gobierno Corporativo a Emisores, Sociedades Administradoras de Fondos de Inversión, Puestos de Bolsa, Sociedades Titularizadoras, Fiduciarias, Universalidades y a Bolsas de Valores, rige a partir del 1 de julio del 2017. </w:t>
      </w:r>
    </w:p>
    <w:p w14:paraId="72960577" w14:textId="77777777" w:rsidR="00084D3C" w:rsidRPr="00372FD5" w:rsidRDefault="00084D3C" w:rsidP="00084D3C">
      <w:pPr>
        <w:pStyle w:val="Numeracin"/>
        <w:numPr>
          <w:ilvl w:val="0"/>
          <w:numId w:val="0"/>
        </w:numPr>
        <w:spacing w:before="0"/>
        <w:ind w:right="-193"/>
        <w:rPr>
          <w:rFonts w:ascii="Arial" w:hAnsi="Arial" w:cs="Arial"/>
          <w:szCs w:val="22"/>
          <w:lang w:val="es-CR"/>
        </w:rPr>
      </w:pPr>
    </w:p>
    <w:p w14:paraId="72960578" w14:textId="77777777" w:rsidR="00084D3C" w:rsidRPr="00372FD5" w:rsidRDefault="00084D3C" w:rsidP="00084D3C">
      <w:pPr>
        <w:ind w:right="-193"/>
        <w:jc w:val="center"/>
        <w:rPr>
          <w:rFonts w:cs="Arial"/>
          <w:color w:val="FF0000"/>
        </w:rPr>
      </w:pPr>
    </w:p>
    <w:p w14:paraId="72960579" w14:textId="77777777" w:rsidR="00D50369" w:rsidRPr="00372FD5" w:rsidRDefault="00D50369">
      <w:pPr>
        <w:rPr>
          <w:rFonts w:cs="Arial"/>
        </w:rPr>
      </w:pPr>
    </w:p>
    <w:sectPr w:rsidR="00D50369" w:rsidRPr="00372FD5" w:rsidSect="0077641B">
      <w:headerReference w:type="default" r:id="rId29"/>
      <w:footerReference w:type="default" r:id="rId3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60585" w14:textId="77777777" w:rsidR="00D9660B" w:rsidRDefault="00D9660B">
      <w:pPr>
        <w:spacing w:after="0" w:line="240" w:lineRule="auto"/>
      </w:pPr>
      <w:r>
        <w:separator/>
      </w:r>
    </w:p>
  </w:endnote>
  <w:endnote w:type="continuationSeparator" w:id="0">
    <w:p w14:paraId="72960586" w14:textId="77777777" w:rsidR="00D9660B" w:rsidRDefault="00D9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B75BB"/>
      </w:rPr>
      <w:id w:val="-42061945"/>
      <w:docPartObj>
        <w:docPartGallery w:val="Page Numbers (Bottom of Page)"/>
        <w:docPartUnique/>
      </w:docPartObj>
    </w:sdtPr>
    <w:sdtEndPr>
      <w:rPr>
        <w:noProof/>
      </w:rPr>
    </w:sdtEndPr>
    <w:sdtContent>
      <w:p w14:paraId="72960589" w14:textId="77777777" w:rsidR="008448AA" w:rsidRPr="008448AA" w:rsidRDefault="008448AA">
        <w:pPr>
          <w:pStyle w:val="Footer"/>
          <w:rPr>
            <w:color w:val="1B75BB"/>
          </w:rPr>
        </w:pPr>
        <w:r w:rsidRPr="008448AA">
          <w:rPr>
            <w:color w:val="1B75BB"/>
          </w:rPr>
          <w:t xml:space="preserve">| </w:t>
        </w:r>
        <w:r w:rsidRPr="008448AA">
          <w:rPr>
            <w:color w:val="1B75BB"/>
          </w:rPr>
          <w:fldChar w:fldCharType="begin"/>
        </w:r>
        <w:r w:rsidRPr="008448AA">
          <w:rPr>
            <w:color w:val="1B75BB"/>
          </w:rPr>
          <w:instrText xml:space="preserve"> PAGE   \* MERGEFORMAT </w:instrText>
        </w:r>
        <w:r w:rsidRPr="008448AA">
          <w:rPr>
            <w:color w:val="1B75BB"/>
          </w:rPr>
          <w:fldChar w:fldCharType="separate"/>
        </w:r>
        <w:r w:rsidR="00483BCD">
          <w:rPr>
            <w:noProof/>
            <w:color w:val="1B75BB"/>
          </w:rPr>
          <w:t>2</w:t>
        </w:r>
        <w:r w:rsidRPr="008448AA">
          <w:rPr>
            <w:noProof/>
            <w:color w:val="1B75BB"/>
          </w:rPr>
          <w:fldChar w:fldCharType="end"/>
        </w:r>
      </w:p>
    </w:sdtContent>
  </w:sdt>
  <w:p w14:paraId="7296058A" w14:textId="77777777" w:rsidR="008448AA" w:rsidRDefault="00844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60583" w14:textId="77777777" w:rsidR="00D9660B" w:rsidRDefault="00D9660B">
      <w:pPr>
        <w:spacing w:after="0" w:line="240" w:lineRule="auto"/>
      </w:pPr>
      <w:r>
        <w:separator/>
      </w:r>
    </w:p>
  </w:footnote>
  <w:footnote w:type="continuationSeparator" w:id="0">
    <w:p w14:paraId="72960584" w14:textId="77777777" w:rsidR="00D9660B" w:rsidRDefault="00D9660B">
      <w:pPr>
        <w:spacing w:after="0" w:line="240" w:lineRule="auto"/>
      </w:pPr>
      <w:r>
        <w:continuationSeparator/>
      </w:r>
    </w:p>
  </w:footnote>
  <w:footnote w:id="1">
    <w:p w14:paraId="7296058F" w14:textId="5CE7B8CD" w:rsidR="00372FD5" w:rsidRPr="00AF2E71" w:rsidRDefault="00372FD5" w:rsidP="00372FD5">
      <w:pPr>
        <w:pStyle w:val="Numeracin"/>
        <w:numPr>
          <w:ilvl w:val="0"/>
          <w:numId w:val="0"/>
        </w:numPr>
        <w:spacing w:before="0"/>
        <w:ind w:right="-193"/>
        <w:rPr>
          <w:rFonts w:ascii="Arial" w:hAnsi="Arial" w:cs="Arial"/>
          <w:bCs/>
          <w:szCs w:val="22"/>
          <w:lang w:val="es-MX" w:eastAsia="en-US"/>
        </w:rPr>
      </w:pPr>
      <w:r>
        <w:rPr>
          <w:rStyle w:val="FootnoteReference"/>
        </w:rPr>
        <w:footnoteRef/>
      </w:r>
      <w:r>
        <w:t xml:space="preserve">  </w:t>
      </w:r>
      <w:r w:rsidRPr="00AF2E71">
        <w:rPr>
          <w:rFonts w:ascii="Arial" w:hAnsi="Arial" w:cs="Arial"/>
          <w:bCs/>
          <w:szCs w:val="22"/>
          <w:lang w:val="es-MX" w:eastAsia="en-US"/>
        </w:rPr>
        <w:t>Superintendencia General de Valores.  Despacho del Superintendente.  A las</w:t>
      </w:r>
      <w:r>
        <w:rPr>
          <w:rFonts w:ascii="Arial" w:hAnsi="Arial" w:cs="Arial"/>
          <w:bCs/>
          <w:szCs w:val="22"/>
          <w:lang w:val="es-MX" w:eastAsia="en-US"/>
        </w:rPr>
        <w:t xml:space="preserve"> nueve horas quince minutos </w:t>
      </w:r>
      <w:r w:rsidRPr="00AF2E71">
        <w:rPr>
          <w:rFonts w:ascii="Arial" w:hAnsi="Arial" w:cs="Arial"/>
          <w:bCs/>
          <w:szCs w:val="22"/>
          <w:lang w:val="es-MX" w:eastAsia="en-US"/>
        </w:rPr>
        <w:t xml:space="preserve">del </w:t>
      </w:r>
      <w:r>
        <w:rPr>
          <w:rFonts w:ascii="Arial" w:hAnsi="Arial" w:cs="Arial"/>
          <w:bCs/>
          <w:szCs w:val="22"/>
          <w:lang w:val="es-MX" w:eastAsia="en-US"/>
        </w:rPr>
        <w:t xml:space="preserve">treinta de enero </w:t>
      </w:r>
      <w:r w:rsidRPr="00AF2E71">
        <w:rPr>
          <w:rFonts w:ascii="Arial" w:hAnsi="Arial" w:cs="Arial"/>
          <w:bCs/>
          <w:szCs w:val="22"/>
          <w:lang w:val="es-MX" w:eastAsia="en-US"/>
        </w:rPr>
        <w:t>del dos mil diecisiete.</w:t>
      </w:r>
      <w:r w:rsidR="00483BCD">
        <w:rPr>
          <w:rFonts w:ascii="Arial" w:hAnsi="Arial" w:cs="Arial"/>
          <w:bCs/>
          <w:szCs w:val="22"/>
          <w:lang w:val="es-MX" w:eastAsia="en-US"/>
        </w:rPr>
        <w:t xml:space="preserve"> Publicado en el Alcance Digital No. 90 del 26 de abril del 2017.</w:t>
      </w:r>
    </w:p>
    <w:p w14:paraId="72960590" w14:textId="77777777" w:rsidR="00372FD5" w:rsidRPr="00372FD5" w:rsidRDefault="00372FD5">
      <w:pPr>
        <w:pStyle w:val="FootnoteText"/>
        <w:rPr>
          <w:lang w:val="es-MX"/>
        </w:rPr>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60587" w14:textId="77777777" w:rsidR="00372FD5" w:rsidRDefault="00372FD5" w:rsidP="00372FD5">
    <w:pPr>
      <w:pStyle w:val="Header"/>
      <w:jc w:val="right"/>
    </w:pPr>
    <w:r>
      <w:rPr>
        <w:noProof/>
        <w:lang w:val="es-CR" w:eastAsia="es-CR"/>
      </w:rPr>
      <mc:AlternateContent>
        <mc:Choice Requires="wps">
          <w:drawing>
            <wp:anchor distT="4294967293" distB="4294967293" distL="114300" distR="114300" simplePos="0" relativeHeight="251658240" behindDoc="0" locked="0" layoutInCell="1" allowOverlap="1" wp14:anchorId="7296058B" wp14:editId="7296058C">
              <wp:simplePos x="0" y="0"/>
              <wp:positionH relativeFrom="column">
                <wp:posOffset>-236220</wp:posOffset>
              </wp:positionH>
              <wp:positionV relativeFrom="paragraph">
                <wp:posOffset>466725</wp:posOffset>
              </wp:positionV>
              <wp:extent cx="5486400" cy="9525"/>
              <wp:effectExtent l="0" t="0" r="19050" b="285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9525"/>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55105" id="Straight Connector 11"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6pt,36.75pt" to="413.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" strokecolor="#0070c0" strokeweight="1.5pt"/>
          </w:pict>
        </mc:Fallback>
      </mc:AlternateContent>
    </w:r>
    <w:r w:rsidRPr="00E72720">
      <w:rPr>
        <w:rFonts w:ascii="Calibri" w:hAnsi="Calibri" w:cs="Arial"/>
        <w:i/>
        <w:noProof/>
        <w:sz w:val="20"/>
        <w:szCs w:val="20"/>
        <w:lang w:val="es-CR" w:eastAsia="es-CR"/>
      </w:rPr>
      <w:drawing>
        <wp:inline distT="0" distB="0" distL="0" distR="0" wp14:anchorId="7296058D" wp14:editId="7296058E">
          <wp:extent cx="1581150" cy="390525"/>
          <wp:effectExtent l="0" t="0" r="0" b="9525"/>
          <wp:docPr id="1" name="Picture 1"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72960588" w14:textId="77777777" w:rsidR="00372FD5" w:rsidRDefault="00372F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0C"/>
    <w:multiLevelType w:val="hybridMultilevel"/>
    <w:tmpl w:val="4C2ED8D4"/>
    <w:lvl w:ilvl="0" w:tplc="C1C42DD0">
      <w:start w:val="1"/>
      <w:numFmt w:val="decimal"/>
      <w:pStyle w:val="Numeracin"/>
      <w:lvlText w:val="%1."/>
      <w:lvlJc w:val="left"/>
      <w:pPr>
        <w:ind w:left="643" w:hanging="360"/>
      </w:pPr>
      <w:rPr>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2078F"/>
    <w:multiLevelType w:val="hybridMultilevel"/>
    <w:tmpl w:val="25DA711C"/>
    <w:lvl w:ilvl="0" w:tplc="BB0C5E5E">
      <w:start w:val="1"/>
      <w:numFmt w:val="lowerLetter"/>
      <w:lvlText w:val="%1."/>
      <w:lvlJc w:val="left"/>
      <w:pPr>
        <w:ind w:left="1065" w:hanging="705"/>
      </w:pPr>
      <w:rPr>
        <w:rFonts w:hint="default"/>
      </w:rPr>
    </w:lvl>
    <w:lvl w:ilvl="1" w:tplc="04090019">
      <w:start w:val="1"/>
      <w:numFmt w:val="lowerLetter"/>
      <w:lvlText w:val="%2."/>
      <w:lvlJc w:val="left"/>
      <w:pPr>
        <w:ind w:left="1440" w:hanging="360"/>
      </w:pPr>
    </w:lvl>
    <w:lvl w:ilvl="2" w:tplc="1F22B38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46C2E"/>
    <w:multiLevelType w:val="hybridMultilevel"/>
    <w:tmpl w:val="34448716"/>
    <w:lvl w:ilvl="0" w:tplc="31A0341A">
      <w:start w:val="1"/>
      <w:numFmt w:val="lowerLetter"/>
      <w:pStyle w:val="incisos"/>
      <w:lvlText w:val="%1)"/>
      <w:lvlJc w:val="left"/>
      <w:pPr>
        <w:tabs>
          <w:tab w:val="num" w:pos="907"/>
        </w:tabs>
        <w:ind w:left="907" w:hanging="33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96EFF"/>
    <w:multiLevelType w:val="hybridMultilevel"/>
    <w:tmpl w:val="25DA711C"/>
    <w:lvl w:ilvl="0" w:tplc="BB0C5E5E">
      <w:start w:val="1"/>
      <w:numFmt w:val="lowerLetter"/>
      <w:lvlText w:val="%1."/>
      <w:lvlJc w:val="left"/>
      <w:pPr>
        <w:ind w:left="1065" w:hanging="705"/>
      </w:pPr>
      <w:rPr>
        <w:rFonts w:hint="default"/>
      </w:rPr>
    </w:lvl>
    <w:lvl w:ilvl="1" w:tplc="04090019">
      <w:start w:val="1"/>
      <w:numFmt w:val="lowerLetter"/>
      <w:lvlText w:val="%2."/>
      <w:lvlJc w:val="left"/>
      <w:pPr>
        <w:ind w:left="1440" w:hanging="360"/>
      </w:pPr>
    </w:lvl>
    <w:lvl w:ilvl="2" w:tplc="1F22B38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37EDD"/>
    <w:multiLevelType w:val="hybridMultilevel"/>
    <w:tmpl w:val="C43A6900"/>
    <w:lvl w:ilvl="0" w:tplc="D774099A">
      <w:start w:val="1"/>
      <w:numFmt w:val="decimal"/>
      <w:pStyle w:val="Artculo"/>
      <w:lvlText w:val="Artículo %1."/>
      <w:lvlJc w:val="left"/>
      <w:pPr>
        <w:ind w:left="36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6F4464"/>
    <w:multiLevelType w:val="hybridMultilevel"/>
    <w:tmpl w:val="60E817C4"/>
    <w:lvl w:ilvl="0" w:tplc="1D0493F4">
      <w:start w:val="1"/>
      <w:numFmt w:val="lowerLetter"/>
      <w:lvlText w:val="%1."/>
      <w:lvlJc w:val="left"/>
      <w:pPr>
        <w:ind w:left="927" w:hanging="360"/>
      </w:pPr>
      <w:rPr>
        <w:rFonts w:ascii="Arial" w:hAnsi="Arial" w:cs="Arial" w:hint="default"/>
        <w:b w:val="0"/>
        <w:color w:val="auto"/>
        <w:sz w:val="22"/>
        <w:szCs w:val="22"/>
      </w:rPr>
    </w:lvl>
    <w:lvl w:ilvl="1" w:tplc="DCFEA2C8">
      <w:start w:val="1"/>
      <w:numFmt w:val="lowerLetter"/>
      <w:lvlText w:val="%2)"/>
      <w:lvlJc w:val="left"/>
      <w:pPr>
        <w:ind w:left="1647" w:hanging="360"/>
      </w:pPr>
      <w:rPr>
        <w:rFonts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3C"/>
    <w:rsid w:val="00084D3C"/>
    <w:rsid w:val="0016552C"/>
    <w:rsid w:val="00372FD5"/>
    <w:rsid w:val="00483BCD"/>
    <w:rsid w:val="005729F4"/>
    <w:rsid w:val="006306A6"/>
    <w:rsid w:val="0077641B"/>
    <w:rsid w:val="008448AA"/>
    <w:rsid w:val="00CE7ACA"/>
    <w:rsid w:val="00D50369"/>
    <w:rsid w:val="00D9660B"/>
    <w:rsid w:val="00E728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603C9"/>
  <w15:chartTrackingRefBased/>
  <w15:docId w15:val="{38264AB0-75B3-4580-9260-6C53D07B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dereglamento">
    <w:name w:val="Texto de reglamento"/>
    <w:basedOn w:val="Normal"/>
    <w:link w:val="TextodereglamentoChar"/>
    <w:qFormat/>
    <w:rsid w:val="00084D3C"/>
    <w:pPr>
      <w:spacing w:before="120" w:after="0" w:line="240" w:lineRule="auto"/>
      <w:jc w:val="both"/>
    </w:pPr>
    <w:rPr>
      <w:rFonts w:ascii="Times New Roman" w:eastAsia="Times New Roman" w:hAnsi="Times New Roman" w:cs="Times New Roman"/>
      <w:szCs w:val="24"/>
      <w:lang w:eastAsia="es-ES"/>
    </w:rPr>
  </w:style>
  <w:style w:type="paragraph" w:customStyle="1" w:styleId="Numeracin">
    <w:name w:val="Numeración"/>
    <w:basedOn w:val="Textodereglamento"/>
    <w:link w:val="NumeracinChar"/>
    <w:qFormat/>
    <w:rsid w:val="00084D3C"/>
    <w:pPr>
      <w:numPr>
        <w:numId w:val="1"/>
      </w:numPr>
    </w:pPr>
  </w:style>
  <w:style w:type="character" w:customStyle="1" w:styleId="TextodereglamentoChar">
    <w:name w:val="Texto de reglamento Char"/>
    <w:link w:val="Textodereglamento"/>
    <w:rsid w:val="00084D3C"/>
    <w:rPr>
      <w:rFonts w:ascii="Times New Roman" w:eastAsia="Times New Roman" w:hAnsi="Times New Roman" w:cs="Times New Roman"/>
      <w:szCs w:val="24"/>
      <w:lang w:eastAsia="es-ES"/>
    </w:rPr>
  </w:style>
  <w:style w:type="character" w:customStyle="1" w:styleId="NumeracinChar">
    <w:name w:val="Numeración Char"/>
    <w:link w:val="Numeracin"/>
    <w:rsid w:val="00084D3C"/>
    <w:rPr>
      <w:rFonts w:ascii="Times New Roman" w:eastAsia="Times New Roman" w:hAnsi="Times New Roman" w:cs="Times New Roman"/>
      <w:szCs w:val="24"/>
      <w:lang w:eastAsia="es-ES"/>
    </w:rPr>
  </w:style>
  <w:style w:type="paragraph" w:styleId="ListParagraph">
    <w:name w:val="List Paragraph"/>
    <w:aliases w:val="Titulo 2"/>
    <w:basedOn w:val="Normal"/>
    <w:link w:val="ListParagraphChar"/>
    <w:uiPriority w:val="34"/>
    <w:qFormat/>
    <w:rsid w:val="00084D3C"/>
    <w:pPr>
      <w:ind w:left="720"/>
      <w:contextualSpacing/>
    </w:pPr>
  </w:style>
  <w:style w:type="paragraph" w:styleId="Header">
    <w:name w:val="header"/>
    <w:basedOn w:val="Normal"/>
    <w:link w:val="HeaderChar"/>
    <w:uiPriority w:val="99"/>
    <w:unhideWhenUsed/>
    <w:rsid w:val="00084D3C"/>
    <w:pPr>
      <w:tabs>
        <w:tab w:val="center" w:pos="4419"/>
        <w:tab w:val="right" w:pos="8838"/>
      </w:tabs>
      <w:spacing w:after="0" w:line="240" w:lineRule="auto"/>
    </w:pPr>
  </w:style>
  <w:style w:type="character" w:customStyle="1" w:styleId="HeaderChar">
    <w:name w:val="Header Char"/>
    <w:basedOn w:val="DefaultParagraphFont"/>
    <w:link w:val="Header"/>
    <w:uiPriority w:val="99"/>
    <w:rsid w:val="00084D3C"/>
  </w:style>
  <w:style w:type="character" w:customStyle="1" w:styleId="ListParagraphChar">
    <w:name w:val="List Paragraph Char"/>
    <w:aliases w:val="Titulo 2 Char"/>
    <w:link w:val="ListParagraph"/>
    <w:uiPriority w:val="34"/>
    <w:locked/>
    <w:rsid w:val="00084D3C"/>
  </w:style>
  <w:style w:type="paragraph" w:customStyle="1" w:styleId="incisos">
    <w:name w:val="incisos"/>
    <w:basedOn w:val="Textodereglamento"/>
    <w:qFormat/>
    <w:rsid w:val="00084D3C"/>
    <w:pPr>
      <w:numPr>
        <w:numId w:val="4"/>
      </w:numPr>
      <w:spacing w:before="60"/>
    </w:pPr>
    <w:rPr>
      <w:sz w:val="24"/>
    </w:rPr>
  </w:style>
  <w:style w:type="paragraph" w:customStyle="1" w:styleId="Artculo">
    <w:name w:val="Artículo"/>
    <w:basedOn w:val="Normal"/>
    <w:next w:val="Textodereglamento"/>
    <w:qFormat/>
    <w:rsid w:val="00084D3C"/>
    <w:pPr>
      <w:keepNext/>
      <w:numPr>
        <w:numId w:val="5"/>
      </w:numPr>
      <w:spacing w:before="180" w:after="60" w:line="240" w:lineRule="auto"/>
    </w:pPr>
    <w:rPr>
      <w:rFonts w:ascii="Times New Roman" w:eastAsia="Times New Roman" w:hAnsi="Times New Roman" w:cs="Times New Roman"/>
      <w:b/>
      <w:szCs w:val="24"/>
      <w:lang w:eastAsia="es-ES"/>
    </w:rPr>
  </w:style>
  <w:style w:type="paragraph" w:styleId="Footer">
    <w:name w:val="footer"/>
    <w:basedOn w:val="Normal"/>
    <w:link w:val="FooterChar"/>
    <w:uiPriority w:val="99"/>
    <w:unhideWhenUsed/>
    <w:rsid w:val="00CE7ACA"/>
    <w:pPr>
      <w:tabs>
        <w:tab w:val="center" w:pos="4419"/>
        <w:tab w:val="right" w:pos="8838"/>
      </w:tabs>
      <w:spacing w:after="0" w:line="240" w:lineRule="auto"/>
    </w:pPr>
  </w:style>
  <w:style w:type="character" w:customStyle="1" w:styleId="FooterChar">
    <w:name w:val="Footer Char"/>
    <w:basedOn w:val="DefaultParagraphFont"/>
    <w:link w:val="Footer"/>
    <w:uiPriority w:val="99"/>
    <w:rsid w:val="00CE7ACA"/>
  </w:style>
  <w:style w:type="paragraph" w:styleId="FootnoteText">
    <w:name w:val="footnote text"/>
    <w:basedOn w:val="Normal"/>
    <w:link w:val="FootnoteTextChar"/>
    <w:uiPriority w:val="99"/>
    <w:semiHidden/>
    <w:unhideWhenUsed/>
    <w:rsid w:val="00372F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FD5"/>
    <w:rPr>
      <w:sz w:val="20"/>
      <w:szCs w:val="20"/>
    </w:rPr>
  </w:style>
  <w:style w:type="character" w:styleId="FootnoteReference">
    <w:name w:val="footnote reference"/>
    <w:basedOn w:val="DefaultParagraphFont"/>
    <w:uiPriority w:val="99"/>
    <w:semiHidden/>
    <w:unhideWhenUsed/>
    <w:rsid w:val="00372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emf"/>
  <Relationship Id="rId12" Type="http://schemas.openxmlformats.org/officeDocument/2006/relationships/package" Target="embeddings/Microsoft_Word_Document1.docx"/>
  <Relationship Id="rId13" Type="http://schemas.openxmlformats.org/officeDocument/2006/relationships/image" Target="media/image2.emf"/>
  <Relationship Id="rId14" Type="http://schemas.openxmlformats.org/officeDocument/2006/relationships/oleObject" Target="embeddings/Microsoft_Excel_97-2003_Worksheet1.xls"/>
  <Relationship Id="rId15" Type="http://schemas.openxmlformats.org/officeDocument/2006/relationships/image" Target="media/image3.emf"/>
  <Relationship Id="rId16" Type="http://schemas.openxmlformats.org/officeDocument/2006/relationships/package" Target="embeddings/Microsoft_Excel_Worksheet2.xlsx"/>
  <Relationship Id="rId17" Type="http://schemas.openxmlformats.org/officeDocument/2006/relationships/image" Target="media/image4.emf"/>
  <Relationship Id="rId18" Type="http://schemas.openxmlformats.org/officeDocument/2006/relationships/package" Target="embeddings/Microsoft_Excel_Worksheet3.xlsx"/>
  <Relationship Id="rId19" Type="http://schemas.openxmlformats.org/officeDocument/2006/relationships/image" Target="media/image5.emf"/>
  <Relationship Id="rId2" Type="http://schemas.openxmlformats.org/officeDocument/2006/relationships/customXml" Target="/customXml/item2.xml"/>
  <Relationship Id="rId20" Type="http://schemas.openxmlformats.org/officeDocument/2006/relationships/package" Target="embeddings/Microsoft_Excel_Worksheet4.xlsx"/>
  <Relationship Id="rId21" Type="http://schemas.openxmlformats.org/officeDocument/2006/relationships/image" Target="media/image6.emf"/>
  <Relationship Id="rId22" Type="http://schemas.openxmlformats.org/officeDocument/2006/relationships/package" Target="embeddings/Microsoft_Excel_Worksheet5.xlsx"/>
  <Relationship Id="rId23" Type="http://schemas.openxmlformats.org/officeDocument/2006/relationships/image" Target="media/image7.emf"/>
  <Relationship Id="rId24" Type="http://schemas.openxmlformats.org/officeDocument/2006/relationships/package" Target="embeddings/Microsoft_Word_Document6.docx"/>
  <Relationship Id="rId25" Type="http://schemas.openxmlformats.org/officeDocument/2006/relationships/image" Target="media/image8.emf"/>
  <Relationship Id="rId26" Type="http://schemas.openxmlformats.org/officeDocument/2006/relationships/package" Target="embeddings/Microsoft_Excel_Worksheet7.xlsx"/>
  <Relationship Id="rId27" Type="http://schemas.openxmlformats.org/officeDocument/2006/relationships/image" Target="media/image9.emf"/>
  <Relationship Id="rId28" Type="http://schemas.openxmlformats.org/officeDocument/2006/relationships/package" Target="embeddings/Microsoft_Word_Document8.docx"/>
  <Relationship Id="rId29" Type="http://schemas.openxmlformats.org/officeDocument/2006/relationships/header" Target="header1.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ntTable" Target="fontTable.xml"/>
  <Relationship Id="rId32"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3DC21-E1A5-4BBB-8A00-8A4C6CF01A86}"/>
</file>

<file path=customXml/itemProps2.xml><?xml version="1.0" encoding="utf-8"?>
<ds:datastoreItem xmlns:ds="http://schemas.openxmlformats.org/officeDocument/2006/customXml" ds:itemID="{00CE2B32-A50D-40D2-A30E-EB5C1DCF0B7A}"/>
</file>

<file path=customXml/itemProps3.xml><?xml version="1.0" encoding="utf-8"?>
<ds:datastoreItem xmlns:ds="http://schemas.openxmlformats.org/officeDocument/2006/customXml" ds:itemID="{8E501F2D-7F1E-4473-A83A-5B2923FEFB0B}"/>
</file>

<file path=customXml/itemProps4.xml><?xml version="1.0" encoding="utf-8"?>
<ds:datastoreItem xmlns:ds="http://schemas.openxmlformats.org/officeDocument/2006/customXml" ds:itemID="{3EA88228-B68F-4D78-88B9-85720AEBB36C}"/>
</file>

<file path=docProps/app.xml><?xml version="1.0" encoding="utf-8"?>
<Properties xmlns="http://schemas.openxmlformats.org/officeDocument/2006/extended-properties" xmlns:vt="http://schemas.openxmlformats.org/officeDocument/2006/docPropsVTypes">
  <Template>Normal</Template>
  <TotalTime>34</TotalTime>
  <Pages>9</Pages>
  <Words>2744</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17805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Superintendente aprobado el 30 de enero del 2017</dc:title>
  <dc:creator>Isabel Tan Chan</dc:creator>
  <cp:lastModifiedBy>FERNANDEZ PORRAS PATRICIA</cp:lastModifiedBy>
  <cp:revision>6</cp:revision>
  <dcterms:created xsi:type="dcterms:W3CDTF">2017-01-30T22:55:00Z</dcterms:created>
  <dcterms:modified xsi:type="dcterms:W3CDTF">2017-04-26T21:56:00Z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5" name="FileLeafRef">
    <vt:lpwstr>SGV-A-220.docx</vt:lpwstr>
  </property>
</Properties>
</file>