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3ACDC" w14:textId="77777777" w:rsidR="00104866" w:rsidRPr="007878DE" w:rsidRDefault="00104866" w:rsidP="007878DE">
      <w:pPr>
        <w:pStyle w:val="Numeracin"/>
        <w:numPr>
          <w:ilvl w:val="0"/>
          <w:numId w:val="0"/>
        </w:numPr>
        <w:spacing w:before="0"/>
        <w:ind w:right="-193"/>
        <w:rPr>
          <w:rFonts w:ascii="Arial" w:hAnsi="Arial" w:cs="Arial"/>
          <w:b/>
          <w:sz w:val="24"/>
        </w:rPr>
      </w:pPr>
      <w:bookmarkStart w:id="0" w:name="_GoBack"/>
      <w:r w:rsidRPr="007878DE">
        <w:rPr>
          <w:rFonts w:ascii="Arial" w:hAnsi="Arial" w:cs="Arial"/>
          <w:b/>
          <w:sz w:val="24"/>
        </w:rPr>
        <w:t xml:space="preserve">SGV-A-222.  MODIFICACIÓN AL ACUERDO SGV-A-75 “SUMINISTRO DE INFORMACIÓN PERIÓDICA” </w:t>
      </w:r>
      <w:r w:rsidRPr="007878DE">
        <w:rPr>
          <w:rStyle w:val="FootnoteReference"/>
          <w:rFonts w:ascii="Arial" w:hAnsi="Arial" w:cs="Arial"/>
          <w:b/>
          <w:sz w:val="24"/>
        </w:rPr>
        <w:footnoteReference w:id="1"/>
      </w:r>
    </w:p>
    <w:bookmarkEnd w:id="0"/>
    <w:p w14:paraId="46E3ACDF" w14:textId="77777777" w:rsidR="00104866" w:rsidRPr="007878DE" w:rsidRDefault="00104866" w:rsidP="007878DE">
      <w:pPr>
        <w:pStyle w:val="Numeracin"/>
        <w:numPr>
          <w:ilvl w:val="0"/>
          <w:numId w:val="0"/>
        </w:numPr>
        <w:spacing w:before="0"/>
        <w:ind w:right="-193"/>
        <w:rPr>
          <w:rFonts w:ascii="Arial" w:hAnsi="Arial" w:cs="Arial"/>
          <w:bCs/>
          <w:sz w:val="24"/>
          <w:lang w:eastAsia="en-US"/>
        </w:rPr>
      </w:pPr>
    </w:p>
    <w:p w14:paraId="46E3ACE0" w14:textId="77777777" w:rsidR="00104866" w:rsidRPr="00AF2E71" w:rsidRDefault="00104866" w:rsidP="00104866">
      <w:pPr>
        <w:pStyle w:val="Textodereglamento"/>
        <w:spacing w:before="0" w:line="276" w:lineRule="auto"/>
        <w:ind w:right="-193"/>
        <w:rPr>
          <w:rFonts w:ascii="Arial" w:hAnsi="Arial" w:cs="Arial"/>
          <w:b/>
          <w:bCs/>
          <w:szCs w:val="22"/>
          <w:lang w:val="es-CR"/>
        </w:rPr>
      </w:pPr>
      <w:r w:rsidRPr="00AF2E71">
        <w:rPr>
          <w:rFonts w:ascii="Arial" w:hAnsi="Arial" w:cs="Arial"/>
          <w:b/>
          <w:bCs/>
          <w:szCs w:val="22"/>
          <w:lang w:val="es-CR"/>
        </w:rPr>
        <w:t>Considerando que:</w:t>
      </w:r>
    </w:p>
    <w:p w14:paraId="46E3ACE1" w14:textId="77777777" w:rsidR="00104866" w:rsidRPr="00AF2E71" w:rsidRDefault="00104866" w:rsidP="00104866">
      <w:pPr>
        <w:pStyle w:val="Textodereglamento"/>
        <w:spacing w:before="0" w:line="276" w:lineRule="auto"/>
        <w:ind w:right="-193"/>
        <w:rPr>
          <w:rFonts w:ascii="Arial" w:hAnsi="Arial" w:cs="Arial"/>
          <w:b/>
          <w:bCs/>
          <w:szCs w:val="22"/>
          <w:lang w:val="es-CR"/>
        </w:rPr>
      </w:pPr>
    </w:p>
    <w:p w14:paraId="46E3ACE2" w14:textId="77777777" w:rsidR="00104866" w:rsidRPr="003678C7" w:rsidRDefault="00104866" w:rsidP="00104866">
      <w:pPr>
        <w:pStyle w:val="Numeracin"/>
        <w:tabs>
          <w:tab w:val="left" w:pos="567"/>
        </w:tabs>
        <w:spacing w:before="0"/>
        <w:ind w:left="567" w:right="-1" w:hanging="567"/>
        <w:rPr>
          <w:rFonts w:ascii="Arial" w:hAnsi="Arial" w:cs="Arial"/>
          <w:szCs w:val="22"/>
        </w:rPr>
      </w:pPr>
      <w:r w:rsidRPr="003678C7">
        <w:rPr>
          <w:rFonts w:ascii="Arial" w:hAnsi="Arial" w:cs="Arial"/>
          <w:szCs w:val="22"/>
          <w:lang w:val="es-CR"/>
        </w:rPr>
        <w:t xml:space="preserve">El </w:t>
      </w:r>
      <w:r w:rsidRPr="003678C7">
        <w:rPr>
          <w:rFonts w:ascii="Arial" w:hAnsi="Arial" w:cs="Arial"/>
          <w:szCs w:val="22"/>
        </w:rPr>
        <w:t>Artículo 8 inciso l) de la Ley Reguladora del Mercado de Valores faculta al Superintendente a exigir a los sujetos fiscalizados toda la información razonablemente necesaria, en las condiciones y periodicidad que la Superintendencia determine, para cumplir adecuadamente con sus funciones supervisoras del mercado de valores, según lo disponga el reglamento.</w:t>
      </w:r>
    </w:p>
    <w:p w14:paraId="46E3ACE3" w14:textId="77777777" w:rsidR="00104866" w:rsidRPr="003678C7" w:rsidRDefault="00104866" w:rsidP="00104866">
      <w:pPr>
        <w:pStyle w:val="Numeracin"/>
        <w:numPr>
          <w:ilvl w:val="0"/>
          <w:numId w:val="0"/>
        </w:numPr>
        <w:tabs>
          <w:tab w:val="left" w:pos="567"/>
        </w:tabs>
        <w:spacing w:before="0"/>
        <w:ind w:left="567" w:right="-1"/>
        <w:rPr>
          <w:rFonts w:ascii="Arial" w:hAnsi="Arial" w:cs="Arial"/>
          <w:szCs w:val="22"/>
        </w:rPr>
      </w:pPr>
    </w:p>
    <w:p w14:paraId="46E3ACE4" w14:textId="77777777" w:rsidR="00104866" w:rsidRPr="003678C7" w:rsidRDefault="00104866" w:rsidP="00104866">
      <w:pPr>
        <w:pStyle w:val="Numeracin"/>
        <w:tabs>
          <w:tab w:val="left" w:pos="567"/>
        </w:tabs>
        <w:spacing w:before="0"/>
        <w:ind w:left="567" w:right="-1" w:hanging="567"/>
        <w:rPr>
          <w:rFonts w:ascii="Arial" w:hAnsi="Arial" w:cs="Arial"/>
          <w:szCs w:val="22"/>
        </w:rPr>
      </w:pPr>
      <w:r>
        <w:rPr>
          <w:rFonts w:ascii="Arial" w:hAnsi="Arial" w:cs="Arial"/>
          <w:szCs w:val="22"/>
        </w:rPr>
        <w:t>Mediante e</w:t>
      </w:r>
      <w:r w:rsidRPr="003678C7">
        <w:rPr>
          <w:rFonts w:ascii="Arial" w:hAnsi="Arial" w:cs="Arial"/>
          <w:szCs w:val="22"/>
        </w:rPr>
        <w:t xml:space="preserve">l </w:t>
      </w:r>
      <w:r>
        <w:rPr>
          <w:rFonts w:ascii="Arial" w:hAnsi="Arial" w:cs="Arial"/>
          <w:szCs w:val="22"/>
        </w:rPr>
        <w:t>a</w:t>
      </w:r>
      <w:r w:rsidRPr="003678C7">
        <w:rPr>
          <w:rFonts w:ascii="Arial" w:hAnsi="Arial" w:cs="Arial"/>
          <w:szCs w:val="22"/>
        </w:rPr>
        <w:t xml:space="preserve">rtículo 13 del Acta de la Sesión 81-99, celebrada el 18 de marzo de 1999, el Consejo Nacional de Supervisión del Sistema Financiero aprobó el </w:t>
      </w:r>
      <w:r>
        <w:rPr>
          <w:rFonts w:ascii="Arial" w:hAnsi="Arial" w:cs="Arial"/>
          <w:szCs w:val="22"/>
        </w:rPr>
        <w:t>“</w:t>
      </w:r>
      <w:r w:rsidRPr="00F40196">
        <w:rPr>
          <w:rFonts w:ascii="Arial" w:hAnsi="Arial" w:cs="Arial"/>
          <w:i/>
          <w:szCs w:val="22"/>
        </w:rPr>
        <w:t>Reglamento sobre el Suministro de Información Periódica, Hechos Relevantes y otras Obligaciones de Información</w:t>
      </w:r>
      <w:r>
        <w:rPr>
          <w:rFonts w:ascii="Arial" w:hAnsi="Arial" w:cs="Arial"/>
          <w:szCs w:val="22"/>
        </w:rPr>
        <w:t>”</w:t>
      </w:r>
      <w:r w:rsidRPr="003678C7">
        <w:rPr>
          <w:rFonts w:ascii="Arial" w:hAnsi="Arial" w:cs="Arial"/>
          <w:szCs w:val="22"/>
        </w:rPr>
        <w:t xml:space="preserve"> </w:t>
      </w:r>
      <w:r>
        <w:rPr>
          <w:rFonts w:ascii="Arial" w:hAnsi="Arial" w:cs="Arial"/>
          <w:szCs w:val="22"/>
        </w:rPr>
        <w:t xml:space="preserve">en el cual se establecen </w:t>
      </w:r>
      <w:r w:rsidRPr="003678C7">
        <w:rPr>
          <w:rFonts w:ascii="Arial" w:hAnsi="Arial" w:cs="Arial"/>
          <w:szCs w:val="22"/>
        </w:rPr>
        <w:t xml:space="preserve"> lineamientos sobre los deberes de comunicación de los diferentes participantes en el mercado de valores.</w:t>
      </w:r>
    </w:p>
    <w:p w14:paraId="46E3ACE5" w14:textId="77777777" w:rsidR="00104866" w:rsidRPr="003678C7" w:rsidRDefault="00104866" w:rsidP="00104866">
      <w:pPr>
        <w:pStyle w:val="Numeracin"/>
        <w:numPr>
          <w:ilvl w:val="0"/>
          <w:numId w:val="0"/>
        </w:numPr>
        <w:tabs>
          <w:tab w:val="left" w:pos="567"/>
        </w:tabs>
        <w:spacing w:before="0"/>
        <w:ind w:left="567" w:right="-1"/>
        <w:rPr>
          <w:rFonts w:ascii="Arial" w:hAnsi="Arial" w:cs="Arial"/>
          <w:szCs w:val="22"/>
        </w:rPr>
      </w:pPr>
    </w:p>
    <w:p w14:paraId="46E3ACE6" w14:textId="77777777" w:rsidR="00104866" w:rsidRPr="003678C7" w:rsidRDefault="00104866" w:rsidP="00104866">
      <w:pPr>
        <w:pStyle w:val="Numeracin"/>
        <w:tabs>
          <w:tab w:val="left" w:pos="567"/>
        </w:tabs>
        <w:spacing w:before="0"/>
        <w:ind w:left="567" w:right="-1" w:hanging="567"/>
        <w:rPr>
          <w:rFonts w:ascii="Arial" w:hAnsi="Arial" w:cs="Arial"/>
          <w:szCs w:val="22"/>
        </w:rPr>
      </w:pPr>
      <w:r w:rsidRPr="003678C7">
        <w:rPr>
          <w:rFonts w:ascii="Arial" w:hAnsi="Arial" w:cs="Arial"/>
          <w:szCs w:val="22"/>
        </w:rPr>
        <w:t xml:space="preserve">Este reglamento confiere al Superintendente la potestad para definir el contenido, la periodicidad y los medios de suministro de la información periódica que debe remitirse a la Superintendencia General de Valores, por lo que emitió el SGV-A-75, </w:t>
      </w:r>
      <w:r>
        <w:rPr>
          <w:rFonts w:ascii="Arial" w:hAnsi="Arial" w:cs="Arial"/>
          <w:szCs w:val="22"/>
        </w:rPr>
        <w:t>“</w:t>
      </w:r>
      <w:r w:rsidRPr="00F2065A">
        <w:rPr>
          <w:rFonts w:ascii="Arial" w:hAnsi="Arial" w:cs="Arial"/>
          <w:i/>
          <w:szCs w:val="22"/>
        </w:rPr>
        <w:t>Acuerdo sobre el Suministro de Información Periódica</w:t>
      </w:r>
      <w:r>
        <w:rPr>
          <w:rFonts w:ascii="Arial" w:hAnsi="Arial" w:cs="Arial"/>
          <w:szCs w:val="22"/>
        </w:rPr>
        <w:t>”</w:t>
      </w:r>
      <w:r w:rsidRPr="003678C7">
        <w:rPr>
          <w:rFonts w:ascii="Arial" w:hAnsi="Arial" w:cs="Arial"/>
          <w:szCs w:val="22"/>
        </w:rPr>
        <w:t xml:space="preserve"> con fecha 24 de abril del 2003, y se ha retomado durante los últimos años para actualizar los deberes de información de las entidades.</w:t>
      </w:r>
    </w:p>
    <w:p w14:paraId="46E3ACE7" w14:textId="77777777" w:rsidR="00104866" w:rsidRPr="003678C7" w:rsidRDefault="00104866" w:rsidP="00104866">
      <w:pPr>
        <w:pStyle w:val="Numeracin"/>
        <w:numPr>
          <w:ilvl w:val="0"/>
          <w:numId w:val="0"/>
        </w:numPr>
        <w:tabs>
          <w:tab w:val="left" w:pos="567"/>
        </w:tabs>
        <w:spacing w:before="0"/>
        <w:ind w:left="567" w:right="-1"/>
        <w:rPr>
          <w:rFonts w:ascii="Arial" w:hAnsi="Arial" w:cs="Arial"/>
          <w:szCs w:val="22"/>
        </w:rPr>
      </w:pPr>
    </w:p>
    <w:p w14:paraId="46E3ACE8" w14:textId="77777777" w:rsidR="00104866" w:rsidRPr="003678C7" w:rsidRDefault="00104866" w:rsidP="00104866">
      <w:pPr>
        <w:pStyle w:val="Numeracin"/>
        <w:tabs>
          <w:tab w:val="left" w:pos="567"/>
        </w:tabs>
        <w:spacing w:before="0"/>
        <w:ind w:left="567" w:right="-1" w:hanging="567"/>
        <w:rPr>
          <w:rFonts w:ascii="Arial" w:hAnsi="Arial" w:cs="Arial"/>
          <w:szCs w:val="22"/>
        </w:rPr>
      </w:pPr>
      <w:r w:rsidRPr="003678C7">
        <w:rPr>
          <w:rFonts w:ascii="Arial" w:hAnsi="Arial" w:cs="Arial"/>
          <w:szCs w:val="22"/>
        </w:rPr>
        <w:t xml:space="preserve">Tanto el </w:t>
      </w:r>
      <w:r>
        <w:rPr>
          <w:rFonts w:ascii="Arial" w:hAnsi="Arial" w:cs="Arial"/>
          <w:szCs w:val="22"/>
        </w:rPr>
        <w:t>“</w:t>
      </w:r>
      <w:r w:rsidRPr="00FE2249">
        <w:rPr>
          <w:rFonts w:ascii="Arial" w:hAnsi="Arial" w:cs="Arial"/>
          <w:i/>
          <w:szCs w:val="22"/>
        </w:rPr>
        <w:t>Reglamento de Intermediación y Actividades Complementarias</w:t>
      </w:r>
      <w:r>
        <w:rPr>
          <w:rFonts w:ascii="Arial" w:hAnsi="Arial" w:cs="Arial"/>
          <w:szCs w:val="22"/>
        </w:rPr>
        <w:t>”</w:t>
      </w:r>
      <w:r w:rsidRPr="003678C7">
        <w:rPr>
          <w:rFonts w:ascii="Arial" w:hAnsi="Arial" w:cs="Arial"/>
          <w:szCs w:val="22"/>
        </w:rPr>
        <w:t xml:space="preserve">, publicado en el </w:t>
      </w:r>
      <w:r>
        <w:rPr>
          <w:rFonts w:ascii="Arial" w:hAnsi="Arial" w:cs="Arial"/>
          <w:szCs w:val="22"/>
        </w:rPr>
        <w:t>Diario Oficial La Gaceta,</w:t>
      </w:r>
      <w:r w:rsidRPr="003678C7">
        <w:rPr>
          <w:rFonts w:ascii="Arial" w:hAnsi="Arial" w:cs="Arial"/>
          <w:szCs w:val="22"/>
        </w:rPr>
        <w:t xml:space="preserve"> N° 100 del 17 de junio del 2016,  en sus artículos 12, 38 y 64, como </w:t>
      </w:r>
      <w:r>
        <w:rPr>
          <w:rFonts w:ascii="Arial" w:hAnsi="Arial" w:cs="Arial"/>
          <w:szCs w:val="22"/>
        </w:rPr>
        <w:t>el Acuerdo</w:t>
      </w:r>
      <w:r w:rsidRPr="003678C7">
        <w:rPr>
          <w:rFonts w:ascii="Arial" w:hAnsi="Arial" w:cs="Arial"/>
          <w:szCs w:val="22"/>
        </w:rPr>
        <w:t xml:space="preserve">SGV-A-198 </w:t>
      </w:r>
      <w:r>
        <w:rPr>
          <w:rFonts w:ascii="Arial" w:hAnsi="Arial" w:cs="Arial"/>
          <w:szCs w:val="22"/>
        </w:rPr>
        <w:t>“</w:t>
      </w:r>
      <w:r w:rsidRPr="00FE2249">
        <w:rPr>
          <w:rFonts w:ascii="Arial" w:hAnsi="Arial" w:cs="Arial"/>
          <w:i/>
          <w:szCs w:val="22"/>
        </w:rPr>
        <w:t>Acuerdo de la Implantación del Reglamento de Custodia</w:t>
      </w:r>
      <w:r>
        <w:rPr>
          <w:rFonts w:ascii="Arial" w:hAnsi="Arial" w:cs="Arial"/>
          <w:szCs w:val="22"/>
        </w:rPr>
        <w:t>”</w:t>
      </w:r>
      <w:r w:rsidRPr="003678C7">
        <w:rPr>
          <w:rFonts w:ascii="Arial" w:hAnsi="Arial" w:cs="Arial"/>
          <w:szCs w:val="22"/>
        </w:rPr>
        <w:t xml:space="preserve"> publicado en el Diario Oficial La Gaceta No. 214, contribuyen con una mayor apertura para la negociación de productos en los mercados internacionales, por lo que se considera necesario actualizar los requerimientos de información de acuerdo con las derogatorias realizadas en el artículo 61, inciso b del citado reglamento, con el propósito de dar una adecuada accesibilidad de la información transaccional realizada por los intermediarios en los distintos mercados, tanto a nivel local como internacional.</w:t>
      </w:r>
    </w:p>
    <w:p w14:paraId="46E3ACE9" w14:textId="77777777" w:rsidR="00104866" w:rsidRDefault="00104866" w:rsidP="00104866">
      <w:pPr>
        <w:pStyle w:val="Numeracin"/>
        <w:numPr>
          <w:ilvl w:val="0"/>
          <w:numId w:val="0"/>
        </w:numPr>
        <w:tabs>
          <w:tab w:val="left" w:pos="567"/>
        </w:tabs>
        <w:spacing w:before="0"/>
        <w:ind w:left="567" w:right="-1"/>
        <w:rPr>
          <w:rFonts w:ascii="Arial" w:hAnsi="Arial" w:cs="Arial"/>
          <w:szCs w:val="22"/>
        </w:rPr>
      </w:pPr>
    </w:p>
    <w:p w14:paraId="46E3ACEA" w14:textId="77777777" w:rsidR="00104866" w:rsidRDefault="00104866" w:rsidP="00104866">
      <w:pPr>
        <w:pStyle w:val="Numeracin"/>
        <w:tabs>
          <w:tab w:val="left" w:pos="567"/>
        </w:tabs>
        <w:spacing w:before="0"/>
        <w:ind w:left="567" w:right="-1" w:hanging="567"/>
        <w:rPr>
          <w:rFonts w:ascii="Arial" w:hAnsi="Arial" w:cs="Arial"/>
          <w:szCs w:val="22"/>
        </w:rPr>
      </w:pPr>
      <w:r w:rsidRPr="00ED3F7F">
        <w:rPr>
          <w:rFonts w:ascii="Arial" w:hAnsi="Arial" w:cs="Arial"/>
          <w:szCs w:val="22"/>
        </w:rPr>
        <w:t xml:space="preserve">Los intermediarios </w:t>
      </w:r>
      <w:r>
        <w:rPr>
          <w:rFonts w:ascii="Arial" w:hAnsi="Arial" w:cs="Arial"/>
          <w:szCs w:val="22"/>
        </w:rPr>
        <w:t xml:space="preserve">de valores </w:t>
      </w:r>
      <w:r w:rsidRPr="00ED3F7F">
        <w:rPr>
          <w:rFonts w:ascii="Arial" w:hAnsi="Arial" w:cs="Arial"/>
          <w:szCs w:val="22"/>
        </w:rPr>
        <w:t xml:space="preserve">son responsables de remitir por el sistema </w:t>
      </w:r>
      <w:proofErr w:type="spellStart"/>
      <w:r w:rsidRPr="00ED3F7F">
        <w:rPr>
          <w:rFonts w:ascii="Arial" w:hAnsi="Arial" w:cs="Arial"/>
          <w:szCs w:val="22"/>
        </w:rPr>
        <w:t>Ingresador</w:t>
      </w:r>
      <w:proofErr w:type="spellEnd"/>
      <w:r w:rsidRPr="00ED3F7F">
        <w:rPr>
          <w:rFonts w:ascii="Arial" w:hAnsi="Arial" w:cs="Arial"/>
          <w:szCs w:val="22"/>
        </w:rPr>
        <w:t xml:space="preserve"> de SUGEVAL, la información correspondiente a las operaciones en mercados internacionales, según lo establecido en el Acuerdo SGV-A-75, Anexo 61.</w:t>
      </w:r>
    </w:p>
    <w:p w14:paraId="46E3ACEB" w14:textId="77777777" w:rsidR="00104866" w:rsidRPr="00ED3F7F" w:rsidRDefault="00104866" w:rsidP="00104866">
      <w:pPr>
        <w:pStyle w:val="Numeracin"/>
        <w:numPr>
          <w:ilvl w:val="0"/>
          <w:numId w:val="0"/>
        </w:numPr>
        <w:tabs>
          <w:tab w:val="left" w:pos="567"/>
        </w:tabs>
        <w:spacing w:before="0"/>
        <w:ind w:left="567" w:right="-1"/>
        <w:rPr>
          <w:rFonts w:ascii="Arial" w:hAnsi="Arial" w:cs="Arial"/>
          <w:szCs w:val="22"/>
        </w:rPr>
      </w:pPr>
    </w:p>
    <w:p w14:paraId="46E3ACEC" w14:textId="77777777" w:rsidR="00104866" w:rsidRDefault="00104866" w:rsidP="00104866">
      <w:pPr>
        <w:pStyle w:val="Numeracin"/>
        <w:tabs>
          <w:tab w:val="left" w:pos="567"/>
        </w:tabs>
        <w:spacing w:before="0"/>
        <w:ind w:left="567" w:right="-1" w:hanging="567"/>
        <w:rPr>
          <w:rFonts w:ascii="Arial" w:hAnsi="Arial" w:cs="Arial"/>
          <w:szCs w:val="22"/>
        </w:rPr>
      </w:pPr>
      <w:r w:rsidRPr="00ED3F7F">
        <w:rPr>
          <w:rFonts w:ascii="Arial" w:hAnsi="Arial" w:cs="Arial"/>
          <w:szCs w:val="22"/>
        </w:rPr>
        <w:t xml:space="preserve">Como parte de las validaciones que usa el sistema </w:t>
      </w:r>
      <w:proofErr w:type="spellStart"/>
      <w:r w:rsidRPr="00ED3F7F">
        <w:rPr>
          <w:rFonts w:ascii="Arial" w:hAnsi="Arial" w:cs="Arial"/>
          <w:szCs w:val="22"/>
        </w:rPr>
        <w:t>Ingresador</w:t>
      </w:r>
      <w:proofErr w:type="spellEnd"/>
      <w:r w:rsidRPr="00ED3F7F">
        <w:rPr>
          <w:rFonts w:ascii="Arial" w:hAnsi="Arial" w:cs="Arial"/>
          <w:szCs w:val="22"/>
        </w:rPr>
        <w:t xml:space="preserve"> de SUGEVAL, se verifica que el código </w:t>
      </w:r>
      <w:r>
        <w:rPr>
          <w:rFonts w:ascii="Arial" w:hAnsi="Arial" w:cs="Arial"/>
          <w:szCs w:val="22"/>
        </w:rPr>
        <w:t xml:space="preserve">de </w:t>
      </w:r>
      <w:r w:rsidRPr="00ED3F7F">
        <w:rPr>
          <w:rFonts w:ascii="Arial" w:hAnsi="Arial" w:cs="Arial"/>
          <w:szCs w:val="22"/>
        </w:rPr>
        <w:t>entidad de la cuenta de valores del cliente corresponda al de la entidad que remite la información.</w:t>
      </w:r>
    </w:p>
    <w:p w14:paraId="46E3ACED" w14:textId="77777777" w:rsidR="00104866" w:rsidRPr="00ED3F7F" w:rsidRDefault="00104866" w:rsidP="00104866">
      <w:pPr>
        <w:pStyle w:val="Numeracin"/>
        <w:numPr>
          <w:ilvl w:val="0"/>
          <w:numId w:val="0"/>
        </w:numPr>
        <w:tabs>
          <w:tab w:val="left" w:pos="567"/>
        </w:tabs>
        <w:spacing w:before="0"/>
        <w:ind w:left="567" w:right="-1"/>
        <w:rPr>
          <w:rFonts w:ascii="Arial" w:hAnsi="Arial" w:cs="Arial"/>
          <w:szCs w:val="22"/>
        </w:rPr>
      </w:pPr>
    </w:p>
    <w:p w14:paraId="46E3ACEE" w14:textId="77777777" w:rsidR="00104866" w:rsidRPr="00F2065A" w:rsidRDefault="00104866" w:rsidP="00104866">
      <w:pPr>
        <w:pStyle w:val="Numeracin"/>
        <w:tabs>
          <w:tab w:val="left" w:pos="567"/>
        </w:tabs>
        <w:spacing w:before="0"/>
        <w:ind w:left="567" w:right="-1" w:hanging="567"/>
        <w:rPr>
          <w:rFonts w:ascii="Arial" w:hAnsi="Arial" w:cs="Arial"/>
          <w:szCs w:val="22"/>
        </w:rPr>
      </w:pPr>
      <w:r w:rsidRPr="00F2065A">
        <w:rPr>
          <w:rFonts w:ascii="Arial" w:hAnsi="Arial" w:cs="Arial"/>
          <w:szCs w:val="22"/>
        </w:rPr>
        <w:t xml:space="preserve">Algunos intermediarios no ofrecen el servicio de custodia, por lo tanto los tres dígitos correspondientes al código de entidad dentro la cuenta de valores de sus clientes va a corresponder al de la entidad de custodia y no al del intermediario propiamente dicho. </w:t>
      </w:r>
    </w:p>
    <w:p w14:paraId="46E3ACEF" w14:textId="77777777" w:rsidR="00104866" w:rsidRPr="00ED3F7F" w:rsidRDefault="00104866" w:rsidP="00104866">
      <w:pPr>
        <w:pStyle w:val="Numeracin"/>
        <w:numPr>
          <w:ilvl w:val="0"/>
          <w:numId w:val="0"/>
        </w:numPr>
        <w:tabs>
          <w:tab w:val="left" w:pos="567"/>
        </w:tabs>
        <w:spacing w:before="0"/>
        <w:ind w:left="567" w:right="-1"/>
        <w:rPr>
          <w:rFonts w:ascii="Arial" w:hAnsi="Arial" w:cs="Arial"/>
          <w:szCs w:val="22"/>
        </w:rPr>
      </w:pPr>
    </w:p>
    <w:p w14:paraId="46E3ACF0" w14:textId="77777777" w:rsidR="00104866" w:rsidRPr="000E130D" w:rsidRDefault="00104866" w:rsidP="00104866">
      <w:pPr>
        <w:pStyle w:val="Numeracin"/>
        <w:tabs>
          <w:tab w:val="left" w:pos="567"/>
        </w:tabs>
        <w:spacing w:before="0"/>
        <w:ind w:left="567" w:right="-1" w:hanging="567"/>
        <w:rPr>
          <w:rFonts w:ascii="Arial" w:hAnsi="Arial" w:cs="Arial"/>
          <w:szCs w:val="22"/>
        </w:rPr>
      </w:pPr>
      <w:r>
        <w:rPr>
          <w:rFonts w:ascii="Arial" w:hAnsi="Arial" w:cs="Arial"/>
          <w:szCs w:val="22"/>
        </w:rPr>
        <w:lastRenderedPageBreak/>
        <w:t>Asimismo, p</w:t>
      </w:r>
      <w:r w:rsidRPr="000E130D">
        <w:rPr>
          <w:rFonts w:ascii="Arial" w:hAnsi="Arial" w:cs="Arial"/>
          <w:szCs w:val="22"/>
        </w:rPr>
        <w:t>ara las operaciones internacionales que se liquidan a través de un custodio no se requiere la cuenta de valores, debido a que dichas operaciones no entran dentro del proceso de derivación de la BNV.</w:t>
      </w:r>
    </w:p>
    <w:p w14:paraId="46E3ACF1" w14:textId="77777777" w:rsidR="00104866" w:rsidRDefault="00104866" w:rsidP="00104866">
      <w:pPr>
        <w:pStyle w:val="ListParagraph"/>
        <w:rPr>
          <w:rFonts w:ascii="Arial" w:hAnsi="Arial" w:cs="Arial"/>
          <w:szCs w:val="22"/>
        </w:rPr>
      </w:pPr>
    </w:p>
    <w:p w14:paraId="46E3ACF2" w14:textId="77777777" w:rsidR="00104866" w:rsidRPr="00CC48AF" w:rsidRDefault="00104866" w:rsidP="00104866">
      <w:pPr>
        <w:pStyle w:val="Numeracin"/>
        <w:tabs>
          <w:tab w:val="left" w:pos="567"/>
        </w:tabs>
        <w:spacing w:before="0"/>
        <w:ind w:left="567" w:right="-1" w:hanging="567"/>
        <w:rPr>
          <w:rFonts w:ascii="Arial" w:hAnsi="Arial" w:cs="Arial"/>
          <w:szCs w:val="22"/>
        </w:rPr>
      </w:pPr>
      <w:r w:rsidRPr="00CC48AF">
        <w:rPr>
          <w:rFonts w:ascii="Arial" w:hAnsi="Arial" w:cs="Arial"/>
          <w:szCs w:val="22"/>
        </w:rPr>
        <w:t>Según lo previsto por la “</w:t>
      </w:r>
      <w:r w:rsidRPr="00104866">
        <w:rPr>
          <w:rFonts w:ascii="Arial" w:hAnsi="Arial" w:cs="Arial"/>
          <w:i/>
          <w:szCs w:val="22"/>
        </w:rPr>
        <w:t>Ley General de Administración Pública</w:t>
      </w:r>
      <w:r w:rsidRPr="00CC48AF">
        <w:rPr>
          <w:rFonts w:ascii="Arial" w:hAnsi="Arial" w:cs="Arial"/>
          <w:szCs w:val="22"/>
        </w:rPr>
        <w:t>” y en la “</w:t>
      </w:r>
      <w:r w:rsidRPr="00104866">
        <w:rPr>
          <w:rFonts w:ascii="Arial" w:hAnsi="Arial" w:cs="Arial"/>
          <w:i/>
          <w:szCs w:val="22"/>
        </w:rPr>
        <w:t>Ley de Protección al Ciudadano del exceso de trámites y requisitos</w:t>
      </w:r>
      <w:r w:rsidRPr="00CC48AF">
        <w:rPr>
          <w:rFonts w:ascii="Arial" w:hAnsi="Arial" w:cs="Arial"/>
          <w:szCs w:val="22"/>
        </w:rPr>
        <w:t>”, se omite la realización de una consulta particular al mercado sobre el presente acuerdo, al tratarse de la actualización de los requerimientos de información conforme con las derogatorias realizadas en el artículo 61, inciso b del “</w:t>
      </w:r>
      <w:r w:rsidRPr="00104866">
        <w:rPr>
          <w:rFonts w:ascii="Arial" w:hAnsi="Arial" w:cs="Arial"/>
          <w:i/>
          <w:szCs w:val="22"/>
        </w:rPr>
        <w:t>Reglamento de Intermediación y Actividades Complementarias</w:t>
      </w:r>
      <w:r w:rsidRPr="00CC48AF">
        <w:rPr>
          <w:rFonts w:ascii="Arial" w:hAnsi="Arial" w:cs="Arial"/>
          <w:szCs w:val="22"/>
        </w:rPr>
        <w:t xml:space="preserve">”, normativa aprobada que salió en su momento a consulta. </w:t>
      </w:r>
      <w:r>
        <w:rPr>
          <w:rFonts w:ascii="Arial" w:hAnsi="Arial" w:cs="Arial"/>
          <w:szCs w:val="22"/>
        </w:rPr>
        <w:t>Por lo tanto, no se produce una afectación en los intereses de terceros, ya que e</w:t>
      </w:r>
      <w:r w:rsidRPr="00CC48AF">
        <w:rPr>
          <w:rFonts w:ascii="Arial" w:hAnsi="Arial" w:cs="Arial"/>
          <w:szCs w:val="22"/>
        </w:rPr>
        <w:t xml:space="preserve">specíficamente </w:t>
      </w:r>
      <w:r>
        <w:rPr>
          <w:rFonts w:ascii="Arial" w:hAnsi="Arial" w:cs="Arial"/>
          <w:szCs w:val="22"/>
        </w:rPr>
        <w:t>lo que se e</w:t>
      </w:r>
      <w:r w:rsidRPr="00CC48AF">
        <w:rPr>
          <w:rFonts w:ascii="Arial" w:hAnsi="Arial" w:cs="Arial"/>
          <w:szCs w:val="22"/>
        </w:rPr>
        <w:t xml:space="preserve">stá eliminando </w:t>
      </w:r>
      <w:r>
        <w:rPr>
          <w:rFonts w:ascii="Arial" w:hAnsi="Arial" w:cs="Arial"/>
          <w:szCs w:val="22"/>
        </w:rPr>
        <w:t xml:space="preserve">es </w:t>
      </w:r>
      <w:r w:rsidRPr="00CC48AF">
        <w:rPr>
          <w:rFonts w:ascii="Arial" w:hAnsi="Arial" w:cs="Arial"/>
          <w:szCs w:val="22"/>
        </w:rPr>
        <w:t>la variable “</w:t>
      </w:r>
      <w:r w:rsidRPr="00104866">
        <w:rPr>
          <w:rFonts w:ascii="Arial" w:hAnsi="Arial" w:cs="Arial"/>
          <w:szCs w:val="22"/>
        </w:rPr>
        <w:t>cuenta de valores</w:t>
      </w:r>
      <w:r w:rsidRPr="00CC48AF">
        <w:rPr>
          <w:rFonts w:ascii="Arial" w:hAnsi="Arial" w:cs="Arial"/>
          <w:szCs w:val="22"/>
        </w:rPr>
        <w:t>” del “</w:t>
      </w:r>
      <w:r w:rsidRPr="00104866">
        <w:rPr>
          <w:rFonts w:ascii="Arial" w:hAnsi="Arial" w:cs="Arial"/>
          <w:szCs w:val="22"/>
        </w:rPr>
        <w:t>Informe de Operaciones Internacionales</w:t>
      </w:r>
      <w:r w:rsidRPr="00CC48AF">
        <w:rPr>
          <w:rFonts w:ascii="Arial" w:hAnsi="Arial" w:cs="Arial"/>
          <w:szCs w:val="22"/>
        </w:rPr>
        <w:t xml:space="preserve">”, </w:t>
      </w:r>
      <w:r>
        <w:rPr>
          <w:rFonts w:ascii="Arial" w:hAnsi="Arial" w:cs="Arial"/>
          <w:szCs w:val="22"/>
        </w:rPr>
        <w:t>lo cual</w:t>
      </w:r>
      <w:r w:rsidRPr="00CC48AF">
        <w:rPr>
          <w:rFonts w:ascii="Arial" w:hAnsi="Arial" w:cs="Arial"/>
          <w:szCs w:val="22"/>
        </w:rPr>
        <w:t xml:space="preserve"> redunda en una disminución en los costos de remisión de información de las entidades</w:t>
      </w:r>
      <w:r>
        <w:rPr>
          <w:rFonts w:ascii="Arial" w:hAnsi="Arial" w:cs="Arial"/>
          <w:szCs w:val="22"/>
        </w:rPr>
        <w:t>.</w:t>
      </w:r>
    </w:p>
    <w:p w14:paraId="46E3ACF4" w14:textId="77777777" w:rsidR="00104866" w:rsidRPr="00ED3F7F" w:rsidRDefault="00104866" w:rsidP="00104866">
      <w:pPr>
        <w:pStyle w:val="Numeracin"/>
        <w:numPr>
          <w:ilvl w:val="0"/>
          <w:numId w:val="0"/>
        </w:numPr>
        <w:tabs>
          <w:tab w:val="left" w:pos="567"/>
        </w:tabs>
        <w:spacing w:before="0"/>
        <w:ind w:left="567" w:right="-193"/>
        <w:rPr>
          <w:rFonts w:ascii="Arial" w:hAnsi="Arial" w:cs="Arial"/>
          <w:szCs w:val="22"/>
        </w:rPr>
      </w:pPr>
    </w:p>
    <w:p w14:paraId="46E3ACF5" w14:textId="77777777" w:rsidR="00104866" w:rsidRDefault="00104866" w:rsidP="00104866">
      <w:pPr>
        <w:jc w:val="both"/>
        <w:rPr>
          <w:rFonts w:cs="Arial"/>
        </w:rPr>
      </w:pPr>
      <w:r w:rsidRPr="004B79B7">
        <w:rPr>
          <w:rFonts w:cs="Arial"/>
        </w:rPr>
        <w:t>Por tanto dispone el presente acuerdo:</w:t>
      </w:r>
    </w:p>
    <w:p w14:paraId="46E3ACF6" w14:textId="77777777" w:rsidR="00104866" w:rsidRDefault="00104866" w:rsidP="00104866">
      <w:pPr>
        <w:jc w:val="both"/>
        <w:rPr>
          <w:rFonts w:cs="Arial"/>
        </w:rPr>
      </w:pPr>
    </w:p>
    <w:p w14:paraId="46E3ACF7" w14:textId="6AB6962F" w:rsidR="00104866" w:rsidRPr="00DB3BAA" w:rsidRDefault="007878DE" w:rsidP="00104866">
      <w:pPr>
        <w:pStyle w:val="Numeracin"/>
        <w:numPr>
          <w:ilvl w:val="0"/>
          <w:numId w:val="0"/>
        </w:numPr>
        <w:spacing w:before="0"/>
        <w:ind w:right="-193"/>
        <w:jc w:val="center"/>
        <w:rPr>
          <w:rFonts w:ascii="Arial" w:hAnsi="Arial" w:cs="Arial"/>
          <w:b/>
          <w:szCs w:val="22"/>
        </w:rPr>
      </w:pPr>
      <w:r w:rsidRPr="00DB3BAA">
        <w:rPr>
          <w:rFonts w:ascii="Arial" w:hAnsi="Arial" w:cs="Arial"/>
          <w:b/>
          <w:szCs w:val="22"/>
        </w:rPr>
        <w:t>SGV-A-</w:t>
      </w:r>
      <w:r>
        <w:rPr>
          <w:rFonts w:ascii="Arial" w:hAnsi="Arial" w:cs="Arial"/>
          <w:b/>
          <w:szCs w:val="22"/>
        </w:rPr>
        <w:t>222</w:t>
      </w:r>
      <w:r w:rsidRPr="00DB3BAA">
        <w:rPr>
          <w:rFonts w:ascii="Arial" w:hAnsi="Arial" w:cs="Arial"/>
          <w:b/>
          <w:szCs w:val="22"/>
        </w:rPr>
        <w:t>.  M</w:t>
      </w:r>
      <w:r>
        <w:rPr>
          <w:rFonts w:ascii="Arial" w:hAnsi="Arial" w:cs="Arial"/>
          <w:b/>
          <w:szCs w:val="22"/>
        </w:rPr>
        <w:t xml:space="preserve">ODIFICACIÓN AL ACUERDO </w:t>
      </w:r>
      <w:r w:rsidRPr="00DB3BAA">
        <w:rPr>
          <w:rFonts w:ascii="Arial" w:hAnsi="Arial" w:cs="Arial"/>
          <w:b/>
          <w:szCs w:val="22"/>
        </w:rPr>
        <w:t>SGV-A-75 “S</w:t>
      </w:r>
      <w:r>
        <w:rPr>
          <w:rFonts w:ascii="Arial" w:hAnsi="Arial" w:cs="Arial"/>
          <w:b/>
          <w:szCs w:val="22"/>
        </w:rPr>
        <w:t>UMINISTRO DE INFORMACIÓN PERIÓDICA</w:t>
      </w:r>
      <w:r w:rsidRPr="00DB3BAA">
        <w:rPr>
          <w:rFonts w:ascii="Arial" w:hAnsi="Arial" w:cs="Arial"/>
          <w:b/>
          <w:szCs w:val="22"/>
        </w:rPr>
        <w:t>”</w:t>
      </w:r>
    </w:p>
    <w:p w14:paraId="46E3ACF8" w14:textId="77777777" w:rsidR="00104866" w:rsidRPr="00DB3BAA" w:rsidRDefault="00104866" w:rsidP="00104866">
      <w:pPr>
        <w:pStyle w:val="Numeracin"/>
        <w:numPr>
          <w:ilvl w:val="0"/>
          <w:numId w:val="0"/>
        </w:numPr>
        <w:spacing w:before="0"/>
        <w:ind w:right="-193"/>
        <w:rPr>
          <w:rFonts w:ascii="Arial" w:hAnsi="Arial" w:cs="Arial"/>
          <w:b/>
          <w:szCs w:val="22"/>
        </w:rPr>
      </w:pPr>
    </w:p>
    <w:p w14:paraId="46E3ACF9" w14:textId="77777777" w:rsidR="00104866" w:rsidRPr="00DB3BAA" w:rsidRDefault="00104866" w:rsidP="00104866">
      <w:pPr>
        <w:pStyle w:val="Numeracin"/>
        <w:numPr>
          <w:ilvl w:val="0"/>
          <w:numId w:val="0"/>
        </w:numPr>
        <w:spacing w:before="0"/>
        <w:ind w:right="-193"/>
        <w:rPr>
          <w:rFonts w:ascii="Arial" w:hAnsi="Arial" w:cs="Arial"/>
          <w:b/>
          <w:szCs w:val="22"/>
        </w:rPr>
      </w:pPr>
      <w:r w:rsidRPr="00DB3BAA">
        <w:rPr>
          <w:rFonts w:ascii="Arial" w:eastAsia="Arial Unicode MS" w:hAnsi="Arial" w:cs="Arial"/>
          <w:b/>
          <w:lang w:val="es-CR"/>
        </w:rPr>
        <w:t>Artículo 1</w:t>
      </w:r>
      <w:r>
        <w:rPr>
          <w:rFonts w:ascii="Arial" w:hAnsi="Arial" w:cs="Arial"/>
          <w:b/>
          <w:szCs w:val="22"/>
        </w:rPr>
        <w:t>.</w:t>
      </w:r>
      <w:r>
        <w:rPr>
          <w:rFonts w:ascii="Arial" w:hAnsi="Arial" w:cs="Arial"/>
          <w:b/>
          <w:szCs w:val="22"/>
        </w:rPr>
        <w:tab/>
        <w:t>Eliminaciones</w:t>
      </w:r>
    </w:p>
    <w:p w14:paraId="46E3ACFA" w14:textId="77777777" w:rsidR="00104866" w:rsidRPr="00DB3BAA" w:rsidRDefault="00104866" w:rsidP="00104866">
      <w:pPr>
        <w:pStyle w:val="Numeracin"/>
        <w:numPr>
          <w:ilvl w:val="0"/>
          <w:numId w:val="0"/>
        </w:numPr>
        <w:spacing w:before="0"/>
        <w:ind w:right="-193"/>
        <w:rPr>
          <w:rFonts w:ascii="Arial" w:hAnsi="Arial" w:cs="Arial"/>
          <w:b/>
          <w:szCs w:val="22"/>
        </w:rPr>
      </w:pPr>
    </w:p>
    <w:p w14:paraId="46E3ACFB" w14:textId="77777777" w:rsidR="00104866" w:rsidRPr="00DB3BAA" w:rsidRDefault="00104866" w:rsidP="00104866">
      <w:pPr>
        <w:pStyle w:val="Numeracin"/>
        <w:numPr>
          <w:ilvl w:val="0"/>
          <w:numId w:val="0"/>
        </w:numPr>
        <w:spacing w:before="0"/>
        <w:ind w:right="-1"/>
        <w:rPr>
          <w:rFonts w:ascii="Arial" w:hAnsi="Arial" w:cs="Arial"/>
          <w:szCs w:val="22"/>
        </w:rPr>
      </w:pPr>
      <w:r w:rsidRPr="00DB3BAA">
        <w:rPr>
          <w:rFonts w:ascii="Arial" w:hAnsi="Arial" w:cs="Arial"/>
          <w:szCs w:val="22"/>
        </w:rPr>
        <w:t xml:space="preserve">Se realiza la </w:t>
      </w:r>
      <w:r>
        <w:rPr>
          <w:rFonts w:ascii="Arial" w:hAnsi="Arial" w:cs="Arial"/>
          <w:szCs w:val="22"/>
        </w:rPr>
        <w:t xml:space="preserve">eliminación del campo “Cuenta de Valores” </w:t>
      </w:r>
      <w:r w:rsidRPr="00ED212C">
        <w:rPr>
          <w:rFonts w:ascii="Arial" w:hAnsi="Arial" w:cs="Arial"/>
          <w:szCs w:val="22"/>
        </w:rPr>
        <w:t xml:space="preserve">del “Informe de Operaciones Internacionales”, Anexo 61, que es de atención para los Intermediarios de Valores (Puestos de Bolsa, Bancos del Sistema Bancario Nacional), de acuerdo con el siguiente detalle:  </w:t>
      </w:r>
      <w:r>
        <w:rPr>
          <w:rFonts w:ascii="Arial" w:hAnsi="Arial" w:cs="Arial"/>
          <w:szCs w:val="22"/>
        </w:rPr>
        <w:t xml:space="preserve">  </w:t>
      </w:r>
    </w:p>
    <w:p w14:paraId="46E3ACFD" w14:textId="77777777" w:rsidR="00104866" w:rsidRPr="00DB3BAA" w:rsidRDefault="00104866" w:rsidP="00104866">
      <w:pPr>
        <w:pStyle w:val="Numeracin"/>
        <w:numPr>
          <w:ilvl w:val="0"/>
          <w:numId w:val="0"/>
        </w:numPr>
        <w:spacing w:before="0"/>
        <w:ind w:right="-193"/>
        <w:rPr>
          <w:rFonts w:ascii="Arial" w:hAnsi="Arial" w:cs="Arial"/>
          <w:b/>
          <w:szCs w:val="22"/>
        </w:rPr>
      </w:pPr>
    </w:p>
    <w:bookmarkStart w:id="1" w:name="_MON_1542786376"/>
    <w:bookmarkEnd w:id="1"/>
    <w:p w14:paraId="46E3ACFE" w14:textId="77777777" w:rsidR="00104866" w:rsidRDefault="00104866" w:rsidP="00104866">
      <w:pPr>
        <w:pStyle w:val="Numeracin"/>
        <w:numPr>
          <w:ilvl w:val="0"/>
          <w:numId w:val="0"/>
        </w:numPr>
        <w:spacing w:before="0"/>
        <w:ind w:right="-193"/>
        <w:jc w:val="center"/>
        <w:rPr>
          <w:rFonts w:ascii="Arial" w:hAnsi="Arial" w:cs="Arial"/>
          <w:lang w:val="es-CR"/>
        </w:rPr>
      </w:pPr>
      <w:r w:rsidRPr="00DB3BAA">
        <w:rPr>
          <w:rFonts w:ascii="Arial" w:hAnsi="Arial" w:cs="Arial"/>
          <w:lang w:val="es-CR"/>
        </w:rPr>
        <w:object w:dxaOrig="2040" w:dyaOrig="1320" w14:anchorId="46E3A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pt" o:ole="">
            <v:imagedata r:id="rId11" o:title=""/>
          </v:shape>
          <o:OLEObject Type="Embed" ProgID="Word.Document.12" ShapeID="_x0000_i1025" DrawAspect="Icon" ObjectID="_1557306965" r:id="rId12">
            <o:FieldCodes>\s</o:FieldCodes>
          </o:OLEObject>
        </w:object>
      </w:r>
    </w:p>
    <w:p w14:paraId="46E3ACFF" w14:textId="77777777" w:rsidR="00104866" w:rsidRDefault="00104866" w:rsidP="00104866">
      <w:pPr>
        <w:pStyle w:val="Numeracin"/>
        <w:numPr>
          <w:ilvl w:val="0"/>
          <w:numId w:val="0"/>
        </w:numPr>
        <w:spacing w:before="0"/>
        <w:ind w:right="-193"/>
        <w:jc w:val="center"/>
        <w:rPr>
          <w:rFonts w:ascii="Arial" w:hAnsi="Arial" w:cs="Arial"/>
          <w:lang w:val="es-CR"/>
        </w:rPr>
      </w:pPr>
    </w:p>
    <w:p w14:paraId="46E3AD00" w14:textId="77777777" w:rsidR="00104866" w:rsidRPr="00DB3BAA" w:rsidRDefault="00104866" w:rsidP="00104866">
      <w:pPr>
        <w:pStyle w:val="Numeracin"/>
        <w:numPr>
          <w:ilvl w:val="0"/>
          <w:numId w:val="0"/>
        </w:numPr>
        <w:spacing w:before="0"/>
        <w:ind w:right="-193"/>
        <w:rPr>
          <w:rFonts w:ascii="Arial" w:hAnsi="Arial" w:cs="Arial"/>
          <w:b/>
          <w:szCs w:val="22"/>
        </w:rPr>
      </w:pPr>
      <w:r>
        <w:rPr>
          <w:rFonts w:ascii="Arial" w:eastAsia="Arial Unicode MS" w:hAnsi="Arial" w:cs="Arial"/>
          <w:b/>
          <w:lang w:val="es-CR"/>
        </w:rPr>
        <w:t>Artículo 2</w:t>
      </w:r>
      <w:r>
        <w:rPr>
          <w:rFonts w:ascii="Arial" w:hAnsi="Arial" w:cs="Arial"/>
          <w:b/>
          <w:szCs w:val="22"/>
        </w:rPr>
        <w:t>.</w:t>
      </w:r>
      <w:r>
        <w:rPr>
          <w:rFonts w:ascii="Arial" w:hAnsi="Arial" w:cs="Arial"/>
          <w:b/>
          <w:szCs w:val="22"/>
        </w:rPr>
        <w:tab/>
        <w:t>Modificaciones</w:t>
      </w:r>
    </w:p>
    <w:p w14:paraId="46E3AD01" w14:textId="77777777" w:rsidR="00104866" w:rsidRPr="00DB3BAA" w:rsidRDefault="00104866" w:rsidP="00104866">
      <w:pPr>
        <w:pStyle w:val="Numeracin"/>
        <w:numPr>
          <w:ilvl w:val="0"/>
          <w:numId w:val="0"/>
        </w:numPr>
        <w:spacing w:before="0"/>
        <w:ind w:right="-193"/>
        <w:rPr>
          <w:rFonts w:ascii="Arial" w:hAnsi="Arial" w:cs="Arial"/>
          <w:b/>
          <w:szCs w:val="22"/>
        </w:rPr>
      </w:pPr>
    </w:p>
    <w:p w14:paraId="46E3AD02" w14:textId="77777777" w:rsidR="00104866" w:rsidRPr="00DB3BAA" w:rsidRDefault="00104866" w:rsidP="00104866">
      <w:pPr>
        <w:pStyle w:val="Numeracin"/>
        <w:numPr>
          <w:ilvl w:val="0"/>
          <w:numId w:val="0"/>
        </w:numPr>
        <w:spacing w:before="0"/>
        <w:ind w:right="-1"/>
        <w:rPr>
          <w:rFonts w:ascii="Arial" w:hAnsi="Arial" w:cs="Arial"/>
          <w:szCs w:val="22"/>
          <w:lang w:val="es-CR"/>
        </w:rPr>
      </w:pPr>
      <w:r w:rsidRPr="00DB3BAA">
        <w:rPr>
          <w:rFonts w:ascii="Arial" w:hAnsi="Arial" w:cs="Arial"/>
          <w:szCs w:val="22"/>
        </w:rPr>
        <w:t xml:space="preserve">Se realiza la </w:t>
      </w:r>
      <w:r>
        <w:rPr>
          <w:rFonts w:ascii="Arial" w:hAnsi="Arial" w:cs="Arial"/>
          <w:szCs w:val="22"/>
        </w:rPr>
        <w:t xml:space="preserve">modificación </w:t>
      </w:r>
      <w:r w:rsidRPr="00DB3BAA">
        <w:rPr>
          <w:rFonts w:ascii="Arial" w:hAnsi="Arial" w:cs="Arial"/>
          <w:szCs w:val="22"/>
          <w:lang w:val="es-CR"/>
        </w:rPr>
        <w:t>al</w:t>
      </w:r>
      <w:r>
        <w:rPr>
          <w:rFonts w:ascii="Arial" w:hAnsi="Arial" w:cs="Arial"/>
          <w:szCs w:val="22"/>
          <w:lang w:val="es-CR"/>
        </w:rPr>
        <w:t xml:space="preserve"> inciso q. del </w:t>
      </w:r>
      <w:r w:rsidRPr="00DB3BAA">
        <w:rPr>
          <w:rFonts w:ascii="Arial" w:hAnsi="Arial" w:cs="Arial"/>
          <w:szCs w:val="22"/>
          <w:lang w:val="es-CR"/>
        </w:rPr>
        <w:t xml:space="preserve">artículo 3 del </w:t>
      </w:r>
      <w:r w:rsidRPr="00D3328C">
        <w:rPr>
          <w:rFonts w:ascii="Arial" w:hAnsi="Arial" w:cs="Arial"/>
          <w:szCs w:val="22"/>
          <w:lang w:val="es-CR"/>
        </w:rPr>
        <w:t>acuerdo SGV-A-75</w:t>
      </w:r>
      <w:r w:rsidRPr="00DB3BAA">
        <w:rPr>
          <w:rFonts w:ascii="Arial" w:hAnsi="Arial" w:cs="Arial"/>
          <w:szCs w:val="22"/>
          <w:lang w:val="es-CR"/>
        </w:rPr>
        <w:t>, para que se lea de la siguiente manera:</w:t>
      </w:r>
    </w:p>
    <w:p w14:paraId="46E3AD03" w14:textId="77777777" w:rsidR="00104866" w:rsidRPr="00DB3BAA" w:rsidRDefault="00104866" w:rsidP="00104866">
      <w:pPr>
        <w:pStyle w:val="Numeracin"/>
        <w:numPr>
          <w:ilvl w:val="0"/>
          <w:numId w:val="0"/>
        </w:numPr>
        <w:tabs>
          <w:tab w:val="left" w:pos="567"/>
        </w:tabs>
        <w:spacing w:before="0"/>
        <w:ind w:left="2367" w:right="-1"/>
        <w:rPr>
          <w:rFonts w:ascii="Arial" w:hAnsi="Arial" w:cs="Arial"/>
          <w:szCs w:val="22"/>
          <w:lang w:val="es-CR"/>
        </w:rPr>
      </w:pPr>
    </w:p>
    <w:p w14:paraId="46E3AD04" w14:textId="77777777" w:rsidR="00104866" w:rsidRPr="00DB3BAA" w:rsidRDefault="00104866" w:rsidP="00104866">
      <w:pPr>
        <w:pStyle w:val="Numeracin"/>
        <w:numPr>
          <w:ilvl w:val="0"/>
          <w:numId w:val="0"/>
        </w:numPr>
        <w:tabs>
          <w:tab w:val="left" w:pos="567"/>
        </w:tabs>
        <w:spacing w:before="0"/>
        <w:ind w:left="851" w:right="-1"/>
        <w:rPr>
          <w:rFonts w:ascii="Arial" w:hAnsi="Arial" w:cs="Arial"/>
          <w:i/>
          <w:szCs w:val="22"/>
          <w:lang w:val="es-CR"/>
        </w:rPr>
      </w:pPr>
      <w:r w:rsidRPr="00DB3BAA">
        <w:rPr>
          <w:rFonts w:ascii="Arial" w:hAnsi="Arial" w:cs="Arial"/>
          <w:i/>
          <w:szCs w:val="22"/>
          <w:lang w:val="es-CR"/>
        </w:rPr>
        <w:t xml:space="preserve"> “q. Reporte de Operaciones Internacionales, Anexo 61 las variables: código de operación, forma de liquidación, tipo de identificación, número de identificación del cliente, nom</w:t>
      </w:r>
      <w:r>
        <w:rPr>
          <w:rFonts w:ascii="Arial" w:hAnsi="Arial" w:cs="Arial"/>
          <w:i/>
          <w:szCs w:val="22"/>
          <w:lang w:val="es-CR"/>
        </w:rPr>
        <w:t>bre o razón social del cliente,</w:t>
      </w:r>
      <w:r w:rsidRPr="00DB3BAA">
        <w:rPr>
          <w:rFonts w:ascii="Arial" w:hAnsi="Arial" w:cs="Arial"/>
          <w:i/>
          <w:szCs w:val="22"/>
          <w:lang w:val="es-CR"/>
        </w:rPr>
        <w:t xml:space="preserve"> custodio y entidad contraparte.”</w:t>
      </w:r>
    </w:p>
    <w:p w14:paraId="46E3AD05" w14:textId="77777777" w:rsidR="00104866" w:rsidRDefault="00104866" w:rsidP="00104866">
      <w:pPr>
        <w:rPr>
          <w:lang w:val="es-CR"/>
        </w:rPr>
      </w:pPr>
    </w:p>
    <w:p w14:paraId="46E3AD06" w14:textId="77777777" w:rsidR="00104866" w:rsidRPr="00114801" w:rsidRDefault="00104866" w:rsidP="00104866">
      <w:pPr>
        <w:rPr>
          <w:b/>
          <w:lang w:val="es-CR"/>
        </w:rPr>
      </w:pPr>
      <w:r w:rsidRPr="00114801">
        <w:rPr>
          <w:b/>
          <w:lang w:val="es-CR"/>
        </w:rPr>
        <w:t>Artículo 3</w:t>
      </w:r>
      <w:r>
        <w:rPr>
          <w:b/>
          <w:lang w:val="es-CR"/>
        </w:rPr>
        <w:t>.</w:t>
      </w:r>
      <w:r>
        <w:rPr>
          <w:b/>
          <w:lang w:val="es-CR"/>
        </w:rPr>
        <w:tab/>
      </w:r>
      <w:r w:rsidRPr="00114801">
        <w:rPr>
          <w:b/>
          <w:lang w:val="es-CR"/>
        </w:rPr>
        <w:t>Vigencia</w:t>
      </w:r>
    </w:p>
    <w:p w14:paraId="46E3AD07" w14:textId="77777777" w:rsidR="00D50369" w:rsidRPr="00104866" w:rsidRDefault="00104866" w:rsidP="00104866">
      <w:pPr>
        <w:rPr>
          <w:rFonts w:eastAsia="Calibri" w:cs="Arial"/>
        </w:rPr>
      </w:pPr>
      <w:r w:rsidRPr="00905B34">
        <w:rPr>
          <w:lang w:val="es-CR"/>
        </w:rPr>
        <w:t>Rige a partir de su comunicación.</w:t>
      </w:r>
      <w:r w:rsidRPr="000A1C7E">
        <w:rPr>
          <w:rFonts w:cs="Arial"/>
        </w:rPr>
        <w:t xml:space="preserve"> </w:t>
      </w:r>
    </w:p>
    <w:sectPr w:rsidR="00D50369" w:rsidRPr="00104866" w:rsidSect="007878DE">
      <w:headerReference w:type="default" r:id="rId13"/>
      <w:footerReference w:type="default" r:id="rId14"/>
      <w:headerReference w:type="first" r:id="rId15"/>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3AD0B" w14:textId="77777777" w:rsidR="008D48A3" w:rsidRDefault="008D48A3" w:rsidP="00104866">
      <w:pPr>
        <w:spacing w:after="0" w:line="240" w:lineRule="auto"/>
      </w:pPr>
      <w:r>
        <w:separator/>
      </w:r>
    </w:p>
  </w:endnote>
  <w:endnote w:type="continuationSeparator" w:id="0">
    <w:p w14:paraId="46E3AD0C" w14:textId="77777777" w:rsidR="008D48A3" w:rsidRDefault="008D48A3" w:rsidP="00104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424594"/>
      <w:docPartObj>
        <w:docPartGallery w:val="Page Numbers (Bottom of Page)"/>
        <w:docPartUnique/>
      </w:docPartObj>
    </w:sdtPr>
    <w:sdtEndPr>
      <w:rPr>
        <w:noProof/>
        <w:color w:val="1F4E79" w:themeColor="accent1" w:themeShade="80"/>
      </w:rPr>
    </w:sdtEndPr>
    <w:sdtContent>
      <w:p w14:paraId="46E3AD13" w14:textId="77777777" w:rsidR="00104866" w:rsidRPr="00104866" w:rsidRDefault="00104866">
        <w:pPr>
          <w:pStyle w:val="Footer"/>
          <w:rPr>
            <w:color w:val="1F4E79" w:themeColor="accent1" w:themeShade="80"/>
          </w:rPr>
        </w:pPr>
        <w:r w:rsidRPr="00104866">
          <w:rPr>
            <w:color w:val="1F4E79" w:themeColor="accent1" w:themeShade="80"/>
          </w:rPr>
          <w:t xml:space="preserve">| </w:t>
        </w:r>
        <w:r w:rsidRPr="00104866">
          <w:rPr>
            <w:color w:val="1F4E79" w:themeColor="accent1" w:themeShade="80"/>
          </w:rPr>
          <w:fldChar w:fldCharType="begin"/>
        </w:r>
        <w:r w:rsidRPr="00104866">
          <w:rPr>
            <w:color w:val="1F4E79" w:themeColor="accent1" w:themeShade="80"/>
          </w:rPr>
          <w:instrText xml:space="preserve"> PAGE   \* MERGEFORMAT </w:instrText>
        </w:r>
        <w:r w:rsidRPr="00104866">
          <w:rPr>
            <w:color w:val="1F4E79" w:themeColor="accent1" w:themeShade="80"/>
          </w:rPr>
          <w:fldChar w:fldCharType="separate"/>
        </w:r>
        <w:r w:rsidR="007878DE">
          <w:rPr>
            <w:noProof/>
            <w:color w:val="1F4E79" w:themeColor="accent1" w:themeShade="80"/>
          </w:rPr>
          <w:t>2</w:t>
        </w:r>
        <w:r w:rsidRPr="00104866">
          <w:rPr>
            <w:noProof/>
            <w:color w:val="1F4E79" w:themeColor="accent1" w:themeShade="80"/>
          </w:rPr>
          <w:fldChar w:fldCharType="end"/>
        </w:r>
      </w:p>
    </w:sdtContent>
  </w:sdt>
  <w:p w14:paraId="46E3AD14" w14:textId="77777777" w:rsidR="00104866" w:rsidRDefault="00104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3AD09" w14:textId="77777777" w:rsidR="008D48A3" w:rsidRDefault="008D48A3" w:rsidP="00104866">
      <w:pPr>
        <w:spacing w:after="0" w:line="240" w:lineRule="auto"/>
      </w:pPr>
      <w:r>
        <w:separator/>
      </w:r>
    </w:p>
  </w:footnote>
  <w:footnote w:type="continuationSeparator" w:id="0">
    <w:p w14:paraId="46E3AD0A" w14:textId="77777777" w:rsidR="008D48A3" w:rsidRDefault="008D48A3" w:rsidP="00104866">
      <w:pPr>
        <w:spacing w:after="0" w:line="240" w:lineRule="auto"/>
      </w:pPr>
      <w:r>
        <w:continuationSeparator/>
      </w:r>
    </w:p>
  </w:footnote>
  <w:footnote w:id="1">
    <w:p w14:paraId="46E3AD1F" w14:textId="3C43B44B" w:rsidR="00104866" w:rsidRPr="007878DE" w:rsidRDefault="00104866" w:rsidP="00104866">
      <w:pPr>
        <w:pStyle w:val="Numeracin"/>
        <w:numPr>
          <w:ilvl w:val="0"/>
          <w:numId w:val="0"/>
        </w:numPr>
        <w:spacing w:before="0"/>
        <w:ind w:right="-1"/>
        <w:rPr>
          <w:rFonts w:ascii="Arial" w:hAnsi="Arial" w:cs="Arial"/>
          <w:b/>
          <w:szCs w:val="22"/>
        </w:rPr>
      </w:pPr>
      <w:r w:rsidRPr="007878DE">
        <w:rPr>
          <w:rFonts w:ascii="Arial" w:hAnsi="Arial" w:cs="Arial"/>
          <w:szCs w:val="22"/>
        </w:rPr>
        <w:footnoteRef/>
      </w:r>
      <w:r w:rsidRPr="007878DE">
        <w:rPr>
          <w:rFonts w:ascii="Arial" w:hAnsi="Arial" w:cs="Arial"/>
          <w:szCs w:val="22"/>
        </w:rPr>
        <w:t xml:space="preserve"> Superintendencia General de Valores. Despacho del Superintendente.  A las trece</w:t>
      </w:r>
      <w:r w:rsidRPr="007878DE">
        <w:rPr>
          <w:rFonts w:ascii="Arial" w:hAnsi="Arial" w:cs="Arial"/>
          <w:bCs/>
          <w:szCs w:val="22"/>
          <w:lang w:val="es-MX" w:eastAsia="en-US"/>
        </w:rPr>
        <w:t xml:space="preserve"> horas treinta minutos del siete de marzo del dos mil diecisiete</w:t>
      </w:r>
      <w:r w:rsidR="007878DE" w:rsidRPr="007878DE">
        <w:rPr>
          <w:rFonts w:ascii="Arial" w:hAnsi="Arial" w:cs="Arial"/>
          <w:bCs/>
          <w:szCs w:val="22"/>
          <w:lang w:val="es-MX" w:eastAsia="en-US"/>
        </w:rPr>
        <w:t>. Diario Oficial La Gaceta No. 99 del 26 de mayo del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3AD0E" w14:textId="77777777" w:rsidR="00104866" w:rsidRPr="00E41ED2" w:rsidRDefault="00104866" w:rsidP="00104866">
    <w:pPr>
      <w:pStyle w:val="Header"/>
      <w:jc w:val="right"/>
      <w:rPr>
        <w:rFonts w:ascii="Calibri" w:hAnsi="Calibri" w:cs="Arial"/>
        <w:bCs/>
        <w:i/>
        <w:sz w:val="20"/>
        <w:szCs w:val="20"/>
      </w:rPr>
    </w:pPr>
    <w:r>
      <w:rPr>
        <w:rFonts w:ascii="Calibri" w:hAnsi="Calibri" w:cs="Arial"/>
        <w:bCs/>
        <w:i/>
        <w:noProof/>
        <w:sz w:val="20"/>
        <w:szCs w:val="20"/>
        <w:lang w:val="es-CR" w:eastAsia="es-CR"/>
      </w:rPr>
      <mc:AlternateContent>
        <mc:Choice Requires="wps">
          <w:drawing>
            <wp:anchor distT="0" distB="0" distL="114300" distR="114300" simplePos="0" relativeHeight="251659264" behindDoc="0" locked="0" layoutInCell="1" allowOverlap="1" wp14:anchorId="46E3AD19" wp14:editId="46E3AD1A">
              <wp:simplePos x="0" y="0"/>
              <wp:positionH relativeFrom="column">
                <wp:posOffset>-156209</wp:posOffset>
              </wp:positionH>
              <wp:positionV relativeFrom="paragraph">
                <wp:posOffset>-220980</wp:posOffset>
              </wp:positionV>
              <wp:extent cx="3867150" cy="61468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61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3AD20" w14:textId="77777777" w:rsidR="00104866" w:rsidRPr="00E41ED2" w:rsidRDefault="00104866" w:rsidP="00104866">
                          <w:pPr>
                            <w:tabs>
                              <w:tab w:val="center" w:pos="4252"/>
                              <w:tab w:val="right" w:pos="8504"/>
                            </w:tabs>
                            <w:jc w:val="both"/>
                            <w:rPr>
                              <w:bCs/>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3AD19" id="_x0000_t202" coordsize="21600,21600" o:spt="202" path="m,l,21600r21600,l21600,xe">
              <v:stroke joinstyle="miter"/>
              <v:path gradientshapeok="t" o:connecttype="rect"/>
            </v:shapetype>
            <v:shape id="Text Box 12" o:spid="_x0000_s1026" type="#_x0000_t202" style="position:absolute;left:0;text-align:left;margin-left:-12.3pt;margin-top:-17.4pt;width:304.5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osgw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" stroked="f">
              <v:textbox>
                <w:txbxContent>
                  <w:p w14:paraId="46E3AD20" w14:textId="77777777" w:rsidR="00104866" w:rsidRPr="00E41ED2" w:rsidRDefault="00104866" w:rsidP="00104866">
                    <w:pPr>
                      <w:tabs>
                        <w:tab w:val="center" w:pos="4252"/>
                        <w:tab w:val="right" w:pos="8504"/>
                      </w:tabs>
                      <w:jc w:val="both"/>
                      <w:rPr>
                        <w:bCs/>
                        <w:sz w:val="18"/>
                        <w:szCs w:val="18"/>
                        <w:lang w:val="es-MX"/>
                      </w:rPr>
                    </w:pPr>
                  </w:p>
                </w:txbxContent>
              </v:textbox>
            </v:shape>
          </w:pict>
        </mc:Fallback>
      </mc:AlternateContent>
    </w:r>
    <w:r>
      <w:rPr>
        <w:rFonts w:ascii="Calibri" w:hAnsi="Calibri" w:cs="Arial"/>
        <w:bCs/>
        <w:i/>
        <w:noProof/>
        <w:sz w:val="20"/>
        <w:szCs w:val="20"/>
        <w:lang w:val="es-CR" w:eastAsia="es-CR"/>
      </w:rPr>
      <w:drawing>
        <wp:inline distT="0" distB="0" distL="0" distR="0" wp14:anchorId="46E3AD1B" wp14:editId="46E3AD1C">
          <wp:extent cx="1581150" cy="390525"/>
          <wp:effectExtent l="0" t="0" r="0" b="9525"/>
          <wp:docPr id="2" name="Picture 2"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46E3AD0F" w14:textId="77777777" w:rsidR="00104866" w:rsidRPr="0065415F" w:rsidRDefault="00104866" w:rsidP="00104866">
    <w:pPr>
      <w:tabs>
        <w:tab w:val="left" w:pos="1875"/>
      </w:tabs>
      <w:rPr>
        <w:color w:val="204775"/>
      </w:rPr>
    </w:pPr>
    <w:r>
      <w:rPr>
        <w:noProof/>
        <w:color w:val="204775"/>
        <w:lang w:val="es-CR" w:eastAsia="es-CR"/>
      </w:rPr>
      <mc:AlternateContent>
        <mc:Choice Requires="wps">
          <w:drawing>
            <wp:anchor distT="4294967293" distB="4294967293" distL="114300" distR="114300" simplePos="0" relativeHeight="251660288" behindDoc="0" locked="0" layoutInCell="1" allowOverlap="1" wp14:anchorId="46E3AD1D" wp14:editId="23D163AB">
              <wp:simplePos x="0" y="0"/>
              <wp:positionH relativeFrom="column">
                <wp:posOffset>-64770</wp:posOffset>
              </wp:positionH>
              <wp:positionV relativeFrom="paragraph">
                <wp:posOffset>54611</wp:posOffset>
              </wp:positionV>
              <wp:extent cx="5362575" cy="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9F774" id="Straight Connector 1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pt,4.3pt" to="417.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" strokecolor="#0070c0" strokeweight="1.5pt"/>
          </w:pict>
        </mc:Fallback>
      </mc:AlternateContent>
    </w:r>
    <w:r w:rsidRPr="0065415F">
      <w:rPr>
        <w:color w:val="204775"/>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3AD15" w14:textId="77777777" w:rsidR="00421E92" w:rsidRPr="004E6C48" w:rsidRDefault="007878DE" w:rsidP="00421E92">
    <w:pPr>
      <w:pStyle w:val="Header"/>
      <w:rPr>
        <w:rFonts w:cs="Arial"/>
        <w:lang w:val="es-CR"/>
      </w:rPr>
    </w:pPr>
  </w:p>
  <w:p w14:paraId="46E3AD16" w14:textId="77777777" w:rsidR="00421E92" w:rsidRDefault="007878DE" w:rsidP="00421E92">
    <w:pPr>
      <w:pStyle w:val="Header"/>
    </w:pPr>
  </w:p>
  <w:p w14:paraId="46E3AD17" w14:textId="77777777" w:rsidR="00421E92" w:rsidRDefault="00787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0C"/>
    <w:multiLevelType w:val="hybridMultilevel"/>
    <w:tmpl w:val="4C2ED8D4"/>
    <w:lvl w:ilvl="0" w:tplc="C1C42DD0">
      <w:start w:val="1"/>
      <w:numFmt w:val="decimal"/>
      <w:pStyle w:val="Numeracin"/>
      <w:lvlText w:val="%1."/>
      <w:lvlJc w:val="left"/>
      <w:pPr>
        <w:ind w:left="360" w:hanging="360"/>
      </w:pPr>
      <w:rPr>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66"/>
    <w:rsid w:val="00104866"/>
    <w:rsid w:val="007878DE"/>
    <w:rsid w:val="008D48A3"/>
    <w:rsid w:val="00D503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3ACDC"/>
  <w15:chartTrackingRefBased/>
  <w15:docId w15:val="{56AECF55-6CEC-44BF-A79F-2E167341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866"/>
    <w:pPr>
      <w:spacing w:after="0" w:line="240" w:lineRule="auto"/>
      <w:ind w:left="720"/>
      <w:contextualSpacing/>
    </w:pPr>
    <w:rPr>
      <w:rFonts w:ascii="Arial Narrow" w:eastAsia="Times New Roman" w:hAnsi="Arial Narrow" w:cs="Times New Roman"/>
      <w:szCs w:val="24"/>
      <w:lang w:val="es-CR" w:eastAsia="es-ES"/>
    </w:rPr>
  </w:style>
  <w:style w:type="paragraph" w:customStyle="1" w:styleId="Textodereglamento">
    <w:name w:val="Texto de reglamento"/>
    <w:basedOn w:val="Normal"/>
    <w:link w:val="TextodereglamentoChar"/>
    <w:qFormat/>
    <w:rsid w:val="00104866"/>
    <w:pPr>
      <w:spacing w:before="120" w:after="0" w:line="240" w:lineRule="auto"/>
      <w:jc w:val="both"/>
    </w:pPr>
    <w:rPr>
      <w:rFonts w:ascii="Times New Roman" w:eastAsia="Times New Roman" w:hAnsi="Times New Roman" w:cs="Times New Roman"/>
      <w:szCs w:val="24"/>
      <w:lang w:eastAsia="es-ES"/>
    </w:rPr>
  </w:style>
  <w:style w:type="paragraph" w:customStyle="1" w:styleId="Numeracin">
    <w:name w:val="Numeración"/>
    <w:basedOn w:val="Textodereglamento"/>
    <w:link w:val="NumeracinChar"/>
    <w:qFormat/>
    <w:rsid w:val="00104866"/>
    <w:pPr>
      <w:numPr>
        <w:numId w:val="1"/>
      </w:numPr>
    </w:pPr>
  </w:style>
  <w:style w:type="character" w:customStyle="1" w:styleId="TextodereglamentoChar">
    <w:name w:val="Texto de reglamento Char"/>
    <w:link w:val="Textodereglamento"/>
    <w:rsid w:val="00104866"/>
    <w:rPr>
      <w:rFonts w:ascii="Times New Roman" w:eastAsia="Times New Roman" w:hAnsi="Times New Roman" w:cs="Times New Roman"/>
      <w:szCs w:val="24"/>
      <w:lang w:eastAsia="es-ES"/>
    </w:rPr>
  </w:style>
  <w:style w:type="character" w:customStyle="1" w:styleId="NumeracinChar">
    <w:name w:val="Numeración Char"/>
    <w:link w:val="Numeracin"/>
    <w:rsid w:val="00104866"/>
    <w:rPr>
      <w:rFonts w:ascii="Times New Roman" w:eastAsia="Times New Roman" w:hAnsi="Times New Roman" w:cs="Times New Roman"/>
      <w:szCs w:val="24"/>
      <w:lang w:eastAsia="es-ES"/>
    </w:rPr>
  </w:style>
  <w:style w:type="paragraph" w:styleId="Header">
    <w:name w:val="header"/>
    <w:basedOn w:val="Normal"/>
    <w:link w:val="HeaderChar"/>
    <w:uiPriority w:val="99"/>
    <w:unhideWhenUsed/>
    <w:rsid w:val="00104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866"/>
  </w:style>
  <w:style w:type="paragraph" w:styleId="Footer">
    <w:name w:val="footer"/>
    <w:basedOn w:val="Normal"/>
    <w:link w:val="FooterChar"/>
    <w:uiPriority w:val="99"/>
    <w:unhideWhenUsed/>
    <w:rsid w:val="00104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866"/>
  </w:style>
  <w:style w:type="paragraph" w:styleId="FootnoteText">
    <w:name w:val="footnote text"/>
    <w:basedOn w:val="Normal"/>
    <w:link w:val="FootnoteTextChar"/>
    <w:uiPriority w:val="99"/>
    <w:semiHidden/>
    <w:unhideWhenUsed/>
    <w:rsid w:val="001048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866"/>
    <w:rPr>
      <w:sz w:val="20"/>
      <w:szCs w:val="20"/>
    </w:rPr>
  </w:style>
  <w:style w:type="character" w:styleId="FootnoteReference">
    <w:name w:val="footnote reference"/>
    <w:basedOn w:val="DefaultParagraphFont"/>
    <w:uiPriority w:val="99"/>
    <w:semiHidden/>
    <w:unhideWhenUsed/>
    <w:rsid w:val="001048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emf"/>
  <Relationship Id="rId12" Type="http://schemas.openxmlformats.org/officeDocument/2006/relationships/package" Target="embeddings/Microsoft_Word_Document1.docx"/>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60C2E-E9E8-4EBF-BEE5-1F1ABE2E7288}"/>
</file>

<file path=customXml/itemProps2.xml><?xml version="1.0" encoding="utf-8"?>
<ds:datastoreItem xmlns:ds="http://schemas.openxmlformats.org/officeDocument/2006/customXml" ds:itemID="{F3DE8F0A-6191-4772-82BF-0EB14781656C}"/>
</file>

<file path=customXml/itemProps3.xml><?xml version="1.0" encoding="utf-8"?>
<ds:datastoreItem xmlns:ds="http://schemas.openxmlformats.org/officeDocument/2006/customXml" ds:itemID="{292A1F5F-F00C-46B6-A702-89D96DA50F57}"/>
</file>

<file path=customXml/itemProps4.xml><?xml version="1.0" encoding="utf-8"?>
<ds:datastoreItem xmlns:ds="http://schemas.openxmlformats.org/officeDocument/2006/customXml" ds:itemID="{2EBFA63C-5F69-4FB3-95B9-94B265D3F0EC}"/>
</file>

<file path=docProps/app.xml><?xml version="1.0" encoding="utf-8"?>
<Properties xmlns="http://schemas.openxmlformats.org/officeDocument/2006/extended-properties" xmlns:vt="http://schemas.openxmlformats.org/officeDocument/2006/docPropsVTypes">
  <Template>Normal</Template>
  <TotalTime>15</TotalTime>
  <Pages>2</Pages>
  <Words>717</Words>
  <Characters>3946</Characters>
  <Application>Microsoft Office Word</Application>
  <DocSecurity>0</DocSecurity>
  <Lines>32</Lines>
  <Paragraphs>9</Paragraphs>
  <ScaleCrop>false</ScaleCrop>
  <Company>SUGEVAL</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SGV-A-222</dc:title>
  <dc:creator>Isabel Tan Chan</dc:creator>
  <cp:lastModifiedBy>FERNANDEZ PORRAS PATRICIA</cp:lastModifiedBy>
  <cp:revision>2</cp:revision>
  <dcterms:created xsi:type="dcterms:W3CDTF">2017-03-07T22:28:00Z</dcterms:created>
  <dcterms:modified xsi:type="dcterms:W3CDTF">2017-05-26T18:29:00Z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5" name="FileLeafRef">
    <vt:lpwstr>SGV-A-222.docx</vt:lpwstr>
  </property>
</Properties>
</file>