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C9E06" w14:textId="77777777" w:rsidR="00D91479" w:rsidRPr="00D91479" w:rsidRDefault="00D91479" w:rsidP="00D91479">
      <w:pPr>
        <w:widowControl w:val="0"/>
        <w:jc w:val="both"/>
        <w:rPr>
          <w:rFonts w:ascii="Arial" w:hAnsi="Arial" w:cs="Arial"/>
          <w:b/>
          <w:sz w:val="22"/>
          <w:szCs w:val="22"/>
          <w:lang w:val="es-CR" w:eastAsia="es-ES"/>
        </w:rPr>
      </w:pPr>
      <w:r w:rsidRPr="00D91479">
        <w:rPr>
          <w:rFonts w:ascii="Arial" w:hAnsi="Arial" w:cs="Arial"/>
          <w:b/>
          <w:sz w:val="22"/>
          <w:szCs w:val="22"/>
          <w:lang w:val="es-CR" w:eastAsia="es-ES"/>
        </w:rPr>
        <w:t>SGV-A-224. ACUERDO PARA LA ADMINISTRACIÓN DEL EFECTIVO EN CUSTODIA DESTINADO AL PAGO DE LAS OBLIGACIONES QUE SE ASUMEN CON EL SISTEMA DE COMPENSACIÓN Y LIQUIDACIÓN Y QUE LOS MIEMBROS LIQUIDADORES DEBEN MANTENER EN LAS CUENTAS DE RESERVA DEL SISTEMA NACIONAL DE PAGOS ELECTRÓNICOS (SINPE) DEL BANCO CENTRAL DE COSTA RICA</w:t>
      </w:r>
      <w:r>
        <w:rPr>
          <w:rFonts w:ascii="Arial" w:hAnsi="Arial" w:cs="Arial"/>
          <w:b/>
          <w:sz w:val="22"/>
          <w:szCs w:val="22"/>
          <w:lang w:val="es-CR" w:eastAsia="es-ES"/>
        </w:rPr>
        <w:t xml:space="preserve"> </w:t>
      </w:r>
      <w:r>
        <w:rPr>
          <w:rStyle w:val="FootnoteReference"/>
          <w:rFonts w:ascii="Arial" w:hAnsi="Arial" w:cs="Arial"/>
          <w:b/>
          <w:sz w:val="22"/>
          <w:szCs w:val="22"/>
          <w:lang w:val="es-CR" w:eastAsia="es-ES"/>
        </w:rPr>
        <w:footnoteReference w:id="1"/>
      </w:r>
    </w:p>
    <w:p w14:paraId="122C9E07" w14:textId="77777777" w:rsidR="00D91479" w:rsidRDefault="00D91479" w:rsidP="00C17B13">
      <w:pPr>
        <w:widowControl w:val="0"/>
        <w:jc w:val="both"/>
        <w:rPr>
          <w:rFonts w:ascii="Arial" w:hAnsi="Arial" w:cs="Arial"/>
          <w:sz w:val="22"/>
          <w:szCs w:val="22"/>
          <w:lang w:val="es-CR" w:eastAsia="es-ES"/>
        </w:rPr>
      </w:pPr>
    </w:p>
    <w:p w14:paraId="122C9E08" w14:textId="77777777" w:rsidR="004B1FD7" w:rsidRPr="00916685" w:rsidRDefault="004B1FD7" w:rsidP="004B1FD7">
      <w:pPr>
        <w:widowControl w:val="0"/>
        <w:jc w:val="both"/>
        <w:rPr>
          <w:rFonts w:ascii="Arial" w:hAnsi="Arial" w:cs="Arial"/>
          <w:b/>
          <w:sz w:val="22"/>
          <w:szCs w:val="22"/>
          <w:lang w:val="es-CR" w:eastAsia="es-ES"/>
        </w:rPr>
      </w:pPr>
      <w:r w:rsidRPr="00916685">
        <w:rPr>
          <w:rFonts w:ascii="Arial" w:hAnsi="Arial" w:cs="Arial"/>
          <w:b/>
          <w:sz w:val="22"/>
          <w:szCs w:val="22"/>
          <w:lang w:val="es-CR" w:eastAsia="es-ES"/>
        </w:rPr>
        <w:t>Considerando que:</w:t>
      </w:r>
    </w:p>
    <w:p w14:paraId="122C9E09" w14:textId="77777777" w:rsidR="004B1FD7" w:rsidRPr="00916685" w:rsidRDefault="004B1FD7" w:rsidP="004B1FD7">
      <w:pPr>
        <w:widowControl w:val="0"/>
        <w:jc w:val="both"/>
        <w:rPr>
          <w:rFonts w:ascii="Arial" w:hAnsi="Arial" w:cs="Arial"/>
          <w:sz w:val="22"/>
          <w:szCs w:val="22"/>
          <w:lang w:val="es-CR" w:eastAsia="es-ES"/>
        </w:rPr>
      </w:pPr>
    </w:p>
    <w:p w14:paraId="122C9E0A" w14:textId="77777777" w:rsidR="006A44A5" w:rsidRDefault="006A44A5" w:rsidP="00916685">
      <w:pPr>
        <w:pStyle w:val="ListParagraph"/>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De conformidad con los artículos 132 y 136 de “</w:t>
      </w:r>
      <w:r w:rsidRPr="00262A68">
        <w:rPr>
          <w:rFonts w:ascii="Arial" w:hAnsi="Arial" w:cs="Arial"/>
          <w:i/>
          <w:sz w:val="22"/>
          <w:szCs w:val="22"/>
          <w:lang w:val="es-CR" w:eastAsia="es-ES"/>
        </w:rPr>
        <w:t>Ley Reguladora del Mercado de Valores</w:t>
      </w:r>
      <w:r w:rsidRPr="00262A68">
        <w:rPr>
          <w:rFonts w:ascii="Arial" w:hAnsi="Arial" w:cs="Arial"/>
          <w:sz w:val="22"/>
          <w:szCs w:val="22"/>
          <w:lang w:val="es-CR" w:eastAsia="es-ES"/>
        </w:rPr>
        <w:t>” (LRMV), le corresponde a la Superintendencia General de Valores regular, en todo lo no previsto, el régimen de funcionamiento del Sistema de Compensación y Liquidación de Valores (SCLV), así como las obligaciones, responsabilidades y otros requisitos para la prestación del servicio de custodia de valores.</w:t>
      </w:r>
    </w:p>
    <w:p w14:paraId="122C9E0B" w14:textId="77777777" w:rsidR="006A44A5" w:rsidRDefault="006A44A5" w:rsidP="00916685">
      <w:pPr>
        <w:pStyle w:val="ListParagraph"/>
        <w:ind w:left="567" w:hanging="567"/>
        <w:jc w:val="both"/>
        <w:rPr>
          <w:rFonts w:ascii="Arial" w:hAnsi="Arial" w:cs="Arial"/>
          <w:sz w:val="22"/>
          <w:szCs w:val="22"/>
          <w:lang w:val="es-CR" w:eastAsia="es-ES"/>
        </w:rPr>
      </w:pPr>
    </w:p>
    <w:p w14:paraId="122C9E0C" w14:textId="77777777" w:rsidR="006A44A5" w:rsidRPr="00262A68" w:rsidRDefault="006A44A5" w:rsidP="00916685">
      <w:pPr>
        <w:pStyle w:val="ListParagraph"/>
        <w:numPr>
          <w:ilvl w:val="0"/>
          <w:numId w:val="20"/>
        </w:numPr>
        <w:ind w:left="567" w:hanging="567"/>
        <w:jc w:val="both"/>
        <w:rPr>
          <w:rFonts w:ascii="Arial" w:hAnsi="Arial" w:cs="Arial"/>
          <w:sz w:val="22"/>
          <w:szCs w:val="22"/>
          <w:lang w:val="es-CR" w:eastAsia="es-ES"/>
        </w:rPr>
      </w:pPr>
      <w:r w:rsidRPr="005803CC">
        <w:rPr>
          <w:rFonts w:ascii="Arial" w:hAnsi="Arial" w:cs="Arial"/>
          <w:sz w:val="22"/>
          <w:szCs w:val="22"/>
          <w:lang w:val="es-CR" w:eastAsia="es-ES"/>
        </w:rPr>
        <w:t>La LRMV en su artículo 56, establece la posibilidad de que los puestos de bolsa otorguen crédito a sus clientes cuando se relacionen directamente con operaciones de compra y venta de valores, incluida la prefinanciación de emisiones.</w:t>
      </w:r>
    </w:p>
    <w:p w14:paraId="122C9E0D" w14:textId="77777777" w:rsidR="006A44A5" w:rsidRDefault="006A44A5" w:rsidP="00916685">
      <w:pPr>
        <w:ind w:left="567" w:hanging="567"/>
        <w:jc w:val="both"/>
        <w:rPr>
          <w:rFonts w:ascii="Arial" w:hAnsi="Arial" w:cs="Arial"/>
          <w:sz w:val="22"/>
          <w:szCs w:val="22"/>
          <w:lang w:val="es-CR" w:eastAsia="es-ES"/>
        </w:rPr>
      </w:pPr>
    </w:p>
    <w:p w14:paraId="122C9E0E" w14:textId="77777777" w:rsidR="006A44A5" w:rsidRPr="00262A68" w:rsidRDefault="006A44A5" w:rsidP="00916685">
      <w:pPr>
        <w:pStyle w:val="ListParagraph"/>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El artículo 4 del “</w:t>
      </w:r>
      <w:r w:rsidRPr="00262A68">
        <w:rPr>
          <w:rFonts w:ascii="Arial" w:hAnsi="Arial" w:cs="Arial"/>
          <w:i/>
          <w:sz w:val="22"/>
          <w:szCs w:val="22"/>
          <w:lang w:val="es-CR" w:eastAsia="es-ES"/>
        </w:rPr>
        <w:t>Reglamento de Custodia</w:t>
      </w:r>
      <w:r w:rsidRPr="00262A68">
        <w:rPr>
          <w:rFonts w:ascii="Arial" w:hAnsi="Arial" w:cs="Arial"/>
          <w:sz w:val="22"/>
          <w:szCs w:val="22"/>
          <w:lang w:val="es-CR" w:eastAsia="es-ES"/>
        </w:rPr>
        <w:t xml:space="preserve">” dispone que un custodio autorizado debe estar en capacidad de recibir el efectivo relacionado a la custodia, tanto por cuenta propia como por cuenta de terceros, así como realizar la liquidación de las operaciones que se realicen con los valores objeto de custodia, implicando esto la comparecencia obligatoria del custodio como miembro liquidador ante el SCLV.  </w:t>
      </w:r>
    </w:p>
    <w:p w14:paraId="122C9E0F" w14:textId="77777777" w:rsidR="006A44A5" w:rsidRPr="008B5CFF" w:rsidRDefault="006A44A5" w:rsidP="00916685">
      <w:pPr>
        <w:ind w:left="567" w:hanging="567"/>
        <w:jc w:val="both"/>
        <w:rPr>
          <w:rFonts w:ascii="Arial" w:hAnsi="Arial" w:cs="Arial"/>
          <w:sz w:val="22"/>
          <w:szCs w:val="22"/>
          <w:lang w:val="es-CR" w:eastAsia="es-ES"/>
        </w:rPr>
      </w:pPr>
    </w:p>
    <w:p w14:paraId="122C9E10" w14:textId="77777777" w:rsidR="006A44A5" w:rsidRPr="00262A68" w:rsidRDefault="006A44A5" w:rsidP="00916685">
      <w:pPr>
        <w:pStyle w:val="ListParagraph"/>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El artículo 19 del mismo reglamento dispone que “</w:t>
      </w:r>
      <w:r w:rsidRPr="00262A68">
        <w:rPr>
          <w:rFonts w:ascii="Arial" w:hAnsi="Arial" w:cs="Arial"/>
          <w:i/>
          <w:sz w:val="22"/>
          <w:szCs w:val="22"/>
          <w:lang w:val="es-CR" w:eastAsia="es-ES"/>
        </w:rPr>
        <w:t>las entidades de custodia deben contar contractualmente con las facultades suficientes para confirmar los contratos, y para garantizar que los titulares cumplan con las obligaciones derivadas por la ejecución de las operaciones en los términos y condiciones pactadas, incluyendo las obligaciones derivadas de las operaciones abiertas a plazo</w:t>
      </w:r>
      <w:r w:rsidRPr="00262A68">
        <w:rPr>
          <w:rFonts w:ascii="Arial" w:hAnsi="Arial" w:cs="Arial"/>
          <w:sz w:val="22"/>
          <w:szCs w:val="22"/>
          <w:lang w:val="es-CR" w:eastAsia="es-ES"/>
        </w:rPr>
        <w:t>”.</w:t>
      </w:r>
    </w:p>
    <w:p w14:paraId="122C9E11" w14:textId="77777777" w:rsidR="006A44A5" w:rsidRDefault="006A44A5" w:rsidP="00916685">
      <w:pPr>
        <w:widowControl w:val="0"/>
        <w:ind w:left="567" w:hanging="567"/>
        <w:jc w:val="both"/>
        <w:rPr>
          <w:rFonts w:ascii="Arial" w:hAnsi="Arial" w:cs="Arial"/>
          <w:sz w:val="22"/>
          <w:szCs w:val="22"/>
          <w:lang w:val="es-CR" w:eastAsia="es-ES"/>
        </w:rPr>
      </w:pPr>
    </w:p>
    <w:p w14:paraId="122C9E12" w14:textId="77777777" w:rsidR="006A44A5" w:rsidRPr="00262A68" w:rsidRDefault="006A44A5" w:rsidP="00916685">
      <w:pPr>
        <w:pStyle w:val="ListParagraph"/>
        <w:widowControl w:val="0"/>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El artículo 14 del “</w:t>
      </w:r>
      <w:r w:rsidRPr="00262A68">
        <w:rPr>
          <w:rFonts w:ascii="Arial" w:hAnsi="Arial" w:cs="Arial"/>
          <w:i/>
          <w:sz w:val="22"/>
          <w:szCs w:val="22"/>
          <w:lang w:val="es-CR" w:eastAsia="es-ES"/>
        </w:rPr>
        <w:t>Reglamento de Compensación y Liquidación de Valores</w:t>
      </w:r>
      <w:r w:rsidRPr="00262A68">
        <w:rPr>
          <w:rFonts w:ascii="Arial" w:hAnsi="Arial" w:cs="Arial"/>
          <w:sz w:val="22"/>
          <w:szCs w:val="22"/>
          <w:lang w:val="es-CR" w:eastAsia="es-ES"/>
        </w:rPr>
        <w:t>” dispone que la liquidación del efectivo resultante de los contratos bursátiles se debe dar mediante créditos y débitos en una cuenta que los miembros liquidadores deben mantener, para tal fin,  en el Sistema Nacional de Pagos Electrónicos (SINPE) del Banco Central de Costa Rica (BCCR). Lo anterior encuentra su fundamento en el artículo 6 de la Ley 8876, “</w:t>
      </w:r>
      <w:r w:rsidRPr="00262A68">
        <w:rPr>
          <w:rFonts w:ascii="Arial" w:hAnsi="Arial" w:cs="Arial"/>
          <w:i/>
          <w:sz w:val="22"/>
          <w:szCs w:val="22"/>
          <w:lang w:val="es-CR" w:eastAsia="es-ES"/>
        </w:rPr>
        <w:t>Tratado sobre Sistemas de Pago y Liquidación de Valores de Centroamérica y República Dominicana</w:t>
      </w:r>
      <w:r w:rsidRPr="00262A68">
        <w:rPr>
          <w:rFonts w:ascii="Arial" w:hAnsi="Arial" w:cs="Arial"/>
          <w:sz w:val="22"/>
          <w:szCs w:val="22"/>
          <w:lang w:val="es-CR" w:eastAsia="es-ES"/>
        </w:rPr>
        <w:t>”, el cual establece que los fondos mantenidos en las cuentas en los bancos centrales que sean usadas para la liquidación de órdenes de transferencia de fondos son inembargables.</w:t>
      </w:r>
    </w:p>
    <w:p w14:paraId="122C9E13" w14:textId="77777777" w:rsidR="006A44A5" w:rsidRDefault="006A44A5" w:rsidP="00916685">
      <w:pPr>
        <w:widowControl w:val="0"/>
        <w:ind w:left="567" w:hanging="567"/>
        <w:jc w:val="both"/>
        <w:rPr>
          <w:rFonts w:ascii="Arial" w:hAnsi="Arial" w:cs="Arial"/>
          <w:sz w:val="22"/>
          <w:szCs w:val="22"/>
          <w:lang w:val="es-CR" w:eastAsia="es-ES"/>
        </w:rPr>
      </w:pPr>
    </w:p>
    <w:p w14:paraId="122C9E14" w14:textId="77777777" w:rsidR="006A44A5" w:rsidRPr="006757DE" w:rsidRDefault="006A44A5" w:rsidP="00916685">
      <w:pPr>
        <w:pStyle w:val="ListParagraph"/>
        <w:widowControl w:val="0"/>
        <w:numPr>
          <w:ilvl w:val="0"/>
          <w:numId w:val="20"/>
        </w:numPr>
        <w:ind w:left="567" w:hanging="567"/>
        <w:jc w:val="both"/>
        <w:rPr>
          <w:rFonts w:ascii="Arial" w:hAnsi="Arial" w:cs="Arial"/>
          <w:sz w:val="22"/>
          <w:szCs w:val="22"/>
          <w:lang w:val="es-CR" w:eastAsia="es-ES"/>
        </w:rPr>
      </w:pPr>
      <w:r w:rsidRPr="006757DE">
        <w:rPr>
          <w:rFonts w:ascii="Arial" w:hAnsi="Arial" w:cs="Arial"/>
          <w:sz w:val="22"/>
          <w:szCs w:val="22"/>
          <w:lang w:val="es-CR" w:eastAsia="es-ES"/>
        </w:rPr>
        <w:t>Con ese objetivo el BCCR como administrador del SINPE ha puesto a disposición de las entidades que tienen cuentas en SINPE mecanismos como el TEF Terceros, Débito en Tiempo Real y la Transferencia Interbancaria para poder movilizar recursos entre las cuentas SINPE.</w:t>
      </w:r>
    </w:p>
    <w:p w14:paraId="122C9E15" w14:textId="77777777" w:rsidR="006A44A5" w:rsidRDefault="006A44A5" w:rsidP="00916685">
      <w:pPr>
        <w:widowControl w:val="0"/>
        <w:ind w:left="567" w:hanging="567"/>
        <w:jc w:val="both"/>
        <w:rPr>
          <w:rFonts w:ascii="Arial" w:hAnsi="Arial" w:cs="Arial"/>
          <w:sz w:val="22"/>
          <w:szCs w:val="22"/>
          <w:lang w:val="es-CR" w:eastAsia="es-ES"/>
        </w:rPr>
      </w:pPr>
    </w:p>
    <w:p w14:paraId="122C9E16" w14:textId="77777777" w:rsidR="006A44A5" w:rsidRPr="00262A68" w:rsidRDefault="006A44A5" w:rsidP="00916685">
      <w:pPr>
        <w:pStyle w:val="ListParagraph"/>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El artículo 9 del “</w:t>
      </w:r>
      <w:r w:rsidRPr="00262A68">
        <w:rPr>
          <w:rFonts w:ascii="Arial" w:hAnsi="Arial" w:cs="Arial"/>
          <w:i/>
          <w:sz w:val="22"/>
          <w:szCs w:val="22"/>
          <w:lang w:val="es-CR" w:eastAsia="es-ES"/>
        </w:rPr>
        <w:t>Reglamento Operativo de Compensación y Liquidación de Valores</w:t>
      </w:r>
      <w:r w:rsidRPr="00262A68">
        <w:rPr>
          <w:rFonts w:ascii="Arial" w:hAnsi="Arial" w:cs="Arial"/>
          <w:sz w:val="22"/>
          <w:szCs w:val="22"/>
          <w:lang w:val="es-CR" w:eastAsia="es-ES"/>
        </w:rPr>
        <w:t>” emitido por la Bolsa Nacional de Valores, en su carácter de entidad de compensación y liquidación, dispone dentro de los requisitos de adhesión y funcionamiento; el mantener y utilizar cuentas en el SINPE para poder aplicar la liquidación de las operaciones, y cumplir en tiempo con las obligaciones de liquidación por las operaciones que realice.</w:t>
      </w:r>
    </w:p>
    <w:p w14:paraId="122C9E17" w14:textId="77777777" w:rsidR="006A44A5" w:rsidRDefault="006A44A5" w:rsidP="00916685">
      <w:pPr>
        <w:widowControl w:val="0"/>
        <w:ind w:left="567" w:hanging="567"/>
        <w:jc w:val="both"/>
        <w:rPr>
          <w:rFonts w:ascii="Arial" w:hAnsi="Arial" w:cs="Arial"/>
          <w:sz w:val="22"/>
          <w:szCs w:val="22"/>
          <w:lang w:val="es-CR" w:eastAsia="es-ES"/>
        </w:rPr>
      </w:pPr>
    </w:p>
    <w:p w14:paraId="122C9E18" w14:textId="77777777" w:rsidR="006A44A5" w:rsidRPr="00262A68" w:rsidRDefault="006A44A5" w:rsidP="00916685">
      <w:pPr>
        <w:pStyle w:val="ListParagraph"/>
        <w:widowControl w:val="0"/>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 xml:space="preserve">Por otra parte, durante los procesos de supervisión respecto de la liquidación del mercado de valores, se ha identificado que en su mayoría, los atrasos que se producen en la punta del efectivo en las cuentas de los custodios - </w:t>
      </w:r>
      <w:r w:rsidRPr="00262A68">
        <w:rPr>
          <w:rFonts w:ascii="Arial" w:hAnsi="Arial" w:cs="Arial"/>
          <w:i/>
          <w:sz w:val="22"/>
          <w:szCs w:val="22"/>
          <w:lang w:val="es-CR" w:eastAsia="es-ES"/>
        </w:rPr>
        <w:t>que a la vez son puestos de bolsa</w:t>
      </w:r>
      <w:r w:rsidRPr="00262A68">
        <w:rPr>
          <w:rFonts w:ascii="Arial" w:hAnsi="Arial" w:cs="Arial"/>
          <w:sz w:val="22"/>
          <w:szCs w:val="22"/>
          <w:lang w:val="es-CR" w:eastAsia="es-ES"/>
        </w:rPr>
        <w:t>- obedecen a los tiempos de espera que toman los bancos comerciales  para transferir el efectivo que los puestos de bolsa administran en sus cuentas corrientes y  acreditarlo en las cuentas de reserva de los custodios en el BCCR donde se realiza la liquidación.</w:t>
      </w:r>
    </w:p>
    <w:p w14:paraId="122C9E19" w14:textId="77777777" w:rsidR="006A44A5" w:rsidRDefault="006A44A5" w:rsidP="00916685">
      <w:pPr>
        <w:widowControl w:val="0"/>
        <w:ind w:left="567" w:hanging="567"/>
        <w:jc w:val="both"/>
        <w:rPr>
          <w:rFonts w:ascii="Arial" w:hAnsi="Arial" w:cs="Arial"/>
          <w:sz w:val="22"/>
          <w:szCs w:val="22"/>
          <w:lang w:val="es-CR" w:eastAsia="es-ES"/>
        </w:rPr>
      </w:pPr>
    </w:p>
    <w:p w14:paraId="122C9E1A" w14:textId="77777777" w:rsidR="006A44A5" w:rsidRPr="00262A68" w:rsidRDefault="006A44A5" w:rsidP="00916685">
      <w:pPr>
        <w:pStyle w:val="ListParagraph"/>
        <w:widowControl w:val="0"/>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 xml:space="preserve">Mediante la Circular 2890, de fecha </w:t>
      </w:r>
      <w:r w:rsidR="0068428F">
        <w:rPr>
          <w:rFonts w:ascii="Arial" w:hAnsi="Arial" w:cs="Arial"/>
          <w:sz w:val="22"/>
          <w:szCs w:val="22"/>
          <w:lang w:val="es-CR" w:eastAsia="es-ES"/>
        </w:rPr>
        <w:t>21 de octubre del 2016</w:t>
      </w:r>
      <w:r w:rsidRPr="00262A68">
        <w:rPr>
          <w:rFonts w:ascii="Arial" w:hAnsi="Arial" w:cs="Arial"/>
          <w:sz w:val="22"/>
          <w:szCs w:val="22"/>
          <w:lang w:val="es-CR" w:eastAsia="es-ES"/>
        </w:rPr>
        <w:t>, se consultó a los puestos de bolsa sobre los medios de pago que utilizan los inversionistas para cancelar las operaciones que se ejecutan por su cuenta; dando como resultado que hoy en día, el uso de transferencias de efectivo es generalizado, siendo el mecanismo más utilizado para realizar los pagos de operaciones con valores.</w:t>
      </w:r>
    </w:p>
    <w:p w14:paraId="122C9E1B" w14:textId="77777777" w:rsidR="006A44A5" w:rsidRPr="00257715" w:rsidRDefault="006A44A5" w:rsidP="00916685">
      <w:pPr>
        <w:widowControl w:val="0"/>
        <w:ind w:left="567" w:hanging="567"/>
        <w:jc w:val="both"/>
        <w:rPr>
          <w:rFonts w:ascii="Arial" w:hAnsi="Arial" w:cs="Arial"/>
          <w:sz w:val="22"/>
          <w:szCs w:val="22"/>
          <w:lang w:val="es-CR" w:eastAsia="es-ES"/>
        </w:rPr>
      </w:pPr>
    </w:p>
    <w:p w14:paraId="122C9E1C" w14:textId="77777777" w:rsidR="006A44A5" w:rsidRPr="00262A68" w:rsidRDefault="006A44A5" w:rsidP="00916685">
      <w:pPr>
        <w:pStyle w:val="ListParagraph"/>
        <w:widowControl w:val="0"/>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La administración del flujo de efectivo permite que las entidades de custodia establezcan controles sobre el riesgo crediticio de sus clientes, eliminando la dependencia de una tercera entidad y su riesgo operativo y crediticio, en un servicio cuya responsabilidad es exclusiva  del custodio/liquidador.</w:t>
      </w:r>
    </w:p>
    <w:p w14:paraId="122C9E1D" w14:textId="77777777" w:rsidR="006A44A5" w:rsidRDefault="006A44A5" w:rsidP="00916685">
      <w:pPr>
        <w:widowControl w:val="0"/>
        <w:ind w:left="567" w:hanging="567"/>
        <w:jc w:val="both"/>
        <w:rPr>
          <w:rFonts w:ascii="Arial" w:hAnsi="Arial" w:cs="Arial"/>
          <w:sz w:val="22"/>
          <w:szCs w:val="22"/>
          <w:lang w:val="es-CR" w:eastAsia="es-ES"/>
        </w:rPr>
      </w:pPr>
    </w:p>
    <w:p w14:paraId="122C9E1E" w14:textId="77777777" w:rsidR="006A44A5" w:rsidRPr="00262A68" w:rsidRDefault="006A44A5" w:rsidP="00916685">
      <w:pPr>
        <w:pStyle w:val="ListParagraph"/>
        <w:widowControl w:val="0"/>
        <w:numPr>
          <w:ilvl w:val="0"/>
          <w:numId w:val="20"/>
        </w:numPr>
        <w:ind w:left="567" w:hanging="567"/>
        <w:jc w:val="both"/>
        <w:rPr>
          <w:rFonts w:ascii="Arial" w:hAnsi="Arial" w:cs="Arial"/>
          <w:sz w:val="22"/>
          <w:szCs w:val="22"/>
          <w:lang w:val="es-CR" w:eastAsia="es-ES"/>
        </w:rPr>
      </w:pPr>
      <w:r w:rsidRPr="00262A68">
        <w:rPr>
          <w:rFonts w:ascii="Arial" w:hAnsi="Arial" w:cs="Arial"/>
          <w:sz w:val="22"/>
          <w:szCs w:val="22"/>
          <w:lang w:val="es-CR" w:eastAsia="es-ES"/>
        </w:rPr>
        <w:t xml:space="preserve">Tomando en cuenta lo anterior, se considera oportuno y razonable limitar el riesgo crediticio que introduce la administración del efectivo en cuentas corrientes de bancos comerciales en la gestión del efectivo asociado al servicio de custodia, y fortalecer el SCLV otorgando al inversionista la protección de </w:t>
      </w:r>
      <w:proofErr w:type="spellStart"/>
      <w:r w:rsidRPr="00262A68">
        <w:rPr>
          <w:rFonts w:ascii="Arial" w:hAnsi="Arial" w:cs="Arial"/>
          <w:sz w:val="22"/>
          <w:szCs w:val="22"/>
          <w:lang w:val="es-CR" w:eastAsia="es-ES"/>
        </w:rPr>
        <w:t>inembargabilidad</w:t>
      </w:r>
      <w:proofErr w:type="spellEnd"/>
      <w:r w:rsidRPr="00262A68">
        <w:rPr>
          <w:rFonts w:ascii="Arial" w:hAnsi="Arial" w:cs="Arial"/>
          <w:sz w:val="22"/>
          <w:szCs w:val="22"/>
          <w:lang w:val="es-CR" w:eastAsia="es-ES"/>
        </w:rPr>
        <w:t xml:space="preserve"> de fondos que se deriva de mantener el efectivo en las cuentas en los bancos centrales.  Asimismo, para minimizar los riesgos del SCLV, se considera que el efectivo que los puestos de bolsa custodian por cuenta de terceros se debe administrar en las cuentas que deben mantener en el SINPE del BCCR, tal como sucede ya con el efectivo que custodian los bancos autorizados para prestar este servicio.</w:t>
      </w:r>
    </w:p>
    <w:p w14:paraId="122C9E1F" w14:textId="77777777" w:rsidR="00260A9A" w:rsidRDefault="00260A9A" w:rsidP="00312625">
      <w:pPr>
        <w:rPr>
          <w:rFonts w:ascii="Arial" w:hAnsi="Arial" w:cs="Arial"/>
          <w:sz w:val="22"/>
          <w:szCs w:val="22"/>
          <w:lang w:val="es-CR" w:eastAsia="es-ES"/>
        </w:rPr>
      </w:pPr>
    </w:p>
    <w:p w14:paraId="122C9E20" w14:textId="77777777" w:rsidR="004B1FD7" w:rsidRPr="00D72F2B" w:rsidRDefault="004B1FD7" w:rsidP="00636145">
      <w:pPr>
        <w:widowControl w:val="0"/>
        <w:tabs>
          <w:tab w:val="left" w:pos="567"/>
        </w:tabs>
        <w:spacing w:line="276" w:lineRule="auto"/>
        <w:jc w:val="both"/>
        <w:rPr>
          <w:rFonts w:ascii="Arial" w:hAnsi="Arial" w:cs="Arial"/>
          <w:b/>
          <w:sz w:val="22"/>
          <w:szCs w:val="22"/>
          <w:lang w:val="es-CR" w:eastAsia="es-ES"/>
        </w:rPr>
      </w:pPr>
      <w:r w:rsidRPr="00D72F2B">
        <w:rPr>
          <w:rFonts w:ascii="Arial" w:hAnsi="Arial" w:cs="Arial"/>
          <w:b/>
          <w:sz w:val="22"/>
          <w:szCs w:val="22"/>
          <w:lang w:val="es-CR" w:eastAsia="es-ES"/>
        </w:rPr>
        <w:t xml:space="preserve">Por tanto dispone el presente </w:t>
      </w:r>
      <w:r w:rsidR="00916685">
        <w:rPr>
          <w:rFonts w:ascii="Arial" w:hAnsi="Arial" w:cs="Arial"/>
          <w:b/>
          <w:sz w:val="22"/>
          <w:szCs w:val="22"/>
          <w:lang w:val="es-CR" w:eastAsia="es-ES"/>
        </w:rPr>
        <w:t>A</w:t>
      </w:r>
      <w:r w:rsidRPr="00D72F2B">
        <w:rPr>
          <w:rFonts w:ascii="Arial" w:hAnsi="Arial" w:cs="Arial"/>
          <w:b/>
          <w:sz w:val="22"/>
          <w:szCs w:val="22"/>
          <w:lang w:val="es-CR" w:eastAsia="es-ES"/>
        </w:rPr>
        <w:t>cuerdo:</w:t>
      </w:r>
    </w:p>
    <w:p w14:paraId="122C9E21" w14:textId="77777777" w:rsidR="004B1FD7" w:rsidRPr="00D72F2B" w:rsidRDefault="004B1FD7" w:rsidP="00B754C6">
      <w:pPr>
        <w:jc w:val="center"/>
        <w:rPr>
          <w:rFonts w:ascii="Arial" w:hAnsi="Arial" w:cs="Arial"/>
          <w:sz w:val="22"/>
          <w:szCs w:val="22"/>
          <w:lang w:val="es-CR" w:eastAsia="es-ES"/>
        </w:rPr>
      </w:pPr>
    </w:p>
    <w:p w14:paraId="122C9E22" w14:textId="77777777" w:rsidR="00F9609A" w:rsidRPr="00B74B29" w:rsidRDefault="00D91479" w:rsidP="00B754C6">
      <w:pPr>
        <w:widowControl w:val="0"/>
        <w:jc w:val="center"/>
        <w:rPr>
          <w:rFonts w:ascii="Arial" w:hAnsi="Arial" w:cs="Arial"/>
          <w:b/>
          <w:sz w:val="22"/>
          <w:szCs w:val="22"/>
          <w:lang w:val="es-CR" w:eastAsia="es-ES"/>
        </w:rPr>
      </w:pPr>
      <w:r w:rsidRPr="009C29BA">
        <w:rPr>
          <w:rFonts w:ascii="Arial" w:hAnsi="Arial" w:cs="Arial"/>
          <w:b/>
          <w:sz w:val="22"/>
          <w:szCs w:val="22"/>
          <w:lang w:val="es-CR" w:eastAsia="es-ES"/>
        </w:rPr>
        <w:t>SGV-A-</w:t>
      </w:r>
      <w:r>
        <w:rPr>
          <w:rFonts w:ascii="Arial" w:hAnsi="Arial" w:cs="Arial"/>
          <w:b/>
          <w:sz w:val="22"/>
          <w:szCs w:val="22"/>
          <w:lang w:val="es-CR" w:eastAsia="es-ES"/>
        </w:rPr>
        <w:t>224.</w:t>
      </w:r>
      <w:r w:rsidRPr="009C29BA">
        <w:rPr>
          <w:rFonts w:ascii="Arial" w:hAnsi="Arial" w:cs="Arial"/>
          <w:b/>
          <w:sz w:val="22"/>
          <w:szCs w:val="22"/>
          <w:lang w:val="es-CR" w:eastAsia="es-ES"/>
        </w:rPr>
        <w:t xml:space="preserve"> ACUERDO PARA </w:t>
      </w:r>
      <w:r w:rsidRPr="00257715">
        <w:rPr>
          <w:rFonts w:ascii="Arial" w:hAnsi="Arial" w:cs="Arial"/>
          <w:b/>
          <w:sz w:val="22"/>
          <w:szCs w:val="22"/>
          <w:lang w:val="es-CR" w:eastAsia="es-ES"/>
        </w:rPr>
        <w:t xml:space="preserve">LA ADMINISTRACIÓN DEL EFECTIVO </w:t>
      </w:r>
      <w:r>
        <w:rPr>
          <w:rFonts w:ascii="Arial" w:hAnsi="Arial" w:cs="Arial"/>
          <w:b/>
          <w:sz w:val="22"/>
          <w:szCs w:val="22"/>
          <w:lang w:val="es-CR" w:eastAsia="es-ES"/>
        </w:rPr>
        <w:t xml:space="preserve">EN CUSTODIA </w:t>
      </w:r>
      <w:r w:rsidRPr="00257715">
        <w:rPr>
          <w:rFonts w:ascii="Arial" w:hAnsi="Arial" w:cs="Arial"/>
          <w:b/>
          <w:sz w:val="22"/>
          <w:szCs w:val="22"/>
          <w:lang w:val="es-CR" w:eastAsia="es-ES"/>
        </w:rPr>
        <w:t xml:space="preserve">DESTINADO AL PAGO DE LAS OBLIGACIONES QUE SE ASUMEN CON EL SISTEMA DE COMPENSACIÓN Y LIQUIDACIÓN </w:t>
      </w:r>
      <w:r>
        <w:rPr>
          <w:rFonts w:ascii="Arial" w:hAnsi="Arial" w:cs="Arial"/>
          <w:b/>
          <w:sz w:val="22"/>
          <w:szCs w:val="22"/>
          <w:lang w:val="es-CR" w:eastAsia="es-ES"/>
        </w:rPr>
        <w:t xml:space="preserve">Y </w:t>
      </w:r>
      <w:r w:rsidRPr="00257715">
        <w:rPr>
          <w:rFonts w:ascii="Arial" w:hAnsi="Arial" w:cs="Arial"/>
          <w:b/>
          <w:sz w:val="22"/>
          <w:szCs w:val="22"/>
          <w:lang w:val="es-CR" w:eastAsia="es-ES"/>
        </w:rPr>
        <w:t>QUE LOS MIEMBROS LIQUIDADORES DEBEN</w:t>
      </w:r>
      <w:r>
        <w:rPr>
          <w:rFonts w:ascii="Arial" w:hAnsi="Arial" w:cs="Arial"/>
          <w:b/>
          <w:sz w:val="22"/>
          <w:szCs w:val="22"/>
          <w:lang w:val="es-CR" w:eastAsia="es-ES"/>
        </w:rPr>
        <w:t xml:space="preserve"> </w:t>
      </w:r>
      <w:r w:rsidRPr="00257715">
        <w:rPr>
          <w:rFonts w:ascii="Arial" w:hAnsi="Arial" w:cs="Arial"/>
          <w:b/>
          <w:sz w:val="22"/>
          <w:szCs w:val="22"/>
          <w:lang w:val="es-CR" w:eastAsia="es-ES"/>
        </w:rPr>
        <w:t xml:space="preserve">MANTENER EN LAS CUENTAS DE RESERVA </w:t>
      </w:r>
      <w:r>
        <w:rPr>
          <w:rFonts w:ascii="Arial" w:hAnsi="Arial" w:cs="Arial"/>
          <w:b/>
          <w:sz w:val="22"/>
          <w:szCs w:val="22"/>
          <w:lang w:val="es-CR" w:eastAsia="es-ES"/>
        </w:rPr>
        <w:t>D</w:t>
      </w:r>
      <w:r w:rsidRPr="00257715">
        <w:rPr>
          <w:rFonts w:ascii="Arial" w:hAnsi="Arial" w:cs="Arial"/>
          <w:b/>
          <w:sz w:val="22"/>
          <w:szCs w:val="22"/>
          <w:lang w:val="es-CR" w:eastAsia="es-ES"/>
        </w:rPr>
        <w:t>EL SISTEMA NACIONAL DE PAGOS ELECTRÓNICOS (SINPE) DEL BANCO CENTRAL DE COSTA RICA</w:t>
      </w:r>
    </w:p>
    <w:p w14:paraId="122C9E23" w14:textId="77777777" w:rsidR="00B02CB4" w:rsidRPr="00D72F2B" w:rsidRDefault="00B02CB4" w:rsidP="00312625">
      <w:pPr>
        <w:rPr>
          <w:rFonts w:ascii="Arial" w:hAnsi="Arial" w:cs="Arial"/>
          <w:sz w:val="22"/>
          <w:szCs w:val="22"/>
          <w:lang w:val="es-CR" w:eastAsia="es-ES"/>
        </w:rPr>
      </w:pPr>
    </w:p>
    <w:p w14:paraId="122C9E24" w14:textId="77777777" w:rsidR="00B02CB4" w:rsidRPr="00D72F2B" w:rsidRDefault="00B02CB4" w:rsidP="00636145">
      <w:pPr>
        <w:spacing w:after="160" w:line="276" w:lineRule="auto"/>
        <w:jc w:val="both"/>
        <w:rPr>
          <w:rFonts w:ascii="Arial" w:hAnsi="Arial" w:cs="Arial"/>
          <w:b/>
          <w:bCs/>
          <w:sz w:val="22"/>
          <w:szCs w:val="22"/>
          <w:lang w:val="es-CR"/>
        </w:rPr>
      </w:pPr>
      <w:r w:rsidRPr="00D72F2B">
        <w:rPr>
          <w:rFonts w:ascii="Arial" w:hAnsi="Arial" w:cs="Arial"/>
          <w:b/>
          <w:bCs/>
          <w:sz w:val="22"/>
          <w:szCs w:val="22"/>
          <w:lang w:val="es-CR"/>
        </w:rPr>
        <w:t>Artículo 1. Objeto</w:t>
      </w:r>
    </w:p>
    <w:p w14:paraId="122C9E25" w14:textId="77777777" w:rsidR="00982BCA" w:rsidRPr="002B3BD6" w:rsidRDefault="00B02CB4" w:rsidP="00636145">
      <w:pPr>
        <w:spacing w:after="160" w:line="276" w:lineRule="auto"/>
        <w:jc w:val="both"/>
        <w:rPr>
          <w:rFonts w:ascii="Arial" w:hAnsi="Arial" w:cs="Arial"/>
          <w:b/>
          <w:bCs/>
          <w:sz w:val="22"/>
          <w:szCs w:val="22"/>
          <w:lang w:val="es-CR"/>
        </w:rPr>
      </w:pPr>
      <w:r w:rsidRPr="00D72F2B">
        <w:rPr>
          <w:rFonts w:ascii="Arial" w:hAnsi="Arial" w:cs="Arial"/>
          <w:sz w:val="22"/>
          <w:szCs w:val="22"/>
          <w:lang w:val="es-CR"/>
        </w:rPr>
        <w:t>El presente Acuerdo tiene como propósito establ</w:t>
      </w:r>
      <w:r w:rsidR="009143D1" w:rsidRPr="00D72F2B">
        <w:rPr>
          <w:rFonts w:ascii="Arial" w:hAnsi="Arial" w:cs="Arial"/>
          <w:sz w:val="22"/>
          <w:szCs w:val="22"/>
          <w:lang w:val="es-CR"/>
        </w:rPr>
        <w:t>ecer las disposiciones normativas sobre</w:t>
      </w:r>
      <w:r w:rsidR="0055440D" w:rsidRPr="00D72F2B">
        <w:rPr>
          <w:rFonts w:ascii="Arial" w:hAnsi="Arial" w:cs="Arial"/>
          <w:sz w:val="22"/>
          <w:szCs w:val="22"/>
          <w:lang w:val="es-CR"/>
        </w:rPr>
        <w:t xml:space="preserve"> </w:t>
      </w:r>
      <w:r w:rsidR="003416A1">
        <w:rPr>
          <w:rFonts w:ascii="Arial" w:hAnsi="Arial" w:cs="Arial"/>
          <w:sz w:val="22"/>
          <w:szCs w:val="22"/>
          <w:lang w:val="es-CR"/>
        </w:rPr>
        <w:t>la administración del efectivo relacionado a la actividad de custodia</w:t>
      </w:r>
      <w:r w:rsidR="001E5FB1">
        <w:rPr>
          <w:rFonts w:ascii="Arial" w:hAnsi="Arial" w:cs="Arial"/>
          <w:sz w:val="22"/>
          <w:szCs w:val="22"/>
          <w:lang w:val="es-CR"/>
        </w:rPr>
        <w:t>.</w:t>
      </w:r>
    </w:p>
    <w:p w14:paraId="122C9E27" w14:textId="77777777" w:rsidR="00002585" w:rsidRPr="00D72F2B" w:rsidRDefault="00002585" w:rsidP="00636145">
      <w:pPr>
        <w:spacing w:after="160" w:line="276" w:lineRule="auto"/>
        <w:jc w:val="both"/>
        <w:rPr>
          <w:rFonts w:ascii="Arial" w:hAnsi="Arial" w:cs="Arial"/>
          <w:b/>
          <w:bCs/>
          <w:sz w:val="22"/>
          <w:szCs w:val="22"/>
          <w:lang w:val="es-CR"/>
        </w:rPr>
      </w:pPr>
      <w:bookmarkStart w:id="0" w:name="_GoBack"/>
      <w:bookmarkEnd w:id="0"/>
      <w:r w:rsidRPr="002B3BD6">
        <w:rPr>
          <w:rFonts w:ascii="Arial" w:hAnsi="Arial" w:cs="Arial"/>
          <w:b/>
          <w:bCs/>
          <w:sz w:val="22"/>
          <w:szCs w:val="22"/>
          <w:lang w:val="es-CR"/>
        </w:rPr>
        <w:t xml:space="preserve">Artículo 2. </w:t>
      </w:r>
      <w:r w:rsidR="006C10BD">
        <w:rPr>
          <w:rFonts w:ascii="Arial" w:hAnsi="Arial" w:cs="Arial"/>
          <w:b/>
          <w:bCs/>
          <w:sz w:val="22"/>
          <w:szCs w:val="22"/>
          <w:lang w:val="es-CR"/>
        </w:rPr>
        <w:t>Administración del efectivo</w:t>
      </w:r>
    </w:p>
    <w:p w14:paraId="122C9E28" w14:textId="77777777" w:rsidR="006A1766" w:rsidRPr="00B754C6" w:rsidRDefault="006C10BD" w:rsidP="00B754C6">
      <w:pPr>
        <w:spacing w:line="276" w:lineRule="auto"/>
        <w:jc w:val="both"/>
        <w:rPr>
          <w:rFonts w:ascii="Arial" w:hAnsi="Arial" w:cs="Arial"/>
          <w:b/>
          <w:bCs/>
          <w:sz w:val="22"/>
          <w:szCs w:val="22"/>
          <w:lang w:val="es-CR"/>
        </w:rPr>
      </w:pPr>
      <w:r>
        <w:rPr>
          <w:rFonts w:ascii="Arial" w:hAnsi="Arial" w:cs="Arial"/>
          <w:sz w:val="22"/>
          <w:szCs w:val="22"/>
          <w:lang w:val="es-CR"/>
        </w:rPr>
        <w:t xml:space="preserve">El efectivo </w:t>
      </w:r>
      <w:r w:rsidR="00B075BD">
        <w:rPr>
          <w:rFonts w:ascii="Arial" w:hAnsi="Arial" w:cs="Arial"/>
          <w:sz w:val="22"/>
          <w:szCs w:val="22"/>
          <w:lang w:val="es-CR"/>
        </w:rPr>
        <w:t>custodiado por cuenta de clientes</w:t>
      </w:r>
      <w:r>
        <w:rPr>
          <w:rFonts w:ascii="Arial" w:hAnsi="Arial" w:cs="Arial"/>
          <w:sz w:val="22"/>
          <w:szCs w:val="22"/>
          <w:lang w:val="es-CR"/>
        </w:rPr>
        <w:t xml:space="preserve"> debe ser mantenido en las cuentas </w:t>
      </w:r>
      <w:r w:rsidR="00F6296D">
        <w:rPr>
          <w:rFonts w:ascii="Arial" w:hAnsi="Arial" w:cs="Arial"/>
          <w:sz w:val="22"/>
          <w:szCs w:val="22"/>
          <w:lang w:val="es-CR"/>
        </w:rPr>
        <w:t xml:space="preserve">de reserva en el Banco Central de Costa Rica </w:t>
      </w:r>
      <w:r w:rsidR="00C17B13">
        <w:rPr>
          <w:rFonts w:ascii="Arial" w:hAnsi="Arial" w:cs="Arial"/>
          <w:sz w:val="22"/>
          <w:szCs w:val="22"/>
          <w:lang w:val="es-CR"/>
        </w:rPr>
        <w:t xml:space="preserve">pertenecientes al custodio </w:t>
      </w:r>
      <w:r>
        <w:rPr>
          <w:rFonts w:ascii="Arial" w:hAnsi="Arial" w:cs="Arial"/>
          <w:sz w:val="22"/>
          <w:szCs w:val="22"/>
          <w:lang w:val="es-CR"/>
        </w:rPr>
        <w:t>que asuma la responsabilidad por la liquidación ante el Sistema de Compensación y Liquidación de Valores (SCLV)</w:t>
      </w:r>
      <w:r w:rsidR="006657B1">
        <w:rPr>
          <w:rFonts w:ascii="Arial" w:hAnsi="Arial" w:cs="Arial"/>
          <w:sz w:val="22"/>
          <w:szCs w:val="22"/>
          <w:lang w:val="es-CR"/>
        </w:rPr>
        <w:t xml:space="preserve">, </w:t>
      </w:r>
      <w:r w:rsidR="00312596">
        <w:rPr>
          <w:rFonts w:ascii="Arial" w:hAnsi="Arial" w:cs="Arial"/>
          <w:sz w:val="22"/>
          <w:szCs w:val="22"/>
          <w:lang w:val="es-CR"/>
        </w:rPr>
        <w:t xml:space="preserve">y debidamente individualizado a nombre de cada titular en los </w:t>
      </w:r>
      <w:r w:rsidR="00312596" w:rsidRPr="00B754C6">
        <w:rPr>
          <w:rFonts w:ascii="Arial" w:hAnsi="Arial" w:cs="Arial"/>
          <w:bCs/>
          <w:sz w:val="22"/>
          <w:szCs w:val="22"/>
          <w:lang w:val="es-CR"/>
        </w:rPr>
        <w:t>sistemas de registro internos del custodio.</w:t>
      </w:r>
    </w:p>
    <w:p w14:paraId="122C9E29" w14:textId="77777777" w:rsidR="006657B1" w:rsidRPr="00B754C6" w:rsidRDefault="006657B1" w:rsidP="00B754C6">
      <w:pPr>
        <w:spacing w:line="276" w:lineRule="auto"/>
        <w:jc w:val="both"/>
        <w:rPr>
          <w:rFonts w:ascii="Arial" w:hAnsi="Arial" w:cs="Arial"/>
          <w:b/>
          <w:bCs/>
          <w:sz w:val="22"/>
          <w:szCs w:val="22"/>
          <w:lang w:val="es-CR"/>
        </w:rPr>
      </w:pPr>
    </w:p>
    <w:p w14:paraId="122C9E2A" w14:textId="77777777" w:rsidR="00FA6690" w:rsidRPr="00D72F2B" w:rsidRDefault="007F6E72" w:rsidP="00636145">
      <w:pPr>
        <w:spacing w:after="160" w:line="276" w:lineRule="auto"/>
        <w:jc w:val="both"/>
        <w:rPr>
          <w:rFonts w:ascii="Arial" w:hAnsi="Arial" w:cs="Arial"/>
          <w:b/>
          <w:sz w:val="22"/>
          <w:szCs w:val="22"/>
          <w:lang w:val="es-CR"/>
        </w:rPr>
      </w:pPr>
      <w:r w:rsidRPr="00D72F2B">
        <w:rPr>
          <w:rFonts w:ascii="Arial" w:hAnsi="Arial" w:cs="Arial"/>
          <w:b/>
          <w:sz w:val="22"/>
          <w:szCs w:val="22"/>
          <w:lang w:val="es-CR"/>
        </w:rPr>
        <w:t xml:space="preserve">Artículo 3. </w:t>
      </w:r>
      <w:r w:rsidR="006657B1">
        <w:rPr>
          <w:rFonts w:ascii="Arial" w:hAnsi="Arial" w:cs="Arial"/>
          <w:b/>
          <w:sz w:val="22"/>
          <w:szCs w:val="22"/>
          <w:lang w:val="es-CR"/>
        </w:rPr>
        <w:t>Confirmación de operaciones</w:t>
      </w:r>
    </w:p>
    <w:p w14:paraId="122C9E2B" w14:textId="77777777" w:rsidR="0055440D" w:rsidRPr="00582E1C" w:rsidRDefault="00564D06" w:rsidP="001862D4">
      <w:pPr>
        <w:spacing w:line="276" w:lineRule="auto"/>
        <w:jc w:val="both"/>
        <w:rPr>
          <w:rFonts w:ascii="Arial" w:hAnsi="Arial" w:cs="Arial"/>
          <w:sz w:val="22"/>
          <w:szCs w:val="22"/>
          <w:lang w:val="es-CR"/>
        </w:rPr>
      </w:pPr>
      <w:r>
        <w:rPr>
          <w:rFonts w:ascii="Arial" w:hAnsi="Arial" w:cs="Arial"/>
          <w:sz w:val="22"/>
          <w:szCs w:val="22"/>
          <w:lang w:val="es-CR"/>
        </w:rPr>
        <w:t>El custodio debe estar en capacidad de liquidar todas las operaciones confirmadas</w:t>
      </w:r>
      <w:r w:rsidR="00301278">
        <w:rPr>
          <w:rFonts w:ascii="Arial" w:hAnsi="Arial" w:cs="Arial"/>
          <w:sz w:val="22"/>
          <w:szCs w:val="22"/>
          <w:lang w:val="es-CR"/>
        </w:rPr>
        <w:t xml:space="preserve"> en la fecha de liquidación de las operaciones.</w:t>
      </w:r>
      <w:r>
        <w:rPr>
          <w:rFonts w:ascii="Arial" w:hAnsi="Arial" w:cs="Arial"/>
          <w:sz w:val="22"/>
          <w:szCs w:val="22"/>
          <w:lang w:val="es-CR"/>
        </w:rPr>
        <w:t xml:space="preserve"> </w:t>
      </w:r>
      <w:r w:rsidR="00301278">
        <w:rPr>
          <w:rFonts w:ascii="Arial" w:hAnsi="Arial" w:cs="Arial"/>
          <w:sz w:val="22"/>
          <w:szCs w:val="22"/>
          <w:lang w:val="es-CR"/>
        </w:rPr>
        <w:t>L</w:t>
      </w:r>
      <w:r w:rsidR="006657B1">
        <w:rPr>
          <w:rFonts w:ascii="Arial" w:hAnsi="Arial" w:cs="Arial"/>
          <w:sz w:val="22"/>
          <w:szCs w:val="22"/>
          <w:lang w:val="es-CR"/>
        </w:rPr>
        <w:t xml:space="preserve">os recursos correspondientes a las </w:t>
      </w:r>
      <w:r w:rsidR="00EA0ADB">
        <w:rPr>
          <w:rFonts w:ascii="Arial" w:hAnsi="Arial" w:cs="Arial"/>
          <w:sz w:val="22"/>
          <w:szCs w:val="22"/>
          <w:lang w:val="es-CR"/>
        </w:rPr>
        <w:t xml:space="preserve">obligaciones de pago por </w:t>
      </w:r>
      <w:r w:rsidR="006657B1">
        <w:rPr>
          <w:rFonts w:ascii="Arial" w:hAnsi="Arial" w:cs="Arial"/>
          <w:sz w:val="22"/>
          <w:szCs w:val="22"/>
          <w:lang w:val="es-CR"/>
        </w:rPr>
        <w:t xml:space="preserve">operaciones confirmadas deben mantenerse depositados en las cuentas </w:t>
      </w:r>
      <w:r w:rsidR="00C17B13">
        <w:rPr>
          <w:rFonts w:ascii="Arial" w:hAnsi="Arial" w:cs="Arial"/>
          <w:sz w:val="22"/>
          <w:szCs w:val="22"/>
          <w:lang w:val="es-CR"/>
        </w:rPr>
        <w:t>de reserva del custodio en el BCCR</w:t>
      </w:r>
      <w:r w:rsidR="006657B1">
        <w:rPr>
          <w:rFonts w:ascii="Arial" w:hAnsi="Arial" w:cs="Arial"/>
          <w:sz w:val="22"/>
          <w:szCs w:val="22"/>
          <w:lang w:val="es-CR"/>
        </w:rPr>
        <w:t xml:space="preserve"> de forma que no existan saldos al descubierto</w:t>
      </w:r>
      <w:r w:rsidR="00F6296D">
        <w:rPr>
          <w:rFonts w:ascii="Arial" w:hAnsi="Arial" w:cs="Arial"/>
          <w:sz w:val="22"/>
          <w:szCs w:val="22"/>
          <w:lang w:val="es-CR"/>
        </w:rPr>
        <w:t>.</w:t>
      </w:r>
      <w:r w:rsidR="00C17B13">
        <w:rPr>
          <w:rFonts w:ascii="Arial" w:hAnsi="Arial" w:cs="Arial"/>
          <w:sz w:val="22"/>
          <w:szCs w:val="22"/>
          <w:lang w:val="es-CR"/>
        </w:rPr>
        <w:t xml:space="preserve"> </w:t>
      </w:r>
      <w:r w:rsidR="00F6296D">
        <w:rPr>
          <w:rFonts w:ascii="Arial" w:hAnsi="Arial" w:cs="Arial"/>
          <w:sz w:val="22"/>
          <w:szCs w:val="22"/>
          <w:lang w:val="es-CR"/>
        </w:rPr>
        <w:t>C</w:t>
      </w:r>
      <w:r w:rsidR="006657B1">
        <w:rPr>
          <w:rFonts w:ascii="Arial" w:hAnsi="Arial" w:cs="Arial"/>
          <w:sz w:val="22"/>
          <w:szCs w:val="22"/>
          <w:lang w:val="es-CR"/>
        </w:rPr>
        <w:t>ada entidad de custodia p</w:t>
      </w:r>
      <w:r>
        <w:rPr>
          <w:rFonts w:ascii="Arial" w:hAnsi="Arial" w:cs="Arial"/>
          <w:sz w:val="22"/>
          <w:szCs w:val="22"/>
          <w:lang w:val="es-CR"/>
        </w:rPr>
        <w:t>uede utilizar recursos propios para financiar a sus clientes</w:t>
      </w:r>
      <w:r w:rsidR="00A051A4">
        <w:rPr>
          <w:rFonts w:ascii="Arial" w:hAnsi="Arial" w:cs="Arial"/>
          <w:sz w:val="22"/>
          <w:szCs w:val="22"/>
          <w:lang w:val="es-CR"/>
        </w:rPr>
        <w:t xml:space="preserve"> y cumplir con </w:t>
      </w:r>
      <w:r w:rsidR="00301278">
        <w:rPr>
          <w:rFonts w:ascii="Arial" w:hAnsi="Arial" w:cs="Arial"/>
          <w:sz w:val="22"/>
          <w:szCs w:val="22"/>
          <w:lang w:val="es-CR"/>
        </w:rPr>
        <w:t xml:space="preserve">la liquidación de </w:t>
      </w:r>
      <w:r w:rsidR="00A051A4">
        <w:rPr>
          <w:rFonts w:ascii="Arial" w:hAnsi="Arial" w:cs="Arial"/>
          <w:sz w:val="22"/>
          <w:szCs w:val="22"/>
          <w:lang w:val="es-CR"/>
        </w:rPr>
        <w:t>las operaciones confirmadas</w:t>
      </w:r>
      <w:r w:rsidR="006657B1">
        <w:rPr>
          <w:rFonts w:ascii="Arial" w:hAnsi="Arial" w:cs="Arial"/>
          <w:sz w:val="22"/>
          <w:szCs w:val="22"/>
          <w:lang w:val="es-CR"/>
        </w:rPr>
        <w:t xml:space="preserve">, según </w:t>
      </w:r>
      <w:r w:rsidR="00A051A4">
        <w:rPr>
          <w:rFonts w:ascii="Arial" w:hAnsi="Arial" w:cs="Arial"/>
          <w:sz w:val="22"/>
          <w:szCs w:val="22"/>
          <w:lang w:val="es-CR"/>
        </w:rPr>
        <w:t xml:space="preserve">lo dispuesto en las regulaciones aplicables y a </w:t>
      </w:r>
      <w:r w:rsidR="006657B1">
        <w:rPr>
          <w:rFonts w:ascii="Arial" w:hAnsi="Arial" w:cs="Arial"/>
          <w:sz w:val="22"/>
          <w:szCs w:val="22"/>
          <w:lang w:val="es-CR"/>
        </w:rPr>
        <w:t>sus políticas de crédito.</w:t>
      </w:r>
    </w:p>
    <w:p w14:paraId="122C9E2C" w14:textId="77777777" w:rsidR="006657B1" w:rsidRDefault="006657B1" w:rsidP="00636145">
      <w:pPr>
        <w:spacing w:line="276" w:lineRule="auto"/>
        <w:jc w:val="both"/>
        <w:rPr>
          <w:rFonts w:ascii="Arial" w:hAnsi="Arial" w:cs="Arial"/>
          <w:b/>
          <w:bCs/>
          <w:sz w:val="22"/>
          <w:szCs w:val="22"/>
          <w:lang w:val="es-CR"/>
        </w:rPr>
      </w:pPr>
    </w:p>
    <w:p w14:paraId="122C9E2D" w14:textId="77777777" w:rsidR="000342C4" w:rsidRPr="00D72F2B" w:rsidRDefault="00906DDD" w:rsidP="00636145">
      <w:pPr>
        <w:spacing w:line="276" w:lineRule="auto"/>
        <w:jc w:val="both"/>
        <w:rPr>
          <w:rFonts w:ascii="Arial" w:hAnsi="Arial" w:cs="Arial"/>
          <w:b/>
          <w:bCs/>
          <w:sz w:val="22"/>
          <w:szCs w:val="22"/>
          <w:lang w:val="es-CR"/>
        </w:rPr>
      </w:pPr>
      <w:r w:rsidRPr="00D72F2B">
        <w:rPr>
          <w:rFonts w:ascii="Arial" w:hAnsi="Arial" w:cs="Arial"/>
          <w:b/>
          <w:bCs/>
          <w:sz w:val="22"/>
          <w:szCs w:val="22"/>
          <w:lang w:val="es-CR"/>
        </w:rPr>
        <w:t>Artículo 4</w:t>
      </w:r>
      <w:r w:rsidR="000342C4" w:rsidRPr="00D72F2B">
        <w:rPr>
          <w:rFonts w:ascii="Arial" w:hAnsi="Arial" w:cs="Arial"/>
          <w:b/>
          <w:bCs/>
          <w:sz w:val="22"/>
          <w:szCs w:val="22"/>
          <w:lang w:val="es-CR"/>
        </w:rPr>
        <w:t>. Vigencia</w:t>
      </w:r>
    </w:p>
    <w:p w14:paraId="122C9E2E" w14:textId="77777777" w:rsidR="000342C4" w:rsidRPr="00D72F2B" w:rsidRDefault="00D72F2B" w:rsidP="00636145">
      <w:pPr>
        <w:spacing w:line="276" w:lineRule="auto"/>
        <w:jc w:val="both"/>
        <w:rPr>
          <w:rFonts w:ascii="Arial" w:hAnsi="Arial" w:cs="Arial"/>
          <w:bCs/>
          <w:sz w:val="22"/>
          <w:szCs w:val="22"/>
          <w:lang w:val="es-CR"/>
        </w:rPr>
      </w:pPr>
      <w:r>
        <w:rPr>
          <w:rFonts w:ascii="Arial" w:hAnsi="Arial" w:cs="Arial"/>
          <w:bCs/>
          <w:sz w:val="22"/>
          <w:szCs w:val="22"/>
          <w:lang w:val="es-CR"/>
        </w:rPr>
        <w:t xml:space="preserve">Rige a partir del </w:t>
      </w:r>
      <w:r w:rsidR="001862D4">
        <w:rPr>
          <w:rFonts w:ascii="Arial" w:hAnsi="Arial" w:cs="Arial"/>
          <w:bCs/>
          <w:sz w:val="22"/>
          <w:szCs w:val="22"/>
          <w:lang w:val="es-CR"/>
        </w:rPr>
        <w:t>1</w:t>
      </w:r>
      <w:r>
        <w:rPr>
          <w:rFonts w:ascii="Arial" w:hAnsi="Arial" w:cs="Arial"/>
          <w:bCs/>
          <w:sz w:val="22"/>
          <w:szCs w:val="22"/>
          <w:lang w:val="es-CR"/>
        </w:rPr>
        <w:t xml:space="preserve"> de </w:t>
      </w:r>
      <w:r w:rsidR="00301278">
        <w:rPr>
          <w:rFonts w:ascii="Arial" w:hAnsi="Arial" w:cs="Arial"/>
          <w:bCs/>
          <w:sz w:val="22"/>
          <w:szCs w:val="22"/>
          <w:lang w:val="es-CR"/>
        </w:rPr>
        <w:t>junio</w:t>
      </w:r>
      <w:r>
        <w:rPr>
          <w:rFonts w:ascii="Arial" w:hAnsi="Arial" w:cs="Arial"/>
          <w:bCs/>
          <w:sz w:val="22"/>
          <w:szCs w:val="22"/>
          <w:lang w:val="es-CR"/>
        </w:rPr>
        <w:t xml:space="preserve"> </w:t>
      </w:r>
      <w:r w:rsidR="002B3BD6">
        <w:rPr>
          <w:rFonts w:ascii="Arial" w:hAnsi="Arial" w:cs="Arial"/>
          <w:bCs/>
          <w:sz w:val="22"/>
          <w:szCs w:val="22"/>
          <w:lang w:val="es-CR"/>
        </w:rPr>
        <w:t>de</w:t>
      </w:r>
      <w:r>
        <w:rPr>
          <w:rFonts w:ascii="Arial" w:hAnsi="Arial" w:cs="Arial"/>
          <w:bCs/>
          <w:sz w:val="22"/>
          <w:szCs w:val="22"/>
          <w:lang w:val="es-CR"/>
        </w:rPr>
        <w:t xml:space="preserve"> 2017.</w:t>
      </w:r>
    </w:p>
    <w:p w14:paraId="122C9E2F" w14:textId="77777777" w:rsidR="000342C4" w:rsidRPr="00D72F2B" w:rsidRDefault="000342C4" w:rsidP="00636145">
      <w:pPr>
        <w:spacing w:line="276" w:lineRule="auto"/>
        <w:jc w:val="both"/>
        <w:rPr>
          <w:rFonts w:ascii="Arial" w:hAnsi="Arial" w:cs="Arial"/>
          <w:bCs/>
          <w:sz w:val="22"/>
          <w:szCs w:val="22"/>
          <w:lang w:val="es-CR"/>
        </w:rPr>
      </w:pPr>
    </w:p>
    <w:p w14:paraId="122C9E30" w14:textId="77777777" w:rsidR="000342C4" w:rsidRPr="00D72F2B" w:rsidRDefault="000342C4" w:rsidP="00636145">
      <w:pPr>
        <w:spacing w:line="276" w:lineRule="auto"/>
        <w:jc w:val="both"/>
        <w:rPr>
          <w:rFonts w:ascii="Arial" w:hAnsi="Arial" w:cs="Arial"/>
          <w:b/>
          <w:bCs/>
          <w:sz w:val="22"/>
          <w:szCs w:val="22"/>
          <w:lang w:val="es-CR"/>
        </w:rPr>
      </w:pPr>
      <w:r w:rsidRPr="00D72F2B">
        <w:rPr>
          <w:rFonts w:ascii="Arial" w:hAnsi="Arial" w:cs="Arial"/>
          <w:b/>
          <w:bCs/>
          <w:sz w:val="22"/>
          <w:szCs w:val="22"/>
          <w:lang w:val="es-CR"/>
        </w:rPr>
        <w:t>Transitorio I</w:t>
      </w:r>
    </w:p>
    <w:p w14:paraId="122C9E31" w14:textId="77777777" w:rsidR="000342C4" w:rsidRDefault="000342C4" w:rsidP="00636145">
      <w:pPr>
        <w:spacing w:line="276" w:lineRule="auto"/>
        <w:jc w:val="both"/>
        <w:rPr>
          <w:rFonts w:ascii="Arial" w:hAnsi="Arial" w:cs="Arial"/>
          <w:bCs/>
          <w:sz w:val="22"/>
          <w:szCs w:val="22"/>
          <w:lang w:val="es-CR"/>
        </w:rPr>
      </w:pPr>
      <w:r w:rsidRPr="00D72F2B">
        <w:rPr>
          <w:rFonts w:ascii="Arial" w:hAnsi="Arial" w:cs="Arial"/>
          <w:bCs/>
          <w:sz w:val="22"/>
          <w:szCs w:val="22"/>
          <w:lang w:val="es-CR"/>
        </w:rPr>
        <w:t xml:space="preserve">Las entidades de custodia cuentan con </w:t>
      </w:r>
      <w:r w:rsidR="00301278">
        <w:rPr>
          <w:rFonts w:ascii="Arial" w:hAnsi="Arial" w:cs="Arial"/>
          <w:bCs/>
          <w:sz w:val="22"/>
          <w:szCs w:val="22"/>
          <w:lang w:val="es-CR"/>
        </w:rPr>
        <w:t>5</w:t>
      </w:r>
      <w:r w:rsidRPr="00D72F2B">
        <w:rPr>
          <w:rFonts w:ascii="Arial" w:hAnsi="Arial" w:cs="Arial"/>
          <w:bCs/>
          <w:sz w:val="22"/>
          <w:szCs w:val="22"/>
          <w:lang w:val="es-CR"/>
        </w:rPr>
        <w:t xml:space="preserve"> meses a partir de la entrada en vigencia del presente acuerdo para </w:t>
      </w:r>
      <w:r w:rsidR="00312596">
        <w:rPr>
          <w:rFonts w:ascii="Arial" w:hAnsi="Arial" w:cs="Arial"/>
          <w:bCs/>
          <w:sz w:val="22"/>
          <w:szCs w:val="22"/>
          <w:lang w:val="es-CR"/>
        </w:rPr>
        <w:t xml:space="preserve">adoptar las medidas necesarias para </w:t>
      </w:r>
      <w:r w:rsidRPr="00D72F2B">
        <w:rPr>
          <w:rFonts w:ascii="Arial" w:hAnsi="Arial" w:cs="Arial"/>
          <w:bCs/>
          <w:sz w:val="22"/>
          <w:szCs w:val="22"/>
          <w:lang w:val="es-CR"/>
        </w:rPr>
        <w:t>cumplir con las disposiciones establecidas.</w:t>
      </w:r>
    </w:p>
    <w:p w14:paraId="122C9E32" w14:textId="77777777" w:rsidR="00916685" w:rsidRDefault="00916685" w:rsidP="00636145">
      <w:pPr>
        <w:spacing w:line="276" w:lineRule="auto"/>
        <w:jc w:val="both"/>
        <w:rPr>
          <w:rFonts w:ascii="Arial" w:hAnsi="Arial" w:cs="Arial"/>
          <w:bCs/>
          <w:sz w:val="22"/>
          <w:szCs w:val="22"/>
          <w:lang w:val="es-CR"/>
        </w:rPr>
      </w:pPr>
    </w:p>
    <w:p w14:paraId="122C9E33" w14:textId="77777777" w:rsidR="00916685" w:rsidRPr="00FF3BFF" w:rsidRDefault="00916685" w:rsidP="00916685">
      <w:pPr>
        <w:spacing w:line="276" w:lineRule="auto"/>
        <w:rPr>
          <w:rFonts w:eastAsia="Calibri" w:cs="Arial"/>
          <w:sz w:val="22"/>
          <w:szCs w:val="22"/>
          <w:lang w:val="es-CR"/>
        </w:rPr>
      </w:pPr>
    </w:p>
    <w:p w14:paraId="122C9E34" w14:textId="77777777" w:rsidR="00916685" w:rsidRPr="00D72F2B" w:rsidRDefault="00916685" w:rsidP="00636145">
      <w:pPr>
        <w:spacing w:line="276" w:lineRule="auto"/>
        <w:jc w:val="both"/>
        <w:rPr>
          <w:rFonts w:ascii="Arial" w:hAnsi="Arial" w:cs="Arial"/>
          <w:bCs/>
          <w:sz w:val="22"/>
          <w:szCs w:val="22"/>
          <w:lang w:val="es-CR"/>
        </w:rPr>
      </w:pPr>
    </w:p>
    <w:p w14:paraId="122C9E35" w14:textId="77777777" w:rsidR="00906DDD" w:rsidRPr="00D72F2B" w:rsidRDefault="00906DDD" w:rsidP="00636145">
      <w:pPr>
        <w:spacing w:line="276" w:lineRule="auto"/>
        <w:jc w:val="both"/>
        <w:rPr>
          <w:rFonts w:ascii="Arial" w:hAnsi="Arial" w:cs="Arial"/>
          <w:bCs/>
          <w:sz w:val="22"/>
          <w:szCs w:val="22"/>
          <w:lang w:val="es-CR"/>
        </w:rPr>
      </w:pPr>
    </w:p>
    <w:sectPr w:rsidR="00906DDD" w:rsidRPr="00D72F2B" w:rsidSect="00B754C6">
      <w:headerReference w:type="default" r:id="rId11"/>
      <w:footerReference w:type="defaul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C9E38" w14:textId="77777777" w:rsidR="0065383E" w:rsidRDefault="0065383E" w:rsidP="00B02CB4">
      <w:r>
        <w:separator/>
      </w:r>
    </w:p>
  </w:endnote>
  <w:endnote w:type="continuationSeparator" w:id="0">
    <w:p w14:paraId="122C9E39" w14:textId="77777777" w:rsidR="0065383E" w:rsidRDefault="0065383E" w:rsidP="00B0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476478"/>
      <w:docPartObj>
        <w:docPartGallery w:val="Page Numbers (Bottom of Page)"/>
        <w:docPartUnique/>
      </w:docPartObj>
    </w:sdtPr>
    <w:sdtEndPr>
      <w:rPr>
        <w:rFonts w:ascii="Arial" w:hAnsi="Arial" w:cs="Arial"/>
        <w:color w:val="1B75BB"/>
      </w:rPr>
    </w:sdtEndPr>
    <w:sdtContent>
      <w:p w14:paraId="122C9E3D" w14:textId="77777777" w:rsidR="00B754C6" w:rsidRPr="00B754C6" w:rsidRDefault="00B754C6">
        <w:pPr>
          <w:pStyle w:val="Footer"/>
          <w:pBdr>
            <w:top w:val="single" w:sz="4" w:space="1" w:color="D9D9D9" w:themeColor="background1" w:themeShade="D9"/>
          </w:pBdr>
          <w:rPr>
            <w:rFonts w:ascii="Arial" w:hAnsi="Arial" w:cs="Arial"/>
            <w:color w:val="1B75BB"/>
          </w:rPr>
        </w:pPr>
        <w:r w:rsidRPr="00B754C6">
          <w:rPr>
            <w:rFonts w:ascii="Arial" w:hAnsi="Arial" w:cs="Arial"/>
            <w:color w:val="1B75BB"/>
          </w:rPr>
          <w:fldChar w:fldCharType="begin"/>
        </w:r>
        <w:r w:rsidRPr="00B754C6">
          <w:rPr>
            <w:rFonts w:ascii="Arial" w:hAnsi="Arial" w:cs="Arial"/>
            <w:color w:val="1B75BB"/>
          </w:rPr>
          <w:instrText xml:space="preserve"> PAGE   \* MERGEFORMAT </w:instrText>
        </w:r>
        <w:r w:rsidRPr="00B754C6">
          <w:rPr>
            <w:rFonts w:ascii="Arial" w:hAnsi="Arial" w:cs="Arial"/>
            <w:color w:val="1B75BB"/>
          </w:rPr>
          <w:fldChar w:fldCharType="separate"/>
        </w:r>
        <w:r w:rsidR="00FF3BFF">
          <w:rPr>
            <w:rFonts w:ascii="Arial" w:hAnsi="Arial" w:cs="Arial"/>
            <w:noProof/>
            <w:color w:val="1B75BB"/>
          </w:rPr>
          <w:t>3</w:t>
        </w:r>
        <w:r w:rsidRPr="00B754C6">
          <w:rPr>
            <w:rFonts w:ascii="Arial" w:hAnsi="Arial" w:cs="Arial"/>
            <w:color w:val="1B75BB"/>
          </w:rPr>
          <w:fldChar w:fldCharType="end"/>
        </w:r>
        <w:r w:rsidRPr="00B754C6">
          <w:rPr>
            <w:rFonts w:ascii="Arial" w:hAnsi="Arial" w:cs="Arial"/>
            <w:color w:val="1B75BB"/>
          </w:rPr>
          <w:t xml:space="preserve"> | </w:t>
        </w:r>
      </w:p>
    </w:sdtContent>
  </w:sdt>
  <w:p w14:paraId="122C9E3E" w14:textId="77777777" w:rsidR="00B754C6" w:rsidRDefault="00B75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C9E36" w14:textId="77777777" w:rsidR="0065383E" w:rsidRDefault="0065383E" w:rsidP="00B02CB4">
      <w:r>
        <w:separator/>
      </w:r>
    </w:p>
  </w:footnote>
  <w:footnote w:type="continuationSeparator" w:id="0">
    <w:p w14:paraId="122C9E37" w14:textId="77777777" w:rsidR="0065383E" w:rsidRDefault="0065383E" w:rsidP="00B02CB4">
      <w:r>
        <w:continuationSeparator/>
      </w:r>
    </w:p>
  </w:footnote>
  <w:footnote w:id="1">
    <w:p w14:paraId="3FAA2C32" w14:textId="7E6E4F6E" w:rsidR="00CB5A38" w:rsidRDefault="00D91479" w:rsidP="00CB5A38">
      <w:pPr>
        <w:pStyle w:val="NormalWeb"/>
        <w:jc w:val="both"/>
        <w:rPr>
          <w:rFonts w:ascii="Arial" w:hAnsi="Arial" w:cs="Arial"/>
          <w:color w:val="1F497D"/>
          <w:sz w:val="22"/>
          <w:szCs w:val="22"/>
        </w:rPr>
      </w:pPr>
      <w:r w:rsidRPr="00B754C6">
        <w:rPr>
          <w:rStyle w:val="FootnoteReference"/>
          <w:rFonts w:ascii="Arial" w:hAnsi="Arial" w:cs="Arial"/>
          <w:sz w:val="22"/>
          <w:szCs w:val="22"/>
        </w:rPr>
        <w:footnoteRef/>
      </w:r>
      <w:r w:rsidRPr="00B754C6">
        <w:rPr>
          <w:rFonts w:ascii="Arial" w:hAnsi="Arial" w:cs="Arial"/>
          <w:sz w:val="22"/>
          <w:szCs w:val="22"/>
        </w:rPr>
        <w:t xml:space="preserve"> </w:t>
      </w:r>
      <w:r w:rsidRPr="00B754C6">
        <w:rPr>
          <w:rFonts w:ascii="Arial" w:hAnsi="Arial" w:cs="Arial"/>
          <w:sz w:val="22"/>
          <w:szCs w:val="22"/>
          <w:lang w:eastAsia="es-ES"/>
        </w:rPr>
        <w:t>Superintendencia General de Valores.  Despacho del Superintendente, a las diecisiete horas del diez de mayo del dos mil diecisiete.</w:t>
      </w:r>
      <w:r w:rsidR="00CB5A38">
        <w:rPr>
          <w:rFonts w:ascii="Arial" w:hAnsi="Arial" w:cs="Arial"/>
          <w:sz w:val="22"/>
          <w:szCs w:val="22"/>
          <w:lang w:eastAsia="es-ES"/>
        </w:rPr>
        <w:t xml:space="preserve"> Publicado en el Diario Oficial La Gaceta No. </w:t>
      </w:r>
      <w:r w:rsidR="00CB5A38" w:rsidRPr="00CB5A38">
        <w:rPr>
          <w:rFonts w:ascii="Arial" w:hAnsi="Arial" w:cs="Arial"/>
          <w:sz w:val="22"/>
          <w:szCs w:val="22"/>
          <w:lang w:eastAsia="es-ES"/>
        </w:rPr>
        <w:t>126 del 04 de julio de 2017.</w:t>
      </w:r>
    </w:p>
    <w:p w14:paraId="122C9E43" w14:textId="3B931AF5" w:rsidR="00D91479" w:rsidRPr="00B754C6" w:rsidRDefault="00D91479" w:rsidP="00D91479">
      <w:pPr>
        <w:widowControl w:val="0"/>
        <w:jc w:val="both"/>
        <w:rPr>
          <w:rFonts w:ascii="Arial" w:hAnsi="Arial" w:cs="Arial"/>
          <w:sz w:val="22"/>
          <w:szCs w:val="22"/>
          <w:lang w:val="es-CR" w:eastAsia="es-ES"/>
        </w:rPr>
      </w:pPr>
    </w:p>
    <w:p w14:paraId="122C9E44" w14:textId="77777777" w:rsidR="00D91479" w:rsidRPr="00D91479" w:rsidRDefault="00D91479">
      <w:pPr>
        <w:pStyle w:val="FootnoteText"/>
        <w:rPr>
          <w:lang w:val="es-C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122C9E3A" w14:textId="77777777" w:rsidR="00916685" w:rsidRDefault="00916685" w:rsidP="00D91479">
        <w:pPr>
          <w:pStyle w:val="Header"/>
          <w:rPr>
            <w:b/>
            <w:bCs/>
          </w:rPr>
        </w:pPr>
      </w:p>
      <w:p w14:paraId="122C9E3B" w14:textId="77777777" w:rsidR="00916685" w:rsidRDefault="00D91479" w:rsidP="00D91479">
        <w:pPr>
          <w:pStyle w:val="Header"/>
          <w:jc w:val="right"/>
        </w:pPr>
        <w:r>
          <w:rPr>
            <w:noProof/>
            <w:lang w:val="es-CR" w:eastAsia="es-CR"/>
          </w:rPr>
          <w:drawing>
            <wp:inline distT="0" distB="0" distL="0" distR="0" wp14:anchorId="122C9E3F" wp14:editId="122C9E40">
              <wp:extent cx="1579245" cy="38989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389890"/>
                      </a:xfrm>
                      <a:prstGeom prst="rect">
                        <a:avLst/>
                      </a:prstGeom>
                      <a:noFill/>
                    </pic:spPr>
                  </pic:pic>
                </a:graphicData>
              </a:graphic>
            </wp:inline>
          </w:drawing>
        </w:r>
      </w:p>
    </w:sdtContent>
  </w:sdt>
  <w:p w14:paraId="122C9E3C" w14:textId="77777777" w:rsidR="003421B2" w:rsidRPr="00002585" w:rsidRDefault="00D91479" w:rsidP="00002585">
    <w:pPr>
      <w:pStyle w:val="Header"/>
    </w:pPr>
    <w:r>
      <w:rPr>
        <w:noProof/>
        <w:lang w:val="es-CR" w:eastAsia="es-CR"/>
      </w:rPr>
      <mc:AlternateContent>
        <mc:Choice Requires="wps">
          <w:drawing>
            <wp:anchor distT="4294967293" distB="4294967293" distL="114300" distR="114300" simplePos="0" relativeHeight="251659264" behindDoc="0" locked="0" layoutInCell="1" allowOverlap="1" wp14:anchorId="122C9E41" wp14:editId="0982CAF5">
              <wp:simplePos x="0" y="0"/>
              <wp:positionH relativeFrom="margin">
                <wp:align>right</wp:align>
              </wp:positionH>
              <wp:positionV relativeFrom="paragraph">
                <wp:posOffset>13334</wp:posOffset>
              </wp:positionV>
              <wp:extent cx="524827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4827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001DD" id="Straight Connector 11" o:spid="_x0000_s1026" style="position:absolute;flip:y;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362.05pt,1.05pt" to="77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klKAIAAEMEAAAOAAAAZHJzL2Uyb0RvYy54bWysU8uu2yAQ3VfqPyD2ie3UeVlxrio76ea2&#10;N1JuuyeAY1QMCEicqOq/dyCPNu2mqrqxgZk5nDlzWDydOomO3DqhVYmzYYoRV1QzofYl/vy6Hsww&#10;cp4oRqRWvMRn7vDT8u2bRW8KPtKtloxbBCDKFb0pceu9KZLE0ZZ3xA214QqCjbYd8bC1+4RZ0gN6&#10;J5NRmk6SXltmrKbcOTitL0G8jPhNw6l/aRrHPZIlBm4+fm387sI3WS5IsbfEtIJeaZB/YNERoeDS&#10;O1RNPEEHK/6A6gS12unGD6nuEt00gvLYA3STpb91s22J4bEXEMeZu0zu/8HST8eNRYLB7DKMFOlg&#10;Rltvidi3HlVaKVBQWwRBUKo3roCCSm1s6JWe1NY8a/rVIaWrlqg9j4xfzwZQYkXyUBI2zsB9u/6j&#10;ZpBDDl5H2U6N7VAjhfkSCgM4SINOcU7n+5z4ySMKh+NRPhtNxxjRWywhRYAIhcY6/4HrDoVFiaVQ&#10;QUJSkOOz89AEpN5SwrHSayFltIFUqIfr5+k4jRVOS8FCNOQ5u99V0qIjCU5Kp2kVzQNoD2lWHxSL&#10;aC0nbHVdeyLkZQ35UgU86AX4XFcXq3ybp/PVbDXLB/loshrkaV0P3q+rfDBZZ9Nx/a6uqjr7Hqhl&#10;edEKxrgK7G62zfK/s8X1AV0MdzfuXYfkET0KBmRv/0g6jjVM8uKJnWbnjQ3ahgmDU2Py9VWFp/Dr&#10;Pmb9fPvLHwAAAP//AwBQSwMEFAAGAAgAAAAhADW7nuXZAAAABAEAAA8AAABkcnMvZG93bnJldi54&#10;bWxMj8FOwzAQRO9I/IO1lbhRp6FUJcSpUFskbojChds2XpKo8TqKN2ng6zFc4Dia0cybfDO5Vo3U&#10;h8azgcU8AUVcettwZeDt9fF6DSoIssXWMxn4pACb4vIix8z6M7/QeJBKxRIOGRqoRbpM61DW5DDM&#10;fUccvQ/fO5Qo+0rbHs+x3LU6TZKVdthwXKixo21N5ekwOAMyPO3T53cc99YulzL5r+ruZmfM1Wx6&#10;uAclNMlfGH7wIzoUkenoB7ZBtQbiETGQLkBFc52ubkEdf7Uucv0fvvgGAAD//wMAUEsBAi0AFAAG&#10;AAgAAAAhALaDOJL+AAAA4QEAABMAAAAAAAAAAAAAAAAAAAAAAFtDb250ZW50X1R5cGVzXS54bWxQ&#10;SwECLQAUAAYACAAAACEAOP0h/9YAAACUAQAACwAAAAAAAAAAAAAAAAAvAQAAX3JlbHMvLnJlbHNQ&#10;SwECLQAUAAYACAAAACEAGGe5JSgCAABDBAAADgAAAAAAAAAAAAAAAAAuAgAAZHJzL2Uyb0RvYy54&#10;bWxQSwECLQAUAAYACAAAACEANbue5dkAAAAEAQAADwAAAAAAAAAAAAAAAACCBAAAZHJzL2Rvd25y&#10;ZXYueG1sUEsFBgAAAAAEAAQA8wAAAIgFAAAAAA==&#10;" strokecolor="#0070c0"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298"/>
    <w:multiLevelType w:val="hybridMultilevel"/>
    <w:tmpl w:val="A94E8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C28F5"/>
    <w:multiLevelType w:val="hybridMultilevel"/>
    <w:tmpl w:val="D1FEA33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05E0159D"/>
    <w:multiLevelType w:val="hybridMultilevel"/>
    <w:tmpl w:val="D3A02484"/>
    <w:lvl w:ilvl="0" w:tplc="BC3E2494">
      <w:start w:val="1"/>
      <w:numFmt w:val="lowerLetter"/>
      <w:lvlText w:val="%1)"/>
      <w:lvlJc w:val="left"/>
      <w:pPr>
        <w:ind w:left="720" w:hanging="360"/>
      </w:pPr>
      <w:rPr>
        <w:rFonts w:ascii="Arial" w:hAnsi="Arial" w:cs="Times New Roman" w:hint="default"/>
        <w:b w:val="0"/>
        <w:i w:val="0"/>
        <w:sz w:val="22"/>
        <w:szCs w:val="2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9C1756A"/>
    <w:multiLevelType w:val="hybridMultilevel"/>
    <w:tmpl w:val="9B848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65313"/>
    <w:multiLevelType w:val="hybridMultilevel"/>
    <w:tmpl w:val="A3A2FC84"/>
    <w:lvl w:ilvl="0" w:tplc="47E46B1A">
      <w:start w:val="1"/>
      <w:numFmt w:val="decimal"/>
      <w:pStyle w:val="Heading2"/>
      <w:lvlText w:val="8.%1"/>
      <w:lvlJc w:val="left"/>
      <w:pPr>
        <w:ind w:left="14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C10F5"/>
    <w:multiLevelType w:val="hybridMultilevel"/>
    <w:tmpl w:val="658E540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744019"/>
    <w:multiLevelType w:val="hybridMultilevel"/>
    <w:tmpl w:val="693817A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34E86F64"/>
    <w:multiLevelType w:val="hybridMultilevel"/>
    <w:tmpl w:val="150CF5D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0966EB3"/>
    <w:multiLevelType w:val="hybridMultilevel"/>
    <w:tmpl w:val="289C5EA0"/>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545048DD"/>
    <w:multiLevelType w:val="hybridMultilevel"/>
    <w:tmpl w:val="A83A699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5F312C6B"/>
    <w:multiLevelType w:val="hybridMultilevel"/>
    <w:tmpl w:val="833880E6"/>
    <w:lvl w:ilvl="0" w:tplc="97041D44">
      <w:start w:val="1"/>
      <w:numFmt w:val="bullet"/>
      <w:pStyle w:val="ListaVietas"/>
      <w:lvlText w:val=""/>
      <w:lvlJc w:val="left"/>
      <w:pPr>
        <w:tabs>
          <w:tab w:val="num" w:pos="425"/>
        </w:tabs>
        <w:ind w:left="369" w:hanging="312"/>
      </w:pPr>
      <w:rPr>
        <w:rFonts w:ascii="Wingdings 2" w:hAnsi="Wingdings 2" w:hint="default"/>
        <w:b w:val="0"/>
        <w:i w:val="0"/>
        <w:caps w:val="0"/>
        <w:strike w:val="0"/>
        <w:dstrike w:val="0"/>
        <w:vanish w:val="0"/>
        <w:color w:val="auto"/>
        <w:sz w:val="18"/>
        <w:szCs w:val="18"/>
        <w:u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E9785B"/>
    <w:multiLevelType w:val="hybridMultilevel"/>
    <w:tmpl w:val="04A45330"/>
    <w:lvl w:ilvl="0" w:tplc="A79CB582">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86700BC"/>
    <w:multiLevelType w:val="multilevel"/>
    <w:tmpl w:val="B088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348B7"/>
    <w:multiLevelType w:val="hybridMultilevel"/>
    <w:tmpl w:val="A120DF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1E11CC6"/>
    <w:multiLevelType w:val="hybridMultilevel"/>
    <w:tmpl w:val="EF60F39E"/>
    <w:lvl w:ilvl="0" w:tplc="77DCCB68">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5" w15:restartNumberingAfterBreak="0">
    <w:nsid w:val="735A0F20"/>
    <w:multiLevelType w:val="hybridMultilevel"/>
    <w:tmpl w:val="C7E4F4BA"/>
    <w:lvl w:ilvl="0" w:tplc="83B88C32">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4D3021F"/>
    <w:multiLevelType w:val="hybridMultilevel"/>
    <w:tmpl w:val="890C1084"/>
    <w:lvl w:ilvl="0" w:tplc="B76C60FE">
      <w:start w:val="1"/>
      <w:numFmt w:val="upperRoman"/>
      <w:lvlText w:val="%1."/>
      <w:lvlJc w:val="left"/>
      <w:pPr>
        <w:ind w:left="786" w:hanging="360"/>
      </w:pPr>
      <w:rPr>
        <w:rFonts w:hint="default"/>
      </w:rPr>
    </w:lvl>
    <w:lvl w:ilvl="1" w:tplc="140A0019">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7" w15:restartNumberingAfterBreak="0">
    <w:nsid w:val="75CD19A4"/>
    <w:multiLevelType w:val="multilevel"/>
    <w:tmpl w:val="A8E04C82"/>
    <w:lvl w:ilvl="0">
      <w:start w:val="1"/>
      <w:numFmt w:val="decimal"/>
      <w:pStyle w:val="Heading1"/>
      <w:lvlText w:val="%1."/>
      <w:lvlJc w:val="left"/>
      <w:pPr>
        <w:ind w:left="72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num w:numId="1">
    <w:abstractNumId w:val="13"/>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17"/>
  </w:num>
  <w:num w:numId="7">
    <w:abstractNumId w:val="17"/>
    <w:lvlOverride w:ilvl="0">
      <w:startOverride w:val="6"/>
    </w:lvlOverride>
    <w:lvlOverride w:ilvl="1">
      <w:startOverride w:val="1"/>
    </w:lvlOverride>
  </w:num>
  <w:num w:numId="8">
    <w:abstractNumId w:val="4"/>
  </w:num>
  <w:num w:numId="9">
    <w:abstractNumId w:val="16"/>
  </w:num>
  <w:num w:numId="10">
    <w:abstractNumId w:val="12"/>
  </w:num>
  <w:num w:numId="11">
    <w:abstractNumId w:val="7"/>
  </w:num>
  <w:num w:numId="12">
    <w:abstractNumId w:val="0"/>
  </w:num>
  <w:num w:numId="13">
    <w:abstractNumId w:val="3"/>
  </w:num>
  <w:num w:numId="14">
    <w:abstractNumId w:val="2"/>
  </w:num>
  <w:num w:numId="15">
    <w:abstractNumId w:val="1"/>
  </w:num>
  <w:num w:numId="16">
    <w:abstractNumId w:val="6"/>
  </w:num>
  <w:num w:numId="17">
    <w:abstractNumId w:val="1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B4"/>
    <w:rsid w:val="00001CBA"/>
    <w:rsid w:val="00002585"/>
    <w:rsid w:val="0001296A"/>
    <w:rsid w:val="00013A60"/>
    <w:rsid w:val="00023311"/>
    <w:rsid w:val="00023647"/>
    <w:rsid w:val="0003046F"/>
    <w:rsid w:val="00033EAB"/>
    <w:rsid w:val="000342C4"/>
    <w:rsid w:val="00042EB6"/>
    <w:rsid w:val="00044F44"/>
    <w:rsid w:val="00054A0E"/>
    <w:rsid w:val="00071D3B"/>
    <w:rsid w:val="00091445"/>
    <w:rsid w:val="000A156D"/>
    <w:rsid w:val="000A3694"/>
    <w:rsid w:val="000A6073"/>
    <w:rsid w:val="000B6F36"/>
    <w:rsid w:val="000C5320"/>
    <w:rsid w:val="000F1AF8"/>
    <w:rsid w:val="00100C4D"/>
    <w:rsid w:val="00101716"/>
    <w:rsid w:val="001035F3"/>
    <w:rsid w:val="00120137"/>
    <w:rsid w:val="00120CD5"/>
    <w:rsid w:val="001265BE"/>
    <w:rsid w:val="00130C2C"/>
    <w:rsid w:val="00130CA9"/>
    <w:rsid w:val="0013593E"/>
    <w:rsid w:val="0014294D"/>
    <w:rsid w:val="00146E7E"/>
    <w:rsid w:val="00150526"/>
    <w:rsid w:val="00150658"/>
    <w:rsid w:val="00150F0D"/>
    <w:rsid w:val="00170315"/>
    <w:rsid w:val="001862D4"/>
    <w:rsid w:val="00190595"/>
    <w:rsid w:val="00190833"/>
    <w:rsid w:val="00194084"/>
    <w:rsid w:val="00196230"/>
    <w:rsid w:val="001A49D2"/>
    <w:rsid w:val="001B7330"/>
    <w:rsid w:val="001D564C"/>
    <w:rsid w:val="001E5BFB"/>
    <w:rsid w:val="001E5FB1"/>
    <w:rsid w:val="001E6E70"/>
    <w:rsid w:val="001F1E1F"/>
    <w:rsid w:val="001F275E"/>
    <w:rsid w:val="00200987"/>
    <w:rsid w:val="002129FD"/>
    <w:rsid w:val="002138DE"/>
    <w:rsid w:val="00224C94"/>
    <w:rsid w:val="00257715"/>
    <w:rsid w:val="00260A9A"/>
    <w:rsid w:val="0027666A"/>
    <w:rsid w:val="0028729D"/>
    <w:rsid w:val="00297749"/>
    <w:rsid w:val="002B3BD6"/>
    <w:rsid w:val="002D1A30"/>
    <w:rsid w:val="002E4B49"/>
    <w:rsid w:val="002F68FF"/>
    <w:rsid w:val="00301278"/>
    <w:rsid w:val="003104E8"/>
    <w:rsid w:val="00312596"/>
    <w:rsid w:val="00312625"/>
    <w:rsid w:val="00314446"/>
    <w:rsid w:val="00315E35"/>
    <w:rsid w:val="00321F6E"/>
    <w:rsid w:val="003416A1"/>
    <w:rsid w:val="003421B2"/>
    <w:rsid w:val="00343830"/>
    <w:rsid w:val="00343FC0"/>
    <w:rsid w:val="003521B5"/>
    <w:rsid w:val="00352DA6"/>
    <w:rsid w:val="00394089"/>
    <w:rsid w:val="003D717C"/>
    <w:rsid w:val="003F2F20"/>
    <w:rsid w:val="003F5EB0"/>
    <w:rsid w:val="00406AB5"/>
    <w:rsid w:val="00442A22"/>
    <w:rsid w:val="00442B38"/>
    <w:rsid w:val="00443703"/>
    <w:rsid w:val="00445DD4"/>
    <w:rsid w:val="004528CA"/>
    <w:rsid w:val="004563E0"/>
    <w:rsid w:val="00480680"/>
    <w:rsid w:val="004A15C2"/>
    <w:rsid w:val="004A6C34"/>
    <w:rsid w:val="004B1FD7"/>
    <w:rsid w:val="004B4F4E"/>
    <w:rsid w:val="004B660B"/>
    <w:rsid w:val="004E12DD"/>
    <w:rsid w:val="004E733F"/>
    <w:rsid w:val="00503997"/>
    <w:rsid w:val="00505C15"/>
    <w:rsid w:val="00546A53"/>
    <w:rsid w:val="005475F0"/>
    <w:rsid w:val="00551A61"/>
    <w:rsid w:val="0055440D"/>
    <w:rsid w:val="00564D06"/>
    <w:rsid w:val="00582E1C"/>
    <w:rsid w:val="00585896"/>
    <w:rsid w:val="005A0396"/>
    <w:rsid w:val="005A66D5"/>
    <w:rsid w:val="005B748E"/>
    <w:rsid w:val="005C6F11"/>
    <w:rsid w:val="005D16EE"/>
    <w:rsid w:val="005E3787"/>
    <w:rsid w:val="005E71E5"/>
    <w:rsid w:val="005F5AC2"/>
    <w:rsid w:val="0063255F"/>
    <w:rsid w:val="00636145"/>
    <w:rsid w:val="00637139"/>
    <w:rsid w:val="0065383E"/>
    <w:rsid w:val="00656583"/>
    <w:rsid w:val="0066389B"/>
    <w:rsid w:val="006653E1"/>
    <w:rsid w:val="006657B1"/>
    <w:rsid w:val="006757DE"/>
    <w:rsid w:val="00676652"/>
    <w:rsid w:val="0068428F"/>
    <w:rsid w:val="00695D3C"/>
    <w:rsid w:val="00697EFD"/>
    <w:rsid w:val="006A1766"/>
    <w:rsid w:val="006A44A5"/>
    <w:rsid w:val="006C10BD"/>
    <w:rsid w:val="006C1D8F"/>
    <w:rsid w:val="006C6901"/>
    <w:rsid w:val="006D4767"/>
    <w:rsid w:val="006F0C98"/>
    <w:rsid w:val="006F4395"/>
    <w:rsid w:val="00704537"/>
    <w:rsid w:val="0070549C"/>
    <w:rsid w:val="00742F00"/>
    <w:rsid w:val="00760FAD"/>
    <w:rsid w:val="0077537A"/>
    <w:rsid w:val="007811B0"/>
    <w:rsid w:val="00783AE6"/>
    <w:rsid w:val="00785ED9"/>
    <w:rsid w:val="007D46E6"/>
    <w:rsid w:val="007D5D45"/>
    <w:rsid w:val="007E201B"/>
    <w:rsid w:val="007F3296"/>
    <w:rsid w:val="007F6E72"/>
    <w:rsid w:val="007F7A2C"/>
    <w:rsid w:val="008058B8"/>
    <w:rsid w:val="00813A8A"/>
    <w:rsid w:val="0081786A"/>
    <w:rsid w:val="0082521B"/>
    <w:rsid w:val="008329AB"/>
    <w:rsid w:val="00863702"/>
    <w:rsid w:val="008675FD"/>
    <w:rsid w:val="00872353"/>
    <w:rsid w:val="008811A5"/>
    <w:rsid w:val="00885690"/>
    <w:rsid w:val="00890BF9"/>
    <w:rsid w:val="008A7AA2"/>
    <w:rsid w:val="008B2393"/>
    <w:rsid w:val="008B3898"/>
    <w:rsid w:val="008C57C0"/>
    <w:rsid w:val="008C7923"/>
    <w:rsid w:val="008D1103"/>
    <w:rsid w:val="008E40A4"/>
    <w:rsid w:val="008F13E1"/>
    <w:rsid w:val="00903E73"/>
    <w:rsid w:val="0090538B"/>
    <w:rsid w:val="00906DDD"/>
    <w:rsid w:val="009143D1"/>
    <w:rsid w:val="00916685"/>
    <w:rsid w:val="00924348"/>
    <w:rsid w:val="009462F3"/>
    <w:rsid w:val="00954E68"/>
    <w:rsid w:val="00974413"/>
    <w:rsid w:val="009756E3"/>
    <w:rsid w:val="00982BCA"/>
    <w:rsid w:val="00985FCD"/>
    <w:rsid w:val="0099655B"/>
    <w:rsid w:val="009A1C66"/>
    <w:rsid w:val="009C29BA"/>
    <w:rsid w:val="009C5D75"/>
    <w:rsid w:val="009D0C35"/>
    <w:rsid w:val="009D0EDA"/>
    <w:rsid w:val="009D1F2B"/>
    <w:rsid w:val="009D2388"/>
    <w:rsid w:val="009E51EF"/>
    <w:rsid w:val="009E5C53"/>
    <w:rsid w:val="009F2650"/>
    <w:rsid w:val="00A01209"/>
    <w:rsid w:val="00A051A4"/>
    <w:rsid w:val="00A178EB"/>
    <w:rsid w:val="00A25571"/>
    <w:rsid w:val="00A322CF"/>
    <w:rsid w:val="00A512DC"/>
    <w:rsid w:val="00A62D5C"/>
    <w:rsid w:val="00A642CA"/>
    <w:rsid w:val="00A71AC1"/>
    <w:rsid w:val="00A72C89"/>
    <w:rsid w:val="00A93A03"/>
    <w:rsid w:val="00A95642"/>
    <w:rsid w:val="00A96C57"/>
    <w:rsid w:val="00AC5A33"/>
    <w:rsid w:val="00AE0430"/>
    <w:rsid w:val="00AF71D6"/>
    <w:rsid w:val="00AF7862"/>
    <w:rsid w:val="00B02CB4"/>
    <w:rsid w:val="00B073CD"/>
    <w:rsid w:val="00B075BD"/>
    <w:rsid w:val="00B378E3"/>
    <w:rsid w:val="00B41405"/>
    <w:rsid w:val="00B45A9C"/>
    <w:rsid w:val="00B52FEA"/>
    <w:rsid w:val="00B536F3"/>
    <w:rsid w:val="00B67815"/>
    <w:rsid w:val="00B7105E"/>
    <w:rsid w:val="00B74B29"/>
    <w:rsid w:val="00B754C6"/>
    <w:rsid w:val="00BB0CB2"/>
    <w:rsid w:val="00BC383F"/>
    <w:rsid w:val="00BD728B"/>
    <w:rsid w:val="00BE1F30"/>
    <w:rsid w:val="00BF09F6"/>
    <w:rsid w:val="00C136E7"/>
    <w:rsid w:val="00C14A80"/>
    <w:rsid w:val="00C17B13"/>
    <w:rsid w:val="00C22649"/>
    <w:rsid w:val="00C26610"/>
    <w:rsid w:val="00C65E75"/>
    <w:rsid w:val="00C71785"/>
    <w:rsid w:val="00C83ABC"/>
    <w:rsid w:val="00C864ED"/>
    <w:rsid w:val="00C86C2A"/>
    <w:rsid w:val="00C95D23"/>
    <w:rsid w:val="00CA1AF7"/>
    <w:rsid w:val="00CA51A7"/>
    <w:rsid w:val="00CB3D6F"/>
    <w:rsid w:val="00CB5A38"/>
    <w:rsid w:val="00CC3B24"/>
    <w:rsid w:val="00CC7313"/>
    <w:rsid w:val="00CE32B7"/>
    <w:rsid w:val="00CE3454"/>
    <w:rsid w:val="00CE631C"/>
    <w:rsid w:val="00D005F8"/>
    <w:rsid w:val="00D02E27"/>
    <w:rsid w:val="00D213ED"/>
    <w:rsid w:val="00D22A0A"/>
    <w:rsid w:val="00D237DC"/>
    <w:rsid w:val="00D304AC"/>
    <w:rsid w:val="00D450D3"/>
    <w:rsid w:val="00D50369"/>
    <w:rsid w:val="00D6369A"/>
    <w:rsid w:val="00D650A7"/>
    <w:rsid w:val="00D72F2B"/>
    <w:rsid w:val="00D91479"/>
    <w:rsid w:val="00DA1096"/>
    <w:rsid w:val="00DB34B1"/>
    <w:rsid w:val="00DE7618"/>
    <w:rsid w:val="00DF71CB"/>
    <w:rsid w:val="00E02A74"/>
    <w:rsid w:val="00E23B5B"/>
    <w:rsid w:val="00E4329D"/>
    <w:rsid w:val="00E53FFB"/>
    <w:rsid w:val="00E55462"/>
    <w:rsid w:val="00E6775C"/>
    <w:rsid w:val="00E73FDB"/>
    <w:rsid w:val="00E822DB"/>
    <w:rsid w:val="00E834D3"/>
    <w:rsid w:val="00E84753"/>
    <w:rsid w:val="00E84EC5"/>
    <w:rsid w:val="00E925F8"/>
    <w:rsid w:val="00EA0ADB"/>
    <w:rsid w:val="00EA2FAE"/>
    <w:rsid w:val="00EC4DF0"/>
    <w:rsid w:val="00EC51C8"/>
    <w:rsid w:val="00ED0F6B"/>
    <w:rsid w:val="00ED13B6"/>
    <w:rsid w:val="00F2106E"/>
    <w:rsid w:val="00F321CC"/>
    <w:rsid w:val="00F6296D"/>
    <w:rsid w:val="00F70EA8"/>
    <w:rsid w:val="00F9609A"/>
    <w:rsid w:val="00F978AB"/>
    <w:rsid w:val="00FA1E88"/>
    <w:rsid w:val="00FA6690"/>
    <w:rsid w:val="00FB3F83"/>
    <w:rsid w:val="00FC4584"/>
    <w:rsid w:val="00FC4832"/>
    <w:rsid w:val="00FD1E67"/>
    <w:rsid w:val="00FD4EDE"/>
    <w:rsid w:val="00FE2637"/>
    <w:rsid w:val="00FF3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C9E06"/>
  <w15:chartTrackingRefBased/>
  <w15:docId w15:val="{1397D486-2105-4FA6-9F29-1A236737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CB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F5EB0"/>
    <w:pPr>
      <w:keepNext/>
      <w:numPr>
        <w:numId w:val="6"/>
      </w:numPr>
      <w:jc w:val="both"/>
      <w:outlineLvl w:val="0"/>
    </w:pPr>
    <w:rPr>
      <w:rFonts w:ascii="Arial" w:hAnsi="Arial"/>
      <w:b/>
      <w:i/>
      <w:sz w:val="20"/>
      <w:lang w:val="es-ES_tradnl" w:eastAsia="es-ES"/>
    </w:rPr>
  </w:style>
  <w:style w:type="paragraph" w:styleId="Heading2">
    <w:name w:val="heading 2"/>
    <w:basedOn w:val="Normal"/>
    <w:next w:val="Normal"/>
    <w:link w:val="Heading2Char"/>
    <w:qFormat/>
    <w:rsid w:val="003F5EB0"/>
    <w:pPr>
      <w:keepNext/>
      <w:numPr>
        <w:numId w:val="8"/>
      </w:numPr>
      <w:jc w:val="both"/>
      <w:outlineLvl w:val="1"/>
    </w:pPr>
    <w:rPr>
      <w:rFonts w:ascii="Arial" w:hAnsi="Arial"/>
      <w:b/>
      <w:i/>
      <w:sz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02CB4"/>
    <w:rPr>
      <w:sz w:val="20"/>
      <w:szCs w:val="20"/>
    </w:rPr>
  </w:style>
  <w:style w:type="character" w:customStyle="1" w:styleId="FootnoteTextChar">
    <w:name w:val="Footnote Text Char"/>
    <w:basedOn w:val="DefaultParagraphFont"/>
    <w:link w:val="FootnoteText"/>
    <w:rsid w:val="00B02CB4"/>
    <w:rPr>
      <w:rFonts w:ascii="Times New Roman" w:eastAsia="Times New Roman" w:hAnsi="Times New Roman" w:cs="Times New Roman"/>
      <w:sz w:val="20"/>
      <w:szCs w:val="20"/>
      <w:lang w:val="en-US"/>
    </w:rPr>
  </w:style>
  <w:style w:type="character" w:styleId="FootnoteReference">
    <w:name w:val="footnote reference"/>
    <w:semiHidden/>
    <w:unhideWhenUsed/>
    <w:rsid w:val="00B02CB4"/>
    <w:rPr>
      <w:vertAlign w:val="superscript"/>
    </w:rPr>
  </w:style>
  <w:style w:type="paragraph" w:styleId="Header">
    <w:name w:val="header"/>
    <w:basedOn w:val="Normal"/>
    <w:link w:val="HeaderChar"/>
    <w:uiPriority w:val="99"/>
    <w:unhideWhenUsed/>
    <w:rsid w:val="00002585"/>
    <w:pPr>
      <w:tabs>
        <w:tab w:val="center" w:pos="4419"/>
        <w:tab w:val="right" w:pos="8838"/>
      </w:tabs>
    </w:pPr>
  </w:style>
  <w:style w:type="character" w:customStyle="1" w:styleId="HeaderChar">
    <w:name w:val="Header Char"/>
    <w:basedOn w:val="DefaultParagraphFont"/>
    <w:link w:val="Header"/>
    <w:uiPriority w:val="99"/>
    <w:rsid w:val="0000258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02585"/>
    <w:pPr>
      <w:tabs>
        <w:tab w:val="center" w:pos="4419"/>
        <w:tab w:val="right" w:pos="8838"/>
      </w:tabs>
    </w:pPr>
  </w:style>
  <w:style w:type="character" w:customStyle="1" w:styleId="FooterChar">
    <w:name w:val="Footer Char"/>
    <w:basedOn w:val="DefaultParagraphFont"/>
    <w:link w:val="Footer"/>
    <w:uiPriority w:val="99"/>
    <w:rsid w:val="00002585"/>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265BE"/>
    <w:rPr>
      <w:b/>
      <w:bCs/>
    </w:rPr>
  </w:style>
  <w:style w:type="paragraph" w:styleId="ListParagraph">
    <w:name w:val="List Paragraph"/>
    <w:basedOn w:val="Normal"/>
    <w:uiPriority w:val="34"/>
    <w:qFormat/>
    <w:rsid w:val="00013A60"/>
    <w:pPr>
      <w:ind w:left="720"/>
      <w:contextualSpacing/>
    </w:pPr>
  </w:style>
  <w:style w:type="character" w:customStyle="1" w:styleId="LetraNegrita">
    <w:name w:val="Letra Negrita"/>
    <w:qFormat/>
    <w:rsid w:val="00013A60"/>
    <w:rPr>
      <w:rFonts w:ascii="Arial" w:hAnsi="Arial"/>
      <w:b/>
      <w:color w:val="auto"/>
      <w:sz w:val="20"/>
    </w:rPr>
  </w:style>
  <w:style w:type="character" w:customStyle="1" w:styleId="Heading1Char">
    <w:name w:val="Heading 1 Char"/>
    <w:basedOn w:val="DefaultParagraphFont"/>
    <w:link w:val="Heading1"/>
    <w:rsid w:val="003F5EB0"/>
    <w:rPr>
      <w:rFonts w:eastAsia="Times New Roman" w:cs="Times New Roman"/>
      <w:b/>
      <w:i/>
      <w:sz w:val="20"/>
      <w:szCs w:val="24"/>
      <w:lang w:val="es-ES_tradnl" w:eastAsia="es-ES"/>
    </w:rPr>
  </w:style>
  <w:style w:type="character" w:customStyle="1" w:styleId="Heading2Char">
    <w:name w:val="Heading 2 Char"/>
    <w:basedOn w:val="DefaultParagraphFont"/>
    <w:link w:val="Heading2"/>
    <w:rsid w:val="003F5EB0"/>
    <w:rPr>
      <w:rFonts w:eastAsia="Times New Roman" w:cs="Times New Roman"/>
      <w:b/>
      <w:i/>
      <w:sz w:val="20"/>
      <w:szCs w:val="24"/>
      <w:lang w:val="es-ES_tradnl" w:eastAsia="es-ES"/>
    </w:rPr>
  </w:style>
  <w:style w:type="table" w:styleId="TableGrid">
    <w:name w:val="Table Grid"/>
    <w:basedOn w:val="TableNormal"/>
    <w:uiPriority w:val="39"/>
    <w:rsid w:val="003F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FFB"/>
    <w:rPr>
      <w:rFonts w:ascii="Segoe UI" w:eastAsia="Times New Roman" w:hAnsi="Segoe UI" w:cs="Segoe UI"/>
      <w:sz w:val="18"/>
      <w:szCs w:val="18"/>
      <w:lang w:val="en-US"/>
    </w:rPr>
  </w:style>
  <w:style w:type="table" w:styleId="GridTable4-Accent5">
    <w:name w:val="Grid Table 4 Accent 5"/>
    <w:basedOn w:val="TableNormal"/>
    <w:uiPriority w:val="49"/>
    <w:rsid w:val="008B23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1">
    <w:name w:val="List Table 3 Accent 1"/>
    <w:basedOn w:val="TableNormal"/>
    <w:uiPriority w:val="48"/>
    <w:rsid w:val="008B23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CommentReference">
    <w:name w:val="annotation reference"/>
    <w:basedOn w:val="DefaultParagraphFont"/>
    <w:uiPriority w:val="99"/>
    <w:semiHidden/>
    <w:unhideWhenUsed/>
    <w:rsid w:val="00170315"/>
    <w:rPr>
      <w:sz w:val="16"/>
      <w:szCs w:val="16"/>
    </w:rPr>
  </w:style>
  <w:style w:type="paragraph" w:styleId="CommentText">
    <w:name w:val="annotation text"/>
    <w:basedOn w:val="Normal"/>
    <w:link w:val="CommentTextChar"/>
    <w:uiPriority w:val="99"/>
    <w:semiHidden/>
    <w:unhideWhenUsed/>
    <w:rsid w:val="00170315"/>
    <w:rPr>
      <w:sz w:val="20"/>
      <w:szCs w:val="20"/>
    </w:rPr>
  </w:style>
  <w:style w:type="character" w:customStyle="1" w:styleId="CommentTextChar">
    <w:name w:val="Comment Text Char"/>
    <w:basedOn w:val="DefaultParagraphFont"/>
    <w:link w:val="CommentText"/>
    <w:uiPriority w:val="99"/>
    <w:semiHidden/>
    <w:rsid w:val="0017031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0315"/>
    <w:rPr>
      <w:b/>
      <w:bCs/>
    </w:rPr>
  </w:style>
  <w:style w:type="character" w:customStyle="1" w:styleId="CommentSubjectChar">
    <w:name w:val="Comment Subject Char"/>
    <w:basedOn w:val="CommentTextChar"/>
    <w:link w:val="CommentSubject"/>
    <w:uiPriority w:val="99"/>
    <w:semiHidden/>
    <w:rsid w:val="00170315"/>
    <w:rPr>
      <w:rFonts w:ascii="Times New Roman" w:eastAsia="Times New Roman" w:hAnsi="Times New Roman" w:cs="Times New Roman"/>
      <w:b/>
      <w:bCs/>
      <w:sz w:val="20"/>
      <w:szCs w:val="20"/>
      <w:lang w:val="en-US"/>
    </w:rPr>
  </w:style>
  <w:style w:type="paragraph" w:customStyle="1" w:styleId="Default">
    <w:name w:val="Default"/>
    <w:rsid w:val="002E4B49"/>
    <w:pPr>
      <w:autoSpaceDE w:val="0"/>
      <w:autoSpaceDN w:val="0"/>
      <w:adjustRightInd w:val="0"/>
      <w:spacing w:after="0" w:line="240" w:lineRule="auto"/>
    </w:pPr>
    <w:rPr>
      <w:rFonts w:cs="Arial"/>
      <w:color w:val="000000"/>
      <w:sz w:val="24"/>
      <w:szCs w:val="24"/>
      <w:lang w:val="es-CR"/>
    </w:rPr>
  </w:style>
  <w:style w:type="character" w:customStyle="1" w:styleId="st1">
    <w:name w:val="st1"/>
    <w:basedOn w:val="DefaultParagraphFont"/>
    <w:rsid w:val="00EA2FAE"/>
  </w:style>
  <w:style w:type="table" w:styleId="GridTable4-Accent1">
    <w:name w:val="Grid Table 4 Accent 1"/>
    <w:basedOn w:val="TableNormal"/>
    <w:uiPriority w:val="49"/>
    <w:rsid w:val="00E822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5">
    <w:name w:val="List Table 3 Accent 5"/>
    <w:basedOn w:val="TableNormal"/>
    <w:uiPriority w:val="48"/>
    <w:rsid w:val="00E822D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ListaVietas">
    <w:name w:val="Lista Viñetas"/>
    <w:link w:val="ListaVietasCar"/>
    <w:qFormat/>
    <w:rsid w:val="003F2F20"/>
    <w:pPr>
      <w:numPr>
        <w:numId w:val="17"/>
      </w:numPr>
      <w:spacing w:before="120" w:after="120" w:line="240" w:lineRule="auto"/>
      <w:jc w:val="both"/>
    </w:pPr>
    <w:rPr>
      <w:rFonts w:eastAsia="Times New Roman" w:cs="Times New Roman"/>
      <w:snapToGrid w:val="0"/>
      <w:sz w:val="20"/>
      <w:szCs w:val="20"/>
      <w:lang w:val="es-CR"/>
    </w:rPr>
  </w:style>
  <w:style w:type="character" w:customStyle="1" w:styleId="ListaVietasCar">
    <w:name w:val="Lista Viñetas Car"/>
    <w:link w:val="ListaVietas"/>
    <w:rsid w:val="003F2F20"/>
    <w:rPr>
      <w:rFonts w:eastAsia="Times New Roman" w:cs="Times New Roman"/>
      <w:snapToGrid w:val="0"/>
      <w:sz w:val="20"/>
      <w:szCs w:val="20"/>
      <w:lang w:val="es-CR"/>
    </w:rPr>
  </w:style>
  <w:style w:type="paragraph" w:styleId="Revision">
    <w:name w:val="Revision"/>
    <w:hidden/>
    <w:uiPriority w:val="99"/>
    <w:semiHidden/>
    <w:rsid w:val="0077537A"/>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B5A38"/>
    <w:pPr>
      <w:spacing w:before="100" w:beforeAutospacing="1" w:after="100" w:afterAutospacing="1"/>
    </w:pPr>
    <w:rPr>
      <w:rFonts w:eastAsiaTheme="minorHAnsi"/>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1176">
      <w:bodyDiv w:val="1"/>
      <w:marLeft w:val="0"/>
      <w:marRight w:val="0"/>
      <w:marTop w:val="0"/>
      <w:marBottom w:val="0"/>
      <w:divBdr>
        <w:top w:val="none" w:sz="0" w:space="0" w:color="auto"/>
        <w:left w:val="none" w:sz="0" w:space="0" w:color="auto"/>
        <w:bottom w:val="none" w:sz="0" w:space="0" w:color="auto"/>
        <w:right w:val="none" w:sz="0" w:space="0" w:color="auto"/>
      </w:divBdr>
      <w:divsChild>
        <w:div w:id="889730051">
          <w:marLeft w:val="0"/>
          <w:marRight w:val="0"/>
          <w:marTop w:val="0"/>
          <w:marBottom w:val="0"/>
          <w:divBdr>
            <w:top w:val="none" w:sz="0" w:space="0" w:color="auto"/>
            <w:left w:val="none" w:sz="0" w:space="0" w:color="auto"/>
            <w:bottom w:val="none" w:sz="0" w:space="0" w:color="auto"/>
            <w:right w:val="none" w:sz="0" w:space="0" w:color="auto"/>
          </w:divBdr>
          <w:divsChild>
            <w:div w:id="1322538451">
              <w:marLeft w:val="0"/>
              <w:marRight w:val="0"/>
              <w:marTop w:val="0"/>
              <w:marBottom w:val="0"/>
              <w:divBdr>
                <w:top w:val="none" w:sz="0" w:space="0" w:color="auto"/>
                <w:left w:val="none" w:sz="0" w:space="0" w:color="auto"/>
                <w:bottom w:val="none" w:sz="0" w:space="0" w:color="auto"/>
                <w:right w:val="none" w:sz="0" w:space="0" w:color="auto"/>
              </w:divBdr>
              <w:divsChild>
                <w:div w:id="33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197">
      <w:bodyDiv w:val="1"/>
      <w:marLeft w:val="0"/>
      <w:marRight w:val="0"/>
      <w:marTop w:val="0"/>
      <w:marBottom w:val="0"/>
      <w:divBdr>
        <w:top w:val="none" w:sz="0" w:space="0" w:color="auto"/>
        <w:left w:val="none" w:sz="0" w:space="0" w:color="auto"/>
        <w:bottom w:val="none" w:sz="0" w:space="0" w:color="auto"/>
        <w:right w:val="none" w:sz="0" w:space="0" w:color="auto"/>
      </w:divBdr>
    </w:div>
    <w:div w:id="298655097">
      <w:bodyDiv w:val="1"/>
      <w:marLeft w:val="0"/>
      <w:marRight w:val="0"/>
      <w:marTop w:val="0"/>
      <w:marBottom w:val="0"/>
      <w:divBdr>
        <w:top w:val="none" w:sz="0" w:space="0" w:color="auto"/>
        <w:left w:val="none" w:sz="0" w:space="0" w:color="auto"/>
        <w:bottom w:val="none" w:sz="0" w:space="0" w:color="auto"/>
        <w:right w:val="none" w:sz="0" w:space="0" w:color="auto"/>
      </w:divBdr>
    </w:div>
    <w:div w:id="443041250">
      <w:bodyDiv w:val="1"/>
      <w:marLeft w:val="0"/>
      <w:marRight w:val="0"/>
      <w:marTop w:val="0"/>
      <w:marBottom w:val="0"/>
      <w:divBdr>
        <w:top w:val="none" w:sz="0" w:space="0" w:color="auto"/>
        <w:left w:val="none" w:sz="0" w:space="0" w:color="auto"/>
        <w:bottom w:val="none" w:sz="0" w:space="0" w:color="auto"/>
        <w:right w:val="none" w:sz="0" w:space="0" w:color="auto"/>
      </w:divBdr>
    </w:div>
    <w:div w:id="560795893">
      <w:bodyDiv w:val="1"/>
      <w:marLeft w:val="0"/>
      <w:marRight w:val="0"/>
      <w:marTop w:val="0"/>
      <w:marBottom w:val="0"/>
      <w:divBdr>
        <w:top w:val="none" w:sz="0" w:space="0" w:color="auto"/>
        <w:left w:val="none" w:sz="0" w:space="0" w:color="auto"/>
        <w:bottom w:val="none" w:sz="0" w:space="0" w:color="auto"/>
        <w:right w:val="none" w:sz="0" w:space="0" w:color="auto"/>
      </w:divBdr>
      <w:divsChild>
        <w:div w:id="1001422487">
          <w:marLeft w:val="0"/>
          <w:marRight w:val="0"/>
          <w:marTop w:val="0"/>
          <w:marBottom w:val="0"/>
          <w:divBdr>
            <w:top w:val="none" w:sz="0" w:space="0" w:color="auto"/>
            <w:left w:val="none" w:sz="0" w:space="0" w:color="auto"/>
            <w:bottom w:val="none" w:sz="0" w:space="0" w:color="auto"/>
            <w:right w:val="none" w:sz="0" w:space="0" w:color="auto"/>
          </w:divBdr>
          <w:divsChild>
            <w:div w:id="544368298">
              <w:marLeft w:val="0"/>
              <w:marRight w:val="0"/>
              <w:marTop w:val="0"/>
              <w:marBottom w:val="0"/>
              <w:divBdr>
                <w:top w:val="none" w:sz="0" w:space="0" w:color="auto"/>
                <w:left w:val="none" w:sz="0" w:space="0" w:color="auto"/>
                <w:bottom w:val="none" w:sz="0" w:space="0" w:color="auto"/>
                <w:right w:val="none" w:sz="0" w:space="0" w:color="auto"/>
              </w:divBdr>
              <w:divsChild>
                <w:div w:id="925380962">
                  <w:marLeft w:val="0"/>
                  <w:marRight w:val="0"/>
                  <w:marTop w:val="0"/>
                  <w:marBottom w:val="0"/>
                  <w:divBdr>
                    <w:top w:val="none" w:sz="0" w:space="0" w:color="auto"/>
                    <w:left w:val="none" w:sz="0" w:space="0" w:color="auto"/>
                    <w:bottom w:val="none" w:sz="0" w:space="0" w:color="auto"/>
                    <w:right w:val="none" w:sz="0" w:space="0" w:color="auto"/>
                  </w:divBdr>
                  <w:divsChild>
                    <w:div w:id="1958872386">
                      <w:marLeft w:val="0"/>
                      <w:marRight w:val="0"/>
                      <w:marTop w:val="0"/>
                      <w:marBottom w:val="0"/>
                      <w:divBdr>
                        <w:top w:val="none" w:sz="0" w:space="0" w:color="auto"/>
                        <w:left w:val="none" w:sz="0" w:space="0" w:color="auto"/>
                        <w:bottom w:val="none" w:sz="0" w:space="0" w:color="auto"/>
                        <w:right w:val="none" w:sz="0" w:space="0" w:color="auto"/>
                      </w:divBdr>
                      <w:divsChild>
                        <w:div w:id="1814905363">
                          <w:marLeft w:val="0"/>
                          <w:marRight w:val="0"/>
                          <w:marTop w:val="45"/>
                          <w:marBottom w:val="0"/>
                          <w:divBdr>
                            <w:top w:val="none" w:sz="0" w:space="0" w:color="auto"/>
                            <w:left w:val="none" w:sz="0" w:space="0" w:color="auto"/>
                            <w:bottom w:val="none" w:sz="0" w:space="0" w:color="auto"/>
                            <w:right w:val="none" w:sz="0" w:space="0" w:color="auto"/>
                          </w:divBdr>
                          <w:divsChild>
                            <w:div w:id="625894970">
                              <w:marLeft w:val="0"/>
                              <w:marRight w:val="0"/>
                              <w:marTop w:val="0"/>
                              <w:marBottom w:val="0"/>
                              <w:divBdr>
                                <w:top w:val="none" w:sz="0" w:space="0" w:color="auto"/>
                                <w:left w:val="none" w:sz="0" w:space="0" w:color="auto"/>
                                <w:bottom w:val="none" w:sz="0" w:space="0" w:color="auto"/>
                                <w:right w:val="none" w:sz="0" w:space="0" w:color="auto"/>
                              </w:divBdr>
                              <w:divsChild>
                                <w:div w:id="941456143">
                                  <w:marLeft w:val="2070"/>
                                  <w:marRight w:val="3810"/>
                                  <w:marTop w:val="0"/>
                                  <w:marBottom w:val="0"/>
                                  <w:divBdr>
                                    <w:top w:val="none" w:sz="0" w:space="0" w:color="auto"/>
                                    <w:left w:val="none" w:sz="0" w:space="0" w:color="auto"/>
                                    <w:bottom w:val="none" w:sz="0" w:space="0" w:color="auto"/>
                                    <w:right w:val="none" w:sz="0" w:space="0" w:color="auto"/>
                                  </w:divBdr>
                                  <w:divsChild>
                                    <w:div w:id="1241601712">
                                      <w:marLeft w:val="0"/>
                                      <w:marRight w:val="0"/>
                                      <w:marTop w:val="0"/>
                                      <w:marBottom w:val="0"/>
                                      <w:divBdr>
                                        <w:top w:val="none" w:sz="0" w:space="0" w:color="auto"/>
                                        <w:left w:val="none" w:sz="0" w:space="0" w:color="auto"/>
                                        <w:bottom w:val="none" w:sz="0" w:space="0" w:color="auto"/>
                                        <w:right w:val="none" w:sz="0" w:space="0" w:color="auto"/>
                                      </w:divBdr>
                                      <w:divsChild>
                                        <w:div w:id="1237938272">
                                          <w:marLeft w:val="0"/>
                                          <w:marRight w:val="0"/>
                                          <w:marTop w:val="0"/>
                                          <w:marBottom w:val="0"/>
                                          <w:divBdr>
                                            <w:top w:val="none" w:sz="0" w:space="0" w:color="auto"/>
                                            <w:left w:val="none" w:sz="0" w:space="0" w:color="auto"/>
                                            <w:bottom w:val="none" w:sz="0" w:space="0" w:color="auto"/>
                                            <w:right w:val="none" w:sz="0" w:space="0" w:color="auto"/>
                                          </w:divBdr>
                                          <w:divsChild>
                                            <w:div w:id="409039608">
                                              <w:marLeft w:val="0"/>
                                              <w:marRight w:val="0"/>
                                              <w:marTop w:val="0"/>
                                              <w:marBottom w:val="0"/>
                                              <w:divBdr>
                                                <w:top w:val="none" w:sz="0" w:space="0" w:color="auto"/>
                                                <w:left w:val="none" w:sz="0" w:space="0" w:color="auto"/>
                                                <w:bottom w:val="none" w:sz="0" w:space="0" w:color="auto"/>
                                                <w:right w:val="none" w:sz="0" w:space="0" w:color="auto"/>
                                              </w:divBdr>
                                              <w:divsChild>
                                                <w:div w:id="234323417">
                                                  <w:marLeft w:val="0"/>
                                                  <w:marRight w:val="0"/>
                                                  <w:marTop w:val="0"/>
                                                  <w:marBottom w:val="0"/>
                                                  <w:divBdr>
                                                    <w:top w:val="none" w:sz="0" w:space="0" w:color="auto"/>
                                                    <w:left w:val="none" w:sz="0" w:space="0" w:color="auto"/>
                                                    <w:bottom w:val="none" w:sz="0" w:space="0" w:color="auto"/>
                                                    <w:right w:val="none" w:sz="0" w:space="0" w:color="auto"/>
                                                  </w:divBdr>
                                                  <w:divsChild>
                                                    <w:div w:id="1522208109">
                                                      <w:marLeft w:val="0"/>
                                                      <w:marRight w:val="0"/>
                                                      <w:marTop w:val="0"/>
                                                      <w:marBottom w:val="0"/>
                                                      <w:divBdr>
                                                        <w:top w:val="none" w:sz="0" w:space="0" w:color="auto"/>
                                                        <w:left w:val="none" w:sz="0" w:space="0" w:color="auto"/>
                                                        <w:bottom w:val="none" w:sz="0" w:space="0" w:color="auto"/>
                                                        <w:right w:val="none" w:sz="0" w:space="0" w:color="auto"/>
                                                      </w:divBdr>
                                                      <w:divsChild>
                                                        <w:div w:id="221646788">
                                                          <w:marLeft w:val="0"/>
                                                          <w:marRight w:val="0"/>
                                                          <w:marTop w:val="0"/>
                                                          <w:marBottom w:val="345"/>
                                                          <w:divBdr>
                                                            <w:top w:val="none" w:sz="0" w:space="0" w:color="auto"/>
                                                            <w:left w:val="none" w:sz="0" w:space="0" w:color="auto"/>
                                                            <w:bottom w:val="none" w:sz="0" w:space="0" w:color="auto"/>
                                                            <w:right w:val="none" w:sz="0" w:space="0" w:color="auto"/>
                                                          </w:divBdr>
                                                          <w:divsChild>
                                                            <w:div w:id="1472166177">
                                                              <w:marLeft w:val="0"/>
                                                              <w:marRight w:val="0"/>
                                                              <w:marTop w:val="0"/>
                                                              <w:marBottom w:val="0"/>
                                                              <w:divBdr>
                                                                <w:top w:val="none" w:sz="0" w:space="0" w:color="auto"/>
                                                                <w:left w:val="none" w:sz="0" w:space="0" w:color="auto"/>
                                                                <w:bottom w:val="none" w:sz="0" w:space="0" w:color="auto"/>
                                                                <w:right w:val="none" w:sz="0" w:space="0" w:color="auto"/>
                                                              </w:divBdr>
                                                              <w:divsChild>
                                                                <w:div w:id="404258116">
                                                                  <w:marLeft w:val="0"/>
                                                                  <w:marRight w:val="0"/>
                                                                  <w:marTop w:val="0"/>
                                                                  <w:marBottom w:val="0"/>
                                                                  <w:divBdr>
                                                                    <w:top w:val="none" w:sz="0" w:space="0" w:color="auto"/>
                                                                    <w:left w:val="none" w:sz="0" w:space="0" w:color="auto"/>
                                                                    <w:bottom w:val="none" w:sz="0" w:space="0" w:color="auto"/>
                                                                    <w:right w:val="none" w:sz="0" w:space="0" w:color="auto"/>
                                                                  </w:divBdr>
                                                                  <w:divsChild>
                                                                    <w:div w:id="443692850">
                                                                      <w:marLeft w:val="0"/>
                                                                      <w:marRight w:val="0"/>
                                                                      <w:marTop w:val="0"/>
                                                                      <w:marBottom w:val="0"/>
                                                                      <w:divBdr>
                                                                        <w:top w:val="none" w:sz="0" w:space="0" w:color="auto"/>
                                                                        <w:left w:val="none" w:sz="0" w:space="0" w:color="auto"/>
                                                                        <w:bottom w:val="none" w:sz="0" w:space="0" w:color="auto"/>
                                                                        <w:right w:val="none" w:sz="0" w:space="0" w:color="auto"/>
                                                                      </w:divBdr>
                                                                      <w:divsChild>
                                                                        <w:div w:id="1991397062">
                                                                          <w:marLeft w:val="0"/>
                                                                          <w:marRight w:val="0"/>
                                                                          <w:marTop w:val="0"/>
                                                                          <w:marBottom w:val="0"/>
                                                                          <w:divBdr>
                                                                            <w:top w:val="none" w:sz="0" w:space="0" w:color="auto"/>
                                                                            <w:left w:val="none" w:sz="0" w:space="0" w:color="auto"/>
                                                                            <w:bottom w:val="none" w:sz="0" w:space="0" w:color="auto"/>
                                                                            <w:right w:val="none" w:sz="0" w:space="0" w:color="auto"/>
                                                                          </w:divBdr>
                                                                          <w:divsChild>
                                                                            <w:div w:id="1737315123">
                                                                              <w:marLeft w:val="0"/>
                                                                              <w:marRight w:val="0"/>
                                                                              <w:marTop w:val="0"/>
                                                                              <w:marBottom w:val="0"/>
                                                                              <w:divBdr>
                                                                                <w:top w:val="none" w:sz="0" w:space="0" w:color="auto"/>
                                                                                <w:left w:val="none" w:sz="0" w:space="0" w:color="auto"/>
                                                                                <w:bottom w:val="none" w:sz="0" w:space="0" w:color="auto"/>
                                                                                <w:right w:val="none" w:sz="0" w:space="0" w:color="auto"/>
                                                                              </w:divBdr>
                                                                              <w:divsChild>
                                                                                <w:div w:id="765275869">
                                                                                  <w:marLeft w:val="0"/>
                                                                                  <w:marRight w:val="0"/>
                                                                                  <w:marTop w:val="0"/>
                                                                                  <w:marBottom w:val="0"/>
                                                                                  <w:divBdr>
                                                                                    <w:top w:val="none" w:sz="0" w:space="0" w:color="auto"/>
                                                                                    <w:left w:val="none" w:sz="0" w:space="0" w:color="auto"/>
                                                                                    <w:bottom w:val="none" w:sz="0" w:space="0" w:color="auto"/>
                                                                                    <w:right w:val="none" w:sz="0" w:space="0" w:color="auto"/>
                                                                                  </w:divBdr>
                                                                                  <w:divsChild>
                                                                                    <w:div w:id="48967858">
                                                                                      <w:marLeft w:val="0"/>
                                                                                      <w:marRight w:val="0"/>
                                                                                      <w:marTop w:val="0"/>
                                                                                      <w:marBottom w:val="0"/>
                                                                                      <w:divBdr>
                                                                                        <w:top w:val="none" w:sz="0" w:space="0" w:color="auto"/>
                                                                                        <w:left w:val="none" w:sz="0" w:space="0" w:color="auto"/>
                                                                                        <w:bottom w:val="none" w:sz="0" w:space="0" w:color="auto"/>
                                                                                        <w:right w:val="none" w:sz="0" w:space="0" w:color="auto"/>
                                                                                      </w:divBdr>
                                                                                      <w:divsChild>
                                                                                        <w:div w:id="2072077055">
                                                                                          <w:marLeft w:val="0"/>
                                                                                          <w:marRight w:val="0"/>
                                                                                          <w:marTop w:val="0"/>
                                                                                          <w:marBottom w:val="0"/>
                                                                                          <w:divBdr>
                                                                                            <w:top w:val="none" w:sz="0" w:space="0" w:color="auto"/>
                                                                                            <w:left w:val="none" w:sz="0" w:space="0" w:color="auto"/>
                                                                                            <w:bottom w:val="none" w:sz="0" w:space="0" w:color="auto"/>
                                                                                            <w:right w:val="none" w:sz="0" w:space="0" w:color="auto"/>
                                                                                          </w:divBdr>
                                                                                          <w:divsChild>
                                                                                            <w:div w:id="1566259824">
                                                                                              <w:marLeft w:val="0"/>
                                                                                              <w:marRight w:val="0"/>
                                                                                              <w:marTop w:val="0"/>
                                                                                              <w:marBottom w:val="0"/>
                                                                                              <w:divBdr>
                                                                                                <w:top w:val="none" w:sz="0" w:space="0" w:color="auto"/>
                                                                                                <w:left w:val="none" w:sz="0" w:space="0" w:color="auto"/>
                                                                                                <w:bottom w:val="none" w:sz="0" w:space="0" w:color="auto"/>
                                                                                                <w:right w:val="none" w:sz="0" w:space="0" w:color="auto"/>
                                                                                              </w:divBdr>
                                                                                              <w:divsChild>
                                                                                                <w:div w:id="1729651524">
                                                                                                  <w:marLeft w:val="0"/>
                                                                                                  <w:marRight w:val="0"/>
                                                                                                  <w:marTop w:val="0"/>
                                                                                                  <w:marBottom w:val="0"/>
                                                                                                  <w:divBdr>
                                                                                                    <w:top w:val="none" w:sz="0" w:space="0" w:color="auto"/>
                                                                                                    <w:left w:val="none" w:sz="0" w:space="0" w:color="auto"/>
                                                                                                    <w:bottom w:val="none" w:sz="0" w:space="0" w:color="auto"/>
                                                                                                    <w:right w:val="none" w:sz="0" w:space="0" w:color="auto"/>
                                                                                                  </w:divBdr>
                                                                                                  <w:divsChild>
                                                                                                    <w:div w:id="607197111">
                                                                                                      <w:marLeft w:val="300"/>
                                                                                                      <w:marRight w:val="0"/>
                                                                                                      <w:marTop w:val="0"/>
                                                                                                      <w:marBottom w:val="0"/>
                                                                                                      <w:divBdr>
                                                                                                        <w:top w:val="none" w:sz="0" w:space="0" w:color="auto"/>
                                                                                                        <w:left w:val="none" w:sz="0" w:space="0" w:color="auto"/>
                                                                                                        <w:bottom w:val="none" w:sz="0" w:space="0" w:color="auto"/>
                                                                                                        <w:right w:val="none" w:sz="0" w:space="0" w:color="auto"/>
                                                                                                      </w:divBdr>
                                                                                                      <w:divsChild>
                                                                                                        <w:div w:id="951546989">
                                                                                                          <w:marLeft w:val="0"/>
                                                                                                          <w:marRight w:val="0"/>
                                                                                                          <w:marTop w:val="0"/>
                                                                                                          <w:marBottom w:val="0"/>
                                                                                                          <w:divBdr>
                                                                                                            <w:top w:val="none" w:sz="0" w:space="0" w:color="auto"/>
                                                                                                            <w:left w:val="none" w:sz="0" w:space="0" w:color="auto"/>
                                                                                                            <w:bottom w:val="none" w:sz="0" w:space="0" w:color="auto"/>
                                                                                                            <w:right w:val="none" w:sz="0" w:space="0" w:color="auto"/>
                                                                                                          </w:divBdr>
                                                                                                          <w:divsChild>
                                                                                                            <w:div w:id="13965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979980">
      <w:bodyDiv w:val="1"/>
      <w:marLeft w:val="0"/>
      <w:marRight w:val="0"/>
      <w:marTop w:val="0"/>
      <w:marBottom w:val="0"/>
      <w:divBdr>
        <w:top w:val="none" w:sz="0" w:space="0" w:color="auto"/>
        <w:left w:val="none" w:sz="0" w:space="0" w:color="auto"/>
        <w:bottom w:val="none" w:sz="0" w:space="0" w:color="auto"/>
        <w:right w:val="none" w:sz="0" w:space="0" w:color="auto"/>
      </w:divBdr>
      <w:divsChild>
        <w:div w:id="1211265333">
          <w:marLeft w:val="0"/>
          <w:marRight w:val="0"/>
          <w:marTop w:val="0"/>
          <w:marBottom w:val="0"/>
          <w:divBdr>
            <w:top w:val="none" w:sz="0" w:space="0" w:color="auto"/>
            <w:left w:val="none" w:sz="0" w:space="0" w:color="auto"/>
            <w:bottom w:val="none" w:sz="0" w:space="0" w:color="auto"/>
            <w:right w:val="none" w:sz="0" w:space="0" w:color="auto"/>
          </w:divBdr>
          <w:divsChild>
            <w:div w:id="1455908509">
              <w:marLeft w:val="0"/>
              <w:marRight w:val="0"/>
              <w:marTop w:val="0"/>
              <w:marBottom w:val="0"/>
              <w:divBdr>
                <w:top w:val="none" w:sz="0" w:space="0" w:color="auto"/>
                <w:left w:val="none" w:sz="0" w:space="0" w:color="auto"/>
                <w:bottom w:val="none" w:sz="0" w:space="0" w:color="auto"/>
                <w:right w:val="none" w:sz="0" w:space="0" w:color="auto"/>
              </w:divBdr>
              <w:divsChild>
                <w:div w:id="1744522771">
                  <w:marLeft w:val="0"/>
                  <w:marRight w:val="0"/>
                  <w:marTop w:val="0"/>
                  <w:marBottom w:val="0"/>
                  <w:divBdr>
                    <w:top w:val="none" w:sz="0" w:space="0" w:color="auto"/>
                    <w:left w:val="none" w:sz="0" w:space="0" w:color="auto"/>
                    <w:bottom w:val="none" w:sz="0" w:space="0" w:color="auto"/>
                    <w:right w:val="none" w:sz="0" w:space="0" w:color="auto"/>
                  </w:divBdr>
                  <w:divsChild>
                    <w:div w:id="1714384760">
                      <w:marLeft w:val="0"/>
                      <w:marRight w:val="0"/>
                      <w:marTop w:val="0"/>
                      <w:marBottom w:val="0"/>
                      <w:divBdr>
                        <w:top w:val="none" w:sz="0" w:space="0" w:color="auto"/>
                        <w:left w:val="none" w:sz="0" w:space="0" w:color="auto"/>
                        <w:bottom w:val="none" w:sz="0" w:space="0" w:color="auto"/>
                        <w:right w:val="none" w:sz="0" w:space="0" w:color="auto"/>
                      </w:divBdr>
                      <w:divsChild>
                        <w:div w:id="1336032206">
                          <w:marLeft w:val="0"/>
                          <w:marRight w:val="0"/>
                          <w:marTop w:val="45"/>
                          <w:marBottom w:val="0"/>
                          <w:divBdr>
                            <w:top w:val="none" w:sz="0" w:space="0" w:color="auto"/>
                            <w:left w:val="none" w:sz="0" w:space="0" w:color="auto"/>
                            <w:bottom w:val="none" w:sz="0" w:space="0" w:color="auto"/>
                            <w:right w:val="none" w:sz="0" w:space="0" w:color="auto"/>
                          </w:divBdr>
                          <w:divsChild>
                            <w:div w:id="1117288201">
                              <w:marLeft w:val="0"/>
                              <w:marRight w:val="0"/>
                              <w:marTop w:val="0"/>
                              <w:marBottom w:val="0"/>
                              <w:divBdr>
                                <w:top w:val="none" w:sz="0" w:space="0" w:color="auto"/>
                                <w:left w:val="none" w:sz="0" w:space="0" w:color="auto"/>
                                <w:bottom w:val="none" w:sz="0" w:space="0" w:color="auto"/>
                                <w:right w:val="none" w:sz="0" w:space="0" w:color="auto"/>
                              </w:divBdr>
                              <w:divsChild>
                                <w:div w:id="516237980">
                                  <w:marLeft w:val="2070"/>
                                  <w:marRight w:val="3810"/>
                                  <w:marTop w:val="0"/>
                                  <w:marBottom w:val="0"/>
                                  <w:divBdr>
                                    <w:top w:val="none" w:sz="0" w:space="0" w:color="auto"/>
                                    <w:left w:val="none" w:sz="0" w:space="0" w:color="auto"/>
                                    <w:bottom w:val="none" w:sz="0" w:space="0" w:color="auto"/>
                                    <w:right w:val="none" w:sz="0" w:space="0" w:color="auto"/>
                                  </w:divBdr>
                                  <w:divsChild>
                                    <w:div w:id="154617605">
                                      <w:marLeft w:val="0"/>
                                      <w:marRight w:val="0"/>
                                      <w:marTop w:val="0"/>
                                      <w:marBottom w:val="0"/>
                                      <w:divBdr>
                                        <w:top w:val="none" w:sz="0" w:space="0" w:color="auto"/>
                                        <w:left w:val="none" w:sz="0" w:space="0" w:color="auto"/>
                                        <w:bottom w:val="none" w:sz="0" w:space="0" w:color="auto"/>
                                        <w:right w:val="none" w:sz="0" w:space="0" w:color="auto"/>
                                      </w:divBdr>
                                      <w:divsChild>
                                        <w:div w:id="586689646">
                                          <w:marLeft w:val="0"/>
                                          <w:marRight w:val="0"/>
                                          <w:marTop w:val="0"/>
                                          <w:marBottom w:val="0"/>
                                          <w:divBdr>
                                            <w:top w:val="none" w:sz="0" w:space="0" w:color="auto"/>
                                            <w:left w:val="none" w:sz="0" w:space="0" w:color="auto"/>
                                            <w:bottom w:val="none" w:sz="0" w:space="0" w:color="auto"/>
                                            <w:right w:val="none" w:sz="0" w:space="0" w:color="auto"/>
                                          </w:divBdr>
                                          <w:divsChild>
                                            <w:div w:id="1058626304">
                                              <w:marLeft w:val="0"/>
                                              <w:marRight w:val="0"/>
                                              <w:marTop w:val="0"/>
                                              <w:marBottom w:val="0"/>
                                              <w:divBdr>
                                                <w:top w:val="none" w:sz="0" w:space="0" w:color="auto"/>
                                                <w:left w:val="none" w:sz="0" w:space="0" w:color="auto"/>
                                                <w:bottom w:val="none" w:sz="0" w:space="0" w:color="auto"/>
                                                <w:right w:val="none" w:sz="0" w:space="0" w:color="auto"/>
                                              </w:divBdr>
                                              <w:divsChild>
                                                <w:div w:id="706105895">
                                                  <w:marLeft w:val="0"/>
                                                  <w:marRight w:val="0"/>
                                                  <w:marTop w:val="0"/>
                                                  <w:marBottom w:val="0"/>
                                                  <w:divBdr>
                                                    <w:top w:val="none" w:sz="0" w:space="0" w:color="auto"/>
                                                    <w:left w:val="none" w:sz="0" w:space="0" w:color="auto"/>
                                                    <w:bottom w:val="none" w:sz="0" w:space="0" w:color="auto"/>
                                                    <w:right w:val="none" w:sz="0" w:space="0" w:color="auto"/>
                                                  </w:divBdr>
                                                  <w:divsChild>
                                                    <w:div w:id="1258634772">
                                                      <w:marLeft w:val="0"/>
                                                      <w:marRight w:val="0"/>
                                                      <w:marTop w:val="0"/>
                                                      <w:marBottom w:val="0"/>
                                                      <w:divBdr>
                                                        <w:top w:val="none" w:sz="0" w:space="0" w:color="auto"/>
                                                        <w:left w:val="none" w:sz="0" w:space="0" w:color="auto"/>
                                                        <w:bottom w:val="none" w:sz="0" w:space="0" w:color="auto"/>
                                                        <w:right w:val="none" w:sz="0" w:space="0" w:color="auto"/>
                                                      </w:divBdr>
                                                      <w:divsChild>
                                                        <w:div w:id="1357388747">
                                                          <w:marLeft w:val="0"/>
                                                          <w:marRight w:val="0"/>
                                                          <w:marTop w:val="0"/>
                                                          <w:marBottom w:val="345"/>
                                                          <w:divBdr>
                                                            <w:top w:val="none" w:sz="0" w:space="0" w:color="auto"/>
                                                            <w:left w:val="none" w:sz="0" w:space="0" w:color="auto"/>
                                                            <w:bottom w:val="none" w:sz="0" w:space="0" w:color="auto"/>
                                                            <w:right w:val="none" w:sz="0" w:space="0" w:color="auto"/>
                                                          </w:divBdr>
                                                          <w:divsChild>
                                                            <w:div w:id="698164315">
                                                              <w:marLeft w:val="0"/>
                                                              <w:marRight w:val="0"/>
                                                              <w:marTop w:val="0"/>
                                                              <w:marBottom w:val="0"/>
                                                              <w:divBdr>
                                                                <w:top w:val="none" w:sz="0" w:space="0" w:color="auto"/>
                                                                <w:left w:val="none" w:sz="0" w:space="0" w:color="auto"/>
                                                                <w:bottom w:val="none" w:sz="0" w:space="0" w:color="auto"/>
                                                                <w:right w:val="none" w:sz="0" w:space="0" w:color="auto"/>
                                                              </w:divBdr>
                                                              <w:divsChild>
                                                                <w:div w:id="747195001">
                                                                  <w:marLeft w:val="0"/>
                                                                  <w:marRight w:val="0"/>
                                                                  <w:marTop w:val="0"/>
                                                                  <w:marBottom w:val="0"/>
                                                                  <w:divBdr>
                                                                    <w:top w:val="none" w:sz="0" w:space="0" w:color="auto"/>
                                                                    <w:left w:val="none" w:sz="0" w:space="0" w:color="auto"/>
                                                                    <w:bottom w:val="none" w:sz="0" w:space="0" w:color="auto"/>
                                                                    <w:right w:val="none" w:sz="0" w:space="0" w:color="auto"/>
                                                                  </w:divBdr>
                                                                  <w:divsChild>
                                                                    <w:div w:id="354308623">
                                                                      <w:marLeft w:val="0"/>
                                                                      <w:marRight w:val="0"/>
                                                                      <w:marTop w:val="0"/>
                                                                      <w:marBottom w:val="0"/>
                                                                      <w:divBdr>
                                                                        <w:top w:val="none" w:sz="0" w:space="0" w:color="auto"/>
                                                                        <w:left w:val="none" w:sz="0" w:space="0" w:color="auto"/>
                                                                        <w:bottom w:val="none" w:sz="0" w:space="0" w:color="auto"/>
                                                                        <w:right w:val="none" w:sz="0" w:space="0" w:color="auto"/>
                                                                      </w:divBdr>
                                                                      <w:divsChild>
                                                                        <w:div w:id="703016483">
                                                                          <w:marLeft w:val="0"/>
                                                                          <w:marRight w:val="0"/>
                                                                          <w:marTop w:val="0"/>
                                                                          <w:marBottom w:val="0"/>
                                                                          <w:divBdr>
                                                                            <w:top w:val="none" w:sz="0" w:space="0" w:color="auto"/>
                                                                            <w:left w:val="none" w:sz="0" w:space="0" w:color="auto"/>
                                                                            <w:bottom w:val="none" w:sz="0" w:space="0" w:color="auto"/>
                                                                            <w:right w:val="none" w:sz="0" w:space="0" w:color="auto"/>
                                                                          </w:divBdr>
                                                                          <w:divsChild>
                                                                            <w:div w:id="2055497119">
                                                                              <w:marLeft w:val="0"/>
                                                                              <w:marRight w:val="0"/>
                                                                              <w:marTop w:val="0"/>
                                                                              <w:marBottom w:val="0"/>
                                                                              <w:divBdr>
                                                                                <w:top w:val="none" w:sz="0" w:space="0" w:color="auto"/>
                                                                                <w:left w:val="none" w:sz="0" w:space="0" w:color="auto"/>
                                                                                <w:bottom w:val="none" w:sz="0" w:space="0" w:color="auto"/>
                                                                                <w:right w:val="none" w:sz="0" w:space="0" w:color="auto"/>
                                                                              </w:divBdr>
                                                                              <w:divsChild>
                                                                                <w:div w:id="907570343">
                                                                                  <w:marLeft w:val="0"/>
                                                                                  <w:marRight w:val="0"/>
                                                                                  <w:marTop w:val="0"/>
                                                                                  <w:marBottom w:val="0"/>
                                                                                  <w:divBdr>
                                                                                    <w:top w:val="none" w:sz="0" w:space="0" w:color="auto"/>
                                                                                    <w:left w:val="none" w:sz="0" w:space="0" w:color="auto"/>
                                                                                    <w:bottom w:val="none" w:sz="0" w:space="0" w:color="auto"/>
                                                                                    <w:right w:val="none" w:sz="0" w:space="0" w:color="auto"/>
                                                                                  </w:divBdr>
                                                                                  <w:divsChild>
                                                                                    <w:div w:id="1202861144">
                                                                                      <w:marLeft w:val="0"/>
                                                                                      <w:marRight w:val="0"/>
                                                                                      <w:marTop w:val="0"/>
                                                                                      <w:marBottom w:val="0"/>
                                                                                      <w:divBdr>
                                                                                        <w:top w:val="none" w:sz="0" w:space="0" w:color="auto"/>
                                                                                        <w:left w:val="none" w:sz="0" w:space="0" w:color="auto"/>
                                                                                        <w:bottom w:val="none" w:sz="0" w:space="0" w:color="auto"/>
                                                                                        <w:right w:val="none" w:sz="0" w:space="0" w:color="auto"/>
                                                                                      </w:divBdr>
                                                                                      <w:divsChild>
                                                                                        <w:div w:id="1890218431">
                                                                                          <w:marLeft w:val="0"/>
                                                                                          <w:marRight w:val="0"/>
                                                                                          <w:marTop w:val="0"/>
                                                                                          <w:marBottom w:val="0"/>
                                                                                          <w:divBdr>
                                                                                            <w:top w:val="none" w:sz="0" w:space="0" w:color="auto"/>
                                                                                            <w:left w:val="none" w:sz="0" w:space="0" w:color="auto"/>
                                                                                            <w:bottom w:val="none" w:sz="0" w:space="0" w:color="auto"/>
                                                                                            <w:right w:val="none" w:sz="0" w:space="0" w:color="auto"/>
                                                                                          </w:divBdr>
                                                                                          <w:divsChild>
                                                                                            <w:div w:id="811144600">
                                                                                              <w:marLeft w:val="0"/>
                                                                                              <w:marRight w:val="0"/>
                                                                                              <w:marTop w:val="0"/>
                                                                                              <w:marBottom w:val="0"/>
                                                                                              <w:divBdr>
                                                                                                <w:top w:val="none" w:sz="0" w:space="0" w:color="auto"/>
                                                                                                <w:left w:val="none" w:sz="0" w:space="0" w:color="auto"/>
                                                                                                <w:bottom w:val="none" w:sz="0" w:space="0" w:color="auto"/>
                                                                                                <w:right w:val="none" w:sz="0" w:space="0" w:color="auto"/>
                                                                                              </w:divBdr>
                                                                                              <w:divsChild>
                                                                                                <w:div w:id="625357145">
                                                                                                  <w:marLeft w:val="0"/>
                                                                                                  <w:marRight w:val="0"/>
                                                                                                  <w:marTop w:val="0"/>
                                                                                                  <w:marBottom w:val="0"/>
                                                                                                  <w:divBdr>
                                                                                                    <w:top w:val="none" w:sz="0" w:space="0" w:color="auto"/>
                                                                                                    <w:left w:val="none" w:sz="0" w:space="0" w:color="auto"/>
                                                                                                    <w:bottom w:val="none" w:sz="0" w:space="0" w:color="auto"/>
                                                                                                    <w:right w:val="none" w:sz="0" w:space="0" w:color="auto"/>
                                                                                                  </w:divBdr>
                                                                                                  <w:divsChild>
                                                                                                    <w:div w:id="1923682863">
                                                                                                      <w:marLeft w:val="300"/>
                                                                                                      <w:marRight w:val="0"/>
                                                                                                      <w:marTop w:val="0"/>
                                                                                                      <w:marBottom w:val="0"/>
                                                                                                      <w:divBdr>
                                                                                                        <w:top w:val="none" w:sz="0" w:space="0" w:color="auto"/>
                                                                                                        <w:left w:val="none" w:sz="0" w:space="0" w:color="auto"/>
                                                                                                        <w:bottom w:val="none" w:sz="0" w:space="0" w:color="auto"/>
                                                                                                        <w:right w:val="none" w:sz="0" w:space="0" w:color="auto"/>
                                                                                                      </w:divBdr>
                                                                                                      <w:divsChild>
                                                                                                        <w:div w:id="1086610441">
                                                                                                          <w:marLeft w:val="0"/>
                                                                                                          <w:marRight w:val="0"/>
                                                                                                          <w:marTop w:val="0"/>
                                                                                                          <w:marBottom w:val="0"/>
                                                                                                          <w:divBdr>
                                                                                                            <w:top w:val="none" w:sz="0" w:space="0" w:color="auto"/>
                                                                                                            <w:left w:val="none" w:sz="0" w:space="0" w:color="auto"/>
                                                                                                            <w:bottom w:val="none" w:sz="0" w:space="0" w:color="auto"/>
                                                                                                            <w:right w:val="none" w:sz="0" w:space="0" w:color="auto"/>
                                                                                                          </w:divBdr>
                                                                                                          <w:divsChild>
                                                                                                            <w:div w:id="19610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045875">
      <w:bodyDiv w:val="1"/>
      <w:marLeft w:val="0"/>
      <w:marRight w:val="0"/>
      <w:marTop w:val="0"/>
      <w:marBottom w:val="0"/>
      <w:divBdr>
        <w:top w:val="none" w:sz="0" w:space="0" w:color="auto"/>
        <w:left w:val="none" w:sz="0" w:space="0" w:color="auto"/>
        <w:bottom w:val="none" w:sz="0" w:space="0" w:color="auto"/>
        <w:right w:val="none" w:sz="0" w:space="0" w:color="auto"/>
      </w:divBdr>
    </w:div>
    <w:div w:id="1297569544">
      <w:bodyDiv w:val="1"/>
      <w:marLeft w:val="0"/>
      <w:marRight w:val="0"/>
      <w:marTop w:val="0"/>
      <w:marBottom w:val="0"/>
      <w:divBdr>
        <w:top w:val="none" w:sz="0" w:space="0" w:color="auto"/>
        <w:left w:val="none" w:sz="0" w:space="0" w:color="auto"/>
        <w:bottom w:val="none" w:sz="0" w:space="0" w:color="auto"/>
        <w:right w:val="none" w:sz="0" w:space="0" w:color="auto"/>
      </w:divBdr>
    </w:div>
    <w:div w:id="1358583226">
      <w:bodyDiv w:val="1"/>
      <w:marLeft w:val="0"/>
      <w:marRight w:val="0"/>
      <w:marTop w:val="0"/>
      <w:marBottom w:val="0"/>
      <w:divBdr>
        <w:top w:val="none" w:sz="0" w:space="0" w:color="auto"/>
        <w:left w:val="none" w:sz="0" w:space="0" w:color="auto"/>
        <w:bottom w:val="none" w:sz="0" w:space="0" w:color="auto"/>
        <w:right w:val="none" w:sz="0" w:space="0" w:color="auto"/>
      </w:divBdr>
    </w:div>
    <w:div w:id="1483544644">
      <w:bodyDiv w:val="1"/>
      <w:marLeft w:val="0"/>
      <w:marRight w:val="0"/>
      <w:marTop w:val="0"/>
      <w:marBottom w:val="0"/>
      <w:divBdr>
        <w:top w:val="none" w:sz="0" w:space="0" w:color="auto"/>
        <w:left w:val="none" w:sz="0" w:space="0" w:color="auto"/>
        <w:bottom w:val="none" w:sz="0" w:space="0" w:color="auto"/>
        <w:right w:val="none" w:sz="0" w:space="0" w:color="auto"/>
      </w:divBdr>
    </w:div>
    <w:div w:id="1535580611">
      <w:bodyDiv w:val="1"/>
      <w:marLeft w:val="0"/>
      <w:marRight w:val="0"/>
      <w:marTop w:val="0"/>
      <w:marBottom w:val="0"/>
      <w:divBdr>
        <w:top w:val="none" w:sz="0" w:space="0" w:color="auto"/>
        <w:left w:val="none" w:sz="0" w:space="0" w:color="auto"/>
        <w:bottom w:val="none" w:sz="0" w:space="0" w:color="auto"/>
        <w:right w:val="none" w:sz="0" w:space="0" w:color="auto"/>
      </w:divBdr>
    </w:div>
    <w:div w:id="1735935443">
      <w:bodyDiv w:val="1"/>
      <w:marLeft w:val="0"/>
      <w:marRight w:val="0"/>
      <w:marTop w:val="0"/>
      <w:marBottom w:val="0"/>
      <w:divBdr>
        <w:top w:val="none" w:sz="0" w:space="0" w:color="auto"/>
        <w:left w:val="none" w:sz="0" w:space="0" w:color="auto"/>
        <w:bottom w:val="none" w:sz="0" w:space="0" w:color="auto"/>
        <w:right w:val="none" w:sz="0" w:space="0" w:color="auto"/>
      </w:divBdr>
    </w:div>
    <w:div w:id="1819496034">
      <w:bodyDiv w:val="1"/>
      <w:marLeft w:val="0"/>
      <w:marRight w:val="0"/>
      <w:marTop w:val="0"/>
      <w:marBottom w:val="0"/>
      <w:divBdr>
        <w:top w:val="none" w:sz="0" w:space="0" w:color="auto"/>
        <w:left w:val="none" w:sz="0" w:space="0" w:color="auto"/>
        <w:bottom w:val="none" w:sz="0" w:space="0" w:color="auto"/>
        <w:right w:val="none" w:sz="0" w:space="0" w:color="auto"/>
      </w:divBdr>
    </w:div>
    <w:div w:id="1896309065">
      <w:bodyDiv w:val="1"/>
      <w:marLeft w:val="0"/>
      <w:marRight w:val="0"/>
      <w:marTop w:val="0"/>
      <w:marBottom w:val="0"/>
      <w:divBdr>
        <w:top w:val="none" w:sz="0" w:space="0" w:color="auto"/>
        <w:left w:val="none" w:sz="0" w:space="0" w:color="auto"/>
        <w:bottom w:val="none" w:sz="0" w:space="0" w:color="auto"/>
        <w:right w:val="none" w:sz="0" w:space="0" w:color="auto"/>
      </w:divBdr>
    </w:div>
    <w:div w:id="20594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4E72F-C263-4FE2-8781-9CD68EFC89E4}"/>
</file>

<file path=customXml/itemProps2.xml><?xml version="1.0" encoding="utf-8"?>
<ds:datastoreItem xmlns:ds="http://schemas.openxmlformats.org/officeDocument/2006/customXml" ds:itemID="{9B86E2CC-7D53-4AFF-B181-316B66C8BFE7}"/>
</file>

<file path=customXml/itemProps3.xml><?xml version="1.0" encoding="utf-8"?>
<ds:datastoreItem xmlns:ds="http://schemas.openxmlformats.org/officeDocument/2006/customXml" ds:itemID="{29955E9A-3C04-4876-834C-31309D76DA82}"/>
</file>

<file path=customXml/itemProps4.xml><?xml version="1.0" encoding="utf-8"?>
<ds:datastoreItem xmlns:ds="http://schemas.openxmlformats.org/officeDocument/2006/customXml" ds:itemID="{DE7357F1-E434-4500-9AF9-0CB30C3311C6}"/>
</file>

<file path=docProps/app.xml><?xml version="1.0" encoding="utf-8"?>
<Properties xmlns="http://schemas.openxmlformats.org/officeDocument/2006/extended-properties" xmlns:vt="http://schemas.openxmlformats.org/officeDocument/2006/docPropsVTypes">
  <Template>Normal</Template>
  <TotalTime>6</TotalTime>
  <Pages>3</Pages>
  <Words>1068</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224</vt:lpstr>
    </vt:vector>
  </TitlesOfParts>
  <Company>SUGEVAL</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para la administración del efectivo en custodia destinado al pago de las obligaciones que se asumen con el sistema de compensación y liquidación y que los miembros liquidadores deben mantener en las cuentas de reserva del sistema nacional de pagos</dc:title>
  <dc:subject/>
  <dc:creator>Maureen Elizondo Orozco</dc:creator>
  <cp:keywords/>
  <dc:description/>
  <cp:lastModifiedBy>FERNANDEZ PORRAS PATRICIA</cp:lastModifiedBy>
  <cp:revision>5</cp:revision>
  <cp:lastPrinted>2016-08-05T20:59:00Z</cp:lastPrinted>
  <dcterms:created xsi:type="dcterms:W3CDTF">2017-05-11T15:59:00Z</dcterms:created>
  <dcterms:modified xsi:type="dcterms:W3CDTF">2017-12-11T16:16:00Z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PDC-ATLANTIDA\ariaspc221PDC-ATLANTIDA\sandiam83</vt:lpwstr>
  </property>
  <property fmtid="{D5CDD505-2E9C-101B-9397-08002B2CF9AE}" pid="6" name="FileLeafRef">
    <vt:lpwstr>SGV-A-224.docx</vt:lpwstr>
  </property>
</Properties>
</file>