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/word/document.xml"/>
  <Relationship Id="rId2" Type="http://schemas.openxmlformats.org/package/2006/relationships/metadata/core-properties" Target="/docProps/core.xml"/>
  <Relationship Id="rId3" Type="http://schemas.openxmlformats.org/officeDocument/2006/relationships/extended-properties" Target="/docProps/app.xml"/>
  <Relationship Id="rId4" Type="http://schemas.openxmlformats.org/officeDocument/2006/relationships/custom-properties" Target="/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C9" w:rsidRPr="009774C9" w:rsidRDefault="00BF3301" w:rsidP="009774C9">
      <w:pPr>
        <w:jc w:val="both"/>
        <w:rPr>
          <w:rFonts w:ascii="Arial" w:hAnsi="Arial" w:cs="Arial"/>
          <w:b/>
          <w:sz w:val="22"/>
          <w:szCs w:val="22"/>
          <w:lang w:val="es-CR" w:eastAsia="es-ES"/>
        </w:rPr>
      </w:pPr>
      <w:r w:rsidRPr="009774C9">
        <w:rPr>
          <w:rFonts w:ascii="Arial" w:hAnsi="Arial" w:cs="Arial"/>
          <w:b/>
          <w:sz w:val="22"/>
          <w:szCs w:val="22"/>
          <w:lang w:val="es-MX"/>
        </w:rPr>
        <w:t xml:space="preserve">SGV-A-232. </w:t>
      </w:r>
      <w:r w:rsidR="009774C9" w:rsidRPr="009774C9">
        <w:rPr>
          <w:rFonts w:ascii="Arial" w:hAnsi="Arial" w:cs="Arial"/>
          <w:b/>
          <w:sz w:val="22"/>
          <w:szCs w:val="22"/>
          <w:lang w:val="es-CR" w:eastAsia="es-ES"/>
        </w:rPr>
        <w:t xml:space="preserve">MODIFICACIÓN AL ACUERDO PARA LA IDENTIFICACIÓN DE LOS CLIENTES TITULARES DE LAS CUENTAS DE VALORES EN EL SISTEMA NACIONAL DE REGISTRO DE ANOTACIONES EN CUENTA Y LA ADMINISTRACIÓN DE CUENTAS DE VALORES </w:t>
      </w:r>
      <w:r w:rsidR="009774C9" w:rsidRPr="009774C9">
        <w:rPr>
          <w:rStyle w:val="FootnoteReference"/>
          <w:rFonts w:ascii="Arial" w:hAnsi="Arial" w:cs="Arial"/>
          <w:b/>
          <w:sz w:val="22"/>
          <w:szCs w:val="22"/>
          <w:lang w:val="es-CR" w:eastAsia="es-ES"/>
        </w:rPr>
        <w:footnoteReference w:id="1"/>
      </w:r>
    </w:p>
    <w:p w:rsidR="009774C9" w:rsidRPr="009774C9" w:rsidRDefault="009774C9" w:rsidP="009774C9">
      <w:pPr>
        <w:jc w:val="both"/>
        <w:rPr>
          <w:rFonts w:ascii="Arial" w:hAnsi="Arial" w:cs="Arial"/>
          <w:sz w:val="22"/>
          <w:szCs w:val="22"/>
          <w:lang w:val="es-CR"/>
        </w:rPr>
      </w:pPr>
    </w:p>
    <w:p w:rsidR="00156322" w:rsidRPr="009774C9" w:rsidRDefault="00156322" w:rsidP="009774C9">
      <w:pPr>
        <w:widowControl w:val="0"/>
        <w:jc w:val="both"/>
        <w:rPr>
          <w:rFonts w:ascii="Arial" w:hAnsi="Arial" w:cs="Arial"/>
          <w:sz w:val="22"/>
          <w:szCs w:val="22"/>
          <w:lang w:val="es-CR" w:eastAsia="es-ES"/>
        </w:rPr>
      </w:pPr>
    </w:p>
    <w:p w:rsidR="00156322" w:rsidRPr="009774C9" w:rsidRDefault="00156322" w:rsidP="009774C9">
      <w:pPr>
        <w:widowControl w:val="0"/>
        <w:jc w:val="both"/>
        <w:rPr>
          <w:rFonts w:ascii="Arial" w:hAnsi="Arial" w:cs="Arial"/>
          <w:b/>
          <w:sz w:val="22"/>
          <w:szCs w:val="22"/>
          <w:lang w:val="es-CR" w:eastAsia="es-ES"/>
        </w:rPr>
      </w:pPr>
      <w:r w:rsidRPr="009774C9">
        <w:rPr>
          <w:rFonts w:ascii="Arial" w:hAnsi="Arial" w:cs="Arial"/>
          <w:b/>
          <w:sz w:val="22"/>
          <w:szCs w:val="22"/>
          <w:lang w:val="es-CR" w:eastAsia="es-ES"/>
        </w:rPr>
        <w:t>Considerando que:</w:t>
      </w:r>
    </w:p>
    <w:p w:rsidR="00156322" w:rsidRPr="009774C9" w:rsidRDefault="00156322" w:rsidP="009774C9">
      <w:pPr>
        <w:widowControl w:val="0"/>
        <w:jc w:val="both"/>
        <w:rPr>
          <w:rFonts w:ascii="Arial" w:hAnsi="Arial" w:cs="Arial"/>
          <w:sz w:val="22"/>
          <w:szCs w:val="22"/>
          <w:lang w:val="es-CR" w:eastAsia="es-ES"/>
        </w:rPr>
      </w:pPr>
    </w:p>
    <w:p w:rsidR="00156322" w:rsidRPr="009774C9" w:rsidRDefault="00156322" w:rsidP="009774C9">
      <w:pPr>
        <w:pStyle w:val="ListParagraph"/>
        <w:widowControl w:val="0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  <w:lang w:val="es-CR" w:eastAsia="es-ES"/>
        </w:rPr>
      </w:pPr>
      <w:r w:rsidRPr="009774C9">
        <w:rPr>
          <w:rFonts w:ascii="Arial" w:hAnsi="Arial" w:cs="Arial"/>
          <w:sz w:val="22"/>
          <w:szCs w:val="22"/>
          <w:lang w:val="es-CR" w:eastAsia="es-ES"/>
        </w:rPr>
        <w:t>De conformidad con el artículo 8 de la Ley Reguladora del Mercado de Valores (LRMV) corresponde al Superintendente General de Valores adoptar todas las acciones necesarias para el cumplimiento efectivo de las funciones de regulación, fiscalización y supervisión que le competen a la Superintendencia General de Valores.</w:t>
      </w:r>
    </w:p>
    <w:p w:rsidR="00156322" w:rsidRPr="009774C9" w:rsidRDefault="00156322" w:rsidP="009774C9">
      <w:pPr>
        <w:widowControl w:val="0"/>
        <w:jc w:val="both"/>
        <w:rPr>
          <w:rFonts w:ascii="Arial" w:hAnsi="Arial" w:cs="Arial"/>
          <w:sz w:val="22"/>
          <w:szCs w:val="22"/>
          <w:lang w:val="es-CR" w:eastAsia="es-ES"/>
        </w:rPr>
      </w:pPr>
    </w:p>
    <w:p w:rsidR="00156322" w:rsidRPr="009774C9" w:rsidRDefault="00156322" w:rsidP="009774C9">
      <w:pPr>
        <w:pStyle w:val="ListParagraph"/>
        <w:widowControl w:val="0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  <w:lang w:val="es-CR" w:eastAsia="es-ES"/>
        </w:rPr>
      </w:pPr>
      <w:r w:rsidRPr="009774C9">
        <w:rPr>
          <w:rFonts w:ascii="Arial" w:hAnsi="Arial" w:cs="Arial"/>
          <w:sz w:val="22"/>
          <w:szCs w:val="22"/>
          <w:lang w:val="es-CR" w:eastAsia="es-ES"/>
        </w:rPr>
        <w:t>El artículo 116 de la LRMV establece que la Superintendencia General de Valores reglamentará la organización y el funcionamiento de los registros, los sistemas de identificación y el control de los valores representados por medio de anotaciones electrónicas en cuenta.</w:t>
      </w:r>
    </w:p>
    <w:p w:rsidR="00156322" w:rsidRPr="009774C9" w:rsidRDefault="00156322" w:rsidP="009774C9">
      <w:pPr>
        <w:widowControl w:val="0"/>
        <w:jc w:val="both"/>
        <w:rPr>
          <w:rFonts w:ascii="Arial" w:hAnsi="Arial" w:cs="Arial"/>
          <w:sz w:val="22"/>
          <w:szCs w:val="22"/>
          <w:lang w:val="es-CR" w:eastAsia="es-ES"/>
        </w:rPr>
      </w:pPr>
    </w:p>
    <w:p w:rsidR="003B7FB9" w:rsidRPr="009774C9" w:rsidRDefault="00156322" w:rsidP="009774C9">
      <w:pPr>
        <w:pStyle w:val="ListParagraph"/>
        <w:widowControl w:val="0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  <w:lang w:val="es-CR" w:eastAsia="es-ES"/>
        </w:rPr>
      </w:pPr>
      <w:r w:rsidRPr="009774C9">
        <w:rPr>
          <w:rFonts w:ascii="Arial" w:hAnsi="Arial" w:cs="Arial"/>
          <w:sz w:val="22"/>
          <w:szCs w:val="22"/>
          <w:lang w:val="es-CR" w:eastAsia="es-ES"/>
        </w:rPr>
        <w:t xml:space="preserve">El </w:t>
      </w:r>
      <w:r w:rsidR="00030638" w:rsidRPr="009774C9">
        <w:rPr>
          <w:rFonts w:ascii="Arial" w:hAnsi="Arial" w:cs="Arial"/>
          <w:sz w:val="22"/>
          <w:szCs w:val="22"/>
          <w:lang w:val="es-CR" w:eastAsia="es-ES"/>
        </w:rPr>
        <w:t>artículo 20 del</w:t>
      </w:r>
      <w:r w:rsidRPr="009774C9">
        <w:rPr>
          <w:rFonts w:ascii="Arial" w:hAnsi="Arial" w:cs="Arial"/>
          <w:sz w:val="22"/>
          <w:szCs w:val="22"/>
          <w:lang w:val="es-CR" w:eastAsia="es-ES"/>
        </w:rPr>
        <w:t xml:space="preserve"> Reglamento</w:t>
      </w:r>
      <w:r w:rsidR="00030638" w:rsidRPr="009774C9">
        <w:rPr>
          <w:rFonts w:ascii="Arial" w:hAnsi="Arial" w:cs="Arial"/>
          <w:sz w:val="22"/>
          <w:szCs w:val="22"/>
          <w:lang w:val="es-CR" w:eastAsia="es-ES"/>
        </w:rPr>
        <w:t xml:space="preserve"> de Custodia</w:t>
      </w:r>
      <w:r w:rsidRPr="009774C9">
        <w:rPr>
          <w:rFonts w:ascii="Arial" w:hAnsi="Arial" w:cs="Arial"/>
          <w:sz w:val="22"/>
          <w:szCs w:val="22"/>
          <w:lang w:val="es-CR" w:eastAsia="es-ES"/>
        </w:rPr>
        <w:t>, establece que las entidades de custodia están obligadas a la permanente y precisa identificación de los titulares de los valores y del efectivo asociado bajo su custodia, la cual debe cumplirse tanto en el sistema de registro interno como en los sistemas de registro de las centrales de valores.</w:t>
      </w:r>
    </w:p>
    <w:p w:rsidR="003B7FB9" w:rsidRPr="009774C9" w:rsidRDefault="003B7FB9" w:rsidP="009774C9">
      <w:pPr>
        <w:pStyle w:val="ListParagraph"/>
        <w:jc w:val="both"/>
        <w:rPr>
          <w:rFonts w:ascii="Arial" w:hAnsi="Arial" w:cs="Arial"/>
          <w:sz w:val="22"/>
          <w:szCs w:val="22"/>
          <w:lang w:val="es-CR" w:eastAsia="es-ES"/>
        </w:rPr>
      </w:pPr>
    </w:p>
    <w:p w:rsidR="003B7FB9" w:rsidRPr="009774C9" w:rsidRDefault="00CF4FEE" w:rsidP="009774C9">
      <w:pPr>
        <w:pStyle w:val="ListParagraph"/>
        <w:widowControl w:val="0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  <w:lang w:val="es-CR" w:eastAsia="es-ES"/>
        </w:rPr>
      </w:pPr>
      <w:r w:rsidRPr="009774C9">
        <w:rPr>
          <w:rFonts w:ascii="Arial" w:hAnsi="Arial" w:cs="Arial"/>
          <w:sz w:val="22"/>
          <w:szCs w:val="22"/>
          <w:lang w:val="es-CR" w:eastAsia="es-ES"/>
        </w:rPr>
        <w:t>P</w:t>
      </w:r>
      <w:r w:rsidR="00030638" w:rsidRPr="009774C9">
        <w:rPr>
          <w:rFonts w:ascii="Arial" w:hAnsi="Arial" w:cs="Arial"/>
          <w:sz w:val="22"/>
          <w:szCs w:val="22"/>
          <w:lang w:val="es-CR" w:eastAsia="es-ES"/>
        </w:rPr>
        <w:t xml:space="preserve">ara el cumplimiento de lo establecido en dicho artículo, la Superintendencia emitió </w:t>
      </w:r>
      <w:r w:rsidR="0033704F" w:rsidRPr="009774C9">
        <w:rPr>
          <w:rFonts w:ascii="Arial" w:hAnsi="Arial" w:cs="Arial"/>
          <w:sz w:val="22"/>
          <w:szCs w:val="22"/>
          <w:lang w:val="es-CR" w:eastAsia="es-ES"/>
        </w:rPr>
        <w:t xml:space="preserve">el 28 de marzo del 2017, </w:t>
      </w:r>
      <w:r w:rsidR="00030638" w:rsidRPr="009774C9">
        <w:rPr>
          <w:rFonts w:ascii="Arial" w:hAnsi="Arial" w:cs="Arial"/>
          <w:sz w:val="22"/>
          <w:szCs w:val="22"/>
          <w:lang w:val="es-CR" w:eastAsia="es-ES"/>
        </w:rPr>
        <w:t>la norma SGV-A-223 Acuerdo para la identificación de los clientes titulares de las cuentas de valores en el sistema nacional de registro de anotaciones en cuenta y la administración de cuentas de valores</w:t>
      </w:r>
      <w:r w:rsidR="003B7FB9" w:rsidRPr="009774C9">
        <w:rPr>
          <w:rFonts w:ascii="Arial" w:hAnsi="Arial" w:cs="Arial"/>
          <w:sz w:val="22"/>
          <w:szCs w:val="22"/>
          <w:lang w:val="es-CR" w:eastAsia="es-ES"/>
        </w:rPr>
        <w:t xml:space="preserve"> </w:t>
      </w:r>
      <w:r w:rsidR="003B7FB9" w:rsidRPr="009774C9">
        <w:rPr>
          <w:rFonts w:ascii="Arial" w:hAnsi="Arial" w:cs="Arial"/>
          <w:sz w:val="22"/>
          <w:szCs w:val="22"/>
          <w:lang w:val="es-CR"/>
        </w:rPr>
        <w:t>tiene como propósito establecer las disposiciones normativas sobre una estructura estandarizada de identificación de los titulares de las cuentas de valores registradas en las entidades de custodia y en las entidades miembros del Sistema Nacional de Registro de Anotaciones en Cuenta.</w:t>
      </w:r>
    </w:p>
    <w:p w:rsidR="001305CF" w:rsidRPr="009774C9" w:rsidRDefault="001305CF" w:rsidP="009774C9">
      <w:pPr>
        <w:pStyle w:val="ListParagraph"/>
        <w:jc w:val="both"/>
        <w:rPr>
          <w:rFonts w:ascii="Arial" w:hAnsi="Arial" w:cs="Arial"/>
          <w:sz w:val="22"/>
          <w:szCs w:val="22"/>
          <w:lang w:val="es-CR" w:eastAsia="es-ES"/>
        </w:rPr>
      </w:pPr>
    </w:p>
    <w:p w:rsidR="0033704F" w:rsidRPr="009774C9" w:rsidRDefault="00CF4FEE" w:rsidP="009774C9">
      <w:pPr>
        <w:pStyle w:val="ListParagraph"/>
        <w:widowControl w:val="0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  <w:lang w:val="es-CR" w:eastAsia="es-ES"/>
        </w:rPr>
      </w:pPr>
      <w:r w:rsidRPr="009774C9">
        <w:rPr>
          <w:rFonts w:ascii="Arial" w:hAnsi="Arial" w:cs="Arial"/>
          <w:sz w:val="22"/>
          <w:szCs w:val="22"/>
          <w:lang w:val="es-CR" w:eastAsia="es-ES"/>
        </w:rPr>
        <w:t>E</w:t>
      </w:r>
      <w:r w:rsidR="0033704F" w:rsidRPr="009774C9">
        <w:rPr>
          <w:rFonts w:ascii="Arial" w:hAnsi="Arial" w:cs="Arial"/>
          <w:sz w:val="22"/>
          <w:szCs w:val="22"/>
          <w:lang w:val="es-CR" w:eastAsia="es-ES"/>
        </w:rPr>
        <w:t xml:space="preserve">n el acuerdo SGV-A-223 mencionado supra se estableció para las personas jurídicas extranjeras la obligación del cumplimiento del </w:t>
      </w:r>
      <w:r w:rsidR="00156322" w:rsidRPr="009774C9">
        <w:rPr>
          <w:rFonts w:ascii="Arial" w:hAnsi="Arial" w:cs="Arial"/>
          <w:sz w:val="22"/>
          <w:szCs w:val="22"/>
          <w:lang w:val="es-CR" w:eastAsia="es-ES"/>
        </w:rPr>
        <w:t>decreto número 34691-J</w:t>
      </w:r>
      <w:r w:rsidR="0033704F" w:rsidRPr="009774C9">
        <w:rPr>
          <w:rFonts w:ascii="Arial" w:hAnsi="Arial" w:cs="Arial"/>
          <w:sz w:val="22"/>
          <w:szCs w:val="22"/>
          <w:lang w:val="es-CR" w:eastAsia="es-ES"/>
        </w:rPr>
        <w:t>, el cual e</w:t>
      </w:r>
      <w:r w:rsidR="00156322" w:rsidRPr="009774C9">
        <w:rPr>
          <w:rFonts w:ascii="Arial" w:hAnsi="Arial" w:cs="Arial"/>
          <w:sz w:val="22"/>
          <w:szCs w:val="22"/>
          <w:lang w:val="es-CR" w:eastAsia="es-ES"/>
        </w:rPr>
        <w:t>stablec</w:t>
      </w:r>
      <w:r w:rsidR="0033704F" w:rsidRPr="009774C9">
        <w:rPr>
          <w:rFonts w:ascii="Arial" w:hAnsi="Arial" w:cs="Arial"/>
          <w:sz w:val="22"/>
          <w:szCs w:val="22"/>
          <w:lang w:val="es-CR" w:eastAsia="es-ES"/>
        </w:rPr>
        <w:t>e</w:t>
      </w:r>
      <w:r w:rsidR="00156322" w:rsidRPr="009774C9">
        <w:rPr>
          <w:rFonts w:ascii="Arial" w:hAnsi="Arial" w:cs="Arial"/>
          <w:sz w:val="22"/>
          <w:szCs w:val="22"/>
          <w:lang w:val="es-CR" w:eastAsia="es-ES"/>
        </w:rPr>
        <w:t xml:space="preserve"> las normas para la asignación y expedición de la cédula de las personas jurídicas. </w:t>
      </w:r>
      <w:r w:rsidR="0033704F" w:rsidRPr="009774C9">
        <w:rPr>
          <w:rFonts w:ascii="Arial" w:hAnsi="Arial" w:cs="Arial"/>
          <w:sz w:val="22"/>
          <w:szCs w:val="22"/>
          <w:lang w:val="es-CR" w:eastAsia="es-ES"/>
        </w:rPr>
        <w:t>E</w:t>
      </w:r>
      <w:r w:rsidR="00156322" w:rsidRPr="009774C9">
        <w:rPr>
          <w:rFonts w:ascii="Arial" w:hAnsi="Arial" w:cs="Arial"/>
          <w:sz w:val="22"/>
          <w:szCs w:val="22"/>
          <w:lang w:val="es-CR" w:eastAsia="es-ES"/>
        </w:rPr>
        <w:t>ste decreto establece que las persona jurídicas, tanto de derecho público como privado, que existen en el país o llegaren a existir, así como las extranjeras que operen en el país, ya sea que se inscriban o no en el Registro de Personas Jurídicas del Registro Nacional, se identificarán con el número de cédula de persona jurídica que les asigne el Registro Nacional, el cual será único y unívoco para cada entidad, de manera que distinga a cada una de ellas, sin posibilidad de confusión.</w:t>
      </w:r>
    </w:p>
    <w:p w:rsidR="0033704F" w:rsidRPr="009774C9" w:rsidRDefault="0033704F" w:rsidP="009774C9">
      <w:pPr>
        <w:pStyle w:val="ListParagraph"/>
        <w:jc w:val="both"/>
        <w:rPr>
          <w:rFonts w:ascii="Arial" w:eastAsia="Calibri" w:hAnsi="Arial" w:cs="Arial"/>
          <w:sz w:val="22"/>
          <w:szCs w:val="22"/>
          <w:lang w:val="es-CR"/>
        </w:rPr>
      </w:pPr>
    </w:p>
    <w:p w:rsidR="009A27FA" w:rsidRPr="009774C9" w:rsidRDefault="0033704F" w:rsidP="009774C9">
      <w:pPr>
        <w:pStyle w:val="ListParagraph"/>
        <w:widowControl w:val="0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  <w:lang w:val="es-CR" w:eastAsia="es-ES"/>
        </w:rPr>
      </w:pPr>
      <w:r w:rsidRPr="009774C9">
        <w:rPr>
          <w:rFonts w:ascii="Arial" w:hAnsi="Arial" w:cs="Arial"/>
          <w:sz w:val="22"/>
          <w:szCs w:val="22"/>
          <w:lang w:val="es-CR" w:eastAsia="es-ES"/>
        </w:rPr>
        <w:t xml:space="preserve">No obstante lo anterior, </w:t>
      </w:r>
      <w:r w:rsidR="006B2ED5" w:rsidRPr="009774C9">
        <w:rPr>
          <w:rFonts w:ascii="Arial" w:hAnsi="Arial" w:cs="Arial"/>
          <w:sz w:val="22"/>
          <w:szCs w:val="22"/>
          <w:lang w:val="es-CR" w:eastAsia="es-ES"/>
        </w:rPr>
        <w:t xml:space="preserve">como parte del proceso </w:t>
      </w:r>
      <w:r w:rsidR="005B71E1" w:rsidRPr="009774C9">
        <w:rPr>
          <w:rFonts w:ascii="Arial" w:hAnsi="Arial" w:cs="Arial"/>
          <w:sz w:val="22"/>
          <w:szCs w:val="22"/>
          <w:lang w:val="es-CR" w:eastAsia="es-ES"/>
        </w:rPr>
        <w:t xml:space="preserve">de adopción del </w:t>
      </w:r>
      <w:proofErr w:type="spellStart"/>
      <w:r w:rsidR="005B71E1" w:rsidRPr="009774C9">
        <w:rPr>
          <w:rFonts w:ascii="Arial" w:hAnsi="Arial" w:cs="Arial"/>
          <w:sz w:val="22"/>
          <w:szCs w:val="22"/>
          <w:lang w:val="es-CR" w:eastAsia="es-ES"/>
        </w:rPr>
        <w:t>Common</w:t>
      </w:r>
      <w:proofErr w:type="spellEnd"/>
      <w:r w:rsidR="005B71E1" w:rsidRPr="009774C9">
        <w:rPr>
          <w:rFonts w:ascii="Arial" w:hAnsi="Arial" w:cs="Arial"/>
          <w:sz w:val="22"/>
          <w:szCs w:val="22"/>
          <w:lang w:val="es-CR" w:eastAsia="es-ES"/>
        </w:rPr>
        <w:t xml:space="preserve"> </w:t>
      </w:r>
      <w:proofErr w:type="spellStart"/>
      <w:r w:rsidR="005B71E1" w:rsidRPr="009774C9">
        <w:rPr>
          <w:rFonts w:ascii="Arial" w:hAnsi="Arial" w:cs="Arial"/>
          <w:sz w:val="22"/>
          <w:szCs w:val="22"/>
          <w:lang w:val="es-CR" w:eastAsia="es-ES"/>
        </w:rPr>
        <w:t>Reporting</w:t>
      </w:r>
      <w:proofErr w:type="spellEnd"/>
      <w:r w:rsidR="005B71E1" w:rsidRPr="009774C9">
        <w:rPr>
          <w:rFonts w:ascii="Arial" w:hAnsi="Arial" w:cs="Arial"/>
          <w:sz w:val="22"/>
          <w:szCs w:val="22"/>
          <w:lang w:val="es-CR" w:eastAsia="es-ES"/>
        </w:rPr>
        <w:t xml:space="preserve"> Standard (CRS) de OCDE </w:t>
      </w:r>
      <w:r w:rsidR="009A27FA" w:rsidRPr="009774C9">
        <w:rPr>
          <w:rFonts w:ascii="Arial" w:hAnsi="Arial" w:cs="Arial"/>
          <w:sz w:val="22"/>
          <w:szCs w:val="22"/>
          <w:lang w:val="es-CR" w:eastAsia="es-ES"/>
        </w:rPr>
        <w:t xml:space="preserve">se </w:t>
      </w:r>
      <w:r w:rsidR="005B71E1" w:rsidRPr="009774C9">
        <w:rPr>
          <w:rFonts w:ascii="Arial" w:hAnsi="Arial" w:cs="Arial"/>
          <w:sz w:val="22"/>
          <w:szCs w:val="22"/>
          <w:lang w:val="es-CR" w:eastAsia="es-ES"/>
        </w:rPr>
        <w:t xml:space="preserve">considera necesario ampliar el alcance </w:t>
      </w:r>
      <w:r w:rsidR="005B71E1" w:rsidRPr="009774C9">
        <w:rPr>
          <w:rFonts w:ascii="Arial" w:hAnsi="Arial" w:cs="Arial"/>
          <w:sz w:val="22"/>
          <w:szCs w:val="22"/>
          <w:lang w:val="es-CR" w:eastAsia="es-ES"/>
        </w:rPr>
        <w:lastRenderedPageBreak/>
        <w:t>del acuerdo</w:t>
      </w:r>
      <w:r w:rsidR="009A27FA" w:rsidRPr="009774C9">
        <w:rPr>
          <w:rFonts w:ascii="Arial" w:hAnsi="Arial" w:cs="Arial"/>
          <w:sz w:val="22"/>
          <w:szCs w:val="22"/>
          <w:lang w:val="es-CR" w:eastAsia="es-ES"/>
        </w:rPr>
        <w:t xml:space="preserve"> con el fin de  </w:t>
      </w:r>
      <w:r w:rsidR="005B71E1" w:rsidRPr="009774C9">
        <w:rPr>
          <w:rFonts w:ascii="Arial" w:hAnsi="Arial" w:cs="Arial"/>
          <w:sz w:val="22"/>
          <w:szCs w:val="22"/>
          <w:lang w:val="es-CR" w:eastAsia="es-ES"/>
        </w:rPr>
        <w:t>incorporar</w:t>
      </w:r>
      <w:r w:rsidR="009A27FA" w:rsidRPr="009774C9">
        <w:rPr>
          <w:rFonts w:ascii="Arial" w:hAnsi="Arial" w:cs="Arial"/>
          <w:sz w:val="22"/>
          <w:szCs w:val="22"/>
          <w:lang w:val="es-CR" w:eastAsia="es-ES"/>
        </w:rPr>
        <w:t xml:space="preserve"> como meca</w:t>
      </w:r>
      <w:r w:rsidR="00CF4FEE" w:rsidRPr="009774C9">
        <w:rPr>
          <w:rFonts w:ascii="Arial" w:hAnsi="Arial" w:cs="Arial"/>
          <w:sz w:val="22"/>
          <w:szCs w:val="22"/>
          <w:lang w:val="es-CR" w:eastAsia="es-ES"/>
        </w:rPr>
        <w:t>nismo alterno de identificación, el uso del Número de Identificación Tributaria (</w:t>
      </w:r>
      <w:proofErr w:type="spellStart"/>
      <w:r w:rsidR="00CF4FEE" w:rsidRPr="009774C9">
        <w:rPr>
          <w:rFonts w:ascii="Arial" w:hAnsi="Arial" w:cs="Arial"/>
          <w:sz w:val="22"/>
          <w:szCs w:val="22"/>
          <w:lang w:val="es-CR" w:eastAsia="es-ES"/>
        </w:rPr>
        <w:t>Tax</w:t>
      </w:r>
      <w:proofErr w:type="spellEnd"/>
      <w:r w:rsidR="00CF4FEE" w:rsidRPr="009774C9">
        <w:rPr>
          <w:rFonts w:ascii="Arial" w:hAnsi="Arial" w:cs="Arial"/>
          <w:sz w:val="22"/>
          <w:szCs w:val="22"/>
          <w:lang w:val="es-CR" w:eastAsia="es-ES"/>
        </w:rPr>
        <w:t xml:space="preserve"> </w:t>
      </w:r>
      <w:proofErr w:type="spellStart"/>
      <w:r w:rsidR="00CF4FEE" w:rsidRPr="009774C9">
        <w:rPr>
          <w:rFonts w:ascii="Arial" w:hAnsi="Arial" w:cs="Arial"/>
          <w:sz w:val="22"/>
          <w:szCs w:val="22"/>
          <w:lang w:val="es-CR" w:eastAsia="es-ES"/>
        </w:rPr>
        <w:t>identification</w:t>
      </w:r>
      <w:proofErr w:type="spellEnd"/>
      <w:r w:rsidR="00CF4FEE" w:rsidRPr="009774C9">
        <w:rPr>
          <w:rFonts w:ascii="Arial" w:hAnsi="Arial" w:cs="Arial"/>
          <w:sz w:val="22"/>
          <w:szCs w:val="22"/>
          <w:lang w:val="es-CR" w:eastAsia="es-ES"/>
        </w:rPr>
        <w:t xml:space="preserve"> </w:t>
      </w:r>
      <w:proofErr w:type="spellStart"/>
      <w:r w:rsidR="00CF4FEE" w:rsidRPr="009774C9">
        <w:rPr>
          <w:rFonts w:ascii="Arial" w:hAnsi="Arial" w:cs="Arial"/>
          <w:sz w:val="22"/>
          <w:szCs w:val="22"/>
          <w:lang w:val="es-CR" w:eastAsia="es-ES"/>
        </w:rPr>
        <w:t>numbers</w:t>
      </w:r>
      <w:proofErr w:type="spellEnd"/>
      <w:r w:rsidR="00CF4FEE" w:rsidRPr="009774C9">
        <w:rPr>
          <w:rFonts w:ascii="Arial" w:hAnsi="Arial" w:cs="Arial"/>
          <w:sz w:val="22"/>
          <w:szCs w:val="22"/>
          <w:lang w:val="es-CR" w:eastAsia="es-ES"/>
        </w:rPr>
        <w:t xml:space="preserve"> (</w:t>
      </w:r>
      <w:proofErr w:type="spellStart"/>
      <w:r w:rsidR="005B71E1" w:rsidRPr="009774C9">
        <w:rPr>
          <w:rFonts w:ascii="Arial" w:hAnsi="Arial" w:cs="Arial"/>
          <w:sz w:val="22"/>
          <w:szCs w:val="22"/>
          <w:lang w:val="es-CR" w:eastAsia="es-ES"/>
        </w:rPr>
        <w:t>TINs</w:t>
      </w:r>
      <w:proofErr w:type="spellEnd"/>
      <w:r w:rsidR="005B71E1" w:rsidRPr="009774C9">
        <w:rPr>
          <w:rFonts w:ascii="Arial" w:hAnsi="Arial" w:cs="Arial"/>
          <w:sz w:val="22"/>
          <w:szCs w:val="22"/>
          <w:lang w:val="es-CR" w:eastAsia="es-ES"/>
        </w:rPr>
        <w:t>)</w:t>
      </w:r>
      <w:r w:rsidR="00CF4FEE" w:rsidRPr="009774C9">
        <w:rPr>
          <w:rFonts w:ascii="Arial" w:hAnsi="Arial" w:cs="Arial"/>
          <w:sz w:val="22"/>
          <w:szCs w:val="22"/>
          <w:lang w:val="es-CR" w:eastAsia="es-ES"/>
        </w:rPr>
        <w:t>.</w:t>
      </w:r>
    </w:p>
    <w:p w:rsidR="007B5CCC" w:rsidRPr="009774C9" w:rsidRDefault="007B5CCC" w:rsidP="009774C9">
      <w:pPr>
        <w:pStyle w:val="ListParagraph"/>
        <w:jc w:val="both"/>
        <w:rPr>
          <w:rFonts w:ascii="Arial" w:hAnsi="Arial" w:cs="Arial"/>
          <w:sz w:val="22"/>
          <w:szCs w:val="22"/>
          <w:lang w:val="es-CR" w:eastAsia="es-ES"/>
        </w:rPr>
      </w:pPr>
    </w:p>
    <w:p w:rsidR="007B5CCC" w:rsidRPr="009774C9" w:rsidRDefault="007B5CCC" w:rsidP="009774C9">
      <w:pPr>
        <w:pStyle w:val="ListParagraph"/>
        <w:widowControl w:val="0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  <w:lang w:val="es-CR" w:eastAsia="es-ES"/>
        </w:rPr>
      </w:pPr>
      <w:r w:rsidRPr="009774C9">
        <w:rPr>
          <w:rFonts w:ascii="Arial" w:hAnsi="Arial" w:cs="Arial"/>
          <w:sz w:val="22"/>
          <w:szCs w:val="22"/>
          <w:lang w:val="es-CR" w:eastAsia="es-ES"/>
        </w:rPr>
        <w:t xml:space="preserve">Lo anterior, debido a que se ha observado que el estándar de emisión de pasaportes como documento con validez internacional expedido por las autoridades de un país, que acredita la identidad y nacionalidad a una persona, puede variar de un país a otro, por lo que en algunos casos el “número de pasaporte” no necesariamente corresponde con un número único y unívoco para cada persona, de manera que distinga a cada una de ellas, sin posibilidad de confusión. En algunos países se ha observado que el “número de pasaporte” corresponde a un número de consecutivo de expedición, lo que dificulta la identificación de una persona física y puede inducir a que una misma persona no sea identificada como el mismo cliente. </w:t>
      </w:r>
    </w:p>
    <w:p w:rsidR="009A27FA" w:rsidRPr="009774C9" w:rsidRDefault="009A27FA" w:rsidP="009774C9">
      <w:pPr>
        <w:pStyle w:val="ListParagraph"/>
        <w:jc w:val="both"/>
        <w:rPr>
          <w:rFonts w:ascii="Arial" w:hAnsi="Arial" w:cs="Arial"/>
          <w:sz w:val="22"/>
          <w:szCs w:val="22"/>
          <w:lang w:val="es-CR" w:eastAsia="es-ES"/>
        </w:rPr>
      </w:pPr>
    </w:p>
    <w:p w:rsidR="00156322" w:rsidRPr="009774C9" w:rsidRDefault="00156322" w:rsidP="009774C9">
      <w:pPr>
        <w:jc w:val="both"/>
        <w:rPr>
          <w:rFonts w:ascii="Arial" w:hAnsi="Arial" w:cs="Arial"/>
          <w:sz w:val="22"/>
          <w:szCs w:val="22"/>
          <w:lang w:val="es-CR" w:eastAsia="es-ES"/>
        </w:rPr>
      </w:pPr>
    </w:p>
    <w:p w:rsidR="00156322" w:rsidRPr="009774C9" w:rsidRDefault="00156322" w:rsidP="009774C9">
      <w:pPr>
        <w:widowControl w:val="0"/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es-CR" w:eastAsia="es-ES"/>
        </w:rPr>
      </w:pPr>
      <w:r w:rsidRPr="009774C9">
        <w:rPr>
          <w:rFonts w:ascii="Arial" w:hAnsi="Arial" w:cs="Arial"/>
          <w:b/>
          <w:sz w:val="22"/>
          <w:szCs w:val="22"/>
          <w:lang w:val="es-CR" w:eastAsia="es-ES"/>
        </w:rPr>
        <w:t>Por tanto dispone el presente acuerdo:</w:t>
      </w:r>
    </w:p>
    <w:p w:rsidR="00156322" w:rsidRPr="009774C9" w:rsidRDefault="00156322" w:rsidP="009774C9">
      <w:pPr>
        <w:jc w:val="both"/>
        <w:rPr>
          <w:rFonts w:ascii="Arial" w:hAnsi="Arial" w:cs="Arial"/>
          <w:sz w:val="22"/>
          <w:szCs w:val="22"/>
          <w:lang w:val="es-CR" w:eastAsia="es-ES"/>
        </w:rPr>
      </w:pPr>
    </w:p>
    <w:p w:rsidR="00156322" w:rsidRPr="009774C9" w:rsidRDefault="003B7FB9" w:rsidP="009774C9">
      <w:pPr>
        <w:jc w:val="center"/>
        <w:rPr>
          <w:rFonts w:ascii="Arial" w:hAnsi="Arial" w:cs="Arial"/>
          <w:b/>
          <w:sz w:val="22"/>
          <w:szCs w:val="22"/>
          <w:lang w:val="es-CR" w:eastAsia="es-ES"/>
        </w:rPr>
      </w:pPr>
      <w:r w:rsidRPr="009774C9">
        <w:rPr>
          <w:rFonts w:ascii="Arial" w:hAnsi="Arial" w:cs="Arial"/>
          <w:b/>
          <w:sz w:val="22"/>
          <w:szCs w:val="22"/>
          <w:lang w:val="es-CR" w:eastAsia="es-ES"/>
        </w:rPr>
        <w:t>SGV-A-</w:t>
      </w:r>
      <w:r w:rsidR="00BF3301" w:rsidRPr="009774C9">
        <w:rPr>
          <w:rFonts w:ascii="Arial" w:hAnsi="Arial" w:cs="Arial"/>
          <w:b/>
          <w:sz w:val="22"/>
          <w:szCs w:val="22"/>
          <w:lang w:val="es-CR" w:eastAsia="es-ES"/>
        </w:rPr>
        <w:t>232</w:t>
      </w:r>
      <w:r w:rsidR="00F7093F" w:rsidRPr="009774C9">
        <w:rPr>
          <w:rFonts w:ascii="Arial" w:hAnsi="Arial" w:cs="Arial"/>
          <w:b/>
          <w:sz w:val="22"/>
          <w:szCs w:val="22"/>
          <w:lang w:val="es-CR" w:eastAsia="es-ES"/>
        </w:rPr>
        <w:t xml:space="preserve">.  </w:t>
      </w:r>
      <w:r w:rsidRPr="009774C9">
        <w:rPr>
          <w:rFonts w:ascii="Arial" w:hAnsi="Arial" w:cs="Arial"/>
          <w:b/>
          <w:sz w:val="22"/>
          <w:szCs w:val="22"/>
          <w:lang w:val="es-CR" w:eastAsia="es-ES"/>
        </w:rPr>
        <w:t xml:space="preserve">MODIFICACIÓN AL </w:t>
      </w:r>
      <w:r w:rsidR="00F7093F" w:rsidRPr="009774C9">
        <w:rPr>
          <w:rFonts w:ascii="Arial" w:hAnsi="Arial" w:cs="Arial"/>
          <w:b/>
          <w:sz w:val="22"/>
          <w:szCs w:val="22"/>
          <w:lang w:val="es-CR" w:eastAsia="es-ES"/>
        </w:rPr>
        <w:t>ACUERDO PARA LA IDENTIFICACIÓN DE LOS CLIENTES TITULARES DE LAS CUENTAS DE VALORES EN EL SISTEMA NACIONAL DE REGISTRO DE ANOTACIONES EN CUENTA Y LA ADMINISTRACIÓN DE CUENTAS DE VALORES</w:t>
      </w:r>
    </w:p>
    <w:p w:rsidR="0050592F" w:rsidRPr="009774C9" w:rsidRDefault="0050592F" w:rsidP="009774C9">
      <w:p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9A3F4D" w:rsidRPr="009774C9" w:rsidRDefault="009A3F4D" w:rsidP="009774C9">
      <w:p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  <w:r w:rsidRPr="009774C9">
        <w:rPr>
          <w:rFonts w:ascii="Arial" w:hAnsi="Arial" w:cs="Arial"/>
          <w:b/>
          <w:bCs/>
          <w:sz w:val="22"/>
          <w:szCs w:val="22"/>
          <w:lang w:val="es-CR"/>
        </w:rPr>
        <w:t>Artículo 1. Modificaciones al SGV-A-223</w:t>
      </w:r>
    </w:p>
    <w:p w:rsidR="009A3F4D" w:rsidRPr="009774C9" w:rsidRDefault="009A3F4D" w:rsidP="009774C9">
      <w:pPr>
        <w:spacing w:after="160" w:line="276" w:lineRule="auto"/>
        <w:jc w:val="both"/>
        <w:rPr>
          <w:rFonts w:ascii="Arial" w:hAnsi="Arial" w:cs="Arial"/>
          <w:bCs/>
          <w:sz w:val="22"/>
          <w:szCs w:val="22"/>
          <w:lang w:val="es-CR"/>
        </w:rPr>
      </w:pPr>
      <w:r w:rsidRPr="009774C9">
        <w:rPr>
          <w:rFonts w:ascii="Arial" w:hAnsi="Arial" w:cs="Arial"/>
          <w:bCs/>
          <w:sz w:val="22"/>
          <w:szCs w:val="22"/>
          <w:lang w:val="es-CR"/>
        </w:rPr>
        <w:t>Modif</w:t>
      </w:r>
      <w:r w:rsidR="009E5FA2" w:rsidRPr="009774C9">
        <w:rPr>
          <w:rFonts w:ascii="Arial" w:hAnsi="Arial" w:cs="Arial"/>
          <w:bCs/>
          <w:sz w:val="22"/>
          <w:szCs w:val="22"/>
          <w:lang w:val="es-CR"/>
        </w:rPr>
        <w:t>icar</w:t>
      </w:r>
      <w:r w:rsidRPr="009774C9">
        <w:rPr>
          <w:rFonts w:ascii="Arial" w:hAnsi="Arial" w:cs="Arial"/>
          <w:bCs/>
          <w:sz w:val="22"/>
          <w:szCs w:val="22"/>
          <w:lang w:val="es-CR"/>
        </w:rPr>
        <w:t xml:space="preserve"> los siguientes artículos:</w:t>
      </w:r>
    </w:p>
    <w:p w:rsidR="0050592F" w:rsidRPr="009774C9" w:rsidRDefault="009E5FA2" w:rsidP="009774C9">
      <w:p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  <w:r w:rsidRPr="009774C9">
        <w:rPr>
          <w:rFonts w:ascii="Arial" w:hAnsi="Arial" w:cs="Arial"/>
          <w:b/>
          <w:bCs/>
          <w:sz w:val="22"/>
          <w:szCs w:val="22"/>
          <w:lang w:val="es-CR"/>
        </w:rPr>
        <w:t>“</w:t>
      </w:r>
      <w:r w:rsidR="0050592F" w:rsidRPr="009774C9">
        <w:rPr>
          <w:rFonts w:ascii="Arial" w:hAnsi="Arial" w:cs="Arial"/>
          <w:b/>
          <w:bCs/>
          <w:sz w:val="22"/>
          <w:szCs w:val="22"/>
          <w:lang w:val="es-CR"/>
        </w:rPr>
        <w:t>Artículo 8. Identificación personas físicas</w:t>
      </w:r>
    </w:p>
    <w:p w:rsidR="0050592F" w:rsidRPr="009774C9" w:rsidRDefault="0050592F" w:rsidP="009774C9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es-CR"/>
        </w:rPr>
      </w:pPr>
      <w:r w:rsidRPr="009774C9">
        <w:rPr>
          <w:rFonts w:ascii="Arial" w:hAnsi="Arial" w:cs="Arial"/>
          <w:sz w:val="22"/>
          <w:szCs w:val="22"/>
          <w:lang w:val="es-CR"/>
        </w:rPr>
        <w:t xml:space="preserve">Para identificar a los clientes titulares físicos de las cuentas de valores, de acuerdo a su naturaleza </w:t>
      </w:r>
      <w:r w:rsidR="00D21E0F" w:rsidRPr="009774C9">
        <w:rPr>
          <w:rFonts w:ascii="Arial" w:hAnsi="Arial" w:cs="Arial"/>
          <w:sz w:val="22"/>
          <w:szCs w:val="22"/>
          <w:lang w:val="es-CR"/>
        </w:rPr>
        <w:t xml:space="preserve">y con la información que se tenga disponible, </w:t>
      </w:r>
      <w:r w:rsidRPr="009774C9">
        <w:rPr>
          <w:rFonts w:ascii="Arial" w:hAnsi="Arial" w:cs="Arial"/>
          <w:sz w:val="22"/>
          <w:szCs w:val="22"/>
          <w:lang w:val="es-CR"/>
        </w:rPr>
        <w:t>se debe cumplir con el siguiente estándar:</w:t>
      </w:r>
    </w:p>
    <w:tbl>
      <w:tblPr>
        <w:tblStyle w:val="ListTable3-Accent1"/>
        <w:tblW w:w="8302" w:type="dxa"/>
        <w:tblLook w:val="04A0" w:firstRow="1" w:lastRow="0" w:firstColumn="1" w:lastColumn="0" w:noHBand="0" w:noVBand="1"/>
      </w:tblPr>
      <w:tblGrid>
        <w:gridCol w:w="1838"/>
        <w:gridCol w:w="425"/>
        <w:gridCol w:w="3786"/>
        <w:gridCol w:w="2253"/>
      </w:tblGrid>
      <w:tr w:rsidR="00E03B0B" w:rsidRPr="009774C9" w:rsidTr="00D85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8" w:type="dxa"/>
            <w:tcBorders>
              <w:top w:val="nil"/>
            </w:tcBorders>
          </w:tcPr>
          <w:p w:rsidR="0050592F" w:rsidRPr="009774C9" w:rsidRDefault="0050592F" w:rsidP="009774C9">
            <w:pPr>
              <w:spacing w:after="160" w:line="276" w:lineRule="auto"/>
              <w:jc w:val="center"/>
              <w:rPr>
                <w:rFonts w:ascii="Arial" w:hAnsi="Arial" w:cs="Arial"/>
                <w:bCs w:val="0"/>
                <w:color w:val="auto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Cs w:val="0"/>
                <w:color w:val="auto"/>
                <w:sz w:val="22"/>
                <w:szCs w:val="22"/>
                <w:lang w:val="es-CR"/>
              </w:rPr>
              <w:t>Persona</w:t>
            </w:r>
          </w:p>
        </w:tc>
        <w:tc>
          <w:tcPr>
            <w:tcW w:w="4211" w:type="dxa"/>
            <w:gridSpan w:val="2"/>
            <w:tcBorders>
              <w:top w:val="nil"/>
            </w:tcBorders>
          </w:tcPr>
          <w:p w:rsidR="0050592F" w:rsidRPr="009774C9" w:rsidRDefault="0050592F" w:rsidP="009774C9">
            <w:pPr>
              <w:spacing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Cs w:val="0"/>
                <w:color w:val="auto"/>
                <w:sz w:val="22"/>
                <w:szCs w:val="22"/>
                <w:lang w:val="es-CR"/>
              </w:rPr>
              <w:t>Descripción</w:t>
            </w:r>
          </w:p>
        </w:tc>
        <w:tc>
          <w:tcPr>
            <w:tcW w:w="2253" w:type="dxa"/>
            <w:tcBorders>
              <w:top w:val="nil"/>
            </w:tcBorders>
          </w:tcPr>
          <w:p w:rsidR="0050592F" w:rsidRPr="009774C9" w:rsidRDefault="0050592F" w:rsidP="009774C9">
            <w:pPr>
              <w:spacing w:after="1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Cs w:val="0"/>
                <w:color w:val="auto"/>
                <w:sz w:val="22"/>
                <w:szCs w:val="22"/>
                <w:lang w:val="es-CR"/>
              </w:rPr>
              <w:t>Formato</w:t>
            </w:r>
          </w:p>
        </w:tc>
      </w:tr>
      <w:tr w:rsidR="00E03B0B" w:rsidRPr="009774C9" w:rsidTr="00D85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9E5FA2" w:rsidRPr="009774C9" w:rsidRDefault="009E5FA2" w:rsidP="00D85489">
            <w:pPr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 w:val="0"/>
                <w:sz w:val="22"/>
                <w:szCs w:val="22"/>
                <w:lang w:val="es-CR"/>
              </w:rPr>
              <w:t>Persona física nacional</w:t>
            </w:r>
          </w:p>
          <w:p w:rsidR="009E5FA2" w:rsidRPr="009774C9" w:rsidRDefault="009E5FA2" w:rsidP="00D85489">
            <w:pPr>
              <w:spacing w:after="160" w:line="276" w:lineRule="auto"/>
              <w:rPr>
                <w:rFonts w:ascii="Arial" w:hAnsi="Arial" w:cs="Arial"/>
                <w:b w:val="0"/>
                <w:sz w:val="22"/>
                <w:szCs w:val="22"/>
                <w:lang w:val="es-CR"/>
              </w:rPr>
            </w:pPr>
          </w:p>
        </w:tc>
        <w:tc>
          <w:tcPr>
            <w:tcW w:w="4211" w:type="dxa"/>
            <w:gridSpan w:val="2"/>
          </w:tcPr>
          <w:p w:rsidR="009E5FA2" w:rsidRPr="009774C9" w:rsidRDefault="009E5FA2" w:rsidP="009774C9">
            <w:pPr>
              <w:numPr>
                <w:ilvl w:val="0"/>
                <w:numId w:val="3"/>
              </w:numPr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  <w:t>Cédula de identidad:</w:t>
            </w:r>
            <w:r w:rsidRPr="009774C9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 </w:t>
            </w:r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t>Documento emitido por el Tribunal Supremo de Elecciones para personas físicas nacionales.</w:t>
            </w:r>
          </w:p>
        </w:tc>
        <w:tc>
          <w:tcPr>
            <w:tcW w:w="2253" w:type="dxa"/>
          </w:tcPr>
          <w:p w:rsidR="009E5FA2" w:rsidRPr="009774C9" w:rsidRDefault="009E5FA2" w:rsidP="009774C9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t>N-NNNN-NNNN</w:t>
            </w:r>
          </w:p>
          <w:p w:rsidR="009E5FA2" w:rsidRPr="009774C9" w:rsidRDefault="009E5FA2" w:rsidP="009774C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s-CR"/>
              </w:rPr>
            </w:pPr>
          </w:p>
        </w:tc>
      </w:tr>
      <w:tr w:rsidR="00E03B0B" w:rsidRPr="009774C9" w:rsidTr="00D85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:rsidR="009E5FA2" w:rsidRPr="009774C9" w:rsidRDefault="009E5FA2" w:rsidP="00D85489">
            <w:pPr>
              <w:spacing w:after="160" w:line="276" w:lineRule="auto"/>
              <w:rPr>
                <w:rFonts w:ascii="Arial" w:hAnsi="Arial" w:cs="Arial"/>
                <w:b w:val="0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 w:val="0"/>
                <w:sz w:val="22"/>
                <w:szCs w:val="22"/>
                <w:lang w:val="es-CR"/>
              </w:rPr>
              <w:t>Persona física extranjera residente</w:t>
            </w:r>
          </w:p>
        </w:tc>
        <w:tc>
          <w:tcPr>
            <w:tcW w:w="4211" w:type="dxa"/>
            <w:gridSpan w:val="2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:rsidR="009E5FA2" w:rsidRPr="009774C9" w:rsidRDefault="009E5FA2" w:rsidP="009774C9">
            <w:pPr>
              <w:numPr>
                <w:ilvl w:val="0"/>
                <w:numId w:val="3"/>
              </w:numPr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  <w:t>Documento de identificación de migración y extranjería - DIMEX:</w:t>
            </w:r>
            <w:r w:rsidRPr="009774C9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 </w:t>
            </w:r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t>Documento emitido por la Dirección General de Migración y Extranjería para personas físicas extranjeras residentes y aquellas acreditadas con una categoría especial.</w:t>
            </w:r>
          </w:p>
        </w:tc>
        <w:tc>
          <w:tcPr>
            <w:tcW w:w="22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:rsidR="009E5FA2" w:rsidRPr="009774C9" w:rsidRDefault="009E5FA2" w:rsidP="009774C9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t>NNNNNNNNNNNN</w:t>
            </w:r>
          </w:p>
          <w:p w:rsidR="009E5FA2" w:rsidRPr="009774C9" w:rsidRDefault="009E5FA2" w:rsidP="009774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t>(12 dígitos)</w:t>
            </w:r>
          </w:p>
        </w:tc>
      </w:tr>
      <w:tr w:rsidR="00E03B0B" w:rsidRPr="009774C9" w:rsidTr="00D85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nil"/>
            </w:tcBorders>
          </w:tcPr>
          <w:p w:rsidR="009E5FA2" w:rsidRPr="009774C9" w:rsidRDefault="009E5FA2" w:rsidP="00D85489">
            <w:pPr>
              <w:spacing w:after="160"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 w:val="0"/>
                <w:sz w:val="22"/>
                <w:szCs w:val="22"/>
                <w:lang w:val="es-CR"/>
              </w:rPr>
              <w:t>Persona física extranjera no residente con pasaporte</w:t>
            </w:r>
            <w:r w:rsidRPr="009774C9">
              <w:rPr>
                <w:rFonts w:ascii="Arial" w:hAnsi="Arial" w:cs="Arial"/>
                <w:b w:val="0"/>
                <w:bCs w:val="0"/>
                <w:sz w:val="22"/>
                <w:szCs w:val="22"/>
                <w:lang w:val="es-CR"/>
              </w:rPr>
              <w:t xml:space="preserve"> </w:t>
            </w:r>
          </w:p>
        </w:tc>
        <w:tc>
          <w:tcPr>
            <w:tcW w:w="4211" w:type="dxa"/>
            <w:gridSpan w:val="2"/>
            <w:tcBorders>
              <w:bottom w:val="nil"/>
            </w:tcBorders>
          </w:tcPr>
          <w:p w:rsidR="009E5FA2" w:rsidRPr="009774C9" w:rsidRDefault="009E5FA2" w:rsidP="009774C9">
            <w:pPr>
              <w:numPr>
                <w:ilvl w:val="0"/>
                <w:numId w:val="3"/>
              </w:numPr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  <w:t xml:space="preserve">Pasaporte: </w:t>
            </w:r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t>Documento con validez internacional que acredita la identidad y la nacionalidad del titular.</w:t>
            </w:r>
          </w:p>
          <w:p w:rsidR="009E5FA2" w:rsidRPr="009774C9" w:rsidRDefault="009E5FA2" w:rsidP="009774C9">
            <w:pPr>
              <w:spacing w:after="160" w:line="25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s-CR"/>
              </w:rPr>
            </w:pPr>
          </w:p>
        </w:tc>
        <w:tc>
          <w:tcPr>
            <w:tcW w:w="2253" w:type="dxa"/>
            <w:tcBorders>
              <w:bottom w:val="nil"/>
            </w:tcBorders>
          </w:tcPr>
          <w:p w:rsidR="009E5FA2" w:rsidRPr="009774C9" w:rsidRDefault="009E5FA2" w:rsidP="009774C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t>Campo alfanumérico</w:t>
            </w:r>
          </w:p>
          <w:p w:rsidR="009E5FA2" w:rsidRPr="009774C9" w:rsidRDefault="009E5FA2" w:rsidP="009774C9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s-CR"/>
              </w:rPr>
            </w:pPr>
          </w:p>
        </w:tc>
      </w:tr>
      <w:tr w:rsidR="00E03B0B" w:rsidRPr="009774C9" w:rsidTr="00D85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bottom w:val="nil"/>
            </w:tcBorders>
          </w:tcPr>
          <w:p w:rsidR="009E5FA2" w:rsidRPr="009774C9" w:rsidRDefault="009E5FA2" w:rsidP="00D85489">
            <w:pPr>
              <w:spacing w:after="160" w:line="276" w:lineRule="auto"/>
              <w:rPr>
                <w:rFonts w:ascii="Arial" w:hAnsi="Arial" w:cs="Arial"/>
                <w:sz w:val="22"/>
                <w:szCs w:val="22"/>
                <w:lang w:val="es-CR"/>
              </w:rPr>
            </w:pPr>
          </w:p>
        </w:tc>
        <w:tc>
          <w:tcPr>
            <w:tcW w:w="4211" w:type="dxa"/>
            <w:gridSpan w:val="2"/>
            <w:tcBorders>
              <w:bottom w:val="nil"/>
            </w:tcBorders>
          </w:tcPr>
          <w:p w:rsidR="009E5FA2" w:rsidRPr="009774C9" w:rsidRDefault="009E5FA2" w:rsidP="009774C9">
            <w:pPr>
              <w:numPr>
                <w:ilvl w:val="0"/>
                <w:numId w:val="3"/>
              </w:numPr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  <w:t xml:space="preserve">Documento único de identidad del país o equivalente: </w:t>
            </w:r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t xml:space="preserve">Dependiendo de las denominaciones utilizadas en cada jurisdicción, respaldado con copia </w:t>
            </w:r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lastRenderedPageBreak/>
              <w:t xml:space="preserve">autenticada por un notario y debidamente </w:t>
            </w:r>
            <w:proofErr w:type="spellStart"/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t>consularizado</w:t>
            </w:r>
            <w:proofErr w:type="spellEnd"/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t xml:space="preserve"> o apostillado, como documento de identificación.</w:t>
            </w:r>
          </w:p>
          <w:p w:rsidR="009E5FA2" w:rsidRPr="009774C9" w:rsidRDefault="009E5FA2" w:rsidP="009774C9">
            <w:pPr>
              <w:numPr>
                <w:ilvl w:val="0"/>
                <w:numId w:val="3"/>
              </w:numPr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2253" w:type="dxa"/>
            <w:tcBorders>
              <w:bottom w:val="nil"/>
            </w:tcBorders>
          </w:tcPr>
          <w:p w:rsidR="009E5FA2" w:rsidRPr="009774C9" w:rsidRDefault="009E5FA2" w:rsidP="009774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lastRenderedPageBreak/>
              <w:t>Campo alfanumérico</w:t>
            </w:r>
          </w:p>
          <w:p w:rsidR="009E5FA2" w:rsidRPr="009774C9" w:rsidRDefault="009E5FA2" w:rsidP="009774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s-CR"/>
              </w:rPr>
            </w:pPr>
          </w:p>
        </w:tc>
      </w:tr>
      <w:tr w:rsidR="00E03B0B" w:rsidRPr="009774C9" w:rsidTr="00D85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tcBorders>
              <w:top w:val="nil"/>
            </w:tcBorders>
          </w:tcPr>
          <w:p w:rsidR="009E5FA2" w:rsidRPr="009774C9" w:rsidRDefault="009E5FA2" w:rsidP="009774C9">
            <w:pPr>
              <w:spacing w:after="160" w:line="276" w:lineRule="auto"/>
              <w:jc w:val="both"/>
              <w:rPr>
                <w:rFonts w:ascii="Arial" w:hAnsi="Arial" w:cs="Arial"/>
                <w:sz w:val="22"/>
                <w:szCs w:val="22"/>
                <w:lang w:val="es-CR"/>
              </w:rPr>
            </w:pPr>
          </w:p>
        </w:tc>
        <w:tc>
          <w:tcPr>
            <w:tcW w:w="3786" w:type="dxa"/>
            <w:tcBorders>
              <w:top w:val="nil"/>
              <w:bottom w:val="nil"/>
            </w:tcBorders>
          </w:tcPr>
          <w:p w:rsidR="009E5FA2" w:rsidRPr="009774C9" w:rsidRDefault="009E5FA2" w:rsidP="009774C9">
            <w:pPr>
              <w:numPr>
                <w:ilvl w:val="0"/>
                <w:numId w:val="3"/>
              </w:numPr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/>
                <w:sz w:val="22"/>
                <w:szCs w:val="22"/>
                <w:lang w:val="es-CR"/>
              </w:rPr>
              <w:t>Número de identificación tributaria:</w:t>
            </w:r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Tax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identification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numbers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(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TINs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) publicado para efectos del 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Common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Reporting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Standard (CRS) de OCDE.</w:t>
            </w:r>
          </w:p>
          <w:p w:rsidR="009E5FA2" w:rsidRPr="009774C9" w:rsidRDefault="009E5FA2" w:rsidP="009774C9">
            <w:pPr>
              <w:numPr>
                <w:ilvl w:val="0"/>
                <w:numId w:val="3"/>
              </w:numPr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2253" w:type="dxa"/>
            <w:tcBorders>
              <w:top w:val="nil"/>
              <w:bottom w:val="nil"/>
            </w:tcBorders>
          </w:tcPr>
          <w:p w:rsidR="009E5FA2" w:rsidRPr="009774C9" w:rsidRDefault="009E5FA2" w:rsidP="009774C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t>Campo alfanumérico</w:t>
            </w:r>
          </w:p>
          <w:p w:rsidR="009E5FA2" w:rsidRPr="009774C9" w:rsidRDefault="009E5FA2" w:rsidP="009774C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s-CR"/>
              </w:rPr>
            </w:pPr>
          </w:p>
        </w:tc>
      </w:tr>
      <w:tr w:rsidR="00E03B0B" w:rsidRPr="009774C9" w:rsidTr="00D85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tcBorders>
              <w:top w:val="single" w:sz="4" w:space="0" w:color="5B9BD5" w:themeColor="accent1"/>
              <w:bottom w:val="nil"/>
            </w:tcBorders>
          </w:tcPr>
          <w:p w:rsidR="009E5FA2" w:rsidRPr="009774C9" w:rsidRDefault="009E5FA2" w:rsidP="00D85489">
            <w:pPr>
              <w:spacing w:after="160" w:line="276" w:lineRule="auto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 w:val="0"/>
                <w:sz w:val="22"/>
                <w:szCs w:val="22"/>
                <w:lang w:val="es-CR"/>
              </w:rPr>
              <w:t>Persona física extranjera no residente sin pasaporte</w:t>
            </w:r>
          </w:p>
        </w:tc>
        <w:tc>
          <w:tcPr>
            <w:tcW w:w="3786" w:type="dxa"/>
            <w:tcBorders>
              <w:top w:val="single" w:sz="4" w:space="0" w:color="5B9BD5" w:themeColor="accent1"/>
              <w:bottom w:val="nil"/>
            </w:tcBorders>
          </w:tcPr>
          <w:p w:rsidR="009E5FA2" w:rsidRPr="009774C9" w:rsidRDefault="009E5FA2" w:rsidP="009774C9">
            <w:pPr>
              <w:spacing w:after="160"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  <w:t xml:space="preserve">Documento único de identidad del país o equivalente: </w:t>
            </w:r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t xml:space="preserve">Dependiendo de las denominaciones utilizadas en cada jurisdicción, respaldado con copia autenticada por un notario y debidamente </w:t>
            </w:r>
            <w:proofErr w:type="spellStart"/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t>consularizado</w:t>
            </w:r>
            <w:proofErr w:type="spellEnd"/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t xml:space="preserve"> o apostillado, como documento de identificación.  </w:t>
            </w:r>
          </w:p>
          <w:p w:rsidR="009E5FA2" w:rsidRPr="009774C9" w:rsidRDefault="009E5FA2" w:rsidP="009774C9">
            <w:pPr>
              <w:numPr>
                <w:ilvl w:val="0"/>
                <w:numId w:val="3"/>
              </w:numPr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</w:pPr>
          </w:p>
        </w:tc>
        <w:tc>
          <w:tcPr>
            <w:tcW w:w="2253" w:type="dxa"/>
            <w:tcBorders>
              <w:top w:val="single" w:sz="4" w:space="0" w:color="5B9BD5" w:themeColor="accent1"/>
              <w:bottom w:val="nil"/>
            </w:tcBorders>
          </w:tcPr>
          <w:p w:rsidR="009E5FA2" w:rsidRPr="009774C9" w:rsidRDefault="009E5FA2" w:rsidP="009774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t>Campo alfanumérico</w:t>
            </w:r>
          </w:p>
          <w:p w:rsidR="009E5FA2" w:rsidRPr="009774C9" w:rsidRDefault="009E5FA2" w:rsidP="009774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s-CR"/>
              </w:rPr>
            </w:pPr>
          </w:p>
        </w:tc>
      </w:tr>
      <w:tr w:rsidR="00E03B0B" w:rsidRPr="009774C9" w:rsidTr="00D85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tcBorders>
              <w:top w:val="nil"/>
              <w:bottom w:val="nil"/>
            </w:tcBorders>
          </w:tcPr>
          <w:p w:rsidR="009E5FA2" w:rsidRPr="009774C9" w:rsidRDefault="009E5FA2" w:rsidP="009774C9">
            <w:pPr>
              <w:spacing w:after="16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es-CR"/>
              </w:rPr>
            </w:pPr>
          </w:p>
        </w:tc>
        <w:tc>
          <w:tcPr>
            <w:tcW w:w="3786" w:type="dxa"/>
            <w:tcBorders>
              <w:top w:val="nil"/>
              <w:bottom w:val="nil"/>
            </w:tcBorders>
          </w:tcPr>
          <w:p w:rsidR="009E5FA2" w:rsidRPr="009774C9" w:rsidRDefault="009E5FA2" w:rsidP="00D854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/>
                <w:sz w:val="22"/>
                <w:szCs w:val="22"/>
                <w:lang w:val="es-CR"/>
              </w:rPr>
              <w:t>Número de identificación tributaria:</w:t>
            </w:r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Tax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identification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numbers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(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TINs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) publicado para efectos del 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Common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Reporting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Standard (CRS) de OCDE.</w:t>
            </w:r>
          </w:p>
        </w:tc>
        <w:tc>
          <w:tcPr>
            <w:tcW w:w="2253" w:type="dxa"/>
            <w:tcBorders>
              <w:top w:val="nil"/>
              <w:bottom w:val="nil"/>
            </w:tcBorders>
          </w:tcPr>
          <w:p w:rsidR="009E5FA2" w:rsidRPr="009774C9" w:rsidRDefault="009E5FA2" w:rsidP="009774C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Cs/>
                <w:sz w:val="22"/>
                <w:szCs w:val="22"/>
                <w:lang w:val="es-CR"/>
              </w:rPr>
              <w:t>Campo alfanumérico</w:t>
            </w:r>
          </w:p>
          <w:p w:rsidR="009E5FA2" w:rsidRPr="009774C9" w:rsidRDefault="009E5FA2" w:rsidP="009774C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s-CR"/>
              </w:rPr>
            </w:pPr>
          </w:p>
        </w:tc>
      </w:tr>
      <w:tr w:rsidR="00E03B0B" w:rsidRPr="009774C9" w:rsidTr="00D8548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tcBorders>
              <w:top w:val="nil"/>
            </w:tcBorders>
          </w:tcPr>
          <w:p w:rsidR="009E5FA2" w:rsidRPr="009774C9" w:rsidRDefault="009E5FA2" w:rsidP="009774C9">
            <w:pPr>
              <w:spacing w:after="16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es-CR"/>
              </w:rPr>
            </w:pPr>
          </w:p>
        </w:tc>
        <w:tc>
          <w:tcPr>
            <w:tcW w:w="3786" w:type="dxa"/>
            <w:tcBorders>
              <w:top w:val="nil"/>
            </w:tcBorders>
          </w:tcPr>
          <w:p w:rsidR="009E5FA2" w:rsidRPr="009774C9" w:rsidRDefault="009E5FA2" w:rsidP="009774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CR"/>
              </w:rPr>
            </w:pPr>
          </w:p>
        </w:tc>
        <w:tc>
          <w:tcPr>
            <w:tcW w:w="2253" w:type="dxa"/>
            <w:tcBorders>
              <w:top w:val="nil"/>
            </w:tcBorders>
          </w:tcPr>
          <w:p w:rsidR="009E5FA2" w:rsidRPr="009774C9" w:rsidRDefault="009E5FA2" w:rsidP="009774C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s-CR"/>
              </w:rPr>
            </w:pPr>
          </w:p>
        </w:tc>
      </w:tr>
    </w:tbl>
    <w:p w:rsidR="009E5FA2" w:rsidRPr="009774C9" w:rsidRDefault="009E5FA2" w:rsidP="009774C9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s-ES_tradnl" w:eastAsia="es-ES"/>
        </w:rPr>
      </w:pPr>
      <w:r w:rsidRPr="009774C9">
        <w:rPr>
          <w:rFonts w:ascii="Arial" w:hAnsi="Arial" w:cs="Arial"/>
          <w:b/>
          <w:sz w:val="22"/>
          <w:szCs w:val="22"/>
          <w:lang w:val="es-ES_tradnl" w:eastAsia="es-ES"/>
        </w:rPr>
        <w:t xml:space="preserve">N: </w:t>
      </w:r>
      <w:r w:rsidRPr="009774C9">
        <w:rPr>
          <w:rFonts w:ascii="Arial" w:hAnsi="Arial" w:cs="Arial"/>
          <w:sz w:val="22"/>
          <w:szCs w:val="22"/>
          <w:lang w:val="es-ES_tradnl" w:eastAsia="es-ES"/>
        </w:rPr>
        <w:t>Corresponde a un número</w:t>
      </w:r>
      <w:r w:rsidRPr="009774C9">
        <w:rPr>
          <w:rFonts w:ascii="Arial" w:hAnsi="Arial" w:cs="Arial"/>
          <w:b/>
          <w:sz w:val="22"/>
          <w:szCs w:val="22"/>
          <w:lang w:val="es-ES_tradnl" w:eastAsia="es-ES"/>
        </w:rPr>
        <w:t>.</w:t>
      </w:r>
    </w:p>
    <w:p w:rsidR="009774C9" w:rsidRDefault="009774C9" w:rsidP="009774C9">
      <w:p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</w:p>
    <w:p w:rsidR="00156322" w:rsidRPr="009774C9" w:rsidRDefault="00156322" w:rsidP="009774C9">
      <w:pPr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  <w:lang w:val="es-CR"/>
        </w:rPr>
      </w:pPr>
      <w:r w:rsidRPr="009774C9">
        <w:rPr>
          <w:rFonts w:ascii="Arial" w:hAnsi="Arial" w:cs="Arial"/>
          <w:b/>
          <w:bCs/>
          <w:sz w:val="22"/>
          <w:szCs w:val="22"/>
          <w:lang w:val="es-CR"/>
        </w:rPr>
        <w:t>Artículo 9. Persona jurídica</w:t>
      </w:r>
    </w:p>
    <w:p w:rsidR="00156322" w:rsidRPr="009774C9" w:rsidRDefault="00156322" w:rsidP="009774C9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es-CR"/>
        </w:rPr>
      </w:pPr>
      <w:r w:rsidRPr="009774C9">
        <w:rPr>
          <w:rFonts w:ascii="Arial" w:hAnsi="Arial" w:cs="Arial"/>
          <w:sz w:val="22"/>
          <w:szCs w:val="22"/>
          <w:lang w:val="es-CR"/>
        </w:rPr>
        <w:t>Para identificar a los clientes titulares de las cuentas de valores correspondientes a personas jurídicas, según su naturaleza</w:t>
      </w:r>
      <w:r w:rsidR="00D21E0F" w:rsidRPr="009774C9">
        <w:rPr>
          <w:rFonts w:ascii="Arial" w:hAnsi="Arial" w:cs="Arial"/>
          <w:sz w:val="22"/>
          <w:szCs w:val="22"/>
          <w:lang w:val="es-CR"/>
        </w:rPr>
        <w:t xml:space="preserve"> y con la información que se tenga disponible</w:t>
      </w:r>
      <w:r w:rsidRPr="009774C9">
        <w:rPr>
          <w:rFonts w:ascii="Arial" w:hAnsi="Arial" w:cs="Arial"/>
          <w:sz w:val="22"/>
          <w:szCs w:val="22"/>
          <w:lang w:val="es-CR"/>
        </w:rPr>
        <w:t>, se debe cumplir con el siguiente estándar: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2083"/>
        <w:gridCol w:w="3996"/>
        <w:gridCol w:w="2223"/>
      </w:tblGrid>
      <w:tr w:rsidR="00E03B0B" w:rsidRPr="009774C9" w:rsidTr="009D6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83" w:type="dxa"/>
            <w:tcBorders>
              <w:bottom w:val="single" w:sz="4" w:space="0" w:color="5B9BD5" w:themeColor="accent1"/>
            </w:tcBorders>
          </w:tcPr>
          <w:p w:rsidR="00156322" w:rsidRPr="009774C9" w:rsidRDefault="00156322" w:rsidP="009774C9">
            <w:pPr>
              <w:spacing w:after="160" w:line="276" w:lineRule="auto"/>
              <w:jc w:val="both"/>
              <w:rPr>
                <w:rFonts w:ascii="Arial" w:hAnsi="Arial" w:cs="Arial"/>
                <w:bCs w:val="0"/>
                <w:color w:val="auto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Cs w:val="0"/>
                <w:color w:val="auto"/>
                <w:sz w:val="22"/>
                <w:szCs w:val="22"/>
                <w:lang w:val="es-CR"/>
              </w:rPr>
              <w:t>Persona</w:t>
            </w:r>
          </w:p>
        </w:tc>
        <w:tc>
          <w:tcPr>
            <w:tcW w:w="3996" w:type="dxa"/>
            <w:tcBorders>
              <w:bottom w:val="single" w:sz="4" w:space="0" w:color="5B9BD5" w:themeColor="accent1"/>
            </w:tcBorders>
          </w:tcPr>
          <w:p w:rsidR="00156322" w:rsidRPr="009774C9" w:rsidRDefault="00156322" w:rsidP="009774C9">
            <w:pPr>
              <w:spacing w:after="16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Cs w:val="0"/>
                <w:color w:val="auto"/>
                <w:sz w:val="22"/>
                <w:szCs w:val="22"/>
                <w:lang w:val="es-CR"/>
              </w:rPr>
              <w:t>Descripción</w:t>
            </w:r>
          </w:p>
        </w:tc>
        <w:tc>
          <w:tcPr>
            <w:tcW w:w="2223" w:type="dxa"/>
            <w:tcBorders>
              <w:bottom w:val="single" w:sz="4" w:space="0" w:color="5B9BD5" w:themeColor="accent1"/>
            </w:tcBorders>
          </w:tcPr>
          <w:p w:rsidR="00156322" w:rsidRPr="009774C9" w:rsidRDefault="00156322" w:rsidP="009774C9">
            <w:pPr>
              <w:spacing w:after="16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Cs w:val="0"/>
                <w:color w:val="auto"/>
                <w:sz w:val="22"/>
                <w:szCs w:val="22"/>
                <w:lang w:val="es-CR"/>
              </w:rPr>
              <w:t>Formato</w:t>
            </w:r>
          </w:p>
        </w:tc>
      </w:tr>
      <w:tr w:rsidR="00E03B0B" w:rsidRPr="0025633D" w:rsidTr="00375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</w:tcPr>
          <w:p w:rsidR="00375252" w:rsidRPr="009774C9" w:rsidRDefault="00375252" w:rsidP="009774C9">
            <w:pPr>
              <w:spacing w:after="16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 w:rsidRPr="009774C9">
              <w:rPr>
                <w:rFonts w:ascii="Arial" w:hAnsi="Arial" w:cs="Arial"/>
                <w:b w:val="0"/>
                <w:sz w:val="22"/>
                <w:szCs w:val="22"/>
                <w:lang w:val="es-CR"/>
              </w:rPr>
              <w:t>Persona jurídica</w:t>
            </w:r>
          </w:p>
        </w:tc>
        <w:tc>
          <w:tcPr>
            <w:tcW w:w="3996" w:type="dxa"/>
          </w:tcPr>
          <w:p w:rsidR="00375252" w:rsidRPr="009774C9" w:rsidRDefault="00375252" w:rsidP="009774C9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/>
                <w:bCs/>
                <w:sz w:val="22"/>
                <w:szCs w:val="22"/>
                <w:lang w:val="es-CR" w:eastAsia="es-CR"/>
              </w:rPr>
              <w:t>Cédula jurídica:</w:t>
            </w:r>
            <w:r w:rsidRPr="009774C9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 Documento emitido por el Registro Nacional.</w:t>
            </w:r>
          </w:p>
        </w:tc>
        <w:tc>
          <w:tcPr>
            <w:tcW w:w="2223" w:type="dxa"/>
          </w:tcPr>
          <w:p w:rsidR="00375252" w:rsidRPr="009774C9" w:rsidRDefault="00375252" w:rsidP="009774C9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3-TTT-NNNNNN</w:t>
            </w:r>
          </w:p>
          <w:p w:rsidR="00375252" w:rsidRPr="009774C9" w:rsidRDefault="00375252" w:rsidP="009774C9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(TTT: representa el tipo de persona jurídica, según la codificación del registro nacional.)</w:t>
            </w:r>
          </w:p>
        </w:tc>
      </w:tr>
      <w:tr w:rsidR="00E03B0B" w:rsidRPr="0025633D" w:rsidTr="003752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:rsidR="00375252" w:rsidRPr="009774C9" w:rsidRDefault="00375252" w:rsidP="009774C9">
            <w:pPr>
              <w:spacing w:after="16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 w:val="0"/>
                <w:sz w:val="22"/>
                <w:szCs w:val="22"/>
                <w:lang w:val="es-CR"/>
              </w:rPr>
              <w:t>Gobierno Central</w:t>
            </w:r>
          </w:p>
        </w:tc>
        <w:tc>
          <w:tcPr>
            <w:tcW w:w="399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:rsidR="00375252" w:rsidRPr="009774C9" w:rsidRDefault="00375252" w:rsidP="009774C9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/>
                <w:bCs/>
                <w:sz w:val="22"/>
                <w:szCs w:val="22"/>
                <w:lang w:val="es-CR" w:eastAsia="es-CR"/>
              </w:rPr>
              <w:t>Cédula jurídica:</w:t>
            </w:r>
            <w:r w:rsidRPr="009774C9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 Documento emitido por el Registro Nacional para instituciones públicas.</w:t>
            </w:r>
          </w:p>
        </w:tc>
        <w:tc>
          <w:tcPr>
            <w:tcW w:w="222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:rsidR="00375252" w:rsidRPr="009774C9" w:rsidRDefault="00375252" w:rsidP="009774C9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9774C9">
              <w:rPr>
                <w:rFonts w:ascii="Arial" w:hAnsi="Arial" w:cs="Arial"/>
                <w:sz w:val="22"/>
                <w:szCs w:val="22"/>
                <w:lang w:val="es-CR" w:eastAsia="es-CR"/>
              </w:rPr>
              <w:t>2-PPP-NNNNNN</w:t>
            </w:r>
          </w:p>
          <w:p w:rsidR="00375252" w:rsidRPr="009774C9" w:rsidRDefault="00375252" w:rsidP="009774C9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9774C9">
              <w:rPr>
                <w:rFonts w:ascii="Arial" w:hAnsi="Arial" w:cs="Arial"/>
                <w:sz w:val="22"/>
                <w:szCs w:val="22"/>
                <w:lang w:val="es-CR" w:eastAsia="es-CR"/>
              </w:rPr>
              <w:t>(PPP: identifica a cada uno de los distintos Poderes del país.)</w:t>
            </w:r>
          </w:p>
        </w:tc>
      </w:tr>
      <w:tr w:rsidR="00E03B0B" w:rsidRPr="009774C9" w:rsidTr="00375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bottom w:val="nil"/>
            </w:tcBorders>
          </w:tcPr>
          <w:p w:rsidR="00375252" w:rsidRPr="009774C9" w:rsidRDefault="00375252" w:rsidP="009774C9">
            <w:pPr>
              <w:spacing w:after="16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 w:val="0"/>
                <w:bCs w:val="0"/>
                <w:sz w:val="22"/>
                <w:szCs w:val="22"/>
                <w:lang w:val="es-CR"/>
              </w:rPr>
              <w:lastRenderedPageBreak/>
              <w:t>Institución autónoma</w:t>
            </w:r>
          </w:p>
        </w:tc>
        <w:tc>
          <w:tcPr>
            <w:tcW w:w="3996" w:type="dxa"/>
            <w:tcBorders>
              <w:bottom w:val="nil"/>
            </w:tcBorders>
          </w:tcPr>
          <w:p w:rsidR="00375252" w:rsidRPr="009774C9" w:rsidRDefault="00375252" w:rsidP="009774C9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/>
                <w:bCs/>
                <w:sz w:val="22"/>
                <w:szCs w:val="22"/>
                <w:lang w:val="es-CR" w:eastAsia="es-CR"/>
              </w:rPr>
              <w:t>Cédula jurídica:</w:t>
            </w:r>
            <w:r w:rsidRPr="009774C9">
              <w:rPr>
                <w:rFonts w:ascii="Arial" w:hAnsi="Arial" w:cs="Arial"/>
                <w:sz w:val="22"/>
                <w:szCs w:val="22"/>
                <w:lang w:val="es-CR" w:eastAsia="es-CR"/>
              </w:rPr>
              <w:t xml:space="preserve"> Documento emitido por el Registro Nacional para instituciones públicas.</w:t>
            </w:r>
          </w:p>
        </w:tc>
        <w:tc>
          <w:tcPr>
            <w:tcW w:w="2223" w:type="dxa"/>
            <w:tcBorders>
              <w:bottom w:val="nil"/>
            </w:tcBorders>
          </w:tcPr>
          <w:p w:rsidR="00375252" w:rsidRPr="009774C9" w:rsidRDefault="00375252" w:rsidP="009774C9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9774C9">
              <w:rPr>
                <w:rFonts w:ascii="Arial" w:hAnsi="Arial" w:cs="Arial"/>
                <w:sz w:val="22"/>
                <w:szCs w:val="22"/>
                <w:lang w:val="es-CR" w:eastAsia="es-CR"/>
              </w:rPr>
              <w:t>4-000-NNNNNN</w:t>
            </w:r>
          </w:p>
          <w:p w:rsidR="00375252" w:rsidRPr="009774C9" w:rsidRDefault="00375252" w:rsidP="009774C9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</w:p>
        </w:tc>
      </w:tr>
      <w:tr w:rsidR="00E03B0B" w:rsidRPr="009774C9" w:rsidTr="009D6D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bottom w:val="nil"/>
            </w:tcBorders>
          </w:tcPr>
          <w:p w:rsidR="00375252" w:rsidRPr="009774C9" w:rsidRDefault="00375252" w:rsidP="009774C9">
            <w:pPr>
              <w:spacing w:after="16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b w:val="0"/>
                <w:sz w:val="22"/>
                <w:szCs w:val="22"/>
                <w:lang w:val="es-CR"/>
              </w:rPr>
              <w:t>Persona jurídica extranjera</w:t>
            </w:r>
          </w:p>
        </w:tc>
        <w:tc>
          <w:tcPr>
            <w:tcW w:w="3996" w:type="dxa"/>
            <w:tcBorders>
              <w:bottom w:val="nil"/>
            </w:tcBorders>
          </w:tcPr>
          <w:p w:rsidR="00375252" w:rsidRPr="009774C9" w:rsidRDefault="00375252" w:rsidP="009774C9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Número de identificación emitido por el Registro Nacional, según Decreto Ejecutivo </w:t>
            </w:r>
            <w:r w:rsidRPr="009774C9">
              <w:rPr>
                <w:rFonts w:ascii="Arial" w:hAnsi="Arial" w:cs="Arial"/>
                <w:sz w:val="22"/>
                <w:szCs w:val="22"/>
                <w:lang w:val="es-CR" w:eastAsia="es-ES"/>
              </w:rPr>
              <w:t>34691-J.</w:t>
            </w:r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</w:t>
            </w:r>
          </w:p>
        </w:tc>
        <w:tc>
          <w:tcPr>
            <w:tcW w:w="2223" w:type="dxa"/>
            <w:tcBorders>
              <w:bottom w:val="nil"/>
            </w:tcBorders>
          </w:tcPr>
          <w:p w:rsidR="00375252" w:rsidRPr="009774C9" w:rsidRDefault="00375252" w:rsidP="009774C9">
            <w:pPr>
              <w:spacing w:after="16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9774C9">
              <w:rPr>
                <w:rFonts w:ascii="Arial" w:hAnsi="Arial" w:cs="Arial"/>
                <w:sz w:val="22"/>
                <w:szCs w:val="22"/>
                <w:lang w:val="es-CR" w:eastAsia="es-CR"/>
              </w:rPr>
              <w:t>3-112-NNNNNN</w:t>
            </w:r>
          </w:p>
        </w:tc>
      </w:tr>
      <w:tr w:rsidR="00E03B0B" w:rsidRPr="009774C9" w:rsidTr="009D6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Borders>
              <w:top w:val="nil"/>
            </w:tcBorders>
          </w:tcPr>
          <w:p w:rsidR="00375252" w:rsidRPr="009774C9" w:rsidRDefault="00375252" w:rsidP="009774C9">
            <w:pPr>
              <w:spacing w:after="160" w:line="276" w:lineRule="auto"/>
              <w:jc w:val="both"/>
              <w:rPr>
                <w:rFonts w:ascii="Arial" w:hAnsi="Arial" w:cs="Arial"/>
                <w:b w:val="0"/>
                <w:sz w:val="22"/>
                <w:szCs w:val="22"/>
                <w:lang w:val="es-CR"/>
              </w:rPr>
            </w:pPr>
          </w:p>
        </w:tc>
        <w:tc>
          <w:tcPr>
            <w:tcW w:w="3996" w:type="dxa"/>
            <w:tcBorders>
              <w:top w:val="nil"/>
            </w:tcBorders>
          </w:tcPr>
          <w:p w:rsidR="00D21E0F" w:rsidRPr="009774C9" w:rsidRDefault="00375252" w:rsidP="009774C9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Número de identificación tributaria (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Tax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identification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numbers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(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TINs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) publicado para efectos del 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Common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Reporting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Standard (CRS) de OCDE)</w:t>
            </w:r>
          </w:p>
          <w:p w:rsidR="00375252" w:rsidRPr="009774C9" w:rsidRDefault="00D21E0F" w:rsidP="009774C9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s-CR" w:eastAsia="es-CR"/>
              </w:rPr>
            </w:pPr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Documento único de identidad del país o equivalente: Dependiendo de las denominaciones utilizadas en cada jurisdicción, respaldado con copia autenticada por un notario y debidamente </w:t>
            </w:r>
            <w:proofErr w:type="spellStart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>consularizado</w:t>
            </w:r>
            <w:proofErr w:type="spellEnd"/>
            <w:r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o apostillado, como documento de identificación para las empresas jurídica.</w:t>
            </w:r>
            <w:r w:rsidR="00375252" w:rsidRPr="009774C9">
              <w:rPr>
                <w:rFonts w:ascii="Arial" w:hAnsi="Arial" w:cs="Arial"/>
                <w:sz w:val="22"/>
                <w:szCs w:val="22"/>
                <w:lang w:val="es-CR"/>
              </w:rPr>
              <w:t xml:space="preserve"> </w:t>
            </w:r>
          </w:p>
        </w:tc>
        <w:tc>
          <w:tcPr>
            <w:tcW w:w="2223" w:type="dxa"/>
            <w:tcBorders>
              <w:top w:val="nil"/>
            </w:tcBorders>
          </w:tcPr>
          <w:p w:rsidR="00375252" w:rsidRPr="009774C9" w:rsidRDefault="00375252" w:rsidP="009774C9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9774C9">
              <w:rPr>
                <w:rFonts w:ascii="Arial" w:hAnsi="Arial" w:cs="Arial"/>
                <w:sz w:val="22"/>
                <w:szCs w:val="22"/>
                <w:lang w:val="es-CR" w:eastAsia="es-CR"/>
              </w:rPr>
              <w:t>Campo alfanumérico</w:t>
            </w:r>
          </w:p>
          <w:p w:rsidR="00D21E0F" w:rsidRPr="009774C9" w:rsidRDefault="00D21E0F" w:rsidP="009774C9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</w:p>
          <w:p w:rsidR="00D21E0F" w:rsidRPr="009774C9" w:rsidRDefault="00D21E0F" w:rsidP="009774C9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</w:p>
          <w:p w:rsidR="00D21E0F" w:rsidRPr="009774C9" w:rsidRDefault="00D21E0F" w:rsidP="009774C9">
            <w:pPr>
              <w:spacing w:after="16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9774C9">
              <w:rPr>
                <w:rFonts w:ascii="Arial" w:hAnsi="Arial" w:cs="Arial"/>
                <w:sz w:val="22"/>
                <w:szCs w:val="22"/>
                <w:lang w:val="es-CR" w:eastAsia="es-CR"/>
              </w:rPr>
              <w:t>Campo alfanumérico</w:t>
            </w:r>
          </w:p>
        </w:tc>
      </w:tr>
    </w:tbl>
    <w:p w:rsidR="00375252" w:rsidRPr="009774C9" w:rsidRDefault="00375252" w:rsidP="009774C9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es-ES_tradnl" w:eastAsia="es-ES"/>
        </w:rPr>
      </w:pPr>
      <w:r w:rsidRPr="009774C9">
        <w:rPr>
          <w:rFonts w:ascii="Arial" w:hAnsi="Arial" w:cs="Arial"/>
          <w:b/>
          <w:sz w:val="22"/>
          <w:szCs w:val="22"/>
          <w:lang w:val="es-ES_tradnl" w:eastAsia="es-ES"/>
        </w:rPr>
        <w:t xml:space="preserve">N, T y P: </w:t>
      </w:r>
      <w:r w:rsidRPr="009774C9">
        <w:rPr>
          <w:rFonts w:ascii="Arial" w:hAnsi="Arial" w:cs="Arial"/>
          <w:sz w:val="22"/>
          <w:szCs w:val="22"/>
          <w:lang w:val="es-ES_tradnl" w:eastAsia="es-ES"/>
        </w:rPr>
        <w:t>Corresponde a un número</w:t>
      </w:r>
      <w:r w:rsidRPr="009774C9">
        <w:rPr>
          <w:rFonts w:ascii="Arial" w:hAnsi="Arial" w:cs="Arial"/>
          <w:b/>
          <w:sz w:val="22"/>
          <w:szCs w:val="22"/>
          <w:lang w:val="es-ES_tradnl" w:eastAsia="es-ES"/>
        </w:rPr>
        <w:t>.</w:t>
      </w:r>
    </w:p>
    <w:p w:rsidR="00156322" w:rsidRPr="009774C9" w:rsidRDefault="00156322" w:rsidP="009774C9">
      <w:pPr>
        <w:jc w:val="both"/>
        <w:rPr>
          <w:rFonts w:ascii="Arial" w:hAnsi="Arial" w:cs="Arial"/>
          <w:sz w:val="22"/>
          <w:szCs w:val="22"/>
          <w:lang w:val="es-ES_tradnl" w:eastAsia="es-ES"/>
        </w:rPr>
      </w:pPr>
    </w:p>
    <w:p w:rsidR="00187E56" w:rsidRPr="009774C9" w:rsidRDefault="009A3F4D" w:rsidP="009774C9">
      <w:pPr>
        <w:jc w:val="both"/>
        <w:rPr>
          <w:rFonts w:ascii="Arial" w:hAnsi="Arial" w:cs="Arial"/>
          <w:b/>
          <w:sz w:val="22"/>
          <w:szCs w:val="22"/>
          <w:lang w:val="es-CR"/>
        </w:rPr>
      </w:pPr>
      <w:r w:rsidRPr="009774C9">
        <w:rPr>
          <w:rFonts w:ascii="Arial" w:hAnsi="Arial" w:cs="Arial"/>
          <w:b/>
          <w:sz w:val="22"/>
          <w:szCs w:val="22"/>
          <w:lang w:val="es-CR"/>
        </w:rPr>
        <w:t xml:space="preserve">Artículo </w:t>
      </w:r>
      <w:r w:rsidR="007B5CCC" w:rsidRPr="009774C9">
        <w:rPr>
          <w:rFonts w:ascii="Arial" w:hAnsi="Arial" w:cs="Arial"/>
          <w:b/>
          <w:sz w:val="22"/>
          <w:szCs w:val="22"/>
          <w:lang w:val="es-CR"/>
        </w:rPr>
        <w:t>2</w:t>
      </w:r>
      <w:r w:rsidR="00291333" w:rsidRPr="009774C9">
        <w:rPr>
          <w:rFonts w:ascii="Arial" w:hAnsi="Arial" w:cs="Arial"/>
          <w:b/>
          <w:sz w:val="22"/>
          <w:szCs w:val="22"/>
          <w:lang w:val="es-CR"/>
        </w:rPr>
        <w:t>. Vigencia</w:t>
      </w:r>
    </w:p>
    <w:p w:rsidR="00291333" w:rsidRPr="009774C9" w:rsidRDefault="00291333" w:rsidP="009774C9">
      <w:pPr>
        <w:jc w:val="both"/>
        <w:rPr>
          <w:rFonts w:ascii="Arial" w:hAnsi="Arial" w:cs="Arial"/>
          <w:sz w:val="22"/>
          <w:szCs w:val="22"/>
          <w:lang w:val="es-CR"/>
        </w:rPr>
      </w:pPr>
    </w:p>
    <w:p w:rsidR="00291333" w:rsidRPr="009774C9" w:rsidRDefault="00291333" w:rsidP="009774C9">
      <w:pPr>
        <w:jc w:val="both"/>
        <w:rPr>
          <w:rFonts w:ascii="Arial" w:hAnsi="Arial" w:cs="Arial"/>
          <w:sz w:val="22"/>
          <w:szCs w:val="22"/>
          <w:lang w:val="es-CR"/>
        </w:rPr>
      </w:pPr>
      <w:r w:rsidRPr="009774C9">
        <w:rPr>
          <w:rFonts w:ascii="Arial" w:hAnsi="Arial" w:cs="Arial"/>
          <w:sz w:val="22"/>
          <w:szCs w:val="22"/>
          <w:lang w:val="es-CR"/>
        </w:rPr>
        <w:t>Rige a partir de su publicación.</w:t>
      </w:r>
    </w:p>
    <w:p w:rsidR="00BF3301" w:rsidRPr="009774C9" w:rsidRDefault="00BF3301" w:rsidP="009774C9">
      <w:pPr>
        <w:jc w:val="both"/>
        <w:rPr>
          <w:rFonts w:ascii="Arial" w:hAnsi="Arial" w:cs="Arial"/>
          <w:sz w:val="22"/>
          <w:szCs w:val="22"/>
          <w:lang w:val="es-CR"/>
        </w:rPr>
      </w:pPr>
      <w:r w:rsidRPr="009774C9">
        <w:rPr>
          <w:rFonts w:ascii="Arial" w:eastAsia="Calibri" w:hAnsi="Arial" w:cs="Arial"/>
          <w:noProof/>
          <w:sz w:val="22"/>
          <w:szCs w:val="22"/>
          <w:lang w:val="es-CR" w:eastAsia="es-CR"/>
        </w:rPr>
        <w:drawing>
          <wp:inline distT="0" distB="0" distL="0" distR="0" wp14:anchorId="48FA8A32" wp14:editId="4E947D99">
            <wp:extent cx="2733675" cy="3333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3301" w:rsidRPr="009774C9" w:rsidSect="002C7E37">
      <w:headerReference w:type="default" r:id="rId12"/>
      <w:footerReference w:type="default" r:id="rId13"/>
      <w:footerReference w:type="first" r:id="rId14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6DE" w:rsidRDefault="003616DE" w:rsidP="00C41EF1">
      <w:r>
        <w:separator/>
      </w:r>
    </w:p>
  </w:endnote>
  <w:endnote w:type="continuationSeparator" w:id="0">
    <w:p w:rsidR="003616DE" w:rsidRDefault="003616DE" w:rsidP="00C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7313835"/>
      <w:docPartObj>
        <w:docPartGallery w:val="Page Numbers (Bottom of Page)"/>
        <w:docPartUnique/>
      </w:docPartObj>
    </w:sdtPr>
    <w:sdtEndPr>
      <w:rPr>
        <w:rFonts w:ascii="Arial" w:eastAsiaTheme="minorHAnsi" w:hAnsi="Arial" w:cstheme="minorBidi"/>
        <w:color w:val="1B75BB"/>
        <w:sz w:val="22"/>
        <w:szCs w:val="22"/>
        <w:lang w:val="es-ES"/>
      </w:rPr>
    </w:sdtEndPr>
    <w:sdtContent>
      <w:p w:rsidR="00D85489" w:rsidRPr="00D85489" w:rsidRDefault="00D85489">
        <w:pPr>
          <w:pStyle w:val="Footer"/>
          <w:rPr>
            <w:rFonts w:ascii="Arial" w:eastAsiaTheme="minorHAnsi" w:hAnsi="Arial" w:cstheme="minorBidi"/>
            <w:color w:val="1B75BB"/>
            <w:sz w:val="22"/>
            <w:szCs w:val="22"/>
            <w:lang w:val="es-ES"/>
          </w:rPr>
        </w:pPr>
        <w:r w:rsidRPr="00D85489">
          <w:rPr>
            <w:rFonts w:ascii="Arial" w:eastAsiaTheme="minorHAnsi" w:hAnsi="Arial" w:cstheme="minorBidi"/>
            <w:color w:val="1B75BB"/>
            <w:sz w:val="22"/>
            <w:szCs w:val="22"/>
            <w:lang w:val="es-ES"/>
          </w:rPr>
          <w:t xml:space="preserve">| </w:t>
        </w:r>
        <w:r w:rsidRPr="00D85489">
          <w:rPr>
            <w:rFonts w:ascii="Arial" w:eastAsiaTheme="minorHAnsi" w:hAnsi="Arial" w:cstheme="minorBidi"/>
            <w:color w:val="1B75BB"/>
            <w:sz w:val="22"/>
            <w:szCs w:val="22"/>
            <w:lang w:val="es-ES"/>
          </w:rPr>
          <w:fldChar w:fldCharType="begin"/>
        </w:r>
        <w:r w:rsidRPr="00D85489">
          <w:rPr>
            <w:rFonts w:ascii="Arial" w:eastAsiaTheme="minorHAnsi" w:hAnsi="Arial" w:cstheme="minorBidi"/>
            <w:color w:val="1B75BB"/>
            <w:sz w:val="22"/>
            <w:szCs w:val="22"/>
            <w:lang w:val="es-ES"/>
          </w:rPr>
          <w:instrText xml:space="preserve"> PAGE   \* MERGEFORMAT </w:instrText>
        </w:r>
        <w:r w:rsidRPr="00D85489">
          <w:rPr>
            <w:rFonts w:ascii="Arial" w:eastAsiaTheme="minorHAnsi" w:hAnsi="Arial" w:cstheme="minorBidi"/>
            <w:color w:val="1B75BB"/>
            <w:sz w:val="22"/>
            <w:szCs w:val="22"/>
            <w:lang w:val="es-ES"/>
          </w:rPr>
          <w:fldChar w:fldCharType="separate"/>
        </w:r>
        <w:r w:rsidR="0025633D">
          <w:rPr>
            <w:rFonts w:ascii="Arial" w:eastAsiaTheme="minorHAnsi" w:hAnsi="Arial" w:cstheme="minorBidi"/>
            <w:noProof/>
            <w:color w:val="1B75BB"/>
            <w:sz w:val="22"/>
            <w:szCs w:val="22"/>
            <w:lang w:val="es-ES"/>
          </w:rPr>
          <w:t>4</w:t>
        </w:r>
        <w:r w:rsidRPr="00D85489">
          <w:rPr>
            <w:rFonts w:ascii="Arial" w:eastAsiaTheme="minorHAnsi" w:hAnsi="Arial" w:cstheme="minorBidi"/>
            <w:color w:val="1B75BB"/>
            <w:sz w:val="22"/>
            <w:szCs w:val="22"/>
            <w:lang w:val="es-ES"/>
          </w:rPr>
          <w:fldChar w:fldCharType="end"/>
        </w:r>
      </w:p>
    </w:sdtContent>
  </w:sdt>
  <w:p w:rsidR="009D6DE8" w:rsidRDefault="009D6D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301" w:rsidRPr="00BF3301" w:rsidRDefault="00BF3301" w:rsidP="00BF3301">
    <w:pPr>
      <w:tabs>
        <w:tab w:val="center" w:pos="4419"/>
        <w:tab w:val="right" w:pos="8838"/>
      </w:tabs>
      <w:rPr>
        <w:rFonts w:ascii="Arial" w:eastAsiaTheme="minorHAnsi" w:hAnsi="Arial" w:cs="Arial"/>
        <w:sz w:val="20"/>
        <w:szCs w:val="22"/>
        <w:lang w:val="es-CR"/>
      </w:rPr>
    </w:pPr>
  </w:p>
  <w:p w:rsidR="00BF3301" w:rsidRPr="00BF3301" w:rsidRDefault="00BF3301" w:rsidP="00BF3301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val="es-CR"/>
      </w:rPr>
    </w:pPr>
  </w:p>
  <w:p w:rsidR="00BF3301" w:rsidRPr="00BF3301" w:rsidRDefault="00BF3301" w:rsidP="00BF3301">
    <w:pPr>
      <w:tabs>
        <w:tab w:val="center" w:pos="4419"/>
        <w:tab w:val="right" w:pos="8838"/>
      </w:tabs>
      <w:rPr>
        <w:rFonts w:asciiTheme="minorHAnsi" w:eastAsiaTheme="minorHAnsi" w:hAnsiTheme="minorHAnsi" w:cstheme="minorBidi"/>
        <w:sz w:val="22"/>
        <w:szCs w:val="22"/>
        <w:lang w:val="es-CR"/>
      </w:rPr>
    </w:pPr>
  </w:p>
  <w:p w:rsidR="00BF3301" w:rsidRPr="00BF3301" w:rsidRDefault="00BF3301" w:rsidP="00BF3301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val="es-C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6DE" w:rsidRDefault="003616DE" w:rsidP="00C41EF1">
      <w:r>
        <w:separator/>
      </w:r>
    </w:p>
  </w:footnote>
  <w:footnote w:type="continuationSeparator" w:id="0">
    <w:p w:rsidR="003616DE" w:rsidRDefault="003616DE" w:rsidP="00C41EF1">
      <w:r>
        <w:continuationSeparator/>
      </w:r>
    </w:p>
  </w:footnote>
  <w:footnote w:id="1">
    <w:p w:rsidR="009774C9" w:rsidRPr="00B42C03" w:rsidRDefault="009774C9" w:rsidP="009774C9">
      <w:pPr>
        <w:jc w:val="both"/>
        <w:rPr>
          <w:rFonts w:ascii="Arial" w:hAnsi="Arial" w:cs="Arial"/>
          <w:szCs w:val="22"/>
          <w:lang w:val="es-MX"/>
        </w:rPr>
      </w:pPr>
      <w:r>
        <w:rPr>
          <w:rStyle w:val="FootnoteReference"/>
        </w:rPr>
        <w:footnoteRef/>
      </w:r>
      <w:r w:rsidRPr="009774C9">
        <w:rPr>
          <w:lang w:val="es-CR"/>
        </w:rPr>
        <w:t xml:space="preserve"> </w:t>
      </w:r>
      <w:r w:rsidRPr="00B42C03">
        <w:rPr>
          <w:rFonts w:ascii="Arial" w:hAnsi="Arial" w:cs="Arial"/>
          <w:szCs w:val="22"/>
          <w:lang w:val="es-MX"/>
        </w:rPr>
        <w:t>Superintendencia General de Valores. Despacho de</w:t>
      </w:r>
      <w:r>
        <w:rPr>
          <w:rFonts w:ascii="Arial" w:hAnsi="Arial" w:cs="Arial"/>
          <w:szCs w:val="22"/>
          <w:lang w:val="es-MX"/>
        </w:rPr>
        <w:t xml:space="preserve"> la </w:t>
      </w:r>
      <w:r w:rsidRPr="00B42C03">
        <w:rPr>
          <w:rFonts w:ascii="Arial" w:hAnsi="Arial" w:cs="Arial"/>
          <w:szCs w:val="22"/>
          <w:lang w:val="es-MX"/>
        </w:rPr>
        <w:t xml:space="preserve">Superintendente.  A las </w:t>
      </w:r>
      <w:r>
        <w:rPr>
          <w:rFonts w:ascii="Arial" w:hAnsi="Arial" w:cs="Arial"/>
          <w:szCs w:val="22"/>
          <w:lang w:val="es-MX"/>
        </w:rPr>
        <w:t xml:space="preserve">dieciséis horas </w:t>
      </w:r>
      <w:r w:rsidRPr="00B42C03">
        <w:rPr>
          <w:rFonts w:ascii="Arial" w:hAnsi="Arial" w:cs="Arial"/>
          <w:szCs w:val="22"/>
          <w:lang w:val="es-MX"/>
        </w:rPr>
        <w:t xml:space="preserve">del </w:t>
      </w:r>
      <w:r>
        <w:rPr>
          <w:rFonts w:ascii="Arial" w:hAnsi="Arial" w:cs="Arial"/>
          <w:szCs w:val="22"/>
          <w:lang w:val="es-MX"/>
        </w:rPr>
        <w:t>trece de setiembre</w:t>
      </w:r>
      <w:r w:rsidRPr="00B42C03">
        <w:rPr>
          <w:rFonts w:ascii="Arial" w:hAnsi="Arial" w:cs="Arial"/>
          <w:szCs w:val="22"/>
          <w:lang w:val="es-MX"/>
        </w:rPr>
        <w:t xml:space="preserve"> del dos mil </w:t>
      </w:r>
      <w:r>
        <w:rPr>
          <w:rFonts w:ascii="Arial" w:hAnsi="Arial" w:cs="Arial"/>
          <w:szCs w:val="22"/>
          <w:lang w:val="es-MX"/>
        </w:rPr>
        <w:t>dieciocho</w:t>
      </w:r>
      <w:r w:rsidRPr="00B42C03">
        <w:rPr>
          <w:rFonts w:ascii="Arial" w:hAnsi="Arial" w:cs="Arial"/>
          <w:szCs w:val="22"/>
          <w:lang w:val="es-MX"/>
        </w:rPr>
        <w:t>.</w:t>
      </w:r>
      <w:r w:rsidR="0025633D">
        <w:rPr>
          <w:rFonts w:ascii="Arial" w:hAnsi="Arial" w:cs="Arial"/>
          <w:szCs w:val="22"/>
          <w:lang w:val="es-MX"/>
        </w:rPr>
        <w:t xml:space="preserve"> Publicado en el Diario Oficial La Gaceta No. 210 del 13 de noviembre del 2018</w:t>
      </w:r>
    </w:p>
    <w:p w:rsidR="009774C9" w:rsidRPr="009774C9" w:rsidRDefault="009774C9" w:rsidP="009774C9">
      <w:pPr>
        <w:pStyle w:val="FootnoteText"/>
        <w:jc w:val="both"/>
        <w:rPr>
          <w:lang w:val="es-MX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4C9" w:rsidRDefault="009774C9" w:rsidP="009774C9">
    <w:pPr>
      <w:pStyle w:val="Header"/>
      <w:jc w:val="right"/>
    </w:pPr>
    <w:r>
      <w:rPr>
        <w:noProof/>
        <w:lang w:val="es-CR" w:eastAsia="es-C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413DE3AB" wp14:editId="7E53F1B5">
              <wp:simplePos x="0" y="0"/>
              <wp:positionH relativeFrom="margin">
                <wp:align>right</wp:align>
              </wp:positionH>
              <wp:positionV relativeFrom="paragraph">
                <wp:posOffset>397509</wp:posOffset>
              </wp:positionV>
              <wp:extent cx="5257800" cy="1905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57800" cy="190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1B75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278BD2" id="Straight Connector 2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362.8pt,31.3pt" to="776.8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" strokecolor="#1b75bb" strokeweight="1.5pt">
              <w10:wrap anchorx="margin"/>
            </v:line>
          </w:pict>
        </mc:Fallback>
      </mc:AlternateContent>
    </w:r>
    <w:r w:rsidRPr="006B3914">
      <w:rPr>
        <w:rFonts w:ascii="Calibri" w:hAnsi="Calibri" w:cs="Arial"/>
        <w:i/>
        <w:noProof/>
        <w:sz w:val="20"/>
        <w:szCs w:val="20"/>
        <w:lang w:val="es-CR" w:eastAsia="es-CR"/>
      </w:rPr>
      <w:drawing>
        <wp:inline distT="0" distB="0" distL="0" distR="0" wp14:anchorId="0ED08EE4" wp14:editId="72066970">
          <wp:extent cx="1581150" cy="390525"/>
          <wp:effectExtent l="0" t="0" r="0" b="9525"/>
          <wp:docPr id="1" name="Picture 1" descr="Logo-Sugeval-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Logo-Sugeval-Pequeñ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6DE8" w:rsidRDefault="009D6DE8" w:rsidP="00F7093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C10F5"/>
    <w:multiLevelType w:val="hybridMultilevel"/>
    <w:tmpl w:val="658E54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4019"/>
    <w:multiLevelType w:val="hybridMultilevel"/>
    <w:tmpl w:val="693817A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E86F64"/>
    <w:multiLevelType w:val="hybridMultilevel"/>
    <w:tmpl w:val="150CF5D6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D3BB8"/>
    <w:multiLevelType w:val="hybridMultilevel"/>
    <w:tmpl w:val="9AFAF7D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66EB3"/>
    <w:multiLevelType w:val="hybridMultilevel"/>
    <w:tmpl w:val="289C5EA0"/>
    <w:lvl w:ilvl="0" w:tplc="1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312C6B"/>
    <w:multiLevelType w:val="hybridMultilevel"/>
    <w:tmpl w:val="833880E6"/>
    <w:lvl w:ilvl="0" w:tplc="97041D44">
      <w:start w:val="1"/>
      <w:numFmt w:val="bullet"/>
      <w:pStyle w:val="ListaVietas"/>
      <w:lvlText w:val=""/>
      <w:lvlJc w:val="left"/>
      <w:pPr>
        <w:tabs>
          <w:tab w:val="num" w:pos="425"/>
        </w:tabs>
        <w:ind w:left="369" w:hanging="312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9785B"/>
    <w:multiLevelType w:val="hybridMultilevel"/>
    <w:tmpl w:val="04A45330"/>
    <w:lvl w:ilvl="0" w:tplc="A79CB5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700BC"/>
    <w:multiLevelType w:val="multilevel"/>
    <w:tmpl w:val="EDF8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D3021F"/>
    <w:multiLevelType w:val="hybridMultilevel"/>
    <w:tmpl w:val="890C1084"/>
    <w:lvl w:ilvl="0" w:tplc="B76C60FE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22"/>
    <w:rsid w:val="00030638"/>
    <w:rsid w:val="001305CF"/>
    <w:rsid w:val="00156322"/>
    <w:rsid w:val="00172BE3"/>
    <w:rsid w:val="00187E56"/>
    <w:rsid w:val="00190C9E"/>
    <w:rsid w:val="001C4017"/>
    <w:rsid w:val="001C7E44"/>
    <w:rsid w:val="00216182"/>
    <w:rsid w:val="0025633D"/>
    <w:rsid w:val="00274740"/>
    <w:rsid w:val="00291333"/>
    <w:rsid w:val="002C7E37"/>
    <w:rsid w:val="0033704F"/>
    <w:rsid w:val="003616DE"/>
    <w:rsid w:val="00375252"/>
    <w:rsid w:val="003B7FB9"/>
    <w:rsid w:val="0045485A"/>
    <w:rsid w:val="0049360C"/>
    <w:rsid w:val="004E0865"/>
    <w:rsid w:val="0050592F"/>
    <w:rsid w:val="00515BA7"/>
    <w:rsid w:val="00543749"/>
    <w:rsid w:val="00575AB0"/>
    <w:rsid w:val="005B71E1"/>
    <w:rsid w:val="006B2ED5"/>
    <w:rsid w:val="006F2D51"/>
    <w:rsid w:val="007927C6"/>
    <w:rsid w:val="007B10E9"/>
    <w:rsid w:val="007B5CCC"/>
    <w:rsid w:val="00846F3B"/>
    <w:rsid w:val="00887E9C"/>
    <w:rsid w:val="008B5735"/>
    <w:rsid w:val="009354DA"/>
    <w:rsid w:val="009774C9"/>
    <w:rsid w:val="009A27FA"/>
    <w:rsid w:val="009A3F4D"/>
    <w:rsid w:val="009D6DE8"/>
    <w:rsid w:val="009E5CB1"/>
    <w:rsid w:val="009E5FA2"/>
    <w:rsid w:val="00A455CF"/>
    <w:rsid w:val="00A83E3E"/>
    <w:rsid w:val="00B84599"/>
    <w:rsid w:val="00BF3301"/>
    <w:rsid w:val="00C27B8D"/>
    <w:rsid w:val="00C41EF1"/>
    <w:rsid w:val="00C86798"/>
    <w:rsid w:val="00CD2150"/>
    <w:rsid w:val="00CF047E"/>
    <w:rsid w:val="00CF4FEE"/>
    <w:rsid w:val="00D21E0F"/>
    <w:rsid w:val="00D85489"/>
    <w:rsid w:val="00DA55A1"/>
    <w:rsid w:val="00E03B0B"/>
    <w:rsid w:val="00E52FBC"/>
    <w:rsid w:val="00F16F70"/>
    <w:rsid w:val="00F7093F"/>
    <w:rsid w:val="00F93205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FCA1AEAA-1ACC-43A6-BB79-D4FD9442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1563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563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5632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3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632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3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56322"/>
    <w:pPr>
      <w:ind w:left="720"/>
      <w:contextualSpacing/>
    </w:pPr>
  </w:style>
  <w:style w:type="character" w:customStyle="1" w:styleId="LetraNegrita">
    <w:name w:val="Letra Negrita"/>
    <w:qFormat/>
    <w:rsid w:val="00156322"/>
    <w:rPr>
      <w:rFonts w:ascii="Arial" w:hAnsi="Arial"/>
      <w:b/>
      <w:color w:val="auto"/>
      <w:sz w:val="20"/>
    </w:rPr>
  </w:style>
  <w:style w:type="table" w:styleId="ListTable3-Accent1">
    <w:name w:val="List Table 3 Accent 1"/>
    <w:basedOn w:val="TableNormal"/>
    <w:uiPriority w:val="48"/>
    <w:rsid w:val="00156322"/>
    <w:pPr>
      <w:spacing w:after="0" w:line="240" w:lineRule="auto"/>
    </w:pPr>
    <w:rPr>
      <w:rFonts w:ascii="Arial" w:hAnsi="Arial"/>
      <w:lang w:val="es-E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56322"/>
    <w:pPr>
      <w:spacing w:after="0" w:line="240" w:lineRule="auto"/>
    </w:pPr>
    <w:rPr>
      <w:rFonts w:ascii="Arial" w:hAnsi="Arial"/>
      <w:lang w:val="es-E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ListaVietas">
    <w:name w:val="Lista Viñetas"/>
    <w:link w:val="ListaVietasCar"/>
    <w:qFormat/>
    <w:rsid w:val="00156322"/>
    <w:pPr>
      <w:numPr>
        <w:numId w:val="6"/>
      </w:numPr>
      <w:spacing w:before="120" w:after="120" w:line="240" w:lineRule="auto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ListaVietasCar">
    <w:name w:val="Lista Viñetas Car"/>
    <w:link w:val="ListaVietas"/>
    <w:rsid w:val="00156322"/>
    <w:rPr>
      <w:rFonts w:ascii="Arial" w:eastAsia="Times New Roman" w:hAnsi="Arial" w:cs="Times New Roman"/>
      <w:snapToGrid w:val="0"/>
      <w:sz w:val="20"/>
      <w:szCs w:val="20"/>
    </w:rPr>
  </w:style>
  <w:style w:type="character" w:styleId="Hyperlink">
    <w:name w:val="Hyperlink"/>
    <w:rsid w:val="00156322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093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093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7093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F7093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B2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E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E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E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B2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E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ED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/customXml/item1.xml"/>
  <Relationship Id="rId10" Type="http://schemas.openxmlformats.org/officeDocument/2006/relationships/endnotes" Target="endnotes.xml"/>
  <Relationship Id="rId11" Type="http://schemas.openxmlformats.org/officeDocument/2006/relationships/image" Target="media/image1.png"/>
  <Relationship Id="rId12" Type="http://schemas.openxmlformats.org/officeDocument/2006/relationships/header" Target="header1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/customXml/item2.xml"/>
  <Relationship Id="rId3" Type="http://schemas.openxmlformats.org/officeDocument/2006/relationships/customXml" Target="/customXml/item3.xml"/>
  <Relationship Id="rId4" Type="http://schemas.openxmlformats.org/officeDocument/2006/relationships/customXml" Target="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2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Estado xmlns="315842a7-4cff-4ca6-8fb0-a6562d7ae952">Vigente</Estado>
    <Derogado_x0020_por_x003a_ xmlns="315842a7-4cff-4ca6-8fb0-a6562d7ae952" xsi:nil="true"/>
    <SharedWithUsers xmlns="fc66ef79-2d66-4fa3-90bd-e4f186d8d36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6477CF232ACD46B93353E93693837C" ma:contentTypeVersion="22" ma:contentTypeDescription="Crear nuevo documento." ma:contentTypeScope="" ma:versionID="771b5d109343a25d4f006d1cf9f2dd89">
  <xsd:schema xmlns:xsd="http://www.w3.org/2001/XMLSchema" xmlns:xs="http://www.w3.org/2001/XMLSchema" xmlns:p="http://schemas.microsoft.com/office/2006/metadata/properties" xmlns:ns2="315842a7-4cff-4ca6-8fb0-a6562d7ae952" xmlns:ns3="fc66ef79-2d66-4fa3-90bd-e4f186d8d369" targetNamespace="http://schemas.microsoft.com/office/2006/metadata/properties" ma:root="true" ma:fieldsID="92001fb5b952c810e9fd9ed66f8f92f8" ns2:_="" ns3:_="">
    <xsd:import namespace="315842a7-4cff-4ca6-8fb0-a6562d7ae952"/>
    <xsd:import namespace="fc66ef79-2d66-4fa3-90bd-e4f186d8d369"/>
    <xsd:element name="properties">
      <xsd:complexType>
        <xsd:sequence>
          <xsd:element name="documentManagement">
            <xsd:complexType>
              <xsd:all>
                <xsd:element ref="ns2:Estado" minOccurs="0"/>
                <xsd:element ref="ns2:Derogado_x0020_por_x003a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842a7-4cff-4ca6-8fb0-a6562d7ae952" elementFormDefault="qualified">
    <xsd:import namespace="http://schemas.microsoft.com/office/2006/documentManagement/types"/>
    <xsd:import namespace="http://schemas.microsoft.com/office/infopath/2007/PartnerControls"/>
    <xsd:element name="Estado" ma:index="8" nillable="true" ma:displayName="Estado" ma:default="Consulta" ma:format="Dropdown" ma:internalName="Estado">
      <xsd:simpleType>
        <xsd:restriction base="dms:Choice">
          <xsd:enumeration value="Consulta"/>
          <xsd:enumeration value="Derogado"/>
          <xsd:enumeration value="Vigente"/>
        </xsd:restriction>
      </xsd:simpleType>
    </xsd:element>
    <xsd:element name="Derogado_x0020_por_x003a_" ma:index="9" nillable="true" ma:displayName="Derogado por:" ma:internalName="Derogado_x0020_por_x003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6ef79-2d66-4fa3-90bd-e4f186d8d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Nombre Acuerd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2114E-56A3-46EE-BF9E-BB6D2207D699}"/>
</file>

<file path=customXml/itemProps2.xml><?xml version="1.0" encoding="utf-8"?>
<ds:datastoreItem xmlns:ds="http://schemas.openxmlformats.org/officeDocument/2006/customXml" ds:itemID="{F3145A10-2929-493F-87B7-436D69249ACC}"/>
</file>

<file path=customXml/itemProps3.xml><?xml version="1.0" encoding="utf-8"?>
<ds:datastoreItem xmlns:ds="http://schemas.openxmlformats.org/officeDocument/2006/customXml" ds:itemID="{D1EAF856-7C2F-4E3F-9C3A-BED97B63C3D1}"/>
</file>

<file path=customXml/itemProps4.xml><?xml version="1.0" encoding="utf-8"?>
<ds:datastoreItem xmlns:ds="http://schemas.openxmlformats.org/officeDocument/2006/customXml" ds:itemID="{A4FB8D3C-5501-43E2-97C7-B267B0B225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ACUERDO PARA LA IDENTIFICACIÓN DE LOS CLIENTES TITULARES DE LAS CUENTAS DE VALORES EN EL SISTEMA NACIONAL DE REGISTRO DE ANOTACIONES EN CUENTA Y LA ADMINISTRACIÓN DE CUENTAS DE VALORES</vt:lpstr>
    </vt:vector>
  </TitlesOfParts>
  <Company>SUGEVAL</Company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PARA LA IDENTIFICACIÓN DE LOS CLIENTES TITULARES DE LAS CUENTAS DE VALORES EN EL SISTEMA NACIONAL DE REGISTRO DE ANOTACIONES EN CUENTA Y LA ADMINISTRACIÓN DE CUENTAS DE VALORES</dc:title>
  <dc:creator>TAN CHAN ISABEL</dc:creator>
  <cp:lastModifiedBy>FERNANDEZ PORRAS PATRICIA</cp:lastModifiedBy>
  <cp:revision>3</cp:revision>
  <dcterms:created xsi:type="dcterms:W3CDTF">2018-11-19T23:32:00Z</dcterms:created>
  <dcterms:modified xsi:type="dcterms:W3CDTF">2018-11-19T23:33:00Z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0x010100C66477CF232ACD46B93353E93693837C</vt:lpwstr>
  </property>
  <property fmtid="{D5CDD505-2E9C-101B-9397-08002B2CF9AE}" pid="5" name="FileLeafRef">
    <vt:lpwstr>SGV-A-232.docx</vt:lpwstr>
  </property>
</Properties>
</file>