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5B69C" w14:textId="77777777" w:rsidR="001920F8" w:rsidRPr="001920F8" w:rsidRDefault="00720D3A" w:rsidP="001920F8">
      <w:pPr>
        <w:pStyle w:val="Numeracin"/>
        <w:numPr>
          <w:ilvl w:val="0"/>
          <w:numId w:val="0"/>
        </w:numPr>
        <w:spacing w:before="0"/>
        <w:ind w:right="-193"/>
        <w:rPr>
          <w:rFonts w:ascii="Arial" w:hAnsi="Arial" w:cs="Arial"/>
          <w:b/>
          <w:szCs w:val="22"/>
        </w:rPr>
      </w:pPr>
      <w:r w:rsidRPr="001920F8">
        <w:rPr>
          <w:rFonts w:ascii="Arial" w:hAnsi="Arial" w:cs="Arial"/>
          <w:b/>
          <w:bCs/>
          <w:iCs/>
          <w:noProof/>
          <w:szCs w:val="22"/>
          <w:lang w:val="es-ES_tradnl"/>
        </w:rPr>
        <w:t>SGV-A-</w:t>
      </w:r>
      <w:r w:rsidR="00ED4D0E" w:rsidRPr="001920F8">
        <w:rPr>
          <w:rFonts w:ascii="Arial" w:hAnsi="Arial" w:cs="Arial"/>
          <w:b/>
          <w:bCs/>
          <w:iCs/>
          <w:noProof/>
          <w:szCs w:val="22"/>
          <w:lang w:val="es-ES_tradnl"/>
        </w:rPr>
        <w:t>235</w:t>
      </w:r>
      <w:r w:rsidRPr="001920F8">
        <w:rPr>
          <w:rFonts w:ascii="Arial" w:hAnsi="Arial" w:cs="Arial"/>
          <w:b/>
          <w:bCs/>
          <w:iCs/>
          <w:noProof/>
          <w:szCs w:val="22"/>
          <w:lang w:val="es-ES_tradnl"/>
        </w:rPr>
        <w:t xml:space="preserve">. </w:t>
      </w:r>
      <w:r w:rsidR="001920F8" w:rsidRPr="001920F8">
        <w:rPr>
          <w:rFonts w:ascii="Arial" w:hAnsi="Arial" w:cs="Arial"/>
          <w:b/>
          <w:szCs w:val="22"/>
        </w:rPr>
        <w:t xml:space="preserve">MODIFICACIÓN AL ACUERDO SGV-A-75 “SUMINISTRO DE INFORMACIÓN PERIÓDICA” </w:t>
      </w:r>
      <w:r w:rsidR="001920F8" w:rsidRPr="001920F8">
        <w:rPr>
          <w:rStyle w:val="FootnoteReference"/>
          <w:rFonts w:ascii="Arial" w:hAnsi="Arial" w:cs="Arial"/>
          <w:b/>
          <w:szCs w:val="22"/>
        </w:rPr>
        <w:footnoteReference w:id="2"/>
      </w:r>
    </w:p>
    <w:p w14:paraId="0935B69D" w14:textId="77777777" w:rsidR="001920F8" w:rsidRPr="001920F8" w:rsidRDefault="001920F8" w:rsidP="00ED4D0E">
      <w:pPr>
        <w:pStyle w:val="Numeracin"/>
        <w:numPr>
          <w:ilvl w:val="0"/>
          <w:numId w:val="0"/>
        </w:numPr>
        <w:spacing w:before="0"/>
        <w:ind w:right="-193"/>
        <w:rPr>
          <w:rFonts w:ascii="Arial" w:hAnsi="Arial" w:cs="Arial"/>
          <w:bCs/>
          <w:iCs/>
          <w:noProof/>
          <w:szCs w:val="22"/>
        </w:rPr>
      </w:pPr>
    </w:p>
    <w:p w14:paraId="0935B69E" w14:textId="77777777" w:rsidR="00CE7ACA" w:rsidRPr="001920F8" w:rsidRDefault="00CE7ACA" w:rsidP="00084D3C">
      <w:pPr>
        <w:pStyle w:val="Numeracin"/>
        <w:numPr>
          <w:ilvl w:val="0"/>
          <w:numId w:val="0"/>
        </w:numPr>
        <w:spacing w:before="0"/>
        <w:ind w:right="-193"/>
        <w:rPr>
          <w:rFonts w:ascii="Arial" w:hAnsi="Arial" w:cs="Arial"/>
          <w:bCs/>
          <w:szCs w:val="22"/>
          <w:lang w:eastAsia="en-US"/>
        </w:rPr>
      </w:pPr>
    </w:p>
    <w:p w14:paraId="0935B69F" w14:textId="77777777" w:rsidR="00084D3C" w:rsidRPr="001920F8" w:rsidRDefault="00084D3C" w:rsidP="00084D3C">
      <w:pPr>
        <w:pStyle w:val="Textodereglamento"/>
        <w:spacing w:before="0" w:line="276" w:lineRule="auto"/>
        <w:ind w:right="-193"/>
        <w:rPr>
          <w:rFonts w:ascii="Arial" w:hAnsi="Arial" w:cs="Arial"/>
          <w:b/>
          <w:bCs/>
          <w:szCs w:val="22"/>
          <w:lang w:val="es-CR"/>
        </w:rPr>
      </w:pPr>
      <w:r w:rsidRPr="001920F8">
        <w:rPr>
          <w:rFonts w:ascii="Arial" w:hAnsi="Arial" w:cs="Arial"/>
          <w:b/>
          <w:bCs/>
          <w:szCs w:val="22"/>
          <w:lang w:val="es-CR"/>
        </w:rPr>
        <w:t>Considerando que:</w:t>
      </w:r>
    </w:p>
    <w:p w14:paraId="0935B6A0" w14:textId="77777777" w:rsidR="00084D3C" w:rsidRPr="001920F8" w:rsidRDefault="00084D3C" w:rsidP="00084D3C">
      <w:pPr>
        <w:pStyle w:val="Textodereglamento"/>
        <w:spacing w:before="0" w:line="276" w:lineRule="auto"/>
        <w:ind w:right="-193"/>
        <w:rPr>
          <w:rFonts w:ascii="Arial" w:hAnsi="Arial" w:cs="Arial"/>
          <w:b/>
          <w:bCs/>
          <w:szCs w:val="22"/>
          <w:lang w:val="es-CR"/>
        </w:rPr>
      </w:pPr>
    </w:p>
    <w:p w14:paraId="0935B6A1" w14:textId="77777777" w:rsidR="00084D3C" w:rsidRPr="001920F8" w:rsidRDefault="00084D3C" w:rsidP="00084D3C">
      <w:pPr>
        <w:pStyle w:val="Numeracin"/>
        <w:tabs>
          <w:tab w:val="left" w:pos="567"/>
        </w:tabs>
        <w:spacing w:before="0"/>
        <w:ind w:left="567" w:right="-193" w:hanging="567"/>
        <w:rPr>
          <w:rFonts w:ascii="Arial" w:hAnsi="Arial" w:cs="Arial"/>
          <w:szCs w:val="22"/>
        </w:rPr>
      </w:pPr>
      <w:r w:rsidRPr="001920F8">
        <w:rPr>
          <w:rFonts w:ascii="Arial" w:hAnsi="Arial" w:cs="Arial"/>
          <w:szCs w:val="22"/>
          <w:lang w:val="es-CR"/>
        </w:rPr>
        <w:t xml:space="preserve">El </w:t>
      </w:r>
      <w:r w:rsidRPr="001920F8">
        <w:rPr>
          <w:rFonts w:ascii="Arial" w:hAnsi="Arial" w:cs="Arial"/>
          <w:szCs w:val="22"/>
        </w:rPr>
        <w:t>Artículo 8 inciso l) de la Ley Reguladora del Mercado de Valores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w:t>
      </w:r>
    </w:p>
    <w:p w14:paraId="0935B6A2" w14:textId="77777777" w:rsidR="00084D3C" w:rsidRPr="001920F8" w:rsidRDefault="00084D3C" w:rsidP="00084D3C">
      <w:pPr>
        <w:pStyle w:val="Numeracin"/>
        <w:numPr>
          <w:ilvl w:val="0"/>
          <w:numId w:val="0"/>
        </w:numPr>
        <w:tabs>
          <w:tab w:val="left" w:pos="567"/>
        </w:tabs>
        <w:spacing w:before="0"/>
        <w:ind w:left="567" w:right="-193"/>
        <w:rPr>
          <w:rFonts w:ascii="Arial" w:hAnsi="Arial" w:cs="Arial"/>
          <w:szCs w:val="22"/>
        </w:rPr>
      </w:pPr>
    </w:p>
    <w:p w14:paraId="0935B6A3" w14:textId="77777777" w:rsidR="00084D3C" w:rsidRPr="001920F8" w:rsidRDefault="00084D3C" w:rsidP="00084D3C">
      <w:pPr>
        <w:pStyle w:val="Numeracin"/>
        <w:tabs>
          <w:tab w:val="left" w:pos="567"/>
        </w:tabs>
        <w:spacing w:before="0"/>
        <w:ind w:left="567" w:right="-193" w:hanging="567"/>
        <w:rPr>
          <w:rFonts w:ascii="Arial" w:hAnsi="Arial" w:cs="Arial"/>
          <w:szCs w:val="22"/>
        </w:rPr>
      </w:pPr>
      <w:r w:rsidRPr="001920F8">
        <w:rPr>
          <w:rFonts w:ascii="Arial" w:hAnsi="Arial" w:cs="Arial"/>
          <w:szCs w:val="22"/>
        </w:rPr>
        <w:t>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0935B6A4" w14:textId="77777777" w:rsidR="00084D3C" w:rsidRPr="001920F8" w:rsidRDefault="00084D3C" w:rsidP="00084D3C">
      <w:pPr>
        <w:pStyle w:val="Numeracin"/>
        <w:numPr>
          <w:ilvl w:val="0"/>
          <w:numId w:val="0"/>
        </w:numPr>
        <w:tabs>
          <w:tab w:val="left" w:pos="567"/>
        </w:tabs>
        <w:spacing w:before="0"/>
        <w:ind w:left="567" w:right="-193"/>
        <w:rPr>
          <w:rFonts w:ascii="Arial" w:hAnsi="Arial" w:cs="Arial"/>
          <w:szCs w:val="22"/>
        </w:rPr>
      </w:pPr>
    </w:p>
    <w:p w14:paraId="0935B6A5" w14:textId="77777777" w:rsidR="00084D3C" w:rsidRPr="001920F8" w:rsidRDefault="00084D3C" w:rsidP="00084D3C">
      <w:pPr>
        <w:pStyle w:val="Numeracin"/>
        <w:tabs>
          <w:tab w:val="left" w:pos="567"/>
        </w:tabs>
        <w:spacing w:before="0"/>
        <w:ind w:left="567" w:right="-193" w:hanging="567"/>
        <w:rPr>
          <w:rFonts w:ascii="Arial" w:hAnsi="Arial" w:cs="Arial"/>
          <w:szCs w:val="22"/>
        </w:rPr>
      </w:pPr>
      <w:r w:rsidRPr="001920F8">
        <w:rPr>
          <w:rFonts w:ascii="Arial" w:hAnsi="Arial" w:cs="Arial"/>
          <w:szCs w:val="22"/>
        </w:rPr>
        <w:t>Este reglamento confiere al Superintendente la potestad para definir el contenido, la periodicidad y los medios de suministro de la información periódica que debe remitirse a la Superintendencia General de Valores, por lo que emitió el SGV-A-75, Acuerdo sobre el Suministro de Información Periódica con fecha 24 de abril del 2003, y se ha retomado durante los últimos años para actualizar los deberes de información de las entidades.</w:t>
      </w:r>
    </w:p>
    <w:p w14:paraId="0935B6A6" w14:textId="77777777" w:rsidR="00133FE4" w:rsidRPr="001920F8" w:rsidRDefault="00133FE4" w:rsidP="00133FE4">
      <w:pPr>
        <w:pStyle w:val="Numeracin"/>
        <w:numPr>
          <w:ilvl w:val="0"/>
          <w:numId w:val="0"/>
        </w:numPr>
        <w:tabs>
          <w:tab w:val="left" w:pos="567"/>
        </w:tabs>
        <w:spacing w:before="0"/>
        <w:ind w:left="567" w:right="-193"/>
        <w:rPr>
          <w:rFonts w:ascii="Arial" w:hAnsi="Arial" w:cs="Arial"/>
          <w:szCs w:val="22"/>
        </w:rPr>
      </w:pPr>
    </w:p>
    <w:p w14:paraId="0935B6A7" w14:textId="77777777" w:rsidR="00550BCA" w:rsidRPr="001920F8" w:rsidRDefault="008811DF" w:rsidP="00CF3A98">
      <w:pPr>
        <w:pStyle w:val="Numeracin"/>
        <w:tabs>
          <w:tab w:val="left" w:pos="567"/>
        </w:tabs>
        <w:spacing w:before="0"/>
        <w:ind w:left="567" w:right="-193" w:hanging="567"/>
        <w:rPr>
          <w:rFonts w:ascii="Arial" w:hAnsi="Arial" w:cs="Arial"/>
          <w:szCs w:val="22"/>
        </w:rPr>
      </w:pPr>
      <w:r w:rsidRPr="001920F8">
        <w:rPr>
          <w:rFonts w:ascii="Arial" w:hAnsi="Arial" w:cs="Arial"/>
          <w:szCs w:val="22"/>
        </w:rPr>
        <w:t>En</w:t>
      </w:r>
      <w:r w:rsidR="00550BCA" w:rsidRPr="001920F8">
        <w:rPr>
          <w:rFonts w:ascii="Arial" w:hAnsi="Arial" w:cs="Arial"/>
          <w:szCs w:val="22"/>
        </w:rPr>
        <w:t xml:space="preserve"> la industria de fondos de inversión costarricense, </w:t>
      </w:r>
      <w:r w:rsidR="00CF3A98" w:rsidRPr="001920F8">
        <w:rPr>
          <w:rFonts w:ascii="Arial" w:hAnsi="Arial" w:cs="Arial"/>
          <w:szCs w:val="22"/>
        </w:rPr>
        <w:t xml:space="preserve">debe prestarse atención a </w:t>
      </w:r>
      <w:r w:rsidR="00C25FE2" w:rsidRPr="001920F8">
        <w:rPr>
          <w:rFonts w:ascii="Arial" w:hAnsi="Arial" w:cs="Arial"/>
          <w:szCs w:val="22"/>
        </w:rPr>
        <w:t>las estacionalidades y</w:t>
      </w:r>
      <w:r w:rsidR="00550BCA" w:rsidRPr="001920F8">
        <w:rPr>
          <w:rFonts w:ascii="Arial" w:hAnsi="Arial" w:cs="Arial"/>
          <w:szCs w:val="22"/>
        </w:rPr>
        <w:t xml:space="preserve"> </w:t>
      </w:r>
      <w:r w:rsidR="00C25FE2" w:rsidRPr="001920F8">
        <w:rPr>
          <w:rFonts w:ascii="Arial" w:hAnsi="Arial" w:cs="Arial"/>
          <w:szCs w:val="22"/>
        </w:rPr>
        <w:t xml:space="preserve">la Superintendencia </w:t>
      </w:r>
      <w:r w:rsidR="00550BCA" w:rsidRPr="001920F8">
        <w:rPr>
          <w:rFonts w:ascii="Arial" w:hAnsi="Arial" w:cs="Arial"/>
          <w:szCs w:val="22"/>
        </w:rPr>
        <w:t>debe dar</w:t>
      </w:r>
      <w:r w:rsidR="00C25FE2" w:rsidRPr="001920F8">
        <w:rPr>
          <w:rFonts w:ascii="Arial" w:hAnsi="Arial" w:cs="Arial"/>
          <w:szCs w:val="22"/>
        </w:rPr>
        <w:t>les</w:t>
      </w:r>
      <w:r w:rsidR="00550BCA" w:rsidRPr="001920F8">
        <w:rPr>
          <w:rFonts w:ascii="Arial" w:hAnsi="Arial" w:cs="Arial"/>
          <w:szCs w:val="22"/>
        </w:rPr>
        <w:t xml:space="preserve"> seguimiento como parte de </w:t>
      </w:r>
      <w:r w:rsidR="00C25FE2" w:rsidRPr="001920F8">
        <w:rPr>
          <w:rFonts w:ascii="Arial" w:hAnsi="Arial" w:cs="Arial"/>
          <w:szCs w:val="22"/>
        </w:rPr>
        <w:t>sus labores de supervisión</w:t>
      </w:r>
      <w:r w:rsidR="00550BCA" w:rsidRPr="001920F8">
        <w:rPr>
          <w:rFonts w:ascii="Arial" w:hAnsi="Arial" w:cs="Arial"/>
          <w:szCs w:val="22"/>
        </w:rPr>
        <w:t xml:space="preserve">, </w:t>
      </w:r>
      <w:r w:rsidR="00C25FE2" w:rsidRPr="001920F8">
        <w:rPr>
          <w:rFonts w:ascii="Arial" w:hAnsi="Arial" w:cs="Arial"/>
          <w:szCs w:val="22"/>
        </w:rPr>
        <w:t>siempre bajo los objetivos de vela</w:t>
      </w:r>
      <w:r w:rsidR="00550BCA" w:rsidRPr="001920F8">
        <w:rPr>
          <w:rFonts w:ascii="Arial" w:hAnsi="Arial" w:cs="Arial"/>
          <w:szCs w:val="22"/>
        </w:rPr>
        <w:t>r por la transparencia y protección al inversionista</w:t>
      </w:r>
      <w:r w:rsidRPr="001920F8">
        <w:rPr>
          <w:rFonts w:ascii="Arial" w:hAnsi="Arial" w:cs="Arial"/>
          <w:szCs w:val="22"/>
        </w:rPr>
        <w:t xml:space="preserve">; se requiere aumentar el  monitoreo </w:t>
      </w:r>
      <w:r w:rsidR="00550BCA" w:rsidRPr="001920F8">
        <w:rPr>
          <w:rFonts w:ascii="Arial" w:hAnsi="Arial" w:cs="Arial"/>
          <w:szCs w:val="22"/>
        </w:rPr>
        <w:t xml:space="preserve"> </w:t>
      </w:r>
      <w:r w:rsidRPr="001920F8">
        <w:rPr>
          <w:rFonts w:ascii="Arial" w:hAnsi="Arial" w:cs="Arial"/>
          <w:szCs w:val="22"/>
        </w:rPr>
        <w:t>sobre</w:t>
      </w:r>
      <w:r w:rsidR="00C25FE2" w:rsidRPr="001920F8">
        <w:rPr>
          <w:rFonts w:ascii="Arial" w:hAnsi="Arial" w:cs="Arial"/>
          <w:szCs w:val="22"/>
        </w:rPr>
        <w:t xml:space="preserve"> las </w:t>
      </w:r>
      <w:r w:rsidR="00550BCA" w:rsidRPr="001920F8">
        <w:rPr>
          <w:rFonts w:ascii="Arial" w:hAnsi="Arial" w:cs="Arial"/>
          <w:szCs w:val="22"/>
        </w:rPr>
        <w:t xml:space="preserve">interrelaciones con diferentes participantes del sistema financiero, </w:t>
      </w:r>
      <w:r w:rsidRPr="001920F8">
        <w:rPr>
          <w:rFonts w:ascii="Arial" w:hAnsi="Arial" w:cs="Arial"/>
          <w:szCs w:val="22"/>
        </w:rPr>
        <w:t>considerando</w:t>
      </w:r>
      <w:r w:rsidR="00550BCA" w:rsidRPr="001920F8">
        <w:rPr>
          <w:rFonts w:ascii="Arial" w:hAnsi="Arial" w:cs="Arial"/>
          <w:szCs w:val="22"/>
        </w:rPr>
        <w:t xml:space="preserve"> los efectos sistémicos que podrían </w:t>
      </w:r>
      <w:r w:rsidRPr="001920F8">
        <w:rPr>
          <w:rFonts w:ascii="Arial" w:hAnsi="Arial" w:cs="Arial"/>
          <w:szCs w:val="22"/>
        </w:rPr>
        <w:t>presentarse</w:t>
      </w:r>
      <w:r w:rsidR="00550BCA" w:rsidRPr="001920F8">
        <w:rPr>
          <w:rFonts w:ascii="Arial" w:hAnsi="Arial" w:cs="Arial"/>
          <w:szCs w:val="22"/>
        </w:rPr>
        <w:t xml:space="preserve"> y que tienen el potencial de generar afectaciones en la base de inversionistas y otros participantes del mercado</w:t>
      </w:r>
      <w:r w:rsidRPr="001920F8">
        <w:rPr>
          <w:rFonts w:ascii="Arial" w:hAnsi="Arial" w:cs="Arial"/>
          <w:szCs w:val="22"/>
        </w:rPr>
        <w:t xml:space="preserve">. </w:t>
      </w:r>
      <w:r w:rsidR="00EC1F90" w:rsidRPr="001920F8">
        <w:rPr>
          <w:rFonts w:ascii="Arial" w:hAnsi="Arial" w:cs="Arial"/>
          <w:szCs w:val="22"/>
        </w:rPr>
        <w:t>En este sentido</w:t>
      </w:r>
      <w:r w:rsidR="007D6546" w:rsidRPr="001920F8">
        <w:rPr>
          <w:rFonts w:ascii="Arial" w:hAnsi="Arial" w:cs="Arial"/>
          <w:szCs w:val="22"/>
        </w:rPr>
        <w:t xml:space="preserve">, </w:t>
      </w:r>
      <w:r w:rsidR="00EC1F90" w:rsidRPr="001920F8">
        <w:rPr>
          <w:rFonts w:ascii="Arial" w:hAnsi="Arial" w:cs="Arial"/>
          <w:szCs w:val="22"/>
        </w:rPr>
        <w:t xml:space="preserve">para los fondos abiertos es de relevancia contar con información prospectiva </w:t>
      </w:r>
      <w:r w:rsidR="007D6546" w:rsidRPr="001920F8">
        <w:rPr>
          <w:rFonts w:ascii="Arial" w:hAnsi="Arial" w:cs="Arial"/>
          <w:szCs w:val="22"/>
        </w:rPr>
        <w:t>sobre</w:t>
      </w:r>
      <w:r w:rsidR="00EC1F90" w:rsidRPr="001920F8">
        <w:rPr>
          <w:rFonts w:ascii="Arial" w:hAnsi="Arial" w:cs="Arial"/>
          <w:szCs w:val="22"/>
        </w:rPr>
        <w:t xml:space="preserve"> la</w:t>
      </w:r>
      <w:r w:rsidR="007D6546" w:rsidRPr="001920F8">
        <w:rPr>
          <w:rFonts w:ascii="Arial" w:hAnsi="Arial" w:cs="Arial"/>
          <w:szCs w:val="22"/>
        </w:rPr>
        <w:t xml:space="preserve"> liquidez </w:t>
      </w:r>
      <w:r w:rsidR="00E42C88" w:rsidRPr="001920F8">
        <w:rPr>
          <w:rFonts w:ascii="Arial" w:hAnsi="Arial" w:cs="Arial"/>
          <w:szCs w:val="22"/>
        </w:rPr>
        <w:t>requerida</w:t>
      </w:r>
      <w:r w:rsidR="00C25FE2" w:rsidRPr="001920F8">
        <w:rPr>
          <w:rFonts w:ascii="Arial" w:hAnsi="Arial" w:cs="Arial"/>
          <w:szCs w:val="22"/>
        </w:rPr>
        <w:t xml:space="preserve">, </w:t>
      </w:r>
      <w:r w:rsidR="00CF3A98" w:rsidRPr="001920F8">
        <w:rPr>
          <w:rFonts w:ascii="Arial" w:hAnsi="Arial" w:cs="Arial"/>
          <w:szCs w:val="22"/>
        </w:rPr>
        <w:t xml:space="preserve">por lo que  se solicita la proyección de reembolsos de fondos abiertos en el corto plazo </w:t>
      </w:r>
      <w:r w:rsidR="00C25FE2" w:rsidRPr="001920F8">
        <w:rPr>
          <w:rFonts w:ascii="Arial" w:hAnsi="Arial" w:cs="Arial"/>
          <w:szCs w:val="22"/>
        </w:rPr>
        <w:t>lo cual brinda</w:t>
      </w:r>
      <w:r w:rsidR="00CF3A98" w:rsidRPr="001920F8">
        <w:rPr>
          <w:rFonts w:ascii="Arial" w:hAnsi="Arial" w:cs="Arial"/>
          <w:szCs w:val="22"/>
        </w:rPr>
        <w:t>rá</w:t>
      </w:r>
      <w:r w:rsidR="00C25FE2" w:rsidRPr="001920F8">
        <w:rPr>
          <w:rFonts w:ascii="Arial" w:hAnsi="Arial" w:cs="Arial"/>
          <w:szCs w:val="22"/>
        </w:rPr>
        <w:t xml:space="preserve"> información sobre potenciales riesgos de liquidez</w:t>
      </w:r>
      <w:r w:rsidR="00DB47B7" w:rsidRPr="001920F8">
        <w:rPr>
          <w:rFonts w:ascii="Arial" w:hAnsi="Arial" w:cs="Arial"/>
          <w:szCs w:val="22"/>
        </w:rPr>
        <w:t>.</w:t>
      </w:r>
    </w:p>
    <w:p w14:paraId="0935B6A8" w14:textId="77777777" w:rsidR="00CF3A98" w:rsidRPr="001920F8" w:rsidRDefault="00CF3A98" w:rsidP="00CF3A98">
      <w:pPr>
        <w:pStyle w:val="Numeracin"/>
        <w:numPr>
          <w:ilvl w:val="0"/>
          <w:numId w:val="0"/>
        </w:numPr>
        <w:ind w:left="643"/>
        <w:rPr>
          <w:rFonts w:ascii="Arial" w:hAnsi="Arial" w:cs="Arial"/>
          <w:szCs w:val="22"/>
        </w:rPr>
      </w:pPr>
    </w:p>
    <w:p w14:paraId="0935B6A9" w14:textId="77777777" w:rsidR="003B1AC0" w:rsidRPr="001920F8" w:rsidRDefault="0090653E" w:rsidP="007249C2">
      <w:pPr>
        <w:pStyle w:val="Numeracin"/>
        <w:tabs>
          <w:tab w:val="left" w:pos="567"/>
        </w:tabs>
        <w:spacing w:before="0"/>
        <w:ind w:left="567" w:right="-193" w:hanging="567"/>
        <w:rPr>
          <w:rFonts w:ascii="Arial" w:hAnsi="Arial" w:cs="Arial"/>
          <w:szCs w:val="22"/>
        </w:rPr>
      </w:pPr>
      <w:r w:rsidRPr="001920F8">
        <w:rPr>
          <w:rFonts w:ascii="Arial" w:hAnsi="Arial" w:cs="Arial"/>
          <w:szCs w:val="22"/>
        </w:rPr>
        <w:t>L</w:t>
      </w:r>
      <w:r w:rsidR="007249C2" w:rsidRPr="001920F8">
        <w:rPr>
          <w:rFonts w:ascii="Arial" w:hAnsi="Arial" w:cs="Arial"/>
          <w:szCs w:val="22"/>
        </w:rPr>
        <w:t>as captaciones de los fondos de inversión en el Sistema Bancario Nacional</w:t>
      </w:r>
      <w:r w:rsidRPr="001920F8">
        <w:rPr>
          <w:rFonts w:ascii="Arial" w:hAnsi="Arial" w:cs="Arial"/>
          <w:szCs w:val="22"/>
        </w:rPr>
        <w:t xml:space="preserve"> han adquirido mayor relevancia, generándose</w:t>
      </w:r>
      <w:r w:rsidR="007249C2" w:rsidRPr="001920F8">
        <w:rPr>
          <w:rFonts w:ascii="Arial" w:hAnsi="Arial" w:cs="Arial"/>
          <w:szCs w:val="22"/>
        </w:rPr>
        <w:t xml:space="preserve"> un </w:t>
      </w:r>
      <w:r w:rsidR="008D6F8D" w:rsidRPr="001920F8">
        <w:rPr>
          <w:rFonts w:ascii="Arial" w:hAnsi="Arial" w:cs="Arial"/>
          <w:szCs w:val="22"/>
        </w:rPr>
        <w:t xml:space="preserve">vínculo entre los fondos de inversión y los bancos a nivel de financiamiento, </w:t>
      </w:r>
      <w:r w:rsidR="007249C2" w:rsidRPr="001920F8">
        <w:rPr>
          <w:rFonts w:ascii="Arial" w:hAnsi="Arial" w:cs="Arial"/>
          <w:szCs w:val="22"/>
        </w:rPr>
        <w:t xml:space="preserve">por lo que </w:t>
      </w:r>
      <w:r w:rsidR="008D6F8D" w:rsidRPr="001920F8">
        <w:rPr>
          <w:rFonts w:ascii="Arial" w:hAnsi="Arial" w:cs="Arial"/>
          <w:szCs w:val="22"/>
        </w:rPr>
        <w:t>se vuelve necesario para efectos de supervisión conocer el detalle de las cuentas corrientes de los bancos relacionados</w:t>
      </w:r>
      <w:r w:rsidR="007249C2" w:rsidRPr="001920F8">
        <w:rPr>
          <w:rFonts w:ascii="Arial" w:hAnsi="Arial" w:cs="Arial"/>
          <w:szCs w:val="22"/>
        </w:rPr>
        <w:t xml:space="preserve">, con el objetivo de identificar vulnerabilidades y potenciales riesgos de liquidez en la industria de fondos de inversión. </w:t>
      </w:r>
    </w:p>
    <w:p w14:paraId="0935B6AA" w14:textId="77777777" w:rsidR="00A773F7" w:rsidRPr="001920F8" w:rsidRDefault="00A773F7" w:rsidP="007249C2">
      <w:pPr>
        <w:pStyle w:val="Numeracin"/>
        <w:numPr>
          <w:ilvl w:val="0"/>
          <w:numId w:val="0"/>
        </w:numPr>
        <w:tabs>
          <w:tab w:val="left" w:pos="567"/>
        </w:tabs>
        <w:spacing w:before="0"/>
        <w:ind w:left="567" w:right="-193"/>
        <w:rPr>
          <w:rFonts w:ascii="Arial" w:hAnsi="Arial" w:cs="Arial"/>
          <w:szCs w:val="22"/>
        </w:rPr>
      </w:pPr>
    </w:p>
    <w:p w14:paraId="0935B6AB" w14:textId="77777777" w:rsidR="00D7596F" w:rsidRPr="001920F8" w:rsidRDefault="007249C2" w:rsidP="00856341">
      <w:pPr>
        <w:pStyle w:val="Numeracin"/>
        <w:tabs>
          <w:tab w:val="left" w:pos="567"/>
        </w:tabs>
        <w:spacing w:before="0"/>
        <w:ind w:left="567" w:right="-193" w:hanging="567"/>
        <w:rPr>
          <w:rFonts w:ascii="Arial" w:hAnsi="Arial" w:cs="Arial"/>
          <w:szCs w:val="22"/>
        </w:rPr>
      </w:pPr>
      <w:r w:rsidRPr="001920F8">
        <w:rPr>
          <w:rFonts w:ascii="Arial" w:hAnsi="Arial" w:cs="Arial"/>
          <w:szCs w:val="22"/>
        </w:rPr>
        <w:t xml:space="preserve">La información relacionada con el detalle de cuentas corrientes y la información prospectiva de difundirse al público pueden generar expectativas erróneas </w:t>
      </w:r>
      <w:r w:rsidR="00856341" w:rsidRPr="001920F8">
        <w:rPr>
          <w:rFonts w:ascii="Arial" w:hAnsi="Arial" w:cs="Arial"/>
          <w:szCs w:val="22"/>
        </w:rPr>
        <w:t>ya que no implican que el comportamiento de reembolso del fondo va a darse de esa manera; tanto los nombres de las entidades bancarias como las proyecciones se</w:t>
      </w:r>
      <w:r w:rsidRPr="001920F8">
        <w:rPr>
          <w:rFonts w:ascii="Arial" w:hAnsi="Arial" w:cs="Arial"/>
          <w:szCs w:val="22"/>
        </w:rPr>
        <w:t xml:space="preserve"> mantendrán como información confidencial</w:t>
      </w:r>
      <w:r w:rsidR="00856341" w:rsidRPr="001920F8">
        <w:rPr>
          <w:rFonts w:ascii="Arial" w:hAnsi="Arial" w:cs="Arial"/>
          <w:szCs w:val="22"/>
        </w:rPr>
        <w:t>.</w:t>
      </w:r>
    </w:p>
    <w:p w14:paraId="0935B6AC" w14:textId="77777777" w:rsidR="00CF3A98" w:rsidRPr="001920F8" w:rsidRDefault="00CF3A98" w:rsidP="00CF3A98">
      <w:pPr>
        <w:pStyle w:val="ListParagraph"/>
        <w:rPr>
          <w:rFonts w:cs="Arial"/>
        </w:rPr>
      </w:pPr>
    </w:p>
    <w:p w14:paraId="0935B6AD" w14:textId="77777777" w:rsidR="00C72C1E" w:rsidRPr="001920F8" w:rsidRDefault="00CF3A98" w:rsidP="00E56047">
      <w:pPr>
        <w:pStyle w:val="Numeracin"/>
        <w:tabs>
          <w:tab w:val="left" w:pos="567"/>
        </w:tabs>
        <w:spacing w:before="0"/>
        <w:ind w:left="567" w:right="-193" w:hanging="567"/>
        <w:rPr>
          <w:rFonts w:ascii="Arial" w:hAnsi="Arial" w:cs="Arial"/>
          <w:szCs w:val="22"/>
        </w:rPr>
      </w:pPr>
      <w:r w:rsidRPr="001920F8">
        <w:rPr>
          <w:rFonts w:ascii="Arial" w:hAnsi="Arial" w:cs="Arial"/>
          <w:szCs w:val="22"/>
        </w:rPr>
        <w:t xml:space="preserve">El Consejo Nacional de Supervisión del Sistema Financiero mediante los artículos 6 y 5 de las actas de las sesiones 1442-2018 y 1443-2018, ambas celebradas el 11 de setiembre de 2018, aprobó el Reglamento de Información Financiera (RIF); con el propósito de  alinear los requerimientos de presentación regulatorios a lo que disponen las Normas Internacionales de Información Financiera vigentes (NIIF). Específicamente la NIIF 9 introduce el “modelo de negocio” como una de las condicionantes para clasificar los activos financieros, reconoce que una entidad puede tener más de un modelo de negocio y que los activos financieros se reclasifican si dicho modelo sufre cambios significativos o excepcionales. El modelo de negocio se determina a un nivel que refleje cómo se administran grupos de activos financieros para atender los objetivos del fondo o de la inversión, tomando en consideración el diseño del plan, esquema de financiamiento, perfil de riesgo de los fondos y de los inversionistas. En caso de los fondos de inversión, éstos son portafolios gestionados de conformidad con los mandatos autorizados en sus prospectos, por lo que un mismo activo financiero contenido en diferentes portafolios, debería poder clasificarse y valorarse según las necesidades que deba atender. Y dado que en el </w:t>
      </w:r>
      <w:r w:rsidR="00E56047" w:rsidRPr="001920F8">
        <w:rPr>
          <w:rFonts w:ascii="Arial" w:hAnsi="Arial" w:cs="Arial"/>
          <w:szCs w:val="22"/>
        </w:rPr>
        <w:t xml:space="preserve">(RIF) </w:t>
      </w:r>
      <w:r w:rsidRPr="001920F8">
        <w:rPr>
          <w:rFonts w:ascii="Arial" w:hAnsi="Arial" w:cs="Arial"/>
          <w:szCs w:val="22"/>
        </w:rPr>
        <w:t>se adopta la NIIF 9 Instrumentos Financieros, sin definir en la reglamentación una categoría específica a utilizar. Los administradores de las carteras mancomunadas, como responsables de su gestión frente a los inversionistas o afiliados, deben considerar como parte de la estrategia y directrices generales de inversión de cada fondo, la definición del modelo de negocio que se utilizará para sus registros contables, lo cual permitirá dar atención a las condiciones esenciales de cada cartera mancomunada y a la realidad económica que subyacen en la misma</w:t>
      </w:r>
      <w:r w:rsidR="00E56047" w:rsidRPr="001920F8">
        <w:rPr>
          <w:rFonts w:ascii="Arial" w:hAnsi="Arial" w:cs="Arial"/>
          <w:szCs w:val="22"/>
        </w:rPr>
        <w:t>. Considerando lo anterior,</w:t>
      </w:r>
      <w:r w:rsidRPr="001920F8">
        <w:rPr>
          <w:rFonts w:ascii="Arial" w:hAnsi="Arial" w:cs="Arial"/>
          <w:szCs w:val="22"/>
        </w:rPr>
        <w:t xml:space="preserve"> se requiere de la actualización de los reportes de Carteras de Inversión (anexos 10 y 18), con el propósito de facilitar la revelación de la información de conformidad con los estándares internacionales y mayor transparencia en las valoraciones de instrumentos financieros. </w:t>
      </w:r>
    </w:p>
    <w:p w14:paraId="0935B6AE" w14:textId="77777777" w:rsidR="00CF3A98" w:rsidRPr="001920F8" w:rsidRDefault="00CF3A98" w:rsidP="00C72C1E">
      <w:pPr>
        <w:pStyle w:val="Numeracin"/>
        <w:numPr>
          <w:ilvl w:val="0"/>
          <w:numId w:val="0"/>
        </w:numPr>
        <w:tabs>
          <w:tab w:val="left" w:pos="567"/>
        </w:tabs>
        <w:spacing w:before="0"/>
        <w:ind w:left="567" w:right="-193"/>
        <w:rPr>
          <w:rFonts w:ascii="Arial" w:hAnsi="Arial" w:cs="Arial"/>
          <w:szCs w:val="22"/>
        </w:rPr>
      </w:pPr>
      <w:r w:rsidRPr="001920F8">
        <w:rPr>
          <w:rFonts w:ascii="Arial" w:hAnsi="Arial" w:cs="Arial"/>
          <w:szCs w:val="22"/>
        </w:rPr>
        <w:t xml:space="preserve"> </w:t>
      </w:r>
    </w:p>
    <w:p w14:paraId="0935B6AF" w14:textId="77777777" w:rsidR="000F33AD" w:rsidRPr="001920F8" w:rsidRDefault="000F33AD" w:rsidP="000F33AD">
      <w:pPr>
        <w:pStyle w:val="Numeracin"/>
        <w:tabs>
          <w:tab w:val="left" w:pos="567"/>
        </w:tabs>
        <w:spacing w:before="0"/>
        <w:ind w:left="567" w:right="-193" w:hanging="567"/>
        <w:rPr>
          <w:rFonts w:ascii="Arial" w:hAnsi="Arial" w:cs="Arial"/>
          <w:szCs w:val="22"/>
        </w:rPr>
      </w:pPr>
      <w:r w:rsidRPr="001920F8">
        <w:rPr>
          <w:rFonts w:ascii="Arial" w:hAnsi="Arial" w:cs="Arial"/>
          <w:szCs w:val="22"/>
        </w:rPr>
        <w:t>Los Puestos de Bolsa ofrecen diferentes servicios al público inversionista, según lo establecido en el Reglamento de Intermediación y Actividades Complementarias, sobre los cuales se hace necesario requerir información en forma agregada de los servicios y actividades significativas que estos prestan, con el propósito de generar un mejor conocimiento de su modelo de operación, y así fortalecer los procesos de supervisión de la SUGEVAL para dar atención al mandato legal de una adecuada protección al inversionista.</w:t>
      </w:r>
    </w:p>
    <w:p w14:paraId="0935B6B0" w14:textId="77777777" w:rsidR="000F33AD" w:rsidRPr="001920F8" w:rsidRDefault="000F33AD" w:rsidP="000F33AD">
      <w:pPr>
        <w:pStyle w:val="Numeracin"/>
        <w:numPr>
          <w:ilvl w:val="0"/>
          <w:numId w:val="0"/>
        </w:numPr>
        <w:tabs>
          <w:tab w:val="left" w:pos="567"/>
        </w:tabs>
        <w:spacing w:before="0"/>
        <w:ind w:left="567" w:right="-193"/>
        <w:rPr>
          <w:rFonts w:ascii="Arial" w:hAnsi="Arial" w:cs="Arial"/>
          <w:szCs w:val="22"/>
        </w:rPr>
      </w:pPr>
    </w:p>
    <w:p w14:paraId="0935B6B1" w14:textId="77777777" w:rsidR="007A4A57" w:rsidRPr="001920F8" w:rsidRDefault="007A4A57" w:rsidP="00C72C1E">
      <w:pPr>
        <w:pStyle w:val="Numeracin"/>
        <w:tabs>
          <w:tab w:val="left" w:pos="567"/>
        </w:tabs>
        <w:spacing w:before="0"/>
        <w:ind w:left="567" w:right="-193" w:hanging="567"/>
        <w:rPr>
          <w:rFonts w:ascii="Arial" w:hAnsi="Arial" w:cs="Arial"/>
          <w:szCs w:val="22"/>
        </w:rPr>
      </w:pPr>
      <w:r w:rsidRPr="001920F8">
        <w:rPr>
          <w:rFonts w:ascii="Arial" w:hAnsi="Arial" w:cs="Arial"/>
          <w:szCs w:val="22"/>
        </w:rPr>
        <w:t xml:space="preserve">Mediante el Reglamento de Intermediación y Actividades Complementarias, </w:t>
      </w:r>
      <w:r w:rsidR="000F33AD" w:rsidRPr="001920F8">
        <w:rPr>
          <w:rFonts w:ascii="Arial" w:hAnsi="Arial" w:cs="Arial"/>
          <w:szCs w:val="22"/>
        </w:rPr>
        <w:t xml:space="preserve">en su </w:t>
      </w:r>
      <w:r w:rsidRPr="001920F8">
        <w:rPr>
          <w:rFonts w:ascii="Arial" w:hAnsi="Arial" w:cs="Arial"/>
          <w:szCs w:val="22"/>
        </w:rPr>
        <w:t xml:space="preserve">artículo 62 </w:t>
      </w:r>
      <w:r w:rsidR="000F33AD" w:rsidRPr="001920F8">
        <w:rPr>
          <w:rFonts w:ascii="Arial" w:hAnsi="Arial" w:cs="Arial"/>
          <w:szCs w:val="22"/>
        </w:rPr>
        <w:t xml:space="preserve">se </w:t>
      </w:r>
      <w:r w:rsidRPr="001920F8">
        <w:rPr>
          <w:rFonts w:ascii="Arial" w:hAnsi="Arial" w:cs="Arial"/>
          <w:szCs w:val="22"/>
        </w:rPr>
        <w:t xml:space="preserve">plantea </w:t>
      </w:r>
      <w:r w:rsidR="000F33AD" w:rsidRPr="001920F8">
        <w:rPr>
          <w:rFonts w:ascii="Arial" w:hAnsi="Arial" w:cs="Arial"/>
          <w:szCs w:val="22"/>
        </w:rPr>
        <w:t xml:space="preserve">la </w:t>
      </w:r>
      <w:r w:rsidRPr="001920F8">
        <w:rPr>
          <w:rFonts w:ascii="Arial" w:hAnsi="Arial" w:cs="Arial"/>
          <w:szCs w:val="22"/>
        </w:rPr>
        <w:t>modificación a los mecanismos de colocación del Reglamento de Oferta Pública, por lo que se actualiza en el anexo 3 el nombre del  método de colocación, pasando de “ventanilla” a “colocación directa”, así como se ajusta</w:t>
      </w:r>
      <w:r w:rsidR="00C72C1E" w:rsidRPr="001920F8">
        <w:rPr>
          <w:rFonts w:ascii="Arial" w:hAnsi="Arial" w:cs="Arial"/>
          <w:szCs w:val="22"/>
        </w:rPr>
        <w:t xml:space="preserve">n los instructivos </w:t>
      </w:r>
      <w:r w:rsidRPr="001920F8">
        <w:rPr>
          <w:rFonts w:ascii="Arial" w:hAnsi="Arial" w:cs="Arial"/>
          <w:szCs w:val="22"/>
        </w:rPr>
        <w:t xml:space="preserve">de manera que se remitan </w:t>
      </w:r>
      <w:r w:rsidR="00C72C1E" w:rsidRPr="001920F8">
        <w:rPr>
          <w:rFonts w:ascii="Arial" w:hAnsi="Arial" w:cs="Arial"/>
          <w:szCs w:val="22"/>
        </w:rPr>
        <w:t>las</w:t>
      </w:r>
      <w:r w:rsidRPr="001920F8">
        <w:rPr>
          <w:rFonts w:ascii="Arial" w:hAnsi="Arial" w:cs="Arial"/>
          <w:szCs w:val="22"/>
        </w:rPr>
        <w:t xml:space="preserve"> </w:t>
      </w:r>
      <w:r w:rsidR="00C72C1E" w:rsidRPr="001920F8">
        <w:rPr>
          <w:rFonts w:ascii="Arial" w:hAnsi="Arial" w:cs="Arial"/>
          <w:szCs w:val="22"/>
        </w:rPr>
        <w:t>colocaciones directas inversas y subastas inversas, de mercado primario cuando el emisor realice directamente la transacción, o utilice los sistemas transaccionales de la Bolsa Nacional de Valores.</w:t>
      </w:r>
    </w:p>
    <w:p w14:paraId="0935B6B2" w14:textId="77777777" w:rsidR="000F33AD" w:rsidRPr="001920F8" w:rsidRDefault="000F33AD" w:rsidP="000F33AD">
      <w:pPr>
        <w:pStyle w:val="Numeracin"/>
        <w:numPr>
          <w:ilvl w:val="0"/>
          <w:numId w:val="0"/>
        </w:numPr>
        <w:tabs>
          <w:tab w:val="left" w:pos="567"/>
        </w:tabs>
        <w:spacing w:before="0"/>
        <w:ind w:left="567" w:right="-193"/>
        <w:rPr>
          <w:rFonts w:ascii="Arial" w:hAnsi="Arial" w:cs="Arial"/>
          <w:szCs w:val="22"/>
        </w:rPr>
      </w:pPr>
    </w:p>
    <w:p w14:paraId="0935B6B3" w14:textId="77777777" w:rsidR="000F33AD" w:rsidRPr="001920F8" w:rsidRDefault="000F33AD" w:rsidP="000F33AD">
      <w:pPr>
        <w:pStyle w:val="Numeracin"/>
        <w:tabs>
          <w:tab w:val="left" w:pos="567"/>
        </w:tabs>
        <w:spacing w:before="0"/>
        <w:ind w:left="567" w:right="-193" w:hanging="567"/>
        <w:rPr>
          <w:rFonts w:ascii="Arial" w:hAnsi="Arial" w:cs="Arial"/>
          <w:szCs w:val="22"/>
        </w:rPr>
      </w:pPr>
      <w:r w:rsidRPr="001920F8">
        <w:rPr>
          <w:rFonts w:ascii="Arial" w:hAnsi="Arial" w:cs="Arial"/>
          <w:szCs w:val="22"/>
        </w:rPr>
        <w:t xml:space="preserve">La Ley de Fortalecimiento de las Finanzas Públicas, Ley N° 9635, publicada en el diario oficial La Gaceta, Alcance 102, del 4 de diciembre de 2018, establece un impuesto sobre el valor agregado en la venta de bienes y en la prestación de servicios, el cual es de aplicación de las entidades supervisadas, por lo que es necesario adecuar el plan de cuentas de los fondos de inversión (Anexo 15) con </w:t>
      </w:r>
      <w:r w:rsidRPr="001920F8">
        <w:rPr>
          <w:rFonts w:ascii="Arial" w:hAnsi="Arial" w:cs="Arial"/>
          <w:szCs w:val="22"/>
        </w:rPr>
        <w:lastRenderedPageBreak/>
        <w:t xml:space="preserve">el propósito de que se registre, presente y revele las responsabilidades, derechos y gastos relacionados con este impuesto. </w:t>
      </w:r>
    </w:p>
    <w:p w14:paraId="0935B6B4" w14:textId="77777777" w:rsidR="000F33AD" w:rsidRPr="001920F8" w:rsidRDefault="000F33AD" w:rsidP="000F33AD">
      <w:pPr>
        <w:pStyle w:val="Numeracin"/>
        <w:numPr>
          <w:ilvl w:val="0"/>
          <w:numId w:val="0"/>
        </w:numPr>
        <w:tabs>
          <w:tab w:val="left" w:pos="567"/>
        </w:tabs>
        <w:spacing w:before="0"/>
        <w:ind w:left="567" w:right="-193"/>
        <w:rPr>
          <w:rFonts w:ascii="Arial" w:hAnsi="Arial" w:cs="Arial"/>
          <w:szCs w:val="22"/>
        </w:rPr>
      </w:pPr>
    </w:p>
    <w:p w14:paraId="0935B6B5" w14:textId="77777777" w:rsidR="00AD7329" w:rsidRPr="001920F8" w:rsidRDefault="00AD7329" w:rsidP="00AD7329">
      <w:pPr>
        <w:pStyle w:val="Numeracin"/>
        <w:tabs>
          <w:tab w:val="left" w:pos="567"/>
        </w:tabs>
        <w:spacing w:before="0"/>
        <w:ind w:left="567" w:right="-193" w:hanging="567"/>
        <w:rPr>
          <w:rFonts w:ascii="Arial" w:hAnsi="Arial" w:cs="Arial"/>
          <w:szCs w:val="22"/>
        </w:rPr>
      </w:pPr>
      <w:r w:rsidRPr="001920F8">
        <w:rPr>
          <w:rFonts w:ascii="Arial" w:hAnsi="Arial" w:cs="Arial"/>
          <w:szCs w:val="22"/>
        </w:rPr>
        <w:t>La</w:t>
      </w:r>
      <w:r w:rsidR="000F33AD" w:rsidRPr="001920F8">
        <w:rPr>
          <w:rFonts w:ascii="Arial" w:hAnsi="Arial" w:cs="Arial"/>
          <w:szCs w:val="22"/>
        </w:rPr>
        <w:t xml:space="preserve">s mejoras a los procesos de supervisión </w:t>
      </w:r>
      <w:r w:rsidRPr="001920F8">
        <w:rPr>
          <w:rFonts w:ascii="Arial" w:hAnsi="Arial" w:cs="Arial"/>
          <w:szCs w:val="22"/>
        </w:rPr>
        <w:t>contra el Lavado de Activos, el Financiamiento del Terrorismo y de la Proliferación de Armas de Destrucción Masiva LA/FT/FPADM desarrollada</w:t>
      </w:r>
      <w:r w:rsidR="000F33AD" w:rsidRPr="001920F8">
        <w:rPr>
          <w:rFonts w:ascii="Arial" w:hAnsi="Arial" w:cs="Arial"/>
          <w:szCs w:val="22"/>
        </w:rPr>
        <w:t>s por el órgano supervisor durante los últimos años</w:t>
      </w:r>
      <w:r w:rsidRPr="001920F8">
        <w:rPr>
          <w:rFonts w:ascii="Arial" w:hAnsi="Arial" w:cs="Arial"/>
          <w:szCs w:val="22"/>
        </w:rPr>
        <w:t xml:space="preserve">, </w:t>
      </w:r>
      <w:r w:rsidR="000F33AD" w:rsidRPr="001920F8">
        <w:rPr>
          <w:rFonts w:ascii="Arial" w:hAnsi="Arial" w:cs="Arial"/>
          <w:szCs w:val="22"/>
        </w:rPr>
        <w:t xml:space="preserve">utilizan más y diversas fuentes de información, por lo que suprime </w:t>
      </w:r>
      <w:r w:rsidRPr="001920F8">
        <w:rPr>
          <w:rFonts w:ascii="Arial" w:hAnsi="Arial" w:cs="Arial"/>
          <w:szCs w:val="22"/>
        </w:rPr>
        <w:t>el Reporte de clasificación de riesgo de los clientes NCL8204 (Anexo 49) que se les requería anualmente</w:t>
      </w:r>
      <w:r w:rsidR="000F33AD" w:rsidRPr="001920F8">
        <w:rPr>
          <w:rFonts w:ascii="Arial" w:hAnsi="Arial" w:cs="Arial"/>
          <w:szCs w:val="22"/>
        </w:rPr>
        <w:t>, con el fin de reducir el costo de la preparación y remisión de la información que este reporte implicaba</w:t>
      </w:r>
      <w:r w:rsidRPr="001920F8">
        <w:rPr>
          <w:rFonts w:ascii="Arial" w:hAnsi="Arial" w:cs="Arial"/>
          <w:szCs w:val="22"/>
        </w:rPr>
        <w:t>.</w:t>
      </w:r>
    </w:p>
    <w:p w14:paraId="0935B6B6" w14:textId="77777777" w:rsidR="000E673D" w:rsidRPr="001920F8" w:rsidRDefault="000E673D" w:rsidP="000E673D">
      <w:pPr>
        <w:pStyle w:val="ListParagraph"/>
        <w:rPr>
          <w:rFonts w:cs="Arial"/>
        </w:rPr>
      </w:pPr>
    </w:p>
    <w:p w14:paraId="0935B6B7" w14:textId="77777777" w:rsidR="00F61B42" w:rsidRPr="001920F8" w:rsidRDefault="00F61B42" w:rsidP="00036A81">
      <w:pPr>
        <w:pStyle w:val="Numeracin"/>
        <w:tabs>
          <w:tab w:val="left" w:pos="567"/>
        </w:tabs>
        <w:spacing w:before="0"/>
        <w:ind w:left="567" w:right="-193" w:hanging="567"/>
        <w:rPr>
          <w:rFonts w:ascii="Arial" w:hAnsi="Arial" w:cs="Arial"/>
          <w:szCs w:val="22"/>
        </w:rPr>
      </w:pPr>
      <w:r w:rsidRPr="001920F8">
        <w:rPr>
          <w:rFonts w:ascii="Arial" w:hAnsi="Arial" w:cs="Arial"/>
          <w:szCs w:val="22"/>
        </w:rPr>
        <w:t>La prese</w:t>
      </w:r>
      <w:r w:rsidR="00DE1A58" w:rsidRPr="001920F8">
        <w:rPr>
          <w:rFonts w:ascii="Arial" w:hAnsi="Arial" w:cs="Arial"/>
          <w:szCs w:val="22"/>
        </w:rPr>
        <w:t>nte reforma al Acuerdo se sometió</w:t>
      </w:r>
      <w:r w:rsidRPr="001920F8">
        <w:rPr>
          <w:rFonts w:ascii="Arial" w:hAnsi="Arial" w:cs="Arial"/>
          <w:szCs w:val="22"/>
        </w:rPr>
        <w:t xml:space="preserve"> a consulta de conformidad con el Artículo 361 de la Ley General de Administración Pública.</w:t>
      </w:r>
      <w:r w:rsidR="00036A81" w:rsidRPr="001920F8">
        <w:rPr>
          <w:rFonts w:ascii="Arial" w:hAnsi="Arial" w:cs="Arial"/>
          <w:szCs w:val="22"/>
        </w:rPr>
        <w:t xml:space="preserve"> Al término de la consulta se hizo un análisis de los comentarios y las observaciones recibidas y se modificó el texto en lo que se consideró pertinente.</w:t>
      </w:r>
    </w:p>
    <w:p w14:paraId="0935B6B8" w14:textId="77777777" w:rsidR="00286C63" w:rsidRPr="001920F8" w:rsidRDefault="00286C63" w:rsidP="00F61B42">
      <w:pPr>
        <w:pStyle w:val="Numeracin"/>
        <w:numPr>
          <w:ilvl w:val="0"/>
          <w:numId w:val="0"/>
        </w:numPr>
        <w:tabs>
          <w:tab w:val="left" w:pos="567"/>
        </w:tabs>
        <w:spacing w:before="0"/>
        <w:ind w:left="643" w:right="-193" w:hanging="360"/>
        <w:rPr>
          <w:rFonts w:ascii="Arial" w:hAnsi="Arial" w:cs="Arial"/>
          <w:szCs w:val="22"/>
        </w:rPr>
      </w:pPr>
      <w:r w:rsidRPr="001920F8">
        <w:rPr>
          <w:rFonts w:ascii="Arial" w:hAnsi="Arial" w:cs="Arial"/>
          <w:szCs w:val="22"/>
        </w:rPr>
        <w:tab/>
      </w:r>
      <w:r w:rsidRPr="001920F8">
        <w:rPr>
          <w:rFonts w:ascii="Arial" w:hAnsi="Arial" w:cs="Arial"/>
          <w:szCs w:val="22"/>
        </w:rPr>
        <w:tab/>
      </w:r>
      <w:r w:rsidRPr="001920F8">
        <w:rPr>
          <w:rFonts w:ascii="Arial" w:hAnsi="Arial" w:cs="Arial"/>
          <w:szCs w:val="22"/>
        </w:rPr>
        <w:tab/>
      </w:r>
      <w:r w:rsidRPr="001920F8">
        <w:rPr>
          <w:rFonts w:ascii="Arial" w:hAnsi="Arial" w:cs="Arial"/>
          <w:szCs w:val="22"/>
        </w:rPr>
        <w:tab/>
      </w:r>
    </w:p>
    <w:p w14:paraId="0935B6B9" w14:textId="77777777" w:rsidR="00084D3C" w:rsidRPr="001920F8" w:rsidRDefault="00084D3C" w:rsidP="00084D3C">
      <w:pPr>
        <w:pStyle w:val="Numeracin"/>
        <w:numPr>
          <w:ilvl w:val="0"/>
          <w:numId w:val="0"/>
        </w:numPr>
        <w:tabs>
          <w:tab w:val="left" w:pos="567"/>
        </w:tabs>
        <w:spacing w:before="0"/>
        <w:ind w:right="-193"/>
        <w:rPr>
          <w:rFonts w:ascii="Arial" w:hAnsi="Arial" w:cs="Arial"/>
          <w:b/>
          <w:szCs w:val="22"/>
        </w:rPr>
      </w:pPr>
    </w:p>
    <w:p w14:paraId="0935B6BA" w14:textId="77777777" w:rsidR="00084D3C" w:rsidRPr="001920F8" w:rsidRDefault="00084D3C" w:rsidP="00084D3C">
      <w:pPr>
        <w:pStyle w:val="Numeracin"/>
        <w:numPr>
          <w:ilvl w:val="0"/>
          <w:numId w:val="0"/>
        </w:numPr>
        <w:tabs>
          <w:tab w:val="left" w:pos="567"/>
        </w:tabs>
        <w:spacing w:before="0"/>
        <w:ind w:right="-193"/>
        <w:rPr>
          <w:rFonts w:ascii="Arial" w:hAnsi="Arial" w:cs="Arial"/>
          <w:b/>
          <w:szCs w:val="22"/>
        </w:rPr>
      </w:pPr>
      <w:r w:rsidRPr="001920F8">
        <w:rPr>
          <w:rFonts w:ascii="Arial" w:hAnsi="Arial" w:cs="Arial"/>
          <w:b/>
          <w:szCs w:val="22"/>
        </w:rPr>
        <w:t>Por tanto dispone el presente acuerdo:</w:t>
      </w:r>
    </w:p>
    <w:p w14:paraId="0935B6BB" w14:textId="77777777" w:rsidR="00084D3C" w:rsidRPr="001920F8" w:rsidRDefault="00084D3C" w:rsidP="00084D3C">
      <w:pPr>
        <w:pStyle w:val="Numeracin"/>
        <w:numPr>
          <w:ilvl w:val="0"/>
          <w:numId w:val="0"/>
        </w:numPr>
        <w:tabs>
          <w:tab w:val="left" w:pos="567"/>
        </w:tabs>
        <w:spacing w:before="0"/>
        <w:ind w:right="-193"/>
        <w:rPr>
          <w:rFonts w:ascii="Arial" w:hAnsi="Arial" w:cs="Arial"/>
          <w:b/>
          <w:szCs w:val="22"/>
        </w:rPr>
      </w:pPr>
    </w:p>
    <w:p w14:paraId="0935B6BC" w14:textId="77777777" w:rsidR="008A3E90" w:rsidRPr="001920F8" w:rsidRDefault="00372FD5" w:rsidP="00ED4D0E">
      <w:pPr>
        <w:pStyle w:val="Numeracin"/>
        <w:numPr>
          <w:ilvl w:val="0"/>
          <w:numId w:val="0"/>
        </w:numPr>
        <w:spacing w:before="0"/>
        <w:ind w:right="-193"/>
        <w:jc w:val="center"/>
        <w:rPr>
          <w:rFonts w:ascii="Arial" w:hAnsi="Arial" w:cs="Arial"/>
          <w:b/>
          <w:szCs w:val="22"/>
        </w:rPr>
      </w:pPr>
      <w:r w:rsidRPr="001920F8">
        <w:rPr>
          <w:rFonts w:ascii="Arial" w:hAnsi="Arial" w:cs="Arial"/>
          <w:b/>
          <w:szCs w:val="22"/>
        </w:rPr>
        <w:t>SGV-A-</w:t>
      </w:r>
      <w:r w:rsidR="00557772">
        <w:rPr>
          <w:rFonts w:ascii="Arial" w:hAnsi="Arial" w:cs="Arial"/>
          <w:b/>
          <w:szCs w:val="22"/>
        </w:rPr>
        <w:t>235</w:t>
      </w:r>
      <w:r w:rsidRPr="001920F8">
        <w:rPr>
          <w:rFonts w:ascii="Arial" w:hAnsi="Arial" w:cs="Arial"/>
          <w:b/>
          <w:szCs w:val="22"/>
        </w:rPr>
        <w:t>.  MODIFICACIÓN AL ACUERDO SGV-A-75 “SUMINISTRO DE INFORMACIÓN PERIÓDICA”</w:t>
      </w:r>
    </w:p>
    <w:p w14:paraId="0935B6BD" w14:textId="77777777" w:rsidR="002F5D2C" w:rsidRPr="001920F8" w:rsidRDefault="002F5D2C" w:rsidP="00084D3C">
      <w:pPr>
        <w:pStyle w:val="Numeracin"/>
        <w:numPr>
          <w:ilvl w:val="0"/>
          <w:numId w:val="0"/>
        </w:numPr>
        <w:spacing w:before="0"/>
        <w:ind w:right="-193"/>
        <w:rPr>
          <w:rFonts w:ascii="Arial" w:eastAsia="Arial Unicode MS" w:hAnsi="Arial" w:cs="Arial"/>
          <w:b/>
          <w:szCs w:val="22"/>
          <w:lang w:val="es-CR"/>
        </w:rPr>
      </w:pPr>
    </w:p>
    <w:p w14:paraId="0935B6BE" w14:textId="77777777" w:rsidR="00084D3C" w:rsidRPr="001920F8" w:rsidRDefault="00084D3C" w:rsidP="00084D3C">
      <w:pPr>
        <w:pStyle w:val="Numeracin"/>
        <w:numPr>
          <w:ilvl w:val="0"/>
          <w:numId w:val="0"/>
        </w:numPr>
        <w:spacing w:before="0"/>
        <w:ind w:right="-193"/>
        <w:rPr>
          <w:rFonts w:ascii="Arial" w:hAnsi="Arial" w:cs="Arial"/>
          <w:b/>
          <w:szCs w:val="22"/>
        </w:rPr>
      </w:pPr>
      <w:r w:rsidRPr="001920F8">
        <w:rPr>
          <w:rFonts w:ascii="Arial" w:hAnsi="Arial" w:cs="Arial"/>
          <w:b/>
          <w:szCs w:val="22"/>
        </w:rPr>
        <w:t xml:space="preserve">Artículo </w:t>
      </w:r>
      <w:r w:rsidR="003724A7" w:rsidRPr="001920F8">
        <w:rPr>
          <w:rFonts w:ascii="Arial" w:hAnsi="Arial" w:cs="Arial"/>
          <w:b/>
          <w:szCs w:val="22"/>
        </w:rPr>
        <w:t>1</w:t>
      </w:r>
      <w:r w:rsidR="008448AA" w:rsidRPr="001920F8">
        <w:rPr>
          <w:rFonts w:ascii="Arial" w:hAnsi="Arial" w:cs="Arial"/>
          <w:b/>
          <w:szCs w:val="22"/>
        </w:rPr>
        <w:t xml:space="preserve">. </w:t>
      </w:r>
      <w:r w:rsidRPr="001920F8">
        <w:rPr>
          <w:rFonts w:ascii="Arial" w:hAnsi="Arial" w:cs="Arial"/>
          <w:b/>
          <w:szCs w:val="22"/>
        </w:rPr>
        <w:t>Modificaciones</w:t>
      </w:r>
    </w:p>
    <w:p w14:paraId="0935B6BF" w14:textId="77777777" w:rsidR="00084D3C" w:rsidRPr="001920F8" w:rsidRDefault="00084D3C" w:rsidP="00084D3C">
      <w:pPr>
        <w:pStyle w:val="Numeracin"/>
        <w:numPr>
          <w:ilvl w:val="0"/>
          <w:numId w:val="0"/>
        </w:numPr>
        <w:spacing w:before="0"/>
        <w:ind w:right="-193"/>
        <w:rPr>
          <w:rFonts w:ascii="Arial" w:hAnsi="Arial" w:cs="Arial"/>
          <w:b/>
          <w:szCs w:val="22"/>
        </w:rPr>
      </w:pPr>
    </w:p>
    <w:p w14:paraId="0935B6C0" w14:textId="77777777" w:rsidR="00084D3C" w:rsidRPr="001920F8" w:rsidRDefault="00084D3C" w:rsidP="00084D3C">
      <w:pPr>
        <w:pStyle w:val="Numeracin"/>
        <w:numPr>
          <w:ilvl w:val="0"/>
          <w:numId w:val="0"/>
        </w:numPr>
        <w:spacing w:before="0"/>
        <w:ind w:right="-193"/>
        <w:rPr>
          <w:rFonts w:ascii="Arial" w:hAnsi="Arial" w:cs="Arial"/>
          <w:szCs w:val="22"/>
        </w:rPr>
      </w:pPr>
      <w:r w:rsidRPr="001920F8">
        <w:rPr>
          <w:rFonts w:ascii="Arial" w:hAnsi="Arial" w:cs="Arial"/>
          <w:szCs w:val="22"/>
        </w:rPr>
        <w:t>Se realizan las siguientes modificaciones a las disposiciones del acuerdo SGV-A-75:</w:t>
      </w:r>
    </w:p>
    <w:p w14:paraId="0935B6C1" w14:textId="77777777" w:rsidR="00E1160C" w:rsidRPr="001920F8" w:rsidRDefault="00E1160C" w:rsidP="00084D3C">
      <w:pPr>
        <w:pStyle w:val="Numeracin"/>
        <w:numPr>
          <w:ilvl w:val="0"/>
          <w:numId w:val="0"/>
        </w:numPr>
        <w:tabs>
          <w:tab w:val="left" w:pos="567"/>
        </w:tabs>
        <w:spacing w:before="0"/>
        <w:ind w:left="360" w:right="-193" w:hanging="360"/>
        <w:rPr>
          <w:rFonts w:ascii="Arial" w:hAnsi="Arial" w:cs="Arial"/>
          <w:szCs w:val="22"/>
        </w:rPr>
      </w:pPr>
    </w:p>
    <w:p w14:paraId="0935B6C2" w14:textId="77777777" w:rsidR="00965136" w:rsidRPr="001920F8" w:rsidRDefault="00965136" w:rsidP="00036A81">
      <w:pPr>
        <w:pStyle w:val="Numeracin"/>
        <w:numPr>
          <w:ilvl w:val="0"/>
          <w:numId w:val="4"/>
        </w:numPr>
        <w:spacing w:before="0"/>
        <w:ind w:right="-193"/>
        <w:rPr>
          <w:rFonts w:ascii="Arial" w:hAnsi="Arial" w:cs="Arial"/>
          <w:szCs w:val="22"/>
        </w:rPr>
      </w:pPr>
      <w:r w:rsidRPr="001920F8">
        <w:rPr>
          <w:rFonts w:ascii="Arial" w:hAnsi="Arial" w:cs="Arial"/>
          <w:szCs w:val="22"/>
        </w:rPr>
        <w:t xml:space="preserve">Se agregan las siguientes cuentas </w:t>
      </w:r>
      <w:r w:rsidR="00DB53D8" w:rsidRPr="001920F8">
        <w:rPr>
          <w:rFonts w:ascii="Arial" w:hAnsi="Arial" w:cs="Arial"/>
          <w:szCs w:val="22"/>
        </w:rPr>
        <w:t>al Estado de Situación Financiera</w:t>
      </w:r>
      <w:r w:rsidR="00A936B3" w:rsidRPr="001920F8">
        <w:rPr>
          <w:rFonts w:ascii="Arial" w:hAnsi="Arial" w:cs="Arial"/>
          <w:szCs w:val="22"/>
        </w:rPr>
        <w:t xml:space="preserve"> </w:t>
      </w:r>
      <w:r w:rsidR="000C615D" w:rsidRPr="001920F8">
        <w:rPr>
          <w:rFonts w:ascii="Arial" w:hAnsi="Arial" w:cs="Arial"/>
          <w:szCs w:val="22"/>
        </w:rPr>
        <w:t>(</w:t>
      </w:r>
      <w:r w:rsidR="00A936B3" w:rsidRPr="001920F8">
        <w:rPr>
          <w:rFonts w:ascii="Arial" w:hAnsi="Arial" w:cs="Arial"/>
          <w:szCs w:val="22"/>
        </w:rPr>
        <w:t>BG_FONDOS</w:t>
      </w:r>
      <w:r w:rsidR="000C615D" w:rsidRPr="001920F8">
        <w:rPr>
          <w:rFonts w:ascii="Arial" w:hAnsi="Arial" w:cs="Arial"/>
          <w:szCs w:val="22"/>
        </w:rPr>
        <w:t>) y Estado de Resultados Acumulado y del Periodo (RA_FONDOS, ER_FONDOS)</w:t>
      </w:r>
      <w:r w:rsidR="00DB53D8" w:rsidRPr="001920F8">
        <w:rPr>
          <w:rFonts w:ascii="Arial" w:hAnsi="Arial" w:cs="Arial"/>
          <w:szCs w:val="22"/>
        </w:rPr>
        <w:t xml:space="preserve"> </w:t>
      </w:r>
      <w:r w:rsidR="00D12B38" w:rsidRPr="001920F8">
        <w:rPr>
          <w:rFonts w:ascii="Arial" w:hAnsi="Arial" w:cs="Arial"/>
          <w:szCs w:val="22"/>
        </w:rPr>
        <w:t xml:space="preserve">del </w:t>
      </w:r>
      <w:r w:rsidRPr="001920F8">
        <w:rPr>
          <w:rFonts w:ascii="Arial" w:hAnsi="Arial" w:cs="Arial"/>
          <w:szCs w:val="22"/>
        </w:rPr>
        <w:t xml:space="preserve">Anexo 15, </w:t>
      </w:r>
      <w:r w:rsidR="00E85724" w:rsidRPr="001920F8">
        <w:rPr>
          <w:rFonts w:ascii="Arial" w:hAnsi="Arial" w:cs="Arial"/>
          <w:szCs w:val="22"/>
        </w:rPr>
        <w:t xml:space="preserve">y </w:t>
      </w:r>
      <w:r w:rsidR="00233F34" w:rsidRPr="001920F8">
        <w:rPr>
          <w:rFonts w:ascii="Arial" w:hAnsi="Arial" w:cs="Arial"/>
          <w:szCs w:val="22"/>
        </w:rPr>
        <w:t>al reporte de Indicadores de Riesgo RI_</w:t>
      </w:r>
      <w:r w:rsidR="007123F8" w:rsidRPr="001920F8">
        <w:rPr>
          <w:rFonts w:ascii="Arial" w:hAnsi="Arial" w:cs="Arial"/>
          <w:szCs w:val="22"/>
        </w:rPr>
        <w:t xml:space="preserve">FONDOS </w:t>
      </w:r>
      <w:r w:rsidR="00233F34" w:rsidRPr="001920F8">
        <w:rPr>
          <w:rFonts w:ascii="Arial" w:hAnsi="Arial" w:cs="Arial"/>
          <w:szCs w:val="22"/>
        </w:rPr>
        <w:t xml:space="preserve">(Anexo 33) </w:t>
      </w:r>
      <w:r w:rsidRPr="001920F8">
        <w:rPr>
          <w:rFonts w:ascii="Arial" w:hAnsi="Arial" w:cs="Arial"/>
          <w:szCs w:val="22"/>
        </w:rPr>
        <w:t>de acuerdo con el siguiente detalle:</w:t>
      </w:r>
    </w:p>
    <w:p w14:paraId="0935B6C3" w14:textId="77777777" w:rsidR="00965136" w:rsidRPr="001920F8" w:rsidRDefault="00965136" w:rsidP="003724A7">
      <w:pPr>
        <w:pStyle w:val="Numeracin"/>
        <w:numPr>
          <w:ilvl w:val="0"/>
          <w:numId w:val="0"/>
        </w:numPr>
        <w:spacing w:before="0"/>
        <w:ind w:right="-193"/>
        <w:rPr>
          <w:rFonts w:ascii="Arial" w:eastAsia="Arial Unicode MS" w:hAnsi="Arial" w:cs="Arial"/>
          <w:b/>
          <w:szCs w:val="22"/>
          <w:highlight w:val="green"/>
        </w:rPr>
      </w:pPr>
    </w:p>
    <w:tbl>
      <w:tblPr>
        <w:tblW w:w="9215" w:type="dxa"/>
        <w:tblInd w:w="-431" w:type="dxa"/>
        <w:tblCellMar>
          <w:left w:w="70" w:type="dxa"/>
          <w:right w:w="70" w:type="dxa"/>
        </w:tblCellMar>
        <w:tblLook w:val="04A0" w:firstRow="1" w:lastRow="0" w:firstColumn="1" w:lastColumn="0" w:noHBand="0" w:noVBand="1"/>
      </w:tblPr>
      <w:tblGrid>
        <w:gridCol w:w="1560"/>
        <w:gridCol w:w="2053"/>
        <w:gridCol w:w="5602"/>
      </w:tblGrid>
      <w:tr w:rsidR="00965136" w:rsidRPr="001920F8" w14:paraId="0935B6C7"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B6C4" w14:textId="77777777" w:rsidR="00965136" w:rsidRPr="001920F8" w:rsidRDefault="00965136" w:rsidP="00965136">
            <w:pPr>
              <w:spacing w:after="0" w:line="240" w:lineRule="auto"/>
              <w:jc w:val="center"/>
              <w:rPr>
                <w:rFonts w:eastAsia="Times New Roman" w:cs="Arial"/>
                <w:b/>
                <w:lang w:val="es-CR" w:eastAsia="es-CR"/>
              </w:rPr>
            </w:pPr>
            <w:r w:rsidRPr="001920F8">
              <w:rPr>
                <w:rFonts w:eastAsia="Times New Roman" w:cs="Arial"/>
                <w:b/>
                <w:lang w:val="es-CR" w:eastAsia="es-CR"/>
              </w:rPr>
              <w:t>CATÁLOGO</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0935B6C5" w14:textId="77777777" w:rsidR="00965136" w:rsidRPr="001920F8" w:rsidRDefault="00965136" w:rsidP="00965136">
            <w:pPr>
              <w:spacing w:after="0" w:line="240" w:lineRule="auto"/>
              <w:jc w:val="center"/>
              <w:rPr>
                <w:rFonts w:eastAsia="Times New Roman" w:cs="Arial"/>
                <w:b/>
                <w:lang w:val="es-CR" w:eastAsia="es-CR"/>
              </w:rPr>
            </w:pPr>
            <w:r w:rsidRPr="001920F8">
              <w:rPr>
                <w:rFonts w:eastAsia="Times New Roman" w:cs="Arial"/>
                <w:b/>
                <w:lang w:val="es-CR" w:eastAsia="es-CR"/>
              </w:rPr>
              <w:t>CÓDIGO</w:t>
            </w:r>
          </w:p>
        </w:tc>
        <w:tc>
          <w:tcPr>
            <w:tcW w:w="5602" w:type="dxa"/>
            <w:tcBorders>
              <w:top w:val="single" w:sz="4" w:space="0" w:color="auto"/>
              <w:left w:val="nil"/>
              <w:bottom w:val="single" w:sz="4" w:space="0" w:color="auto"/>
              <w:right w:val="single" w:sz="4" w:space="0" w:color="auto"/>
            </w:tcBorders>
            <w:shd w:val="clear" w:color="auto" w:fill="auto"/>
            <w:noWrap/>
            <w:vAlign w:val="center"/>
          </w:tcPr>
          <w:p w14:paraId="0935B6C6" w14:textId="77777777" w:rsidR="00965136" w:rsidRPr="001920F8" w:rsidRDefault="00965136" w:rsidP="00965136">
            <w:pPr>
              <w:spacing w:after="0" w:line="240" w:lineRule="auto"/>
              <w:jc w:val="center"/>
              <w:rPr>
                <w:rFonts w:eastAsia="Times New Roman" w:cs="Arial"/>
                <w:b/>
                <w:highlight w:val="green"/>
                <w:lang w:val="es-CR" w:eastAsia="es-CR"/>
              </w:rPr>
            </w:pPr>
            <w:r w:rsidRPr="001920F8">
              <w:rPr>
                <w:rFonts w:eastAsia="Times New Roman" w:cs="Arial"/>
                <w:b/>
                <w:lang w:val="es-CR" w:eastAsia="es-CR"/>
              </w:rPr>
              <w:t>NOMBRE</w:t>
            </w:r>
          </w:p>
        </w:tc>
      </w:tr>
      <w:tr w:rsidR="00715C16" w:rsidRPr="001920F8" w14:paraId="0935B6CB" w14:textId="77777777" w:rsidTr="00715C16">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6C8"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6C9" w14:textId="77777777" w:rsidR="00715C16" w:rsidRPr="001920F8" w:rsidRDefault="00715C16" w:rsidP="00715C16">
            <w:pPr>
              <w:spacing w:after="0" w:line="240" w:lineRule="auto"/>
              <w:jc w:val="center"/>
              <w:rPr>
                <w:rFonts w:cs="Arial"/>
              </w:rPr>
            </w:pPr>
            <w:r w:rsidRPr="001920F8">
              <w:rPr>
                <w:rFonts w:cs="Arial"/>
              </w:rPr>
              <w:t>701001010110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6CA" w14:textId="77777777" w:rsidR="00715C16" w:rsidRPr="001920F8" w:rsidRDefault="00715C16" w:rsidP="00715C16">
            <w:pPr>
              <w:spacing w:after="0" w:line="240" w:lineRule="auto"/>
              <w:rPr>
                <w:rFonts w:cs="Arial"/>
              </w:rPr>
            </w:pPr>
            <w:r w:rsidRPr="001920F8">
              <w:rPr>
                <w:rFonts w:cs="Arial"/>
              </w:rPr>
              <w:t>Banco Central de Costa Rica – cuenta de reserva</w:t>
            </w:r>
          </w:p>
        </w:tc>
      </w:tr>
      <w:tr w:rsidR="00715C16" w:rsidRPr="001920F8" w14:paraId="0935B6CF" w14:textId="77777777" w:rsidTr="00715C16">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6CC"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CD" w14:textId="77777777" w:rsidR="00715C16" w:rsidRPr="001920F8" w:rsidRDefault="00715C16" w:rsidP="00715C16">
            <w:pPr>
              <w:spacing w:after="0" w:line="240" w:lineRule="auto"/>
              <w:jc w:val="center"/>
              <w:rPr>
                <w:rFonts w:cs="Arial"/>
              </w:rPr>
            </w:pPr>
            <w:r w:rsidRPr="001920F8">
              <w:rPr>
                <w:rFonts w:cs="Arial"/>
              </w:rPr>
              <w:t>701001010111</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CE" w14:textId="77777777" w:rsidR="00715C16" w:rsidRPr="001920F8" w:rsidRDefault="00715C16" w:rsidP="00715C16">
            <w:pPr>
              <w:spacing w:after="0" w:line="240" w:lineRule="auto"/>
              <w:rPr>
                <w:rFonts w:cs="Arial"/>
              </w:rPr>
            </w:pPr>
            <w:r w:rsidRPr="001920F8">
              <w:rPr>
                <w:rFonts w:cs="Arial"/>
              </w:rPr>
              <w:t>Banco de Costa Rica</w:t>
            </w:r>
          </w:p>
        </w:tc>
      </w:tr>
      <w:tr w:rsidR="00715C16" w:rsidRPr="001920F8" w14:paraId="0935B6D3" w14:textId="77777777" w:rsidTr="00715C16">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0935B6D0"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D1"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701001010112</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D2" w14:textId="77777777" w:rsidR="00715C16" w:rsidRPr="001920F8" w:rsidRDefault="00715C16" w:rsidP="00715C16">
            <w:pPr>
              <w:spacing w:after="0" w:line="240" w:lineRule="auto"/>
              <w:rPr>
                <w:rFonts w:eastAsia="Times New Roman" w:cs="Arial"/>
                <w:b/>
                <w:lang w:val="es-CR" w:eastAsia="es-CR"/>
              </w:rPr>
            </w:pPr>
            <w:r w:rsidRPr="001920F8">
              <w:rPr>
                <w:rFonts w:cs="Arial"/>
              </w:rPr>
              <w:t>Banco Nacional de Costa Rica</w:t>
            </w:r>
          </w:p>
        </w:tc>
      </w:tr>
      <w:tr w:rsidR="00715C16" w:rsidRPr="001920F8" w14:paraId="0935B6D7"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D4"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D5"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701001010113</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D6" w14:textId="77777777" w:rsidR="00715C16" w:rsidRPr="001920F8" w:rsidRDefault="00715C16" w:rsidP="00715C16">
            <w:pPr>
              <w:spacing w:after="0" w:line="240" w:lineRule="auto"/>
              <w:rPr>
                <w:rFonts w:eastAsia="Times New Roman" w:cs="Arial"/>
                <w:lang w:val="es-CR" w:eastAsia="es-CR"/>
              </w:rPr>
            </w:pPr>
            <w:r w:rsidRPr="001920F8">
              <w:rPr>
                <w:rFonts w:cs="Arial"/>
              </w:rPr>
              <w:t>Banco Hipotecario de la Vivienda</w:t>
            </w:r>
          </w:p>
        </w:tc>
      </w:tr>
      <w:tr w:rsidR="00715C16" w:rsidRPr="001920F8" w14:paraId="0935B6DB"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D8"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D9"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701001010114</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DA" w14:textId="77777777" w:rsidR="00715C16" w:rsidRPr="001920F8" w:rsidRDefault="00715C16" w:rsidP="00715C16">
            <w:pPr>
              <w:spacing w:after="0" w:line="240" w:lineRule="auto"/>
              <w:rPr>
                <w:rFonts w:eastAsia="Times New Roman" w:cs="Arial"/>
                <w:lang w:val="es-CR" w:eastAsia="es-CR"/>
              </w:rPr>
            </w:pPr>
            <w:r w:rsidRPr="001920F8">
              <w:rPr>
                <w:rFonts w:cs="Arial"/>
              </w:rPr>
              <w:t>Banco Popular y de Desarrollo Comunal</w:t>
            </w:r>
          </w:p>
        </w:tc>
      </w:tr>
      <w:tr w:rsidR="00715C16" w:rsidRPr="001920F8" w14:paraId="0935B6DF"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DC"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DD"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701001010115</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DE" w14:textId="77777777" w:rsidR="00715C16" w:rsidRPr="001920F8" w:rsidRDefault="00715C16" w:rsidP="00715C16">
            <w:pPr>
              <w:spacing w:after="0" w:line="240" w:lineRule="auto"/>
              <w:rPr>
                <w:rFonts w:eastAsia="Times New Roman" w:cs="Arial"/>
                <w:lang w:val="es-CR" w:eastAsia="es-CR"/>
              </w:rPr>
            </w:pPr>
            <w:r w:rsidRPr="001920F8">
              <w:rPr>
                <w:rFonts w:cs="Arial"/>
              </w:rPr>
              <w:t>Banco BAC San José S.A.</w:t>
            </w:r>
          </w:p>
        </w:tc>
      </w:tr>
      <w:tr w:rsidR="00715C16" w:rsidRPr="001920F8" w14:paraId="0935B6E3"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E0"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E1"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701001010116</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E2" w14:textId="77777777" w:rsidR="00715C16" w:rsidRPr="001920F8" w:rsidRDefault="00715C16" w:rsidP="00715C16">
            <w:pPr>
              <w:spacing w:after="0" w:line="240" w:lineRule="auto"/>
              <w:rPr>
                <w:rFonts w:eastAsia="Times New Roman" w:cs="Arial"/>
                <w:lang w:val="es-CR" w:eastAsia="es-CR"/>
              </w:rPr>
            </w:pPr>
            <w:r w:rsidRPr="001920F8">
              <w:rPr>
                <w:rFonts w:cs="Arial"/>
              </w:rPr>
              <w:t>Banco BCT S.A.</w:t>
            </w:r>
          </w:p>
        </w:tc>
      </w:tr>
      <w:tr w:rsidR="00715C16" w:rsidRPr="001920F8" w14:paraId="0935B6E7"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E4"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E5"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701001010117</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E6" w14:textId="77777777" w:rsidR="00715C16" w:rsidRPr="001920F8" w:rsidRDefault="00715C16" w:rsidP="00715C16">
            <w:pPr>
              <w:spacing w:after="0" w:line="240" w:lineRule="auto"/>
              <w:rPr>
                <w:rFonts w:eastAsia="Times New Roman" w:cs="Arial"/>
                <w:b/>
                <w:lang w:val="es-CR" w:eastAsia="es-CR"/>
              </w:rPr>
            </w:pPr>
            <w:r w:rsidRPr="001920F8">
              <w:rPr>
                <w:rFonts w:cs="Arial"/>
              </w:rPr>
              <w:t xml:space="preserve">Banco </w:t>
            </w:r>
            <w:proofErr w:type="spellStart"/>
            <w:r w:rsidRPr="001920F8">
              <w:rPr>
                <w:rFonts w:cs="Arial"/>
              </w:rPr>
              <w:t>Cathay</w:t>
            </w:r>
            <w:proofErr w:type="spellEnd"/>
            <w:r w:rsidRPr="001920F8">
              <w:rPr>
                <w:rFonts w:cs="Arial"/>
              </w:rPr>
              <w:t xml:space="preserve"> de Costa Rica S.A.</w:t>
            </w:r>
          </w:p>
        </w:tc>
      </w:tr>
      <w:tr w:rsidR="00715C16" w:rsidRPr="001920F8" w14:paraId="0935B6EB"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E8"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E9"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701001010118</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EA" w14:textId="77777777" w:rsidR="00715C16" w:rsidRPr="001920F8" w:rsidRDefault="00715C16" w:rsidP="00715C16">
            <w:pPr>
              <w:spacing w:after="0" w:line="240" w:lineRule="auto"/>
              <w:rPr>
                <w:rFonts w:eastAsia="Times New Roman" w:cs="Arial"/>
                <w:lang w:val="es-CR" w:eastAsia="es-CR"/>
              </w:rPr>
            </w:pPr>
            <w:r w:rsidRPr="001920F8">
              <w:rPr>
                <w:rFonts w:cs="Arial"/>
              </w:rPr>
              <w:t>Banco CMB (Costa Rica) S.A.</w:t>
            </w:r>
          </w:p>
        </w:tc>
      </w:tr>
      <w:tr w:rsidR="00715C16" w:rsidRPr="001920F8" w14:paraId="0935B6EF"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EC"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ED"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701001010119</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EE" w14:textId="77777777" w:rsidR="00715C16" w:rsidRPr="001920F8" w:rsidRDefault="00715C16" w:rsidP="00715C16">
            <w:pPr>
              <w:spacing w:after="0" w:line="240" w:lineRule="auto"/>
              <w:rPr>
                <w:rFonts w:eastAsia="Times New Roman" w:cs="Arial"/>
                <w:lang w:val="es-CR" w:eastAsia="es-CR"/>
              </w:rPr>
            </w:pPr>
            <w:r w:rsidRPr="001920F8">
              <w:rPr>
                <w:rFonts w:cs="Arial"/>
              </w:rPr>
              <w:t>Banco Davivienda (Costa Rica) S.A.</w:t>
            </w:r>
          </w:p>
        </w:tc>
      </w:tr>
      <w:tr w:rsidR="00715C16" w:rsidRPr="001920F8" w14:paraId="0935B6F3"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F0"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F1"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701001010120</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F2" w14:textId="77777777" w:rsidR="00715C16" w:rsidRPr="001920F8" w:rsidRDefault="00715C16" w:rsidP="00715C16">
            <w:pPr>
              <w:spacing w:after="0" w:line="240" w:lineRule="auto"/>
              <w:rPr>
                <w:rFonts w:eastAsia="Times New Roman" w:cs="Arial"/>
                <w:lang w:val="es-CR" w:eastAsia="es-CR"/>
              </w:rPr>
            </w:pPr>
            <w:r w:rsidRPr="001920F8">
              <w:rPr>
                <w:rFonts w:cs="Arial"/>
              </w:rPr>
              <w:t>Banco General (Costa Rica) S.A.</w:t>
            </w:r>
          </w:p>
        </w:tc>
      </w:tr>
      <w:tr w:rsidR="00715C16" w:rsidRPr="001920F8" w14:paraId="0935B6F7"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F4"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F5"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701001010121</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F6" w14:textId="77777777" w:rsidR="00715C16" w:rsidRPr="001920F8" w:rsidRDefault="00715C16" w:rsidP="00715C16">
            <w:pPr>
              <w:spacing w:after="0" w:line="240" w:lineRule="auto"/>
              <w:rPr>
                <w:rFonts w:eastAsia="Times New Roman" w:cs="Arial"/>
                <w:lang w:val="es-CR" w:eastAsia="es-CR"/>
              </w:rPr>
            </w:pPr>
            <w:r w:rsidRPr="001920F8">
              <w:rPr>
                <w:rFonts w:cs="Arial"/>
              </w:rPr>
              <w:t>Banco Improsa S.A.</w:t>
            </w:r>
          </w:p>
        </w:tc>
      </w:tr>
      <w:tr w:rsidR="00715C16" w:rsidRPr="001920F8" w14:paraId="0935B6FB"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F8"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F9"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701001010122</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FA" w14:textId="77777777" w:rsidR="00715C16" w:rsidRPr="001920F8" w:rsidRDefault="00715C16" w:rsidP="00715C16">
            <w:pPr>
              <w:spacing w:after="0" w:line="240" w:lineRule="auto"/>
              <w:rPr>
                <w:rFonts w:eastAsia="Times New Roman" w:cs="Arial"/>
                <w:lang w:val="es-CR" w:eastAsia="es-CR"/>
              </w:rPr>
            </w:pPr>
            <w:r w:rsidRPr="001920F8">
              <w:rPr>
                <w:rFonts w:cs="Arial"/>
              </w:rPr>
              <w:t xml:space="preserve">Banco </w:t>
            </w:r>
            <w:proofErr w:type="spellStart"/>
            <w:r w:rsidRPr="001920F8">
              <w:rPr>
                <w:rFonts w:cs="Arial"/>
              </w:rPr>
              <w:t>Lafise</w:t>
            </w:r>
            <w:proofErr w:type="spellEnd"/>
            <w:r w:rsidRPr="001920F8">
              <w:rPr>
                <w:rFonts w:cs="Arial"/>
              </w:rPr>
              <w:t xml:space="preserve"> S.A.</w:t>
            </w:r>
          </w:p>
        </w:tc>
      </w:tr>
      <w:tr w:rsidR="00715C16" w:rsidRPr="001920F8" w14:paraId="0935B6FF"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6FC"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6FD"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701001010123</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6FE" w14:textId="77777777" w:rsidR="00715C16" w:rsidRPr="001920F8" w:rsidRDefault="00715C16" w:rsidP="00715C16">
            <w:pPr>
              <w:spacing w:after="0" w:line="240" w:lineRule="auto"/>
              <w:rPr>
                <w:rFonts w:eastAsia="Times New Roman" w:cs="Arial"/>
                <w:lang w:val="es-CR" w:eastAsia="es-CR"/>
              </w:rPr>
            </w:pPr>
            <w:r w:rsidRPr="001920F8">
              <w:rPr>
                <w:rFonts w:cs="Arial"/>
              </w:rPr>
              <w:t xml:space="preserve">Banco </w:t>
            </w:r>
            <w:proofErr w:type="spellStart"/>
            <w:r w:rsidRPr="001920F8">
              <w:rPr>
                <w:rFonts w:cs="Arial"/>
              </w:rPr>
              <w:t>Promérica</w:t>
            </w:r>
            <w:proofErr w:type="spellEnd"/>
            <w:r w:rsidRPr="001920F8">
              <w:rPr>
                <w:rFonts w:cs="Arial"/>
              </w:rPr>
              <w:t xml:space="preserve"> de Costa Rica S.A.</w:t>
            </w:r>
          </w:p>
        </w:tc>
      </w:tr>
      <w:tr w:rsidR="00715C16" w:rsidRPr="001920F8" w14:paraId="0935B703"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00"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01"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701001010124</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02" w14:textId="77777777" w:rsidR="00715C16" w:rsidRPr="001920F8" w:rsidRDefault="00715C16" w:rsidP="00715C16">
            <w:pPr>
              <w:spacing w:after="0" w:line="240" w:lineRule="auto"/>
              <w:rPr>
                <w:rFonts w:eastAsia="Times New Roman" w:cs="Arial"/>
                <w:lang w:val="es-CR" w:eastAsia="es-CR"/>
              </w:rPr>
            </w:pPr>
            <w:proofErr w:type="spellStart"/>
            <w:r w:rsidRPr="001920F8">
              <w:rPr>
                <w:rFonts w:cs="Arial"/>
              </w:rPr>
              <w:t>Prival</w:t>
            </w:r>
            <w:proofErr w:type="spellEnd"/>
            <w:r w:rsidRPr="001920F8">
              <w:rPr>
                <w:rFonts w:cs="Arial"/>
              </w:rPr>
              <w:t xml:space="preserve"> Bank (Costa Rica) S.A.</w:t>
            </w:r>
          </w:p>
        </w:tc>
      </w:tr>
      <w:tr w:rsidR="00715C16" w:rsidRPr="001920F8" w14:paraId="0935B707"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04"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05"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701001010125</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06" w14:textId="77777777" w:rsidR="00715C16" w:rsidRPr="001920F8" w:rsidRDefault="00715C16" w:rsidP="008242DD">
            <w:pPr>
              <w:spacing w:after="0" w:line="240" w:lineRule="auto"/>
              <w:rPr>
                <w:rFonts w:eastAsia="Times New Roman" w:cs="Arial"/>
                <w:lang w:val="es-CR" w:eastAsia="es-CR"/>
              </w:rPr>
            </w:pPr>
            <w:proofErr w:type="spellStart"/>
            <w:r w:rsidRPr="001920F8">
              <w:rPr>
                <w:rFonts w:cs="Arial"/>
              </w:rPr>
              <w:t>Scotiabank</w:t>
            </w:r>
            <w:proofErr w:type="spellEnd"/>
            <w:r w:rsidRPr="001920F8">
              <w:rPr>
                <w:rFonts w:cs="Arial"/>
              </w:rPr>
              <w:t xml:space="preserve"> de Costa Rica S.A. </w:t>
            </w:r>
          </w:p>
        </w:tc>
      </w:tr>
      <w:tr w:rsidR="00715C16" w:rsidRPr="001920F8" w14:paraId="0935B70B"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08"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09" w14:textId="77777777" w:rsidR="00715C16" w:rsidRPr="001920F8" w:rsidRDefault="00715C16" w:rsidP="008242DD">
            <w:pPr>
              <w:spacing w:after="0" w:line="240" w:lineRule="auto"/>
              <w:jc w:val="center"/>
              <w:rPr>
                <w:rFonts w:eastAsia="Times New Roman" w:cs="Arial"/>
                <w:lang w:val="es-CR" w:eastAsia="es-CR"/>
              </w:rPr>
            </w:pPr>
            <w:r w:rsidRPr="001920F8">
              <w:rPr>
                <w:rFonts w:cs="Arial"/>
              </w:rPr>
              <w:t>7010010101</w:t>
            </w:r>
            <w:r w:rsidR="008242DD" w:rsidRPr="001920F8">
              <w:rPr>
                <w:rFonts w:cs="Arial"/>
              </w:rPr>
              <w:t>99</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0A" w14:textId="77777777" w:rsidR="00715C16" w:rsidRPr="001920F8" w:rsidRDefault="00715C16" w:rsidP="00715C16">
            <w:pPr>
              <w:spacing w:after="0" w:line="240" w:lineRule="auto"/>
              <w:rPr>
                <w:rFonts w:eastAsia="Times New Roman" w:cs="Arial"/>
                <w:lang w:val="es-CR" w:eastAsia="es-CR"/>
              </w:rPr>
            </w:pPr>
            <w:r w:rsidRPr="001920F8">
              <w:rPr>
                <w:rFonts w:cs="Arial"/>
              </w:rPr>
              <w:t>Otros</w:t>
            </w:r>
          </w:p>
        </w:tc>
      </w:tr>
      <w:tr w:rsidR="00715C16" w:rsidRPr="001920F8" w14:paraId="0935B70F"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0C"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0D"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701001020110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0E" w14:textId="77777777" w:rsidR="00715C16" w:rsidRPr="001920F8" w:rsidRDefault="00715C16" w:rsidP="00715C16">
            <w:pPr>
              <w:spacing w:after="0" w:line="240" w:lineRule="auto"/>
              <w:rPr>
                <w:rFonts w:eastAsia="Times New Roman" w:cs="Arial"/>
                <w:lang w:val="es-CR" w:eastAsia="es-CR"/>
              </w:rPr>
            </w:pPr>
            <w:r w:rsidRPr="001920F8">
              <w:rPr>
                <w:rFonts w:cs="Arial"/>
              </w:rPr>
              <w:t>Banco Central de Costa Rica – cuenta de reserva</w:t>
            </w:r>
          </w:p>
        </w:tc>
      </w:tr>
      <w:tr w:rsidR="00715C16" w:rsidRPr="001920F8" w14:paraId="0935B713"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10"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11"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701001020111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12" w14:textId="77777777" w:rsidR="00715C16" w:rsidRPr="001920F8" w:rsidRDefault="00715C16" w:rsidP="00715C16">
            <w:pPr>
              <w:spacing w:after="0" w:line="240" w:lineRule="auto"/>
              <w:rPr>
                <w:rFonts w:eastAsia="Times New Roman" w:cs="Arial"/>
                <w:lang w:val="es-CR" w:eastAsia="es-CR"/>
              </w:rPr>
            </w:pPr>
            <w:r w:rsidRPr="001920F8">
              <w:rPr>
                <w:rFonts w:cs="Arial"/>
              </w:rPr>
              <w:t>Banco de Costa Rica</w:t>
            </w:r>
          </w:p>
        </w:tc>
      </w:tr>
      <w:tr w:rsidR="00715C16" w:rsidRPr="001920F8" w14:paraId="0935B717"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14"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15"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701001020112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16" w14:textId="77777777" w:rsidR="00715C16" w:rsidRPr="001920F8" w:rsidRDefault="00715C16" w:rsidP="00715C16">
            <w:pPr>
              <w:spacing w:after="0" w:line="240" w:lineRule="auto"/>
              <w:rPr>
                <w:rFonts w:eastAsia="Times New Roman" w:cs="Arial"/>
                <w:b/>
                <w:lang w:val="es-CR" w:eastAsia="es-CR"/>
              </w:rPr>
            </w:pPr>
            <w:r w:rsidRPr="001920F8">
              <w:rPr>
                <w:rFonts w:cs="Arial"/>
              </w:rPr>
              <w:t>Banco Nacional de Costa Rica</w:t>
            </w:r>
          </w:p>
        </w:tc>
      </w:tr>
      <w:tr w:rsidR="00715C16" w:rsidRPr="001920F8" w14:paraId="0935B71B"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tcPr>
          <w:p w14:paraId="0935B718"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lastRenderedPageBreak/>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19" w14:textId="77777777" w:rsidR="00715C16" w:rsidRPr="001920F8" w:rsidRDefault="00715C16" w:rsidP="00715C16">
            <w:pPr>
              <w:spacing w:after="0" w:line="240" w:lineRule="auto"/>
              <w:jc w:val="center"/>
              <w:rPr>
                <w:rFonts w:cs="Arial"/>
              </w:rPr>
            </w:pPr>
            <w:r w:rsidRPr="001920F8">
              <w:rPr>
                <w:rFonts w:cs="Arial"/>
              </w:rPr>
              <w:t xml:space="preserve"> 701001020113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1A" w14:textId="77777777" w:rsidR="00715C16" w:rsidRPr="001920F8" w:rsidRDefault="00715C16" w:rsidP="00715C16">
            <w:pPr>
              <w:spacing w:after="0" w:line="240" w:lineRule="auto"/>
              <w:rPr>
                <w:rFonts w:cs="Arial"/>
              </w:rPr>
            </w:pPr>
            <w:r w:rsidRPr="001920F8">
              <w:rPr>
                <w:rFonts w:cs="Arial"/>
              </w:rPr>
              <w:t>Banco Hipotecario de la Vivienda</w:t>
            </w:r>
          </w:p>
        </w:tc>
      </w:tr>
      <w:tr w:rsidR="00715C16" w:rsidRPr="001920F8" w14:paraId="0935B71F"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1C"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1D"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701001020114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1E" w14:textId="77777777" w:rsidR="00715C16" w:rsidRPr="001920F8" w:rsidRDefault="00715C16" w:rsidP="00715C16">
            <w:pPr>
              <w:spacing w:after="0" w:line="240" w:lineRule="auto"/>
              <w:rPr>
                <w:rFonts w:eastAsia="Times New Roman" w:cs="Arial"/>
                <w:b/>
                <w:lang w:val="es-CR" w:eastAsia="es-CR"/>
              </w:rPr>
            </w:pPr>
            <w:r w:rsidRPr="001920F8">
              <w:rPr>
                <w:rFonts w:cs="Arial"/>
              </w:rPr>
              <w:t>Banco Popular y de Desarrollo Comunal</w:t>
            </w:r>
          </w:p>
        </w:tc>
      </w:tr>
      <w:tr w:rsidR="00715C16" w:rsidRPr="001920F8" w14:paraId="0935B723"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20"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21"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701001020115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22" w14:textId="77777777" w:rsidR="00715C16" w:rsidRPr="001920F8" w:rsidRDefault="00715C16" w:rsidP="00715C16">
            <w:pPr>
              <w:spacing w:after="0" w:line="240" w:lineRule="auto"/>
              <w:rPr>
                <w:rFonts w:eastAsia="Times New Roman" w:cs="Arial"/>
                <w:lang w:val="es-CR" w:eastAsia="es-CR"/>
              </w:rPr>
            </w:pPr>
            <w:r w:rsidRPr="001920F8">
              <w:rPr>
                <w:rFonts w:cs="Arial"/>
              </w:rPr>
              <w:t>Banco BAC San José S.A.</w:t>
            </w:r>
          </w:p>
        </w:tc>
      </w:tr>
      <w:tr w:rsidR="00715C16" w:rsidRPr="001920F8" w14:paraId="0935B727"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24"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25"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701001020116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26" w14:textId="77777777" w:rsidR="00715C16" w:rsidRPr="001920F8" w:rsidRDefault="00715C16" w:rsidP="00715C16">
            <w:pPr>
              <w:spacing w:after="0" w:line="240" w:lineRule="auto"/>
              <w:rPr>
                <w:rFonts w:eastAsia="Times New Roman" w:cs="Arial"/>
                <w:lang w:val="es-CR" w:eastAsia="es-CR"/>
              </w:rPr>
            </w:pPr>
            <w:r w:rsidRPr="001920F8">
              <w:rPr>
                <w:rFonts w:cs="Arial"/>
              </w:rPr>
              <w:t>Banco BCT S.A.</w:t>
            </w:r>
          </w:p>
        </w:tc>
      </w:tr>
      <w:tr w:rsidR="00715C16" w:rsidRPr="001920F8" w14:paraId="0935B72B"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28"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29"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701001020117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2A" w14:textId="77777777" w:rsidR="00715C16" w:rsidRPr="001920F8" w:rsidRDefault="00715C16" w:rsidP="00715C16">
            <w:pPr>
              <w:spacing w:after="0" w:line="240" w:lineRule="auto"/>
              <w:rPr>
                <w:rFonts w:eastAsia="Times New Roman" w:cs="Arial"/>
                <w:lang w:val="es-CR" w:eastAsia="es-CR"/>
              </w:rPr>
            </w:pPr>
            <w:r w:rsidRPr="001920F8">
              <w:rPr>
                <w:rFonts w:cs="Arial"/>
              </w:rPr>
              <w:t xml:space="preserve">Banco </w:t>
            </w:r>
            <w:proofErr w:type="spellStart"/>
            <w:r w:rsidRPr="001920F8">
              <w:rPr>
                <w:rFonts w:cs="Arial"/>
              </w:rPr>
              <w:t>Cathay</w:t>
            </w:r>
            <w:proofErr w:type="spellEnd"/>
            <w:r w:rsidRPr="001920F8">
              <w:rPr>
                <w:rFonts w:cs="Arial"/>
              </w:rPr>
              <w:t xml:space="preserve"> de Costa Rica S.A.</w:t>
            </w:r>
          </w:p>
        </w:tc>
      </w:tr>
      <w:tr w:rsidR="00715C16" w:rsidRPr="001920F8" w14:paraId="0935B72F"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2C"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2D"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701001020118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2E" w14:textId="77777777" w:rsidR="00715C16" w:rsidRPr="001920F8" w:rsidRDefault="00715C16" w:rsidP="00715C16">
            <w:pPr>
              <w:spacing w:after="0" w:line="240" w:lineRule="auto"/>
              <w:rPr>
                <w:rFonts w:eastAsia="Times New Roman" w:cs="Arial"/>
                <w:lang w:val="es-CR" w:eastAsia="es-CR"/>
              </w:rPr>
            </w:pPr>
            <w:r w:rsidRPr="001920F8">
              <w:rPr>
                <w:rFonts w:cs="Arial"/>
              </w:rPr>
              <w:t>Banco CMB (Costa Rica) S.A.</w:t>
            </w:r>
          </w:p>
        </w:tc>
      </w:tr>
      <w:tr w:rsidR="00715C16" w:rsidRPr="001920F8" w14:paraId="0935B733"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30"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31"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701001020119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32" w14:textId="77777777" w:rsidR="00715C16" w:rsidRPr="001920F8" w:rsidRDefault="00715C16" w:rsidP="00715C16">
            <w:pPr>
              <w:spacing w:after="0" w:line="240" w:lineRule="auto"/>
              <w:rPr>
                <w:rFonts w:eastAsia="Times New Roman" w:cs="Arial"/>
                <w:b/>
                <w:lang w:val="es-CR" w:eastAsia="es-CR"/>
              </w:rPr>
            </w:pPr>
            <w:r w:rsidRPr="001920F8">
              <w:rPr>
                <w:rFonts w:cs="Arial"/>
              </w:rPr>
              <w:t>Banco Davivienda (Costa Rica) S.A.</w:t>
            </w:r>
          </w:p>
        </w:tc>
      </w:tr>
      <w:tr w:rsidR="00715C16" w:rsidRPr="001920F8" w14:paraId="0935B737"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34"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35"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701001020120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36" w14:textId="77777777" w:rsidR="00715C16" w:rsidRPr="001920F8" w:rsidRDefault="00715C16" w:rsidP="00715C16">
            <w:pPr>
              <w:spacing w:after="0" w:line="240" w:lineRule="auto"/>
              <w:rPr>
                <w:rFonts w:eastAsia="Times New Roman" w:cs="Arial"/>
                <w:lang w:val="es-CR" w:eastAsia="es-CR"/>
              </w:rPr>
            </w:pPr>
            <w:r w:rsidRPr="001920F8">
              <w:rPr>
                <w:rFonts w:cs="Arial"/>
              </w:rPr>
              <w:t>Banco General (Costa Rica) S.A.</w:t>
            </w:r>
          </w:p>
        </w:tc>
      </w:tr>
      <w:tr w:rsidR="00715C16" w:rsidRPr="001920F8" w14:paraId="0935B73B"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38"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39"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701001020121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3A" w14:textId="77777777" w:rsidR="00715C16" w:rsidRPr="001920F8" w:rsidRDefault="00715C16" w:rsidP="00715C16">
            <w:pPr>
              <w:spacing w:after="0" w:line="240" w:lineRule="auto"/>
              <w:rPr>
                <w:rFonts w:eastAsia="Times New Roman" w:cs="Arial"/>
                <w:lang w:val="es-CR" w:eastAsia="es-CR"/>
              </w:rPr>
            </w:pPr>
            <w:r w:rsidRPr="001920F8">
              <w:rPr>
                <w:rFonts w:cs="Arial"/>
              </w:rPr>
              <w:t>Banco Improsa S.A.</w:t>
            </w:r>
          </w:p>
        </w:tc>
      </w:tr>
      <w:tr w:rsidR="00715C16" w:rsidRPr="001920F8" w14:paraId="0935B73F"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tcPr>
          <w:p w14:paraId="0935B73C"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3D"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701001020122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3E" w14:textId="77777777" w:rsidR="00715C16" w:rsidRPr="001920F8" w:rsidRDefault="00715C16" w:rsidP="00715C16">
            <w:pPr>
              <w:spacing w:after="0" w:line="240" w:lineRule="auto"/>
              <w:rPr>
                <w:rFonts w:eastAsia="Times New Roman" w:cs="Arial"/>
                <w:lang w:val="es-CR" w:eastAsia="es-CR"/>
              </w:rPr>
            </w:pPr>
            <w:r w:rsidRPr="001920F8">
              <w:rPr>
                <w:rFonts w:cs="Arial"/>
              </w:rPr>
              <w:t xml:space="preserve">Banco </w:t>
            </w:r>
            <w:proofErr w:type="spellStart"/>
            <w:r w:rsidRPr="001920F8">
              <w:rPr>
                <w:rFonts w:cs="Arial"/>
              </w:rPr>
              <w:t>Lafise</w:t>
            </w:r>
            <w:proofErr w:type="spellEnd"/>
            <w:r w:rsidRPr="001920F8">
              <w:rPr>
                <w:rFonts w:cs="Arial"/>
              </w:rPr>
              <w:t xml:space="preserve"> S.A.</w:t>
            </w:r>
          </w:p>
        </w:tc>
      </w:tr>
      <w:tr w:rsidR="00715C16" w:rsidRPr="001920F8" w14:paraId="0935B743"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tcPr>
          <w:p w14:paraId="0935B740"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41"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701001020123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42" w14:textId="77777777" w:rsidR="00715C16" w:rsidRPr="001920F8" w:rsidRDefault="00715C16" w:rsidP="00715C16">
            <w:pPr>
              <w:spacing w:after="0" w:line="240" w:lineRule="auto"/>
              <w:rPr>
                <w:rFonts w:eastAsia="Times New Roman" w:cs="Arial"/>
                <w:lang w:val="es-CR" w:eastAsia="es-CR"/>
              </w:rPr>
            </w:pPr>
            <w:r w:rsidRPr="001920F8">
              <w:rPr>
                <w:rFonts w:cs="Arial"/>
              </w:rPr>
              <w:t xml:space="preserve">Banco </w:t>
            </w:r>
            <w:proofErr w:type="spellStart"/>
            <w:r w:rsidRPr="001920F8">
              <w:rPr>
                <w:rFonts w:cs="Arial"/>
              </w:rPr>
              <w:t>Promérica</w:t>
            </w:r>
            <w:proofErr w:type="spellEnd"/>
            <w:r w:rsidRPr="001920F8">
              <w:rPr>
                <w:rFonts w:cs="Arial"/>
              </w:rPr>
              <w:t xml:space="preserve"> de Costa Rica S.A.</w:t>
            </w:r>
          </w:p>
        </w:tc>
      </w:tr>
      <w:tr w:rsidR="00715C16" w:rsidRPr="001920F8" w14:paraId="0935B747"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44"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45"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701001020124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46" w14:textId="77777777" w:rsidR="00715C16" w:rsidRPr="001920F8" w:rsidRDefault="00715C16" w:rsidP="00715C16">
            <w:pPr>
              <w:spacing w:after="0" w:line="240" w:lineRule="auto"/>
              <w:rPr>
                <w:rFonts w:eastAsia="Times New Roman" w:cs="Arial"/>
                <w:lang w:val="es-CR" w:eastAsia="es-CR"/>
              </w:rPr>
            </w:pPr>
            <w:proofErr w:type="spellStart"/>
            <w:r w:rsidRPr="001920F8">
              <w:rPr>
                <w:rFonts w:cs="Arial"/>
              </w:rPr>
              <w:t>Prival</w:t>
            </w:r>
            <w:proofErr w:type="spellEnd"/>
            <w:r w:rsidRPr="001920F8">
              <w:rPr>
                <w:rFonts w:cs="Arial"/>
              </w:rPr>
              <w:t xml:space="preserve"> Bank (Costa Rica) S.A.</w:t>
            </w:r>
          </w:p>
        </w:tc>
      </w:tr>
      <w:tr w:rsidR="00715C16" w:rsidRPr="001920F8" w14:paraId="0935B74B"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48"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49" w14:textId="77777777" w:rsidR="00715C16" w:rsidRPr="001920F8" w:rsidRDefault="00715C16" w:rsidP="00715C16">
            <w:pPr>
              <w:spacing w:after="0" w:line="240" w:lineRule="auto"/>
              <w:jc w:val="center"/>
              <w:rPr>
                <w:rFonts w:eastAsia="Times New Roman" w:cs="Arial"/>
                <w:lang w:val="es-CR" w:eastAsia="es-CR"/>
              </w:rPr>
            </w:pPr>
            <w:r w:rsidRPr="001920F8">
              <w:rPr>
                <w:rFonts w:cs="Arial"/>
              </w:rPr>
              <w:t xml:space="preserve"> 701001020125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4A" w14:textId="77777777" w:rsidR="00715C16" w:rsidRPr="001920F8" w:rsidRDefault="00715C16" w:rsidP="008242DD">
            <w:pPr>
              <w:spacing w:after="0" w:line="240" w:lineRule="auto"/>
              <w:rPr>
                <w:rFonts w:eastAsia="Times New Roman" w:cs="Arial"/>
                <w:lang w:val="es-CR" w:eastAsia="es-CR"/>
              </w:rPr>
            </w:pPr>
            <w:proofErr w:type="spellStart"/>
            <w:r w:rsidRPr="001920F8">
              <w:rPr>
                <w:rFonts w:cs="Arial"/>
              </w:rPr>
              <w:t>Scotiabank</w:t>
            </w:r>
            <w:proofErr w:type="spellEnd"/>
            <w:r w:rsidRPr="001920F8">
              <w:rPr>
                <w:rFonts w:cs="Arial"/>
              </w:rPr>
              <w:t xml:space="preserve"> de Costa Rica S.A. </w:t>
            </w:r>
          </w:p>
        </w:tc>
      </w:tr>
      <w:tr w:rsidR="008242DD" w:rsidRPr="001920F8" w14:paraId="0935B74F"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tcPr>
          <w:p w14:paraId="0935B74C" w14:textId="77777777" w:rsidR="008242DD" w:rsidRPr="001920F8" w:rsidRDefault="008242DD" w:rsidP="008242DD">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4D" w14:textId="77777777" w:rsidR="008242DD" w:rsidRPr="001920F8" w:rsidRDefault="008242DD" w:rsidP="008242DD">
            <w:pPr>
              <w:spacing w:after="0" w:line="240" w:lineRule="auto"/>
              <w:jc w:val="center"/>
              <w:rPr>
                <w:rFonts w:cs="Arial"/>
              </w:rPr>
            </w:pPr>
            <w:r w:rsidRPr="001920F8">
              <w:rPr>
                <w:rFonts w:cs="Arial"/>
              </w:rPr>
              <w:t xml:space="preserve"> 701001020185 </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4E" w14:textId="77777777" w:rsidR="008242DD" w:rsidRPr="001920F8" w:rsidRDefault="008242DD" w:rsidP="008242DD">
            <w:pPr>
              <w:spacing w:after="0" w:line="240" w:lineRule="auto"/>
              <w:rPr>
                <w:rFonts w:cs="Arial"/>
              </w:rPr>
            </w:pPr>
            <w:r w:rsidRPr="001920F8">
              <w:rPr>
                <w:rFonts w:cs="Arial"/>
              </w:rPr>
              <w:t>Bancos del Exterior</w:t>
            </w:r>
          </w:p>
        </w:tc>
      </w:tr>
      <w:tr w:rsidR="00715C16" w:rsidRPr="001920F8" w14:paraId="0935B753" w14:textId="77777777" w:rsidTr="00715C16">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14:paraId="0935B750" w14:textId="77777777" w:rsidR="00715C16" w:rsidRPr="001920F8" w:rsidRDefault="00715C16" w:rsidP="00715C16">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nil"/>
              <w:left w:val="single" w:sz="4" w:space="0" w:color="auto"/>
              <w:bottom w:val="single" w:sz="4" w:space="0" w:color="auto"/>
              <w:right w:val="single" w:sz="4" w:space="0" w:color="auto"/>
            </w:tcBorders>
            <w:shd w:val="clear" w:color="auto" w:fill="auto"/>
            <w:noWrap/>
            <w:vAlign w:val="bottom"/>
          </w:tcPr>
          <w:p w14:paraId="0935B751" w14:textId="77777777" w:rsidR="00715C16" w:rsidRPr="001920F8" w:rsidRDefault="00715C16" w:rsidP="008242DD">
            <w:pPr>
              <w:spacing w:after="0" w:line="240" w:lineRule="auto"/>
              <w:jc w:val="center"/>
              <w:rPr>
                <w:rFonts w:eastAsia="Times New Roman" w:cs="Arial"/>
                <w:lang w:val="es-CR" w:eastAsia="es-CR"/>
              </w:rPr>
            </w:pPr>
            <w:r w:rsidRPr="001920F8">
              <w:rPr>
                <w:rFonts w:cs="Arial"/>
              </w:rPr>
              <w:t xml:space="preserve"> 7010010201</w:t>
            </w:r>
            <w:r w:rsidR="008242DD" w:rsidRPr="001920F8">
              <w:rPr>
                <w:rFonts w:cs="Arial"/>
              </w:rPr>
              <w:t>99</w:t>
            </w:r>
          </w:p>
        </w:tc>
        <w:tc>
          <w:tcPr>
            <w:tcW w:w="5602" w:type="dxa"/>
            <w:tcBorders>
              <w:top w:val="nil"/>
              <w:left w:val="single" w:sz="4" w:space="0" w:color="auto"/>
              <w:bottom w:val="single" w:sz="4" w:space="0" w:color="auto"/>
              <w:right w:val="single" w:sz="4" w:space="0" w:color="auto"/>
            </w:tcBorders>
            <w:shd w:val="clear" w:color="auto" w:fill="auto"/>
            <w:noWrap/>
            <w:vAlign w:val="bottom"/>
          </w:tcPr>
          <w:p w14:paraId="0935B752" w14:textId="77777777" w:rsidR="00715C16" w:rsidRPr="001920F8" w:rsidRDefault="00715C16" w:rsidP="00715C16">
            <w:pPr>
              <w:spacing w:after="0" w:line="240" w:lineRule="auto"/>
              <w:rPr>
                <w:rFonts w:eastAsia="Times New Roman" w:cs="Arial"/>
                <w:lang w:val="es-CR" w:eastAsia="es-CR"/>
              </w:rPr>
            </w:pPr>
            <w:r w:rsidRPr="001920F8">
              <w:rPr>
                <w:rFonts w:cs="Arial"/>
              </w:rPr>
              <w:t>Otros</w:t>
            </w:r>
          </w:p>
        </w:tc>
      </w:tr>
      <w:tr w:rsidR="000C615D" w:rsidRPr="001920F8" w14:paraId="0935B757"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54"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55" w14:textId="77777777" w:rsidR="000C615D" w:rsidRPr="001920F8" w:rsidRDefault="000C615D" w:rsidP="000C615D">
            <w:pPr>
              <w:spacing w:after="0" w:line="240" w:lineRule="auto"/>
              <w:jc w:val="center"/>
              <w:rPr>
                <w:rFonts w:cs="Arial"/>
              </w:rPr>
            </w:pPr>
            <w:r w:rsidRPr="001920F8">
              <w:rPr>
                <w:rFonts w:cs="Arial"/>
              </w:rPr>
              <w:t>701016000000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56" w14:textId="77777777" w:rsidR="000C615D" w:rsidRPr="001920F8" w:rsidRDefault="000C615D" w:rsidP="000C615D">
            <w:pPr>
              <w:spacing w:after="0" w:line="240" w:lineRule="auto"/>
              <w:rPr>
                <w:rFonts w:cs="Arial"/>
              </w:rPr>
            </w:pPr>
            <w:r w:rsidRPr="001920F8">
              <w:rPr>
                <w:rFonts w:cs="Arial"/>
              </w:rPr>
              <w:t>Impuesto al Valor Agregado Soportado</w:t>
            </w:r>
          </w:p>
        </w:tc>
      </w:tr>
      <w:tr w:rsidR="000C615D" w:rsidRPr="001920F8" w14:paraId="0935B75B"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58"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59" w14:textId="77777777" w:rsidR="000C615D" w:rsidRPr="001920F8" w:rsidRDefault="000C615D" w:rsidP="000C615D">
            <w:pPr>
              <w:spacing w:after="0" w:line="240" w:lineRule="auto"/>
              <w:jc w:val="center"/>
              <w:rPr>
                <w:rFonts w:cs="Arial"/>
              </w:rPr>
            </w:pPr>
            <w:r w:rsidRPr="001920F8">
              <w:rPr>
                <w:rFonts w:cs="Arial"/>
              </w:rPr>
              <w:t>701016010000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5A" w14:textId="77777777" w:rsidR="000C615D" w:rsidRPr="001920F8" w:rsidRDefault="000C615D" w:rsidP="000C615D">
            <w:pPr>
              <w:spacing w:after="0" w:line="240" w:lineRule="auto"/>
              <w:rPr>
                <w:rFonts w:cs="Arial"/>
              </w:rPr>
            </w:pPr>
            <w:r w:rsidRPr="001920F8">
              <w:rPr>
                <w:rFonts w:cs="Arial"/>
              </w:rPr>
              <w:t>Impuesto al Valor Agregado Soportado – Colones</w:t>
            </w:r>
          </w:p>
        </w:tc>
      </w:tr>
      <w:tr w:rsidR="000C615D" w:rsidRPr="001920F8" w14:paraId="0935B75F"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5C"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5D" w14:textId="77777777" w:rsidR="000C615D" w:rsidRPr="001920F8" w:rsidRDefault="000C615D" w:rsidP="000C615D">
            <w:pPr>
              <w:spacing w:after="0" w:line="240" w:lineRule="auto"/>
              <w:jc w:val="center"/>
              <w:rPr>
                <w:rFonts w:cs="Arial"/>
              </w:rPr>
            </w:pPr>
            <w:r w:rsidRPr="001920F8">
              <w:rPr>
                <w:rFonts w:cs="Arial"/>
              </w:rPr>
              <w:t>701016020000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5E" w14:textId="77777777" w:rsidR="000C615D" w:rsidRPr="001920F8" w:rsidRDefault="000C615D" w:rsidP="000C615D">
            <w:pPr>
              <w:spacing w:after="0" w:line="240" w:lineRule="auto"/>
              <w:rPr>
                <w:rFonts w:cs="Arial"/>
              </w:rPr>
            </w:pPr>
            <w:r w:rsidRPr="001920F8">
              <w:rPr>
                <w:rFonts w:cs="Arial"/>
              </w:rPr>
              <w:t>Impuesto al Valor Agregado Soportado – Moneda Extranjera</w:t>
            </w:r>
          </w:p>
        </w:tc>
      </w:tr>
      <w:tr w:rsidR="001113FB" w:rsidRPr="001920F8" w14:paraId="0935B763"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60" w14:textId="77777777" w:rsidR="001113FB" w:rsidRPr="001920F8" w:rsidRDefault="001113FB" w:rsidP="001113FB">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61" w14:textId="77777777" w:rsidR="001113FB" w:rsidRPr="001920F8" w:rsidRDefault="001113FB" w:rsidP="001113FB">
            <w:pPr>
              <w:spacing w:after="0" w:line="240" w:lineRule="auto"/>
              <w:jc w:val="center"/>
              <w:rPr>
                <w:rFonts w:cs="Arial"/>
              </w:rPr>
            </w:pPr>
            <w:r w:rsidRPr="001920F8">
              <w:rPr>
                <w:rFonts w:cs="Arial"/>
              </w:rPr>
              <w:t>701017000000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62" w14:textId="77777777" w:rsidR="001113FB" w:rsidRPr="001920F8" w:rsidRDefault="001113FB" w:rsidP="001113FB">
            <w:pPr>
              <w:spacing w:after="0" w:line="240" w:lineRule="auto"/>
              <w:rPr>
                <w:rFonts w:cs="Arial"/>
              </w:rPr>
            </w:pPr>
            <w:r w:rsidRPr="001920F8">
              <w:rPr>
                <w:rFonts w:cs="Arial"/>
              </w:rPr>
              <w:t>Impuesto al Valor Agregado Deducible</w:t>
            </w:r>
          </w:p>
        </w:tc>
      </w:tr>
      <w:tr w:rsidR="001113FB" w:rsidRPr="001920F8" w14:paraId="0935B767"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64" w14:textId="77777777" w:rsidR="001113FB" w:rsidRPr="001920F8" w:rsidRDefault="001113FB" w:rsidP="001113FB">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65" w14:textId="77777777" w:rsidR="001113FB" w:rsidRPr="001920F8" w:rsidRDefault="001113FB" w:rsidP="001113FB">
            <w:pPr>
              <w:spacing w:after="0" w:line="240" w:lineRule="auto"/>
              <w:jc w:val="center"/>
              <w:rPr>
                <w:rFonts w:cs="Arial"/>
              </w:rPr>
            </w:pPr>
            <w:r w:rsidRPr="001920F8">
              <w:rPr>
                <w:rFonts w:cs="Arial"/>
              </w:rPr>
              <w:t>701017010000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66" w14:textId="77777777" w:rsidR="001113FB" w:rsidRPr="001920F8" w:rsidRDefault="001113FB" w:rsidP="001113FB">
            <w:pPr>
              <w:spacing w:after="0" w:line="240" w:lineRule="auto"/>
              <w:rPr>
                <w:rFonts w:cs="Arial"/>
              </w:rPr>
            </w:pPr>
            <w:r w:rsidRPr="001920F8">
              <w:rPr>
                <w:rFonts w:cs="Arial"/>
              </w:rPr>
              <w:t>Impuesto al Valor Agregado Deducible – Colones</w:t>
            </w:r>
          </w:p>
        </w:tc>
      </w:tr>
      <w:tr w:rsidR="001113FB" w:rsidRPr="001920F8" w14:paraId="0935B76B"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68" w14:textId="77777777" w:rsidR="001113FB" w:rsidRPr="001920F8" w:rsidRDefault="001113FB" w:rsidP="001113FB">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69" w14:textId="77777777" w:rsidR="001113FB" w:rsidRPr="001920F8" w:rsidRDefault="001113FB" w:rsidP="001113FB">
            <w:pPr>
              <w:spacing w:after="0" w:line="240" w:lineRule="auto"/>
              <w:jc w:val="center"/>
              <w:rPr>
                <w:rFonts w:cs="Arial"/>
              </w:rPr>
            </w:pPr>
            <w:r w:rsidRPr="001920F8">
              <w:rPr>
                <w:rFonts w:cs="Arial"/>
              </w:rPr>
              <w:t>701017020000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6A" w14:textId="77777777" w:rsidR="001113FB" w:rsidRPr="001920F8" w:rsidRDefault="001113FB" w:rsidP="001113FB">
            <w:pPr>
              <w:spacing w:after="0" w:line="240" w:lineRule="auto"/>
              <w:rPr>
                <w:rFonts w:cs="Arial"/>
              </w:rPr>
            </w:pPr>
            <w:r w:rsidRPr="001920F8">
              <w:rPr>
                <w:rFonts w:cs="Arial"/>
              </w:rPr>
              <w:t>Impuesto al Valor Agregado Deducible – Moneda Extranjera</w:t>
            </w:r>
          </w:p>
        </w:tc>
      </w:tr>
      <w:tr w:rsidR="00326D2E" w:rsidRPr="001920F8" w14:paraId="0935B76F"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6C" w14:textId="77777777" w:rsidR="00326D2E" w:rsidRPr="001920F8" w:rsidRDefault="00326D2E" w:rsidP="00326D2E">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6D" w14:textId="77777777" w:rsidR="00326D2E" w:rsidRPr="001920F8" w:rsidRDefault="00024260" w:rsidP="00326D2E">
            <w:pPr>
              <w:spacing w:after="0" w:line="240" w:lineRule="auto"/>
              <w:jc w:val="center"/>
              <w:rPr>
                <w:rFonts w:cs="Arial"/>
              </w:rPr>
            </w:pPr>
            <w:r w:rsidRPr="001920F8">
              <w:rPr>
                <w:rFonts w:cs="Arial"/>
              </w:rPr>
              <w:t>751015010505</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6E" w14:textId="77777777" w:rsidR="00326D2E" w:rsidRPr="001920F8" w:rsidRDefault="007F1A72" w:rsidP="00326D2E">
            <w:pPr>
              <w:spacing w:after="0" w:line="240" w:lineRule="auto"/>
              <w:rPr>
                <w:rFonts w:cs="Arial"/>
              </w:rPr>
            </w:pPr>
            <w:r w:rsidRPr="001920F8">
              <w:rPr>
                <w:rFonts w:cs="Arial"/>
              </w:rPr>
              <w:t>Impuesto al Valor Agregado Devengado – Colones</w:t>
            </w:r>
          </w:p>
        </w:tc>
      </w:tr>
      <w:tr w:rsidR="00326D2E" w:rsidRPr="001920F8" w14:paraId="0935B773"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70" w14:textId="77777777" w:rsidR="00326D2E" w:rsidRPr="001920F8" w:rsidRDefault="00326D2E" w:rsidP="00326D2E">
            <w:pPr>
              <w:spacing w:after="0" w:line="240" w:lineRule="auto"/>
              <w:rPr>
                <w:rFonts w:eastAsia="Times New Roman" w:cs="Arial"/>
                <w:lang w:val="es-CR" w:eastAsia="es-CR"/>
              </w:rPr>
            </w:pPr>
            <w:r w:rsidRPr="001920F8">
              <w:rPr>
                <w:rFonts w:eastAsia="Times New Roman" w:cs="Arial"/>
                <w:lang w:val="es-CR" w:eastAsia="es-CR"/>
              </w:rPr>
              <w:t>BG_FONDOS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71" w14:textId="77777777" w:rsidR="00326D2E" w:rsidRPr="001920F8" w:rsidRDefault="00024260" w:rsidP="00326D2E">
            <w:pPr>
              <w:spacing w:after="0" w:line="240" w:lineRule="auto"/>
              <w:jc w:val="center"/>
              <w:rPr>
                <w:rFonts w:cs="Arial"/>
              </w:rPr>
            </w:pPr>
            <w:r w:rsidRPr="001920F8">
              <w:rPr>
                <w:rFonts w:cs="Arial"/>
              </w:rPr>
              <w:t>751015010805</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72" w14:textId="77777777" w:rsidR="00326D2E" w:rsidRPr="001920F8" w:rsidRDefault="007F1A72" w:rsidP="00326D2E">
            <w:pPr>
              <w:spacing w:after="0" w:line="240" w:lineRule="auto"/>
              <w:rPr>
                <w:rFonts w:cs="Arial"/>
              </w:rPr>
            </w:pPr>
            <w:r w:rsidRPr="001920F8">
              <w:rPr>
                <w:rFonts w:cs="Arial"/>
              </w:rPr>
              <w:t>Impuesto al Valor Agregado Devengado– Moneda Extranjera</w:t>
            </w:r>
          </w:p>
        </w:tc>
      </w:tr>
      <w:tr w:rsidR="000C615D" w:rsidRPr="001920F8" w14:paraId="0935B777"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74"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RA_FONDOS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75" w14:textId="77777777" w:rsidR="000C615D" w:rsidRPr="001920F8" w:rsidRDefault="000C615D" w:rsidP="000C615D">
            <w:pPr>
              <w:spacing w:after="0" w:line="240" w:lineRule="auto"/>
              <w:jc w:val="center"/>
              <w:rPr>
                <w:rFonts w:cs="Arial"/>
              </w:rPr>
            </w:pPr>
            <w:r w:rsidRPr="001920F8">
              <w:rPr>
                <w:rFonts w:cs="Arial"/>
              </w:rPr>
              <w:t>852043000000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76" w14:textId="77777777" w:rsidR="000C615D" w:rsidRPr="001920F8" w:rsidRDefault="000C615D" w:rsidP="000C615D">
            <w:pPr>
              <w:spacing w:after="0" w:line="240" w:lineRule="auto"/>
              <w:rPr>
                <w:rFonts w:cs="Arial"/>
              </w:rPr>
            </w:pPr>
            <w:r w:rsidRPr="001920F8">
              <w:rPr>
                <w:rFonts w:cs="Arial"/>
              </w:rPr>
              <w:t>Gastos por impuesto al valor agregado</w:t>
            </w:r>
          </w:p>
        </w:tc>
      </w:tr>
      <w:tr w:rsidR="000C615D" w:rsidRPr="001920F8" w14:paraId="0935B77B"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78"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ER_FONDOS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79" w14:textId="77777777" w:rsidR="000C615D" w:rsidRPr="001920F8" w:rsidRDefault="000C615D" w:rsidP="000C615D">
            <w:pPr>
              <w:spacing w:after="0" w:line="240" w:lineRule="auto"/>
              <w:jc w:val="center"/>
              <w:rPr>
                <w:rFonts w:cs="Arial"/>
              </w:rPr>
            </w:pPr>
            <w:r w:rsidRPr="001920F8">
              <w:rPr>
                <w:rFonts w:cs="Arial"/>
              </w:rPr>
              <w:t>851043000000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7A" w14:textId="77777777" w:rsidR="000C615D" w:rsidRPr="001920F8" w:rsidRDefault="000C615D" w:rsidP="000C615D">
            <w:pPr>
              <w:spacing w:after="0" w:line="240" w:lineRule="auto"/>
              <w:rPr>
                <w:rFonts w:cs="Arial"/>
              </w:rPr>
            </w:pPr>
            <w:r w:rsidRPr="001920F8">
              <w:rPr>
                <w:rFonts w:cs="Arial"/>
              </w:rPr>
              <w:t>Gastos por impuesto al valor agregado</w:t>
            </w:r>
          </w:p>
        </w:tc>
      </w:tr>
      <w:tr w:rsidR="000C615D" w:rsidRPr="001920F8" w14:paraId="0935B77F"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7C" w14:textId="77777777" w:rsidR="000C615D" w:rsidRPr="001920F8" w:rsidRDefault="000C615D" w:rsidP="000C615D">
            <w:pPr>
              <w:spacing w:after="0" w:line="240" w:lineRule="auto"/>
              <w:rPr>
                <w:rFonts w:eastAsia="Times New Roman" w:cs="Arial"/>
                <w:lang w:val="es-CR" w:eastAsia="es-CR"/>
              </w:rPr>
            </w:pP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7D" w14:textId="77777777" w:rsidR="000C615D" w:rsidRPr="001920F8" w:rsidRDefault="000C615D" w:rsidP="000C615D">
            <w:pPr>
              <w:spacing w:after="0" w:line="240" w:lineRule="auto"/>
              <w:jc w:val="center"/>
              <w:rPr>
                <w:rFonts w:cs="Arial"/>
              </w:rPr>
            </w:pP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7E" w14:textId="77777777" w:rsidR="000C615D" w:rsidRPr="001920F8" w:rsidRDefault="000C615D" w:rsidP="000C615D">
            <w:pPr>
              <w:spacing w:after="0" w:line="240" w:lineRule="auto"/>
              <w:rPr>
                <w:rFonts w:cs="Arial"/>
              </w:rPr>
            </w:pPr>
          </w:p>
        </w:tc>
      </w:tr>
      <w:tr w:rsidR="000C615D" w:rsidRPr="001920F8" w14:paraId="0935B783"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80"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RI_FONDOS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81" w14:textId="77777777" w:rsidR="000C615D" w:rsidRPr="001920F8" w:rsidRDefault="000C615D" w:rsidP="000C615D">
            <w:pPr>
              <w:spacing w:after="0" w:line="240" w:lineRule="auto"/>
              <w:jc w:val="center"/>
              <w:rPr>
                <w:rFonts w:cs="Arial"/>
              </w:rPr>
            </w:pPr>
            <w:r w:rsidRPr="001920F8">
              <w:rPr>
                <w:rFonts w:cs="Arial"/>
              </w:rPr>
              <w:t>800000000000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82" w14:textId="77777777" w:rsidR="000C615D" w:rsidRPr="001920F8" w:rsidRDefault="000C615D" w:rsidP="000C615D">
            <w:pPr>
              <w:spacing w:after="0" w:line="240" w:lineRule="auto"/>
              <w:rPr>
                <w:rFonts w:cs="Arial"/>
              </w:rPr>
            </w:pPr>
            <w:r w:rsidRPr="001920F8">
              <w:rPr>
                <w:rFonts w:cs="Arial"/>
              </w:rPr>
              <w:t>Proyección de reembolsos fondos abiertos (en miles)</w:t>
            </w:r>
          </w:p>
        </w:tc>
      </w:tr>
      <w:tr w:rsidR="000C615D" w:rsidRPr="001920F8" w14:paraId="0935B787"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84"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RI_FONDOS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85" w14:textId="77777777" w:rsidR="000C615D" w:rsidRPr="001920F8" w:rsidRDefault="000C615D" w:rsidP="000C615D">
            <w:pPr>
              <w:spacing w:after="0" w:line="240" w:lineRule="auto"/>
              <w:jc w:val="center"/>
              <w:rPr>
                <w:rFonts w:cs="Arial"/>
              </w:rPr>
            </w:pPr>
            <w:r w:rsidRPr="001920F8">
              <w:rPr>
                <w:rFonts w:cs="Arial"/>
              </w:rPr>
              <w:t>800500000000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86" w14:textId="77777777" w:rsidR="000C615D" w:rsidRPr="001920F8" w:rsidRDefault="000C615D" w:rsidP="000C615D">
            <w:pPr>
              <w:spacing w:after="0" w:line="240" w:lineRule="auto"/>
              <w:rPr>
                <w:rFonts w:cs="Arial"/>
              </w:rPr>
            </w:pPr>
            <w:r w:rsidRPr="001920F8">
              <w:rPr>
                <w:rFonts w:cs="Arial"/>
              </w:rPr>
              <w:t>1 día hábil</w:t>
            </w:r>
          </w:p>
        </w:tc>
      </w:tr>
      <w:tr w:rsidR="000C615D" w:rsidRPr="001920F8" w14:paraId="0935B78B"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88"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RI_FONDOS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89" w14:textId="77777777" w:rsidR="000C615D" w:rsidRPr="001920F8" w:rsidRDefault="000C615D" w:rsidP="000C615D">
            <w:pPr>
              <w:spacing w:after="0" w:line="240" w:lineRule="auto"/>
              <w:jc w:val="center"/>
              <w:rPr>
                <w:rFonts w:cs="Arial"/>
              </w:rPr>
            </w:pPr>
            <w:r w:rsidRPr="001920F8">
              <w:rPr>
                <w:rFonts w:cs="Arial"/>
              </w:rPr>
              <w:t>801000000000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8A" w14:textId="77777777" w:rsidR="000C615D" w:rsidRPr="001920F8" w:rsidRDefault="000C615D" w:rsidP="000C615D">
            <w:pPr>
              <w:spacing w:after="0" w:line="240" w:lineRule="auto"/>
              <w:rPr>
                <w:rFonts w:cs="Arial"/>
              </w:rPr>
            </w:pPr>
            <w:r w:rsidRPr="001920F8">
              <w:rPr>
                <w:rFonts w:cs="Arial"/>
              </w:rPr>
              <w:t xml:space="preserve">2-5 días hábiles (una semana) </w:t>
            </w:r>
          </w:p>
        </w:tc>
      </w:tr>
      <w:tr w:rsidR="000C615D" w:rsidRPr="001920F8" w14:paraId="0935B78F"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8C"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RI_FONDOS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8D" w14:textId="77777777" w:rsidR="000C615D" w:rsidRPr="001920F8" w:rsidRDefault="000C615D" w:rsidP="000C615D">
            <w:pPr>
              <w:spacing w:after="0" w:line="240" w:lineRule="auto"/>
              <w:jc w:val="center"/>
              <w:rPr>
                <w:rFonts w:cs="Arial"/>
              </w:rPr>
            </w:pPr>
            <w:r w:rsidRPr="001920F8">
              <w:rPr>
                <w:rFonts w:cs="Arial"/>
              </w:rPr>
              <w:t>801500000000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8E" w14:textId="77777777" w:rsidR="000C615D" w:rsidRPr="001920F8" w:rsidRDefault="000C615D" w:rsidP="000C615D">
            <w:pPr>
              <w:spacing w:after="0" w:line="240" w:lineRule="auto"/>
              <w:rPr>
                <w:rFonts w:cs="Arial"/>
              </w:rPr>
            </w:pPr>
            <w:r w:rsidRPr="001920F8">
              <w:rPr>
                <w:rFonts w:cs="Arial"/>
              </w:rPr>
              <w:t>6-10 días hábiles (dos semanas)</w:t>
            </w:r>
          </w:p>
        </w:tc>
      </w:tr>
      <w:tr w:rsidR="000C615D" w:rsidRPr="001920F8" w14:paraId="0935B793"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90"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RI_FONDOS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91" w14:textId="77777777" w:rsidR="000C615D" w:rsidRPr="001920F8" w:rsidRDefault="000C615D" w:rsidP="000C615D">
            <w:pPr>
              <w:spacing w:after="0" w:line="240" w:lineRule="auto"/>
              <w:jc w:val="center"/>
              <w:rPr>
                <w:rFonts w:cs="Arial"/>
              </w:rPr>
            </w:pPr>
            <w:r w:rsidRPr="001920F8">
              <w:rPr>
                <w:rFonts w:cs="Arial"/>
              </w:rPr>
              <w:t>802000000000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92" w14:textId="77777777" w:rsidR="000C615D" w:rsidRPr="001920F8" w:rsidRDefault="000C615D" w:rsidP="000C615D">
            <w:pPr>
              <w:spacing w:after="0" w:line="240" w:lineRule="auto"/>
              <w:rPr>
                <w:rFonts w:cs="Arial"/>
              </w:rPr>
            </w:pPr>
            <w:r w:rsidRPr="001920F8">
              <w:rPr>
                <w:rFonts w:cs="Arial"/>
              </w:rPr>
              <w:t>11-15 días hábiles (tres semanas)</w:t>
            </w:r>
          </w:p>
        </w:tc>
      </w:tr>
      <w:tr w:rsidR="000C615D" w:rsidRPr="001920F8" w14:paraId="0935B797"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94"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RI_FONDOS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95" w14:textId="77777777" w:rsidR="000C615D" w:rsidRPr="001920F8" w:rsidRDefault="000C615D" w:rsidP="000C615D">
            <w:pPr>
              <w:spacing w:after="0" w:line="240" w:lineRule="auto"/>
              <w:jc w:val="center"/>
              <w:rPr>
                <w:rFonts w:cs="Arial"/>
              </w:rPr>
            </w:pPr>
            <w:r w:rsidRPr="001920F8">
              <w:rPr>
                <w:rFonts w:cs="Arial"/>
              </w:rPr>
              <w:t>802500000000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96" w14:textId="77777777" w:rsidR="000C615D" w:rsidRPr="001920F8" w:rsidRDefault="000C615D" w:rsidP="000C615D">
            <w:pPr>
              <w:spacing w:after="0" w:line="240" w:lineRule="auto"/>
              <w:rPr>
                <w:rFonts w:cs="Arial"/>
              </w:rPr>
            </w:pPr>
            <w:r w:rsidRPr="001920F8">
              <w:rPr>
                <w:rFonts w:cs="Arial"/>
              </w:rPr>
              <w:t>16-21 días hábiles (cuatro semanas)</w:t>
            </w:r>
          </w:p>
        </w:tc>
      </w:tr>
      <w:tr w:rsidR="000C615D" w:rsidRPr="001920F8" w14:paraId="0935B79B" w14:textId="77777777" w:rsidTr="00627D4F">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935B798"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RI_FONDOS</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99" w14:textId="77777777" w:rsidR="000C615D" w:rsidRPr="001920F8" w:rsidRDefault="000C615D" w:rsidP="000C615D">
            <w:pPr>
              <w:spacing w:after="0" w:line="240" w:lineRule="auto"/>
              <w:jc w:val="center"/>
              <w:rPr>
                <w:rFonts w:cs="Arial"/>
              </w:rPr>
            </w:pPr>
            <w:r w:rsidRPr="001920F8">
              <w:rPr>
                <w:rFonts w:cs="Arial"/>
              </w:rPr>
              <w:t>803500000000</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9A" w14:textId="77777777" w:rsidR="000C615D" w:rsidRPr="001920F8" w:rsidRDefault="000C615D" w:rsidP="000C615D">
            <w:pPr>
              <w:spacing w:after="0" w:line="240" w:lineRule="auto"/>
              <w:rPr>
                <w:rFonts w:cs="Arial"/>
              </w:rPr>
            </w:pPr>
            <w:r w:rsidRPr="001920F8">
              <w:rPr>
                <w:rFonts w:cs="Arial"/>
              </w:rPr>
              <w:t>Más 21 días hábiles</w:t>
            </w:r>
          </w:p>
        </w:tc>
      </w:tr>
    </w:tbl>
    <w:p w14:paraId="0935B79C" w14:textId="77777777" w:rsidR="00965136" w:rsidRPr="001920F8" w:rsidRDefault="00965136" w:rsidP="003724A7">
      <w:pPr>
        <w:pStyle w:val="Numeracin"/>
        <w:numPr>
          <w:ilvl w:val="0"/>
          <w:numId w:val="0"/>
        </w:numPr>
        <w:spacing w:before="0"/>
        <w:ind w:right="-193"/>
        <w:rPr>
          <w:rFonts w:ascii="Arial" w:eastAsia="Arial Unicode MS" w:hAnsi="Arial" w:cs="Arial"/>
          <w:b/>
          <w:szCs w:val="22"/>
          <w:highlight w:val="green"/>
          <w:lang w:val="es-CR"/>
        </w:rPr>
      </w:pPr>
    </w:p>
    <w:p w14:paraId="0935B79D" w14:textId="77777777" w:rsidR="00965136" w:rsidRPr="001920F8" w:rsidRDefault="00965136" w:rsidP="00036A81">
      <w:pPr>
        <w:pStyle w:val="Numeracin"/>
        <w:numPr>
          <w:ilvl w:val="0"/>
          <w:numId w:val="4"/>
        </w:numPr>
        <w:spacing w:before="0"/>
        <w:ind w:right="-193"/>
        <w:rPr>
          <w:rFonts w:ascii="Arial" w:hAnsi="Arial" w:cs="Arial"/>
          <w:szCs w:val="22"/>
        </w:rPr>
      </w:pPr>
      <w:r w:rsidRPr="001920F8">
        <w:rPr>
          <w:rFonts w:ascii="Arial" w:hAnsi="Arial" w:cs="Arial"/>
          <w:szCs w:val="22"/>
        </w:rPr>
        <w:t xml:space="preserve">Se eliminan las siguientes cuentas </w:t>
      </w:r>
      <w:r w:rsidR="00160B2B" w:rsidRPr="001920F8">
        <w:rPr>
          <w:rFonts w:ascii="Arial" w:hAnsi="Arial" w:cs="Arial"/>
          <w:szCs w:val="22"/>
        </w:rPr>
        <w:t>de</w:t>
      </w:r>
      <w:r w:rsidRPr="001920F8">
        <w:rPr>
          <w:rFonts w:ascii="Arial" w:hAnsi="Arial" w:cs="Arial"/>
          <w:szCs w:val="22"/>
        </w:rPr>
        <w:t xml:space="preserve"> los Estados Financieros de Fondos de Inversión (Anexo  15), de acuerdo con el siguiente detalle:</w:t>
      </w:r>
    </w:p>
    <w:p w14:paraId="0935B79E" w14:textId="77777777" w:rsidR="00965136" w:rsidRPr="001920F8" w:rsidRDefault="00965136" w:rsidP="003724A7">
      <w:pPr>
        <w:pStyle w:val="Numeracin"/>
        <w:numPr>
          <w:ilvl w:val="0"/>
          <w:numId w:val="0"/>
        </w:numPr>
        <w:spacing w:before="0"/>
        <w:ind w:right="-193"/>
        <w:rPr>
          <w:rFonts w:ascii="Arial" w:eastAsia="Arial Unicode MS" w:hAnsi="Arial" w:cs="Arial"/>
          <w:b/>
          <w:szCs w:val="22"/>
        </w:rPr>
      </w:pPr>
    </w:p>
    <w:tbl>
      <w:tblPr>
        <w:tblW w:w="9148" w:type="dxa"/>
        <w:tblInd w:w="-364" w:type="dxa"/>
        <w:tblCellMar>
          <w:left w:w="70" w:type="dxa"/>
          <w:right w:w="70" w:type="dxa"/>
        </w:tblCellMar>
        <w:tblLook w:val="04A0" w:firstRow="1" w:lastRow="0" w:firstColumn="1" w:lastColumn="0" w:noHBand="0" w:noVBand="1"/>
      </w:tblPr>
      <w:tblGrid>
        <w:gridCol w:w="1522"/>
        <w:gridCol w:w="1660"/>
        <w:gridCol w:w="5966"/>
      </w:tblGrid>
      <w:tr w:rsidR="00965136" w:rsidRPr="001920F8" w14:paraId="0935B7A2" w14:textId="77777777" w:rsidTr="00627D4F">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B79F" w14:textId="77777777" w:rsidR="00965136" w:rsidRPr="001920F8" w:rsidRDefault="00965136" w:rsidP="00965136">
            <w:pPr>
              <w:spacing w:after="0" w:line="240" w:lineRule="auto"/>
              <w:jc w:val="center"/>
              <w:rPr>
                <w:rFonts w:eastAsia="Times New Roman" w:cs="Arial"/>
                <w:b/>
                <w:lang w:val="es-CR" w:eastAsia="es-CR"/>
              </w:rPr>
            </w:pPr>
            <w:r w:rsidRPr="001920F8">
              <w:rPr>
                <w:rFonts w:eastAsia="Times New Roman" w:cs="Arial"/>
                <w:b/>
                <w:lang w:val="es-CR" w:eastAsia="es-CR"/>
              </w:rPr>
              <w:t>CATÁLOGO</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0935B7A0" w14:textId="77777777" w:rsidR="00965136" w:rsidRPr="001920F8" w:rsidRDefault="00965136" w:rsidP="00965136">
            <w:pPr>
              <w:spacing w:after="0" w:line="240" w:lineRule="auto"/>
              <w:jc w:val="center"/>
              <w:rPr>
                <w:rFonts w:eastAsia="Times New Roman" w:cs="Arial"/>
                <w:b/>
                <w:lang w:val="es-CR" w:eastAsia="es-CR"/>
              </w:rPr>
            </w:pPr>
            <w:r w:rsidRPr="001920F8">
              <w:rPr>
                <w:rFonts w:eastAsia="Times New Roman" w:cs="Arial"/>
                <w:b/>
                <w:lang w:val="es-CR" w:eastAsia="es-CR"/>
              </w:rPr>
              <w:t>CÓDIGO</w:t>
            </w:r>
          </w:p>
        </w:tc>
        <w:tc>
          <w:tcPr>
            <w:tcW w:w="5966" w:type="dxa"/>
            <w:tcBorders>
              <w:top w:val="single" w:sz="4" w:space="0" w:color="auto"/>
              <w:left w:val="nil"/>
              <w:bottom w:val="single" w:sz="4" w:space="0" w:color="auto"/>
              <w:right w:val="single" w:sz="4" w:space="0" w:color="auto"/>
            </w:tcBorders>
            <w:shd w:val="clear" w:color="auto" w:fill="auto"/>
            <w:noWrap/>
            <w:vAlign w:val="center"/>
          </w:tcPr>
          <w:p w14:paraId="0935B7A1" w14:textId="77777777" w:rsidR="00965136" w:rsidRPr="001920F8" w:rsidRDefault="00965136" w:rsidP="00965136">
            <w:pPr>
              <w:spacing w:after="0" w:line="240" w:lineRule="auto"/>
              <w:jc w:val="center"/>
              <w:rPr>
                <w:rFonts w:eastAsia="Times New Roman" w:cs="Arial"/>
                <w:b/>
                <w:lang w:val="es-CR" w:eastAsia="es-CR"/>
              </w:rPr>
            </w:pPr>
            <w:r w:rsidRPr="001920F8">
              <w:rPr>
                <w:rFonts w:eastAsia="Times New Roman" w:cs="Arial"/>
                <w:b/>
                <w:lang w:val="es-CR" w:eastAsia="es-CR"/>
              </w:rPr>
              <w:t>NOMBRE</w:t>
            </w:r>
          </w:p>
        </w:tc>
      </w:tr>
      <w:tr w:rsidR="00160B2B" w:rsidRPr="001920F8" w14:paraId="0935B7A6" w14:textId="77777777" w:rsidTr="00627D4F">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hideMark/>
          </w:tcPr>
          <w:p w14:paraId="0935B7A3" w14:textId="77777777" w:rsidR="00160B2B" w:rsidRPr="001920F8" w:rsidRDefault="00160B2B" w:rsidP="00160B2B">
            <w:pPr>
              <w:spacing w:after="0" w:line="240" w:lineRule="auto"/>
              <w:rPr>
                <w:rFonts w:eastAsia="Times New Roman" w:cs="Arial"/>
                <w:lang w:val="es-CR" w:eastAsia="es-CR"/>
              </w:rPr>
            </w:pPr>
            <w:r w:rsidRPr="001920F8">
              <w:rPr>
                <w:rFonts w:eastAsia="Times New Roman" w:cs="Arial"/>
                <w:lang w:val="es-CR" w:eastAsia="es-CR"/>
              </w:rPr>
              <w:t>BG_FONDOS</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A4" w14:textId="77777777" w:rsidR="00160B2B" w:rsidRPr="001920F8" w:rsidRDefault="00160B2B" w:rsidP="00160B2B">
            <w:pPr>
              <w:spacing w:after="0" w:line="240" w:lineRule="auto"/>
              <w:rPr>
                <w:rFonts w:eastAsia="Times New Roman" w:cs="Arial"/>
                <w:lang w:val="es-CR" w:eastAsia="es-CR"/>
              </w:rPr>
            </w:pPr>
            <w:r w:rsidRPr="001920F8">
              <w:rPr>
                <w:rFonts w:cs="Arial"/>
              </w:rPr>
              <w:t xml:space="preserve">701001010101   </w:t>
            </w:r>
          </w:p>
        </w:tc>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A5" w14:textId="77777777" w:rsidR="00160B2B" w:rsidRPr="001920F8" w:rsidRDefault="00160B2B" w:rsidP="00160B2B">
            <w:pPr>
              <w:spacing w:after="0" w:line="240" w:lineRule="auto"/>
              <w:rPr>
                <w:rFonts w:eastAsia="Times New Roman" w:cs="Arial"/>
                <w:lang w:val="es-CR" w:eastAsia="es-CR"/>
              </w:rPr>
            </w:pPr>
            <w:r w:rsidRPr="001920F8">
              <w:rPr>
                <w:rFonts w:cs="Arial"/>
              </w:rPr>
              <w:t>Cuentas Corrientes en Entidades Financieras Públicas del país</w:t>
            </w:r>
          </w:p>
        </w:tc>
      </w:tr>
      <w:tr w:rsidR="00160B2B" w:rsidRPr="001920F8" w14:paraId="0935B7AA" w14:textId="77777777" w:rsidTr="00627D4F">
        <w:trPr>
          <w:trHeight w:val="255"/>
        </w:trPr>
        <w:tc>
          <w:tcPr>
            <w:tcW w:w="1522" w:type="dxa"/>
            <w:tcBorders>
              <w:top w:val="nil"/>
              <w:left w:val="single" w:sz="4" w:space="0" w:color="auto"/>
              <w:bottom w:val="single" w:sz="4" w:space="0" w:color="auto"/>
              <w:right w:val="single" w:sz="4" w:space="0" w:color="auto"/>
            </w:tcBorders>
            <w:shd w:val="clear" w:color="auto" w:fill="auto"/>
            <w:noWrap/>
            <w:hideMark/>
          </w:tcPr>
          <w:p w14:paraId="0935B7A7" w14:textId="77777777" w:rsidR="00160B2B" w:rsidRPr="001920F8" w:rsidRDefault="00160B2B" w:rsidP="00160B2B">
            <w:pPr>
              <w:spacing w:after="0" w:line="240" w:lineRule="auto"/>
              <w:rPr>
                <w:rFonts w:eastAsia="Times New Roman" w:cs="Arial"/>
                <w:lang w:val="es-CR" w:eastAsia="es-CR"/>
              </w:rPr>
            </w:pPr>
            <w:r w:rsidRPr="001920F8">
              <w:rPr>
                <w:rFonts w:eastAsia="Times New Roman" w:cs="Arial"/>
                <w:lang w:val="es-CR" w:eastAsia="es-CR"/>
              </w:rPr>
              <w:t>BG_FONDOS</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0935B7A8" w14:textId="77777777" w:rsidR="00160B2B" w:rsidRPr="001920F8" w:rsidRDefault="00160B2B" w:rsidP="00160B2B">
            <w:pPr>
              <w:spacing w:after="0" w:line="240" w:lineRule="auto"/>
              <w:rPr>
                <w:rFonts w:eastAsia="Times New Roman" w:cs="Arial"/>
                <w:lang w:val="es-CR" w:eastAsia="es-CR"/>
              </w:rPr>
            </w:pPr>
            <w:r w:rsidRPr="001920F8">
              <w:rPr>
                <w:rFonts w:cs="Arial"/>
              </w:rPr>
              <w:t xml:space="preserve">701001010102   </w:t>
            </w:r>
          </w:p>
        </w:tc>
        <w:tc>
          <w:tcPr>
            <w:tcW w:w="5966" w:type="dxa"/>
            <w:tcBorders>
              <w:top w:val="nil"/>
              <w:left w:val="single" w:sz="4" w:space="0" w:color="auto"/>
              <w:bottom w:val="single" w:sz="4" w:space="0" w:color="auto"/>
              <w:right w:val="single" w:sz="4" w:space="0" w:color="auto"/>
            </w:tcBorders>
            <w:shd w:val="clear" w:color="auto" w:fill="auto"/>
            <w:noWrap/>
            <w:vAlign w:val="bottom"/>
          </w:tcPr>
          <w:p w14:paraId="0935B7A9" w14:textId="77777777" w:rsidR="00160B2B" w:rsidRPr="001920F8" w:rsidRDefault="00160B2B" w:rsidP="00160B2B">
            <w:pPr>
              <w:spacing w:after="0" w:line="240" w:lineRule="auto"/>
              <w:rPr>
                <w:rFonts w:eastAsia="Times New Roman" w:cs="Arial"/>
                <w:lang w:val="es-CR" w:eastAsia="es-CR"/>
              </w:rPr>
            </w:pPr>
            <w:r w:rsidRPr="001920F8">
              <w:rPr>
                <w:rFonts w:cs="Arial"/>
              </w:rPr>
              <w:t>Cuentas Corrientes en Entidades Financieras Privadas del país</w:t>
            </w:r>
          </w:p>
        </w:tc>
      </w:tr>
      <w:tr w:rsidR="00160B2B" w:rsidRPr="001920F8" w14:paraId="0935B7AE" w14:textId="77777777" w:rsidTr="00627D4F">
        <w:trPr>
          <w:trHeight w:val="255"/>
        </w:trPr>
        <w:tc>
          <w:tcPr>
            <w:tcW w:w="1522" w:type="dxa"/>
            <w:tcBorders>
              <w:top w:val="nil"/>
              <w:left w:val="single" w:sz="4" w:space="0" w:color="auto"/>
              <w:bottom w:val="single" w:sz="4" w:space="0" w:color="auto"/>
              <w:right w:val="single" w:sz="4" w:space="0" w:color="auto"/>
            </w:tcBorders>
            <w:shd w:val="clear" w:color="auto" w:fill="auto"/>
            <w:noWrap/>
            <w:hideMark/>
          </w:tcPr>
          <w:p w14:paraId="0935B7AB" w14:textId="77777777" w:rsidR="00160B2B" w:rsidRPr="001920F8" w:rsidRDefault="00160B2B" w:rsidP="00160B2B">
            <w:pPr>
              <w:spacing w:after="0" w:line="240" w:lineRule="auto"/>
              <w:rPr>
                <w:rFonts w:eastAsia="Times New Roman" w:cs="Arial"/>
                <w:lang w:val="es-CR" w:eastAsia="es-CR"/>
              </w:rPr>
            </w:pPr>
            <w:r w:rsidRPr="001920F8">
              <w:rPr>
                <w:rFonts w:eastAsia="Times New Roman" w:cs="Arial"/>
                <w:lang w:val="es-CR" w:eastAsia="es-CR"/>
              </w:rPr>
              <w:t>BG_FONDOS</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AC" w14:textId="77777777" w:rsidR="00160B2B" w:rsidRPr="001920F8" w:rsidRDefault="00160B2B" w:rsidP="00160B2B">
            <w:pPr>
              <w:spacing w:after="0" w:line="240" w:lineRule="auto"/>
              <w:rPr>
                <w:rFonts w:eastAsia="Times New Roman" w:cs="Arial"/>
                <w:lang w:val="es-CR" w:eastAsia="es-CR"/>
              </w:rPr>
            </w:pPr>
            <w:r w:rsidRPr="001920F8">
              <w:rPr>
                <w:rFonts w:cs="Arial"/>
              </w:rPr>
              <w:t xml:space="preserve">701001020101   </w:t>
            </w:r>
          </w:p>
        </w:tc>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AD" w14:textId="77777777" w:rsidR="00160B2B" w:rsidRPr="001920F8" w:rsidRDefault="00160B2B" w:rsidP="00160B2B">
            <w:pPr>
              <w:spacing w:after="0" w:line="240" w:lineRule="auto"/>
              <w:rPr>
                <w:rFonts w:eastAsia="Times New Roman" w:cs="Arial"/>
                <w:lang w:val="es-CR" w:eastAsia="es-CR"/>
              </w:rPr>
            </w:pPr>
            <w:r w:rsidRPr="001920F8">
              <w:rPr>
                <w:rFonts w:cs="Arial"/>
              </w:rPr>
              <w:t>Cuentas Corrientes en Entidades Financieras Públicas del país</w:t>
            </w:r>
          </w:p>
        </w:tc>
      </w:tr>
      <w:tr w:rsidR="00160B2B" w:rsidRPr="001920F8" w14:paraId="0935B7B2" w14:textId="77777777" w:rsidTr="00627D4F">
        <w:trPr>
          <w:trHeight w:val="255"/>
        </w:trPr>
        <w:tc>
          <w:tcPr>
            <w:tcW w:w="1522" w:type="dxa"/>
            <w:tcBorders>
              <w:top w:val="nil"/>
              <w:left w:val="single" w:sz="4" w:space="0" w:color="auto"/>
              <w:bottom w:val="single" w:sz="4" w:space="0" w:color="auto"/>
              <w:right w:val="single" w:sz="4" w:space="0" w:color="auto"/>
            </w:tcBorders>
            <w:shd w:val="clear" w:color="auto" w:fill="auto"/>
            <w:noWrap/>
            <w:hideMark/>
          </w:tcPr>
          <w:p w14:paraId="0935B7AF" w14:textId="77777777" w:rsidR="00160B2B" w:rsidRPr="001920F8" w:rsidRDefault="00160B2B" w:rsidP="00160B2B">
            <w:pPr>
              <w:spacing w:after="0" w:line="240" w:lineRule="auto"/>
              <w:rPr>
                <w:rFonts w:eastAsia="Times New Roman" w:cs="Arial"/>
                <w:lang w:val="es-CR" w:eastAsia="es-CR"/>
              </w:rPr>
            </w:pPr>
            <w:r w:rsidRPr="001920F8">
              <w:rPr>
                <w:rFonts w:eastAsia="Times New Roman" w:cs="Arial"/>
                <w:lang w:val="es-CR" w:eastAsia="es-CR"/>
              </w:rPr>
              <w:t>BG_FONDOS</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0935B7B0" w14:textId="77777777" w:rsidR="00160B2B" w:rsidRPr="001920F8" w:rsidRDefault="00160B2B" w:rsidP="00160B2B">
            <w:pPr>
              <w:spacing w:after="0" w:line="240" w:lineRule="auto"/>
              <w:rPr>
                <w:rFonts w:eastAsia="Times New Roman" w:cs="Arial"/>
                <w:lang w:val="es-CR" w:eastAsia="es-CR"/>
              </w:rPr>
            </w:pPr>
            <w:r w:rsidRPr="001920F8">
              <w:rPr>
                <w:rFonts w:cs="Arial"/>
              </w:rPr>
              <w:t xml:space="preserve">701001020102   </w:t>
            </w:r>
          </w:p>
        </w:tc>
        <w:tc>
          <w:tcPr>
            <w:tcW w:w="5966" w:type="dxa"/>
            <w:tcBorders>
              <w:top w:val="nil"/>
              <w:left w:val="single" w:sz="4" w:space="0" w:color="auto"/>
              <w:bottom w:val="single" w:sz="4" w:space="0" w:color="auto"/>
              <w:right w:val="single" w:sz="4" w:space="0" w:color="auto"/>
            </w:tcBorders>
            <w:shd w:val="clear" w:color="auto" w:fill="auto"/>
            <w:noWrap/>
            <w:vAlign w:val="bottom"/>
          </w:tcPr>
          <w:p w14:paraId="0935B7B1" w14:textId="77777777" w:rsidR="00160B2B" w:rsidRPr="001920F8" w:rsidRDefault="00160B2B" w:rsidP="00160B2B">
            <w:pPr>
              <w:spacing w:after="0" w:line="240" w:lineRule="auto"/>
              <w:rPr>
                <w:rFonts w:eastAsia="Times New Roman" w:cs="Arial"/>
                <w:lang w:val="es-CR" w:eastAsia="es-CR"/>
              </w:rPr>
            </w:pPr>
            <w:r w:rsidRPr="001920F8">
              <w:rPr>
                <w:rFonts w:cs="Arial"/>
              </w:rPr>
              <w:t>Cuentas Corrientes en Entidades Financieras Privadas del país</w:t>
            </w:r>
          </w:p>
        </w:tc>
      </w:tr>
      <w:tr w:rsidR="000701EB" w:rsidRPr="001920F8" w14:paraId="0935B7B6" w14:textId="77777777" w:rsidTr="00627D4F">
        <w:trPr>
          <w:trHeight w:val="255"/>
        </w:trPr>
        <w:tc>
          <w:tcPr>
            <w:tcW w:w="1522" w:type="dxa"/>
            <w:tcBorders>
              <w:top w:val="single" w:sz="4" w:space="0" w:color="auto"/>
              <w:left w:val="single" w:sz="4" w:space="0" w:color="auto"/>
              <w:bottom w:val="single" w:sz="4" w:space="0" w:color="auto"/>
              <w:right w:val="single" w:sz="4" w:space="0" w:color="auto"/>
            </w:tcBorders>
            <w:shd w:val="clear" w:color="auto" w:fill="auto"/>
            <w:noWrap/>
          </w:tcPr>
          <w:p w14:paraId="0935B7B3" w14:textId="77777777" w:rsidR="000701EB" w:rsidRPr="001920F8" w:rsidRDefault="000701EB" w:rsidP="00160B2B">
            <w:pPr>
              <w:spacing w:after="0" w:line="240" w:lineRule="auto"/>
              <w:rPr>
                <w:rFonts w:eastAsia="Times New Roman" w:cs="Arial"/>
                <w:lang w:val="es-CR" w:eastAsia="es-CR"/>
              </w:rPr>
            </w:pPr>
            <w:r w:rsidRPr="001920F8">
              <w:rPr>
                <w:rFonts w:eastAsia="Times New Roman" w:cs="Arial"/>
                <w:lang w:val="es-CR" w:eastAsia="es-CR"/>
              </w:rPr>
              <w:t>BG_FONDOS</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B4" w14:textId="77777777" w:rsidR="000701EB" w:rsidRPr="001920F8" w:rsidRDefault="000701EB" w:rsidP="00160B2B">
            <w:pPr>
              <w:spacing w:after="0" w:line="240" w:lineRule="auto"/>
              <w:rPr>
                <w:rFonts w:cs="Arial"/>
              </w:rPr>
            </w:pPr>
            <w:r w:rsidRPr="001920F8">
              <w:rPr>
                <w:rFonts w:cs="Arial"/>
              </w:rPr>
              <w:t>701001020103</w:t>
            </w:r>
          </w:p>
        </w:tc>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B7B5" w14:textId="77777777" w:rsidR="000701EB" w:rsidRPr="001920F8" w:rsidRDefault="000701EB" w:rsidP="00160B2B">
            <w:pPr>
              <w:spacing w:after="0" w:line="240" w:lineRule="auto"/>
              <w:rPr>
                <w:rFonts w:cs="Arial"/>
              </w:rPr>
            </w:pPr>
            <w:r w:rsidRPr="001920F8">
              <w:rPr>
                <w:rFonts w:cs="Arial"/>
              </w:rPr>
              <w:t>Cuentas Corrientes en Bancos del Exterior</w:t>
            </w:r>
          </w:p>
        </w:tc>
      </w:tr>
    </w:tbl>
    <w:p w14:paraId="0935B7B7" w14:textId="77777777" w:rsidR="00804730" w:rsidRDefault="00804730" w:rsidP="00804730">
      <w:pPr>
        <w:pStyle w:val="Numeracin"/>
        <w:numPr>
          <w:ilvl w:val="0"/>
          <w:numId w:val="0"/>
        </w:numPr>
        <w:spacing w:before="0"/>
        <w:ind w:left="1272" w:right="-193"/>
        <w:rPr>
          <w:rFonts w:ascii="Arial" w:hAnsi="Arial" w:cs="Arial"/>
          <w:szCs w:val="22"/>
        </w:rPr>
      </w:pPr>
    </w:p>
    <w:p w14:paraId="0935B7B8" w14:textId="77777777" w:rsidR="00965136" w:rsidRPr="001920F8" w:rsidRDefault="00965136" w:rsidP="00036A81">
      <w:pPr>
        <w:pStyle w:val="Numeracin"/>
        <w:numPr>
          <w:ilvl w:val="0"/>
          <w:numId w:val="4"/>
        </w:numPr>
        <w:spacing w:before="0"/>
        <w:ind w:right="-193"/>
        <w:rPr>
          <w:rFonts w:ascii="Arial" w:hAnsi="Arial" w:cs="Arial"/>
          <w:szCs w:val="22"/>
        </w:rPr>
      </w:pPr>
      <w:r w:rsidRPr="001920F8">
        <w:rPr>
          <w:rFonts w:ascii="Arial" w:hAnsi="Arial" w:cs="Arial"/>
          <w:szCs w:val="22"/>
        </w:rPr>
        <w:lastRenderedPageBreak/>
        <w:t>Se modifica el nombre de las siguientes cuentas a los Estados Financieros de Fondos de Inversión (Anexo  15)</w:t>
      </w:r>
      <w:r w:rsidR="00DB53D8" w:rsidRPr="001920F8">
        <w:rPr>
          <w:rFonts w:ascii="Arial" w:hAnsi="Arial" w:cs="Arial"/>
          <w:szCs w:val="22"/>
        </w:rPr>
        <w:t xml:space="preserve"> </w:t>
      </w:r>
      <w:r w:rsidR="00FD14B5" w:rsidRPr="001920F8">
        <w:rPr>
          <w:rFonts w:ascii="Arial" w:hAnsi="Arial" w:cs="Arial"/>
          <w:szCs w:val="22"/>
        </w:rPr>
        <w:t xml:space="preserve">y del Reporte de Emisiones de Deuda Estandarizada (Anexo 3.a.1, RMD_EMISOR)   </w:t>
      </w:r>
      <w:r w:rsidRPr="001920F8">
        <w:rPr>
          <w:rFonts w:ascii="Arial" w:hAnsi="Arial" w:cs="Arial"/>
          <w:szCs w:val="22"/>
        </w:rPr>
        <w:t>de acuerdo con el siguiente detalle:</w:t>
      </w:r>
    </w:p>
    <w:p w14:paraId="0935B7B9" w14:textId="77777777" w:rsidR="00965136" w:rsidRPr="001920F8" w:rsidRDefault="00965136" w:rsidP="003724A7">
      <w:pPr>
        <w:pStyle w:val="Numeracin"/>
        <w:numPr>
          <w:ilvl w:val="0"/>
          <w:numId w:val="0"/>
        </w:numPr>
        <w:spacing w:before="0"/>
        <w:ind w:right="-193"/>
        <w:rPr>
          <w:rFonts w:ascii="Arial" w:eastAsia="Arial Unicode MS" w:hAnsi="Arial" w:cs="Arial"/>
          <w:b/>
          <w:szCs w:val="22"/>
          <w:highlight w:val="green"/>
        </w:rPr>
      </w:pPr>
    </w:p>
    <w:tbl>
      <w:tblPr>
        <w:tblW w:w="9498" w:type="dxa"/>
        <w:tblInd w:w="-431" w:type="dxa"/>
        <w:tblLayout w:type="fixed"/>
        <w:tblCellMar>
          <w:left w:w="70" w:type="dxa"/>
          <w:right w:w="70" w:type="dxa"/>
        </w:tblCellMar>
        <w:tblLook w:val="04A0" w:firstRow="1" w:lastRow="0" w:firstColumn="1" w:lastColumn="0" w:noHBand="0" w:noVBand="1"/>
      </w:tblPr>
      <w:tblGrid>
        <w:gridCol w:w="1560"/>
        <w:gridCol w:w="1701"/>
        <w:gridCol w:w="3063"/>
        <w:gridCol w:w="3174"/>
      </w:tblGrid>
      <w:tr w:rsidR="00F461AC" w:rsidRPr="001920F8" w14:paraId="0935B7BE" w14:textId="77777777" w:rsidTr="00627D4F">
        <w:trPr>
          <w:trHeight w:val="26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B7BA" w14:textId="77777777" w:rsidR="00F461AC" w:rsidRPr="001920F8" w:rsidRDefault="00F461AC" w:rsidP="00F461AC">
            <w:pPr>
              <w:spacing w:after="0" w:line="240" w:lineRule="auto"/>
              <w:jc w:val="center"/>
              <w:rPr>
                <w:rFonts w:eastAsia="Times New Roman" w:cs="Arial"/>
                <w:b/>
                <w:lang w:val="es-CR" w:eastAsia="es-CR"/>
              </w:rPr>
            </w:pPr>
            <w:r w:rsidRPr="001920F8">
              <w:rPr>
                <w:rFonts w:eastAsia="Times New Roman" w:cs="Arial"/>
                <w:b/>
                <w:lang w:val="es-CR" w:eastAsia="es-CR"/>
              </w:rPr>
              <w:t>CATÁLOGO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35B7BB" w14:textId="77777777" w:rsidR="00F461AC" w:rsidRPr="001920F8" w:rsidRDefault="00F461AC" w:rsidP="00F461AC">
            <w:pPr>
              <w:spacing w:after="0" w:line="240" w:lineRule="auto"/>
              <w:jc w:val="center"/>
              <w:rPr>
                <w:rFonts w:eastAsia="Times New Roman" w:cs="Arial"/>
                <w:b/>
                <w:lang w:val="es-CR" w:eastAsia="es-CR"/>
              </w:rPr>
            </w:pPr>
            <w:r w:rsidRPr="001920F8">
              <w:rPr>
                <w:rFonts w:eastAsia="Times New Roman" w:cs="Arial"/>
                <w:b/>
                <w:lang w:val="es-CR" w:eastAsia="es-CR"/>
              </w:rPr>
              <w:t>CÓDIGO</w:t>
            </w:r>
          </w:p>
        </w:tc>
        <w:tc>
          <w:tcPr>
            <w:tcW w:w="3063" w:type="dxa"/>
            <w:tcBorders>
              <w:top w:val="single" w:sz="4" w:space="0" w:color="auto"/>
              <w:left w:val="nil"/>
              <w:bottom w:val="single" w:sz="4" w:space="0" w:color="auto"/>
              <w:right w:val="single" w:sz="4" w:space="0" w:color="auto"/>
            </w:tcBorders>
            <w:shd w:val="clear" w:color="auto" w:fill="auto"/>
            <w:noWrap/>
            <w:vAlign w:val="center"/>
          </w:tcPr>
          <w:p w14:paraId="0935B7BC" w14:textId="77777777" w:rsidR="00F461AC" w:rsidRPr="001920F8" w:rsidRDefault="00F461AC" w:rsidP="00F461AC">
            <w:pPr>
              <w:spacing w:after="0" w:line="240" w:lineRule="auto"/>
              <w:jc w:val="center"/>
              <w:rPr>
                <w:rFonts w:eastAsia="Times New Roman" w:cs="Arial"/>
                <w:b/>
                <w:lang w:val="es-CR" w:eastAsia="es-CR"/>
              </w:rPr>
            </w:pPr>
            <w:r w:rsidRPr="001920F8">
              <w:rPr>
                <w:rFonts w:eastAsia="Times New Roman" w:cs="Arial"/>
                <w:b/>
                <w:lang w:val="es-CR" w:eastAsia="es-CR"/>
              </w:rPr>
              <w:t>NOMBRE ANTERIOR</w:t>
            </w:r>
          </w:p>
        </w:tc>
        <w:tc>
          <w:tcPr>
            <w:tcW w:w="3174" w:type="dxa"/>
            <w:tcBorders>
              <w:top w:val="single" w:sz="4" w:space="0" w:color="auto"/>
              <w:left w:val="nil"/>
              <w:bottom w:val="single" w:sz="4" w:space="0" w:color="auto"/>
              <w:right w:val="single" w:sz="4" w:space="0" w:color="auto"/>
            </w:tcBorders>
            <w:vAlign w:val="center"/>
          </w:tcPr>
          <w:p w14:paraId="0935B7BD" w14:textId="77777777" w:rsidR="00F461AC" w:rsidRPr="001920F8" w:rsidRDefault="00F461AC" w:rsidP="00F461AC">
            <w:pPr>
              <w:spacing w:after="0" w:line="240" w:lineRule="auto"/>
              <w:jc w:val="center"/>
              <w:rPr>
                <w:rFonts w:eastAsia="Times New Roman" w:cs="Arial"/>
                <w:b/>
                <w:lang w:val="es-CR" w:eastAsia="es-CR"/>
              </w:rPr>
            </w:pPr>
            <w:r w:rsidRPr="001920F8">
              <w:rPr>
                <w:rFonts w:eastAsia="Times New Roman" w:cs="Arial"/>
                <w:b/>
                <w:lang w:val="es-CR" w:eastAsia="es-CR"/>
              </w:rPr>
              <w:t>NOMBRE PROPUESTO</w:t>
            </w:r>
          </w:p>
        </w:tc>
      </w:tr>
      <w:tr w:rsidR="00F461AC" w:rsidRPr="001920F8" w14:paraId="0935B7C3" w14:textId="77777777" w:rsidTr="00627D4F">
        <w:trPr>
          <w:trHeight w:val="26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35B7BF" w14:textId="77777777" w:rsidR="00F461AC" w:rsidRPr="001920F8" w:rsidRDefault="00F461AC" w:rsidP="00C0134B">
            <w:pPr>
              <w:spacing w:after="0" w:line="240" w:lineRule="auto"/>
              <w:rPr>
                <w:rFonts w:eastAsia="Times New Roman" w:cs="Arial"/>
                <w:lang w:val="es-CR" w:eastAsia="es-CR"/>
              </w:rPr>
            </w:pPr>
            <w:r w:rsidRPr="001920F8">
              <w:rPr>
                <w:rFonts w:eastAsia="Times New Roman" w:cs="Arial"/>
                <w:lang w:val="es-CR" w:eastAsia="es-CR"/>
              </w:rPr>
              <w:t>BG_FONDOS</w:t>
            </w:r>
          </w:p>
        </w:tc>
        <w:tc>
          <w:tcPr>
            <w:tcW w:w="1701" w:type="dxa"/>
            <w:tcBorders>
              <w:top w:val="nil"/>
              <w:left w:val="nil"/>
              <w:bottom w:val="single" w:sz="4" w:space="0" w:color="auto"/>
              <w:right w:val="single" w:sz="4" w:space="0" w:color="auto"/>
            </w:tcBorders>
            <w:shd w:val="clear" w:color="auto" w:fill="auto"/>
            <w:noWrap/>
            <w:vAlign w:val="center"/>
            <w:hideMark/>
          </w:tcPr>
          <w:p w14:paraId="0935B7C0" w14:textId="77777777" w:rsidR="00F461AC" w:rsidRPr="001920F8" w:rsidRDefault="00FD14B5" w:rsidP="00C0134B">
            <w:pPr>
              <w:rPr>
                <w:rFonts w:cs="Arial"/>
              </w:rPr>
            </w:pPr>
            <w:r w:rsidRPr="001920F8">
              <w:rPr>
                <w:rFonts w:cs="Arial"/>
              </w:rPr>
              <w:t>701001010100</w:t>
            </w:r>
          </w:p>
        </w:tc>
        <w:tc>
          <w:tcPr>
            <w:tcW w:w="3063" w:type="dxa"/>
            <w:tcBorders>
              <w:top w:val="nil"/>
              <w:left w:val="nil"/>
              <w:bottom w:val="single" w:sz="4" w:space="0" w:color="auto"/>
              <w:right w:val="single" w:sz="4" w:space="0" w:color="auto"/>
            </w:tcBorders>
            <w:shd w:val="clear" w:color="auto" w:fill="auto"/>
            <w:noWrap/>
            <w:vAlign w:val="center"/>
          </w:tcPr>
          <w:p w14:paraId="0935B7C1" w14:textId="77777777" w:rsidR="00F461AC" w:rsidRPr="001920F8" w:rsidRDefault="00C71806" w:rsidP="00C0134B">
            <w:pPr>
              <w:spacing w:after="0" w:line="240" w:lineRule="auto"/>
              <w:rPr>
                <w:rFonts w:eastAsia="Times New Roman" w:cs="Arial"/>
                <w:lang w:val="es-CR" w:eastAsia="es-CR"/>
              </w:rPr>
            </w:pPr>
            <w:r w:rsidRPr="001920F8">
              <w:rPr>
                <w:rFonts w:eastAsia="Times New Roman" w:cs="Arial"/>
                <w:lang w:val="es-CR" w:eastAsia="es-CR"/>
              </w:rPr>
              <w:t>Cuentas Corrientes</w:t>
            </w:r>
          </w:p>
        </w:tc>
        <w:tc>
          <w:tcPr>
            <w:tcW w:w="3174" w:type="dxa"/>
            <w:tcBorders>
              <w:top w:val="nil"/>
              <w:left w:val="nil"/>
              <w:bottom w:val="single" w:sz="4" w:space="0" w:color="auto"/>
              <w:right w:val="single" w:sz="4" w:space="0" w:color="auto"/>
            </w:tcBorders>
            <w:vAlign w:val="center"/>
          </w:tcPr>
          <w:p w14:paraId="0935B7C2" w14:textId="77777777" w:rsidR="00F461AC" w:rsidRPr="001920F8" w:rsidRDefault="00C71806" w:rsidP="00804730">
            <w:pPr>
              <w:spacing w:after="0" w:line="240" w:lineRule="auto"/>
              <w:jc w:val="both"/>
              <w:rPr>
                <w:rFonts w:eastAsia="Times New Roman" w:cs="Arial"/>
                <w:lang w:val="es-CR" w:eastAsia="es-CR"/>
              </w:rPr>
            </w:pPr>
            <w:r w:rsidRPr="001920F8">
              <w:rPr>
                <w:rFonts w:eastAsia="Times New Roman" w:cs="Arial"/>
                <w:lang w:val="es-CR" w:eastAsia="es-CR"/>
              </w:rPr>
              <w:t>Cuentas Corrientes - Colones</w:t>
            </w:r>
          </w:p>
        </w:tc>
      </w:tr>
      <w:tr w:rsidR="00F461AC" w:rsidRPr="001920F8" w14:paraId="0935B7C8" w14:textId="77777777" w:rsidTr="00627D4F">
        <w:trPr>
          <w:trHeight w:val="26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35B7C4" w14:textId="77777777" w:rsidR="00F461AC" w:rsidRPr="001920F8" w:rsidRDefault="00F461AC" w:rsidP="00C0134B">
            <w:pPr>
              <w:spacing w:after="0" w:line="240" w:lineRule="auto"/>
              <w:rPr>
                <w:rFonts w:eastAsia="Times New Roman" w:cs="Arial"/>
                <w:lang w:val="es-CR" w:eastAsia="es-CR"/>
              </w:rPr>
            </w:pPr>
            <w:r w:rsidRPr="001920F8">
              <w:rPr>
                <w:rFonts w:eastAsia="Times New Roman" w:cs="Arial"/>
                <w:lang w:val="es-CR" w:eastAsia="es-CR"/>
              </w:rPr>
              <w:t>BG_FONDOS</w:t>
            </w:r>
          </w:p>
        </w:tc>
        <w:tc>
          <w:tcPr>
            <w:tcW w:w="1701" w:type="dxa"/>
            <w:tcBorders>
              <w:top w:val="nil"/>
              <w:left w:val="nil"/>
              <w:bottom w:val="single" w:sz="4" w:space="0" w:color="auto"/>
              <w:right w:val="single" w:sz="4" w:space="0" w:color="auto"/>
            </w:tcBorders>
            <w:shd w:val="clear" w:color="auto" w:fill="auto"/>
            <w:noWrap/>
            <w:vAlign w:val="center"/>
            <w:hideMark/>
          </w:tcPr>
          <w:p w14:paraId="0935B7C5" w14:textId="77777777" w:rsidR="00F461AC" w:rsidRPr="001920F8" w:rsidRDefault="00FD14B5" w:rsidP="00C0134B">
            <w:pPr>
              <w:rPr>
                <w:rFonts w:cs="Arial"/>
              </w:rPr>
            </w:pPr>
            <w:r w:rsidRPr="001920F8">
              <w:rPr>
                <w:rFonts w:cs="Arial"/>
              </w:rPr>
              <w:t>701001020100</w:t>
            </w:r>
          </w:p>
        </w:tc>
        <w:tc>
          <w:tcPr>
            <w:tcW w:w="3063" w:type="dxa"/>
            <w:tcBorders>
              <w:top w:val="nil"/>
              <w:left w:val="nil"/>
              <w:bottom w:val="single" w:sz="4" w:space="0" w:color="auto"/>
              <w:right w:val="single" w:sz="4" w:space="0" w:color="auto"/>
            </w:tcBorders>
            <w:shd w:val="clear" w:color="auto" w:fill="auto"/>
            <w:noWrap/>
            <w:vAlign w:val="center"/>
          </w:tcPr>
          <w:p w14:paraId="0935B7C6" w14:textId="77777777" w:rsidR="00F461AC" w:rsidRPr="001920F8" w:rsidRDefault="00C71806" w:rsidP="00C0134B">
            <w:pPr>
              <w:spacing w:after="0" w:line="240" w:lineRule="auto"/>
              <w:rPr>
                <w:rFonts w:eastAsia="Times New Roman" w:cs="Arial"/>
                <w:lang w:val="es-CR" w:eastAsia="es-CR"/>
              </w:rPr>
            </w:pPr>
            <w:r w:rsidRPr="001920F8">
              <w:rPr>
                <w:rFonts w:eastAsia="Times New Roman" w:cs="Arial"/>
                <w:lang w:val="es-CR" w:eastAsia="es-CR"/>
              </w:rPr>
              <w:t>Cuentas Corrientes</w:t>
            </w:r>
          </w:p>
        </w:tc>
        <w:tc>
          <w:tcPr>
            <w:tcW w:w="3174" w:type="dxa"/>
            <w:tcBorders>
              <w:top w:val="nil"/>
              <w:left w:val="nil"/>
              <w:bottom w:val="single" w:sz="4" w:space="0" w:color="auto"/>
              <w:right w:val="single" w:sz="4" w:space="0" w:color="auto"/>
            </w:tcBorders>
            <w:vAlign w:val="center"/>
          </w:tcPr>
          <w:p w14:paraId="0935B7C7" w14:textId="77777777" w:rsidR="00F461AC" w:rsidRPr="001920F8" w:rsidRDefault="00C71806" w:rsidP="00804730">
            <w:pPr>
              <w:spacing w:after="0" w:line="240" w:lineRule="auto"/>
              <w:jc w:val="both"/>
              <w:rPr>
                <w:rFonts w:cs="Arial"/>
              </w:rPr>
            </w:pPr>
            <w:r w:rsidRPr="001920F8">
              <w:rPr>
                <w:rFonts w:cs="Arial"/>
              </w:rPr>
              <w:t xml:space="preserve"> </w:t>
            </w:r>
            <w:r w:rsidRPr="001920F8">
              <w:rPr>
                <w:rFonts w:eastAsia="Times New Roman" w:cs="Arial"/>
                <w:lang w:val="es-CR" w:eastAsia="es-CR"/>
              </w:rPr>
              <w:t>Cuentas Corrientes - Moneda Extranjera</w:t>
            </w:r>
          </w:p>
        </w:tc>
      </w:tr>
      <w:tr w:rsidR="000079B3" w:rsidRPr="001920F8" w14:paraId="0935B7CD" w14:textId="77777777" w:rsidTr="00627D4F">
        <w:trPr>
          <w:trHeight w:val="26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B7C9" w14:textId="77777777" w:rsidR="000079B3" w:rsidRPr="001920F8" w:rsidRDefault="000079B3" w:rsidP="000079B3">
            <w:pPr>
              <w:spacing w:after="0" w:line="240" w:lineRule="auto"/>
              <w:rPr>
                <w:rFonts w:cs="Arial"/>
              </w:rPr>
            </w:pPr>
            <w:r w:rsidRPr="001920F8">
              <w:rPr>
                <w:rFonts w:cs="Arial"/>
              </w:rPr>
              <w:t>RMD_EMISOR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35B7CA" w14:textId="77777777" w:rsidR="000079B3" w:rsidRPr="001920F8" w:rsidRDefault="000079B3" w:rsidP="000079B3">
            <w:pPr>
              <w:rPr>
                <w:rFonts w:cs="Arial"/>
              </w:rPr>
            </w:pPr>
            <w:r w:rsidRPr="001920F8">
              <w:rPr>
                <w:rFonts w:cs="Arial"/>
              </w:rPr>
              <w:t>16000000</w:t>
            </w:r>
          </w:p>
        </w:tc>
        <w:tc>
          <w:tcPr>
            <w:tcW w:w="3063" w:type="dxa"/>
            <w:tcBorders>
              <w:top w:val="single" w:sz="4" w:space="0" w:color="auto"/>
              <w:left w:val="nil"/>
              <w:bottom w:val="single" w:sz="4" w:space="0" w:color="auto"/>
              <w:right w:val="single" w:sz="4" w:space="0" w:color="auto"/>
            </w:tcBorders>
            <w:shd w:val="clear" w:color="auto" w:fill="auto"/>
            <w:noWrap/>
            <w:vAlign w:val="center"/>
          </w:tcPr>
          <w:p w14:paraId="0935B7CB" w14:textId="77777777" w:rsidR="000079B3" w:rsidRPr="001920F8" w:rsidRDefault="000079B3" w:rsidP="000079B3">
            <w:pPr>
              <w:spacing w:after="0" w:line="240" w:lineRule="auto"/>
              <w:rPr>
                <w:rFonts w:cs="Arial"/>
              </w:rPr>
            </w:pPr>
            <w:r w:rsidRPr="001920F8">
              <w:rPr>
                <w:rFonts w:cs="Arial"/>
              </w:rPr>
              <w:t>Monto comprado por ventanilla inversa  (directa) a valor facial</w:t>
            </w:r>
          </w:p>
        </w:tc>
        <w:tc>
          <w:tcPr>
            <w:tcW w:w="3174" w:type="dxa"/>
            <w:tcBorders>
              <w:top w:val="single" w:sz="4" w:space="0" w:color="auto"/>
              <w:left w:val="nil"/>
              <w:bottom w:val="single" w:sz="4" w:space="0" w:color="auto"/>
              <w:right w:val="single" w:sz="4" w:space="0" w:color="auto"/>
            </w:tcBorders>
            <w:vAlign w:val="center"/>
          </w:tcPr>
          <w:p w14:paraId="0935B7CC" w14:textId="77777777" w:rsidR="000079B3" w:rsidRPr="001920F8" w:rsidRDefault="000079B3" w:rsidP="00804730">
            <w:pPr>
              <w:spacing w:after="0" w:line="240" w:lineRule="auto"/>
              <w:jc w:val="both"/>
              <w:rPr>
                <w:rFonts w:cs="Arial"/>
              </w:rPr>
            </w:pPr>
            <w:r w:rsidRPr="001920F8">
              <w:rPr>
                <w:rFonts w:cs="Arial"/>
              </w:rPr>
              <w:t>Monto comprado por colocación directa inversa a valor facial</w:t>
            </w:r>
          </w:p>
        </w:tc>
      </w:tr>
      <w:tr w:rsidR="000079B3" w:rsidRPr="001920F8" w14:paraId="0935B7D2" w14:textId="77777777" w:rsidTr="00627D4F">
        <w:trPr>
          <w:trHeight w:val="26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B7CE" w14:textId="77777777" w:rsidR="000079B3" w:rsidRPr="001920F8" w:rsidRDefault="000079B3" w:rsidP="000079B3">
            <w:pPr>
              <w:spacing w:after="0" w:line="240" w:lineRule="auto"/>
              <w:rPr>
                <w:rFonts w:cs="Arial"/>
              </w:rPr>
            </w:pPr>
            <w:r w:rsidRPr="001920F8">
              <w:rPr>
                <w:rFonts w:cs="Arial"/>
              </w:rPr>
              <w:t>RMD_EMISOR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35B7CF" w14:textId="77777777" w:rsidR="000079B3" w:rsidRPr="001920F8" w:rsidRDefault="000079B3" w:rsidP="000079B3">
            <w:pPr>
              <w:rPr>
                <w:rFonts w:cs="Arial"/>
              </w:rPr>
            </w:pPr>
            <w:r w:rsidRPr="001920F8">
              <w:rPr>
                <w:rFonts w:cs="Arial"/>
              </w:rPr>
              <w:t>16010000</w:t>
            </w:r>
          </w:p>
        </w:tc>
        <w:tc>
          <w:tcPr>
            <w:tcW w:w="3063" w:type="dxa"/>
            <w:tcBorders>
              <w:top w:val="single" w:sz="4" w:space="0" w:color="auto"/>
              <w:left w:val="nil"/>
              <w:bottom w:val="single" w:sz="4" w:space="0" w:color="auto"/>
              <w:right w:val="single" w:sz="4" w:space="0" w:color="auto"/>
            </w:tcBorders>
            <w:shd w:val="clear" w:color="auto" w:fill="auto"/>
            <w:noWrap/>
            <w:vAlign w:val="center"/>
          </w:tcPr>
          <w:p w14:paraId="0935B7D0" w14:textId="77777777" w:rsidR="000079B3" w:rsidRPr="001920F8" w:rsidRDefault="000079B3" w:rsidP="000079B3">
            <w:pPr>
              <w:spacing w:after="0" w:line="240" w:lineRule="auto"/>
              <w:rPr>
                <w:rFonts w:eastAsia="Times New Roman" w:cs="Arial"/>
                <w:lang w:val="es-CR" w:eastAsia="es-CR"/>
              </w:rPr>
            </w:pPr>
            <w:r w:rsidRPr="001920F8">
              <w:rPr>
                <w:rFonts w:cs="Arial"/>
              </w:rPr>
              <w:t>Monto comprado por ventanilla inversa (directa) a valor transado</w:t>
            </w:r>
          </w:p>
        </w:tc>
        <w:tc>
          <w:tcPr>
            <w:tcW w:w="3174" w:type="dxa"/>
            <w:tcBorders>
              <w:top w:val="single" w:sz="4" w:space="0" w:color="auto"/>
              <w:left w:val="nil"/>
              <w:bottom w:val="single" w:sz="4" w:space="0" w:color="auto"/>
              <w:right w:val="single" w:sz="4" w:space="0" w:color="auto"/>
            </w:tcBorders>
            <w:vAlign w:val="center"/>
          </w:tcPr>
          <w:p w14:paraId="0935B7D1" w14:textId="77777777" w:rsidR="000079B3" w:rsidRPr="001920F8" w:rsidRDefault="000079B3" w:rsidP="00804730">
            <w:pPr>
              <w:spacing w:after="0" w:line="240" w:lineRule="auto"/>
              <w:jc w:val="both"/>
              <w:rPr>
                <w:rFonts w:cs="Arial"/>
              </w:rPr>
            </w:pPr>
            <w:r w:rsidRPr="001920F8">
              <w:rPr>
                <w:rFonts w:cs="Arial"/>
              </w:rPr>
              <w:t>Monto comprado por colocación directa inversa a valor transado</w:t>
            </w:r>
          </w:p>
        </w:tc>
      </w:tr>
      <w:tr w:rsidR="000C615D" w:rsidRPr="001920F8" w14:paraId="0935B7D7" w14:textId="77777777" w:rsidTr="00627D4F">
        <w:trPr>
          <w:trHeight w:val="26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B7D3"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BG_FONDOS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35B7D4" w14:textId="77777777" w:rsidR="000C615D" w:rsidRPr="001920F8" w:rsidRDefault="000C615D" w:rsidP="000C615D">
            <w:pPr>
              <w:rPr>
                <w:rFonts w:cs="Arial"/>
              </w:rPr>
            </w:pPr>
            <w:r w:rsidRPr="001920F8">
              <w:rPr>
                <w:rFonts w:cs="Arial"/>
              </w:rPr>
              <w:t>751015010501</w:t>
            </w:r>
          </w:p>
        </w:tc>
        <w:tc>
          <w:tcPr>
            <w:tcW w:w="3063" w:type="dxa"/>
            <w:tcBorders>
              <w:top w:val="single" w:sz="4" w:space="0" w:color="auto"/>
              <w:left w:val="nil"/>
              <w:bottom w:val="single" w:sz="4" w:space="0" w:color="auto"/>
              <w:right w:val="single" w:sz="4" w:space="0" w:color="auto"/>
            </w:tcBorders>
            <w:shd w:val="clear" w:color="auto" w:fill="auto"/>
            <w:noWrap/>
            <w:vAlign w:val="center"/>
          </w:tcPr>
          <w:p w14:paraId="0935B7D5" w14:textId="77777777" w:rsidR="000C615D" w:rsidRPr="001920F8" w:rsidRDefault="000C615D" w:rsidP="000C615D">
            <w:pPr>
              <w:spacing w:after="0" w:line="240" w:lineRule="auto"/>
              <w:rPr>
                <w:rFonts w:eastAsia="Times New Roman" w:cs="Arial"/>
                <w:lang w:val="es-CR" w:eastAsia="es-CR"/>
              </w:rPr>
            </w:pPr>
            <w:r w:rsidRPr="001920F8">
              <w:rPr>
                <w:rFonts w:eastAsia="Times New Roman" w:cs="Arial"/>
                <w:lang w:val="es-CR" w:eastAsia="es-CR"/>
              </w:rPr>
              <w:t>Impuestos por pagar</w:t>
            </w:r>
          </w:p>
        </w:tc>
        <w:tc>
          <w:tcPr>
            <w:tcW w:w="3174" w:type="dxa"/>
            <w:tcBorders>
              <w:top w:val="single" w:sz="4" w:space="0" w:color="auto"/>
              <w:left w:val="nil"/>
              <w:bottom w:val="single" w:sz="4" w:space="0" w:color="auto"/>
              <w:right w:val="single" w:sz="4" w:space="0" w:color="auto"/>
            </w:tcBorders>
            <w:vAlign w:val="center"/>
          </w:tcPr>
          <w:p w14:paraId="0935B7D6" w14:textId="77777777" w:rsidR="000C615D" w:rsidRPr="001920F8" w:rsidRDefault="000C615D" w:rsidP="00804730">
            <w:pPr>
              <w:spacing w:after="0" w:line="240" w:lineRule="auto"/>
              <w:jc w:val="both"/>
              <w:rPr>
                <w:rFonts w:cs="Arial"/>
                <w:lang w:val="es-CR"/>
              </w:rPr>
            </w:pPr>
            <w:r w:rsidRPr="001920F8">
              <w:rPr>
                <w:rFonts w:cs="Arial"/>
                <w:lang w:val="es-CR"/>
              </w:rPr>
              <w:t>Impuestos por pagar - Impuesto sobre la renta</w:t>
            </w:r>
          </w:p>
        </w:tc>
      </w:tr>
      <w:tr w:rsidR="000C615D" w:rsidRPr="001920F8" w14:paraId="0935B7DC" w14:textId="77777777" w:rsidTr="00627D4F">
        <w:trPr>
          <w:trHeight w:val="26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B7D8" w14:textId="77777777" w:rsidR="000C615D" w:rsidRPr="001920F8" w:rsidRDefault="000C615D" w:rsidP="000C615D">
            <w:pPr>
              <w:spacing w:after="0" w:line="240" w:lineRule="auto"/>
              <w:rPr>
                <w:rFonts w:cs="Arial"/>
              </w:rPr>
            </w:pPr>
            <w:r w:rsidRPr="001920F8">
              <w:rPr>
                <w:rFonts w:eastAsia="Times New Roman" w:cs="Arial"/>
                <w:lang w:val="es-CR" w:eastAsia="es-CR"/>
              </w:rPr>
              <w:t>BG_FONDOS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35B7D9" w14:textId="77777777" w:rsidR="000C615D" w:rsidRPr="001920F8" w:rsidRDefault="000C615D" w:rsidP="000C615D">
            <w:pPr>
              <w:rPr>
                <w:rFonts w:cs="Arial"/>
              </w:rPr>
            </w:pPr>
            <w:r w:rsidRPr="001920F8">
              <w:rPr>
                <w:rFonts w:cs="Arial"/>
              </w:rPr>
              <w:t>751015010504</w:t>
            </w:r>
          </w:p>
        </w:tc>
        <w:tc>
          <w:tcPr>
            <w:tcW w:w="3063" w:type="dxa"/>
            <w:tcBorders>
              <w:top w:val="single" w:sz="4" w:space="0" w:color="auto"/>
              <w:left w:val="nil"/>
              <w:bottom w:val="single" w:sz="4" w:space="0" w:color="auto"/>
              <w:right w:val="single" w:sz="4" w:space="0" w:color="auto"/>
            </w:tcBorders>
            <w:shd w:val="clear" w:color="auto" w:fill="auto"/>
            <w:noWrap/>
            <w:vAlign w:val="center"/>
          </w:tcPr>
          <w:p w14:paraId="0935B7DA" w14:textId="77777777" w:rsidR="000C615D" w:rsidRPr="001920F8" w:rsidRDefault="000C615D" w:rsidP="000C615D">
            <w:pPr>
              <w:spacing w:after="0" w:line="240" w:lineRule="auto"/>
              <w:rPr>
                <w:rFonts w:cs="Arial"/>
              </w:rPr>
            </w:pPr>
            <w:r w:rsidRPr="001920F8">
              <w:rPr>
                <w:rFonts w:cs="Arial"/>
              </w:rPr>
              <w:t>Impuestos retenidos por pagar</w:t>
            </w:r>
          </w:p>
        </w:tc>
        <w:tc>
          <w:tcPr>
            <w:tcW w:w="3174" w:type="dxa"/>
            <w:tcBorders>
              <w:top w:val="single" w:sz="4" w:space="0" w:color="auto"/>
              <w:left w:val="nil"/>
              <w:bottom w:val="single" w:sz="4" w:space="0" w:color="auto"/>
              <w:right w:val="single" w:sz="4" w:space="0" w:color="auto"/>
            </w:tcBorders>
            <w:vAlign w:val="center"/>
          </w:tcPr>
          <w:p w14:paraId="0935B7DB" w14:textId="77777777" w:rsidR="000C615D" w:rsidRPr="001920F8" w:rsidRDefault="000C615D" w:rsidP="00804730">
            <w:pPr>
              <w:spacing w:after="0" w:line="240" w:lineRule="auto"/>
              <w:jc w:val="both"/>
              <w:rPr>
                <w:rFonts w:cs="Arial"/>
              </w:rPr>
            </w:pPr>
            <w:r w:rsidRPr="001920F8">
              <w:rPr>
                <w:rFonts w:cs="Arial"/>
              </w:rPr>
              <w:t>Impuestos retenidos por pagar - Impuesto al valor agregado</w:t>
            </w:r>
            <w:r w:rsidR="00024260" w:rsidRPr="001920F8">
              <w:rPr>
                <w:rFonts w:cs="Arial"/>
              </w:rPr>
              <w:t xml:space="preserve"> Neto por Pagar</w:t>
            </w:r>
          </w:p>
        </w:tc>
      </w:tr>
      <w:tr w:rsidR="000C615D" w:rsidRPr="001920F8" w14:paraId="0935B7E1" w14:textId="77777777" w:rsidTr="00627D4F">
        <w:trPr>
          <w:trHeight w:val="26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B7DD" w14:textId="77777777" w:rsidR="000C615D" w:rsidRPr="001920F8" w:rsidRDefault="000C615D" w:rsidP="000C615D">
            <w:pPr>
              <w:spacing w:after="0" w:line="240" w:lineRule="auto"/>
              <w:rPr>
                <w:rFonts w:cs="Arial"/>
              </w:rPr>
            </w:pPr>
            <w:r w:rsidRPr="001920F8">
              <w:rPr>
                <w:rFonts w:eastAsia="Times New Roman" w:cs="Arial"/>
                <w:lang w:val="es-CR" w:eastAsia="es-CR"/>
              </w:rPr>
              <w:t>BG_FONDOS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35B7DE" w14:textId="77777777" w:rsidR="000C615D" w:rsidRPr="001920F8" w:rsidRDefault="000C615D" w:rsidP="000C615D">
            <w:pPr>
              <w:rPr>
                <w:rFonts w:cs="Arial"/>
              </w:rPr>
            </w:pPr>
            <w:r w:rsidRPr="001920F8">
              <w:rPr>
                <w:rFonts w:cs="Arial"/>
              </w:rPr>
              <w:t>751015020801</w:t>
            </w:r>
          </w:p>
        </w:tc>
        <w:tc>
          <w:tcPr>
            <w:tcW w:w="3063" w:type="dxa"/>
            <w:tcBorders>
              <w:top w:val="single" w:sz="4" w:space="0" w:color="auto"/>
              <w:left w:val="nil"/>
              <w:bottom w:val="single" w:sz="4" w:space="0" w:color="auto"/>
              <w:right w:val="single" w:sz="4" w:space="0" w:color="auto"/>
            </w:tcBorders>
            <w:shd w:val="clear" w:color="auto" w:fill="auto"/>
            <w:noWrap/>
            <w:vAlign w:val="center"/>
          </w:tcPr>
          <w:p w14:paraId="0935B7DF" w14:textId="77777777" w:rsidR="000C615D" w:rsidRPr="001920F8" w:rsidRDefault="000C615D" w:rsidP="000C615D">
            <w:pPr>
              <w:spacing w:after="0" w:line="240" w:lineRule="auto"/>
              <w:rPr>
                <w:rFonts w:cs="Arial"/>
              </w:rPr>
            </w:pPr>
            <w:r w:rsidRPr="001920F8">
              <w:rPr>
                <w:rFonts w:cs="Arial"/>
              </w:rPr>
              <w:t>Impuestos por pagar</w:t>
            </w:r>
          </w:p>
        </w:tc>
        <w:tc>
          <w:tcPr>
            <w:tcW w:w="3174" w:type="dxa"/>
            <w:tcBorders>
              <w:top w:val="single" w:sz="4" w:space="0" w:color="auto"/>
              <w:left w:val="nil"/>
              <w:bottom w:val="single" w:sz="4" w:space="0" w:color="auto"/>
              <w:right w:val="single" w:sz="4" w:space="0" w:color="auto"/>
            </w:tcBorders>
            <w:vAlign w:val="center"/>
          </w:tcPr>
          <w:p w14:paraId="0935B7E0" w14:textId="77777777" w:rsidR="000C615D" w:rsidRPr="001920F8" w:rsidRDefault="000C615D" w:rsidP="00804730">
            <w:pPr>
              <w:spacing w:after="0" w:line="240" w:lineRule="auto"/>
              <w:jc w:val="both"/>
              <w:rPr>
                <w:rFonts w:cs="Arial"/>
              </w:rPr>
            </w:pPr>
            <w:r w:rsidRPr="001920F8">
              <w:rPr>
                <w:rFonts w:cs="Arial"/>
              </w:rPr>
              <w:t>Impuestos por pagar - Impuesto sobre la renta</w:t>
            </w:r>
          </w:p>
        </w:tc>
      </w:tr>
      <w:tr w:rsidR="000C615D" w:rsidRPr="001920F8" w14:paraId="0935B7E6" w14:textId="77777777" w:rsidTr="00627D4F">
        <w:trPr>
          <w:trHeight w:val="26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B7E2" w14:textId="77777777" w:rsidR="000C615D" w:rsidRPr="001920F8" w:rsidRDefault="000C615D" w:rsidP="000C615D">
            <w:pPr>
              <w:spacing w:after="0" w:line="240" w:lineRule="auto"/>
              <w:rPr>
                <w:rFonts w:cs="Arial"/>
              </w:rPr>
            </w:pPr>
            <w:r w:rsidRPr="001920F8">
              <w:rPr>
                <w:rFonts w:eastAsia="Times New Roman" w:cs="Arial"/>
                <w:lang w:val="es-CR" w:eastAsia="es-CR"/>
              </w:rPr>
              <w:t>BG_FONDOS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35B7E3" w14:textId="77777777" w:rsidR="000C615D" w:rsidRPr="001920F8" w:rsidRDefault="000C615D" w:rsidP="000C615D">
            <w:pPr>
              <w:rPr>
                <w:rFonts w:cs="Arial"/>
              </w:rPr>
            </w:pPr>
            <w:r w:rsidRPr="001920F8">
              <w:rPr>
                <w:rFonts w:cs="Arial"/>
              </w:rPr>
              <w:t>751015020804</w:t>
            </w:r>
          </w:p>
        </w:tc>
        <w:tc>
          <w:tcPr>
            <w:tcW w:w="3063" w:type="dxa"/>
            <w:tcBorders>
              <w:top w:val="single" w:sz="4" w:space="0" w:color="auto"/>
              <w:left w:val="nil"/>
              <w:bottom w:val="single" w:sz="4" w:space="0" w:color="auto"/>
              <w:right w:val="single" w:sz="4" w:space="0" w:color="auto"/>
            </w:tcBorders>
            <w:shd w:val="clear" w:color="auto" w:fill="auto"/>
            <w:noWrap/>
            <w:vAlign w:val="center"/>
          </w:tcPr>
          <w:p w14:paraId="0935B7E4" w14:textId="77777777" w:rsidR="000C615D" w:rsidRPr="001920F8" w:rsidRDefault="000C615D" w:rsidP="000C615D">
            <w:pPr>
              <w:spacing w:after="0" w:line="240" w:lineRule="auto"/>
              <w:rPr>
                <w:rFonts w:cs="Arial"/>
              </w:rPr>
            </w:pPr>
            <w:r w:rsidRPr="001920F8">
              <w:rPr>
                <w:rFonts w:cs="Arial"/>
              </w:rPr>
              <w:t>Impuestos retenidos por pagar</w:t>
            </w:r>
          </w:p>
        </w:tc>
        <w:tc>
          <w:tcPr>
            <w:tcW w:w="3174" w:type="dxa"/>
            <w:tcBorders>
              <w:top w:val="single" w:sz="4" w:space="0" w:color="auto"/>
              <w:left w:val="nil"/>
              <w:bottom w:val="single" w:sz="4" w:space="0" w:color="auto"/>
              <w:right w:val="single" w:sz="4" w:space="0" w:color="auto"/>
            </w:tcBorders>
            <w:vAlign w:val="center"/>
          </w:tcPr>
          <w:p w14:paraId="0935B7E5" w14:textId="77777777" w:rsidR="000C615D" w:rsidRPr="001920F8" w:rsidRDefault="000C615D" w:rsidP="00804730">
            <w:pPr>
              <w:spacing w:after="0" w:line="240" w:lineRule="auto"/>
              <w:jc w:val="both"/>
              <w:rPr>
                <w:rFonts w:cs="Arial"/>
              </w:rPr>
            </w:pPr>
            <w:r w:rsidRPr="001920F8">
              <w:rPr>
                <w:rFonts w:cs="Arial"/>
              </w:rPr>
              <w:t>Impuestos retenidos por pagar - Impuesto al valor agregado</w:t>
            </w:r>
            <w:r w:rsidR="00024260" w:rsidRPr="001920F8">
              <w:rPr>
                <w:rFonts w:cs="Arial"/>
              </w:rPr>
              <w:t xml:space="preserve"> Neto por Pagar</w:t>
            </w:r>
          </w:p>
        </w:tc>
      </w:tr>
    </w:tbl>
    <w:p w14:paraId="0935B7E7" w14:textId="77777777" w:rsidR="00965136" w:rsidRPr="001920F8" w:rsidRDefault="00965136" w:rsidP="003724A7">
      <w:pPr>
        <w:pStyle w:val="Numeracin"/>
        <w:numPr>
          <w:ilvl w:val="0"/>
          <w:numId w:val="0"/>
        </w:numPr>
        <w:spacing w:before="0"/>
        <w:ind w:right="-193"/>
        <w:rPr>
          <w:rFonts w:ascii="Arial" w:eastAsia="Arial Unicode MS" w:hAnsi="Arial" w:cs="Arial"/>
          <w:b/>
          <w:szCs w:val="22"/>
          <w:highlight w:val="green"/>
          <w:lang w:val="es-CR"/>
        </w:rPr>
      </w:pPr>
    </w:p>
    <w:p w14:paraId="0935B7E8" w14:textId="06360F24" w:rsidR="00646C87" w:rsidRPr="001920F8" w:rsidRDefault="00024260" w:rsidP="00D00DF7">
      <w:pPr>
        <w:pStyle w:val="Numeracin"/>
        <w:numPr>
          <w:ilvl w:val="0"/>
          <w:numId w:val="0"/>
        </w:numPr>
        <w:spacing w:before="0"/>
        <w:ind w:left="643" w:right="-193" w:hanging="360"/>
        <w:jc w:val="center"/>
        <w:rPr>
          <w:rFonts w:ascii="Arial" w:hAnsi="Arial" w:cs="Arial"/>
          <w:szCs w:val="22"/>
          <w:highlight w:val="yellow"/>
        </w:rPr>
      </w:pPr>
      <w:r w:rsidRPr="001920F8">
        <w:rPr>
          <w:rFonts w:ascii="Arial" w:hAnsi="Arial" w:cs="Arial"/>
          <w:szCs w:val="22"/>
        </w:rPr>
        <w:object w:dxaOrig="1539" w:dyaOrig="997" w14:anchorId="0935B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1" o:title=""/>
          </v:shape>
          <o:OLEObject Type="Embed" ProgID="Excel.Sheet.8" ShapeID="_x0000_i1025" DrawAspect="Icon" ObjectID="_1636895191" r:id="rId12"/>
        </w:object>
      </w:r>
      <w:bookmarkStart w:id="0" w:name="_MON_1636880640"/>
      <w:bookmarkEnd w:id="0"/>
      <w:r w:rsidR="00E14B8E">
        <w:rPr>
          <w:rFonts w:ascii="Arial" w:hAnsi="Arial" w:cs="Arial"/>
          <w:szCs w:val="22"/>
        </w:rPr>
        <w:object w:dxaOrig="1539" w:dyaOrig="997" w14:anchorId="62EF936C">
          <v:shape id="_x0000_i1026" type="#_x0000_t75" style="width:76.5pt;height:49.5pt" o:ole="">
            <v:imagedata r:id="rId13" o:title=""/>
          </v:shape>
          <o:OLEObject Type="Embed" ProgID="Excel.Sheet.8" ShapeID="_x0000_i1026" DrawAspect="Icon" ObjectID="_1636895192" r:id="rId14"/>
        </w:object>
      </w:r>
      <w:r w:rsidR="00D46299" w:rsidRPr="001920F8">
        <w:rPr>
          <w:rFonts w:ascii="Arial" w:hAnsi="Arial" w:cs="Arial"/>
          <w:szCs w:val="22"/>
          <w:highlight w:val="yellow"/>
        </w:rPr>
        <w:br w:type="textWrapping" w:clear="all"/>
      </w:r>
    </w:p>
    <w:p w14:paraId="0935B7E9" w14:textId="77777777" w:rsidR="00A773F7" w:rsidRPr="001920F8" w:rsidRDefault="00A773F7" w:rsidP="00A773F7">
      <w:pPr>
        <w:pStyle w:val="Numeracin"/>
        <w:numPr>
          <w:ilvl w:val="0"/>
          <w:numId w:val="0"/>
        </w:numPr>
        <w:spacing w:before="0"/>
        <w:ind w:right="-193"/>
        <w:rPr>
          <w:rFonts w:ascii="Arial" w:eastAsia="Arial Unicode MS" w:hAnsi="Arial" w:cs="Arial"/>
          <w:b/>
          <w:szCs w:val="22"/>
          <w:highlight w:val="green"/>
          <w:lang w:val="es-CR"/>
        </w:rPr>
      </w:pPr>
    </w:p>
    <w:p w14:paraId="0935B7EA" w14:textId="77777777" w:rsidR="00A773F7" w:rsidRPr="001920F8" w:rsidRDefault="00A773F7" w:rsidP="00036A81">
      <w:pPr>
        <w:pStyle w:val="Numeracin"/>
        <w:numPr>
          <w:ilvl w:val="0"/>
          <w:numId w:val="4"/>
        </w:numPr>
        <w:spacing w:before="0"/>
        <w:ind w:right="-193"/>
        <w:rPr>
          <w:rFonts w:ascii="Arial" w:hAnsi="Arial" w:cs="Arial"/>
          <w:szCs w:val="22"/>
        </w:rPr>
      </w:pPr>
      <w:r w:rsidRPr="001920F8">
        <w:rPr>
          <w:rFonts w:ascii="Arial" w:hAnsi="Arial" w:cs="Arial"/>
          <w:szCs w:val="22"/>
        </w:rPr>
        <w:t xml:space="preserve">Se </w:t>
      </w:r>
      <w:r w:rsidR="00AD7329" w:rsidRPr="001920F8">
        <w:rPr>
          <w:rFonts w:ascii="Arial" w:hAnsi="Arial" w:cs="Arial"/>
          <w:szCs w:val="22"/>
        </w:rPr>
        <w:t>agregan</w:t>
      </w:r>
      <w:r w:rsidRPr="001920F8">
        <w:rPr>
          <w:rFonts w:ascii="Arial" w:hAnsi="Arial" w:cs="Arial"/>
          <w:szCs w:val="22"/>
        </w:rPr>
        <w:t xml:space="preserve"> los siguientes campos</w:t>
      </w:r>
      <w:r w:rsidR="003E09E1" w:rsidRPr="001920F8">
        <w:rPr>
          <w:rFonts w:ascii="Arial" w:hAnsi="Arial" w:cs="Arial"/>
          <w:szCs w:val="22"/>
        </w:rPr>
        <w:t xml:space="preserve"> </w:t>
      </w:r>
      <w:r w:rsidRPr="001920F8">
        <w:rPr>
          <w:rFonts w:ascii="Arial" w:hAnsi="Arial" w:cs="Arial"/>
          <w:szCs w:val="22"/>
        </w:rPr>
        <w:t>a los anexos 10 y 18 “Reporte de Carteras”</w:t>
      </w:r>
      <w:r w:rsidR="002D40F4" w:rsidRPr="001920F8">
        <w:rPr>
          <w:rFonts w:ascii="Arial" w:hAnsi="Arial" w:cs="Arial"/>
          <w:szCs w:val="22"/>
        </w:rPr>
        <w:t>; de acuerdo con el siguiente detalle</w:t>
      </w:r>
      <w:r w:rsidRPr="001920F8">
        <w:rPr>
          <w:rFonts w:ascii="Arial" w:hAnsi="Arial" w:cs="Arial"/>
          <w:szCs w:val="22"/>
        </w:rPr>
        <w:t>:</w:t>
      </w:r>
    </w:p>
    <w:p w14:paraId="0935B7EB" w14:textId="77777777" w:rsidR="00D043E2" w:rsidRPr="001920F8" w:rsidRDefault="00D043E2" w:rsidP="00D043E2">
      <w:pPr>
        <w:pStyle w:val="Numeracin"/>
        <w:numPr>
          <w:ilvl w:val="0"/>
          <w:numId w:val="0"/>
        </w:numPr>
        <w:spacing w:before="0"/>
        <w:ind w:left="1272" w:right="-193"/>
        <w:rPr>
          <w:rFonts w:ascii="Arial" w:hAnsi="Arial" w:cs="Arial"/>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2409"/>
        <w:gridCol w:w="1276"/>
        <w:gridCol w:w="851"/>
        <w:gridCol w:w="708"/>
        <w:gridCol w:w="2410"/>
      </w:tblGrid>
      <w:tr w:rsidR="00D043E2" w:rsidRPr="001920F8" w14:paraId="0935B7F3" w14:textId="77777777" w:rsidTr="00804730">
        <w:trPr>
          <w:tblHeader/>
        </w:trPr>
        <w:tc>
          <w:tcPr>
            <w:tcW w:w="852" w:type="dxa"/>
            <w:vAlign w:val="center"/>
          </w:tcPr>
          <w:p w14:paraId="0935B7EC" w14:textId="77777777" w:rsidR="00D043E2" w:rsidRPr="001920F8" w:rsidRDefault="00D043E2" w:rsidP="003E62FA">
            <w:pPr>
              <w:pStyle w:val="BodyText2"/>
              <w:jc w:val="center"/>
              <w:rPr>
                <w:rFonts w:cs="Arial"/>
                <w:b/>
                <w:bCs/>
                <w:sz w:val="22"/>
                <w:szCs w:val="22"/>
              </w:rPr>
            </w:pPr>
            <w:r w:rsidRPr="001920F8">
              <w:rPr>
                <w:rFonts w:cs="Arial"/>
                <w:b/>
                <w:bCs/>
                <w:sz w:val="22"/>
                <w:szCs w:val="22"/>
              </w:rPr>
              <w:t>No.</w:t>
            </w:r>
          </w:p>
        </w:tc>
        <w:tc>
          <w:tcPr>
            <w:tcW w:w="1134" w:type="dxa"/>
            <w:vAlign w:val="center"/>
          </w:tcPr>
          <w:p w14:paraId="0935B7ED" w14:textId="77777777" w:rsidR="00D043E2" w:rsidRPr="001920F8" w:rsidRDefault="00D043E2" w:rsidP="003E62FA">
            <w:pPr>
              <w:pStyle w:val="BodyText2"/>
              <w:jc w:val="center"/>
              <w:rPr>
                <w:rFonts w:cs="Arial"/>
                <w:b/>
                <w:bCs/>
                <w:sz w:val="22"/>
                <w:szCs w:val="22"/>
              </w:rPr>
            </w:pPr>
            <w:r w:rsidRPr="001920F8">
              <w:rPr>
                <w:rFonts w:cs="Arial"/>
                <w:b/>
                <w:bCs/>
                <w:sz w:val="22"/>
                <w:szCs w:val="22"/>
              </w:rPr>
              <w:t>Nombre</w:t>
            </w:r>
          </w:p>
        </w:tc>
        <w:tc>
          <w:tcPr>
            <w:tcW w:w="2409" w:type="dxa"/>
            <w:vAlign w:val="center"/>
          </w:tcPr>
          <w:p w14:paraId="0935B7EE" w14:textId="77777777" w:rsidR="00D043E2" w:rsidRPr="001920F8" w:rsidRDefault="00D043E2" w:rsidP="003E62FA">
            <w:pPr>
              <w:pStyle w:val="BodyText2"/>
              <w:jc w:val="center"/>
              <w:rPr>
                <w:rFonts w:cs="Arial"/>
                <w:b/>
                <w:bCs/>
                <w:sz w:val="22"/>
                <w:szCs w:val="22"/>
              </w:rPr>
            </w:pPr>
            <w:r w:rsidRPr="001920F8">
              <w:rPr>
                <w:rFonts w:cs="Arial"/>
                <w:b/>
                <w:bCs/>
                <w:sz w:val="22"/>
                <w:szCs w:val="22"/>
              </w:rPr>
              <w:t>Descripción</w:t>
            </w:r>
          </w:p>
        </w:tc>
        <w:tc>
          <w:tcPr>
            <w:tcW w:w="1276" w:type="dxa"/>
            <w:vAlign w:val="center"/>
          </w:tcPr>
          <w:p w14:paraId="0935B7EF" w14:textId="77777777" w:rsidR="00D043E2" w:rsidRPr="001920F8" w:rsidRDefault="00D043E2" w:rsidP="003E62FA">
            <w:pPr>
              <w:pStyle w:val="BodyText2"/>
              <w:jc w:val="center"/>
              <w:rPr>
                <w:rFonts w:cs="Arial"/>
                <w:b/>
                <w:bCs/>
                <w:sz w:val="22"/>
                <w:szCs w:val="22"/>
              </w:rPr>
            </w:pPr>
            <w:r w:rsidRPr="001920F8">
              <w:rPr>
                <w:rFonts w:cs="Arial"/>
                <w:b/>
                <w:bCs/>
                <w:sz w:val="22"/>
                <w:szCs w:val="22"/>
              </w:rPr>
              <w:t>Formato</w:t>
            </w:r>
          </w:p>
        </w:tc>
        <w:tc>
          <w:tcPr>
            <w:tcW w:w="851" w:type="dxa"/>
            <w:vAlign w:val="center"/>
          </w:tcPr>
          <w:p w14:paraId="0935B7F0" w14:textId="77777777" w:rsidR="00D043E2" w:rsidRPr="001920F8" w:rsidRDefault="00D043E2" w:rsidP="00D27D81">
            <w:pPr>
              <w:pStyle w:val="BodyText2"/>
              <w:jc w:val="center"/>
              <w:rPr>
                <w:rFonts w:cs="Arial"/>
                <w:b/>
                <w:bCs/>
                <w:sz w:val="22"/>
                <w:szCs w:val="22"/>
              </w:rPr>
            </w:pPr>
            <w:r w:rsidRPr="001920F8">
              <w:rPr>
                <w:rFonts w:cs="Arial"/>
                <w:b/>
                <w:bCs/>
                <w:sz w:val="22"/>
                <w:szCs w:val="22"/>
              </w:rPr>
              <w:t>Long</w:t>
            </w:r>
          </w:p>
        </w:tc>
        <w:tc>
          <w:tcPr>
            <w:tcW w:w="708" w:type="dxa"/>
            <w:vAlign w:val="center"/>
          </w:tcPr>
          <w:p w14:paraId="0935B7F1" w14:textId="77777777" w:rsidR="00D043E2" w:rsidRPr="001920F8" w:rsidRDefault="00D27D81" w:rsidP="00D27D81">
            <w:pPr>
              <w:pStyle w:val="BodyText2"/>
              <w:jc w:val="center"/>
              <w:rPr>
                <w:rFonts w:cs="Arial"/>
                <w:b/>
                <w:bCs/>
                <w:sz w:val="22"/>
                <w:szCs w:val="22"/>
              </w:rPr>
            </w:pPr>
            <w:r w:rsidRPr="001920F8">
              <w:rPr>
                <w:rFonts w:cs="Arial"/>
                <w:b/>
                <w:bCs/>
                <w:sz w:val="22"/>
                <w:szCs w:val="22"/>
              </w:rPr>
              <w:t>Dec</w:t>
            </w:r>
          </w:p>
        </w:tc>
        <w:tc>
          <w:tcPr>
            <w:tcW w:w="2410" w:type="dxa"/>
            <w:vAlign w:val="center"/>
          </w:tcPr>
          <w:p w14:paraId="0935B7F2" w14:textId="77777777" w:rsidR="00D043E2" w:rsidRPr="001920F8" w:rsidRDefault="00D043E2" w:rsidP="003E62FA">
            <w:pPr>
              <w:pStyle w:val="BodyText2"/>
              <w:jc w:val="center"/>
              <w:rPr>
                <w:rFonts w:cs="Arial"/>
                <w:b/>
                <w:bCs/>
                <w:sz w:val="22"/>
                <w:szCs w:val="22"/>
              </w:rPr>
            </w:pPr>
            <w:r w:rsidRPr="001920F8">
              <w:rPr>
                <w:rFonts w:cs="Arial"/>
                <w:b/>
                <w:bCs/>
                <w:sz w:val="22"/>
                <w:szCs w:val="22"/>
              </w:rPr>
              <w:t>Observaciones</w:t>
            </w:r>
          </w:p>
        </w:tc>
      </w:tr>
      <w:tr w:rsidR="00D043E2" w:rsidRPr="001920F8" w14:paraId="0935B7FB" w14:textId="77777777" w:rsidTr="00804730">
        <w:trPr>
          <w:tblHeader/>
        </w:trPr>
        <w:tc>
          <w:tcPr>
            <w:tcW w:w="852" w:type="dxa"/>
          </w:tcPr>
          <w:p w14:paraId="0935B7F4" w14:textId="77777777" w:rsidR="00D043E2" w:rsidRPr="001920F8" w:rsidRDefault="00D043E2" w:rsidP="00E86A38">
            <w:pPr>
              <w:pStyle w:val="BodyText2"/>
              <w:jc w:val="center"/>
              <w:rPr>
                <w:rFonts w:cs="Arial"/>
                <w:b/>
                <w:bCs/>
                <w:sz w:val="22"/>
                <w:szCs w:val="22"/>
              </w:rPr>
            </w:pPr>
            <w:r w:rsidRPr="001920F8">
              <w:rPr>
                <w:rFonts w:cs="Arial"/>
                <w:sz w:val="22"/>
                <w:szCs w:val="22"/>
              </w:rPr>
              <w:t>23</w:t>
            </w:r>
          </w:p>
        </w:tc>
        <w:tc>
          <w:tcPr>
            <w:tcW w:w="1134" w:type="dxa"/>
          </w:tcPr>
          <w:p w14:paraId="0935B7F5" w14:textId="77777777" w:rsidR="00D043E2" w:rsidRPr="001920F8" w:rsidRDefault="00D043E2" w:rsidP="00E86A38">
            <w:pPr>
              <w:pStyle w:val="BodyText2"/>
              <w:jc w:val="center"/>
              <w:rPr>
                <w:rFonts w:cs="Arial"/>
                <w:b/>
                <w:bCs/>
                <w:sz w:val="22"/>
                <w:szCs w:val="22"/>
              </w:rPr>
            </w:pPr>
            <w:r w:rsidRPr="001920F8">
              <w:rPr>
                <w:rFonts w:cs="Arial"/>
                <w:sz w:val="22"/>
                <w:szCs w:val="22"/>
              </w:rPr>
              <w:t>Deterioro</w:t>
            </w:r>
          </w:p>
        </w:tc>
        <w:tc>
          <w:tcPr>
            <w:tcW w:w="2409" w:type="dxa"/>
          </w:tcPr>
          <w:p w14:paraId="0935B7F6" w14:textId="77777777" w:rsidR="00D043E2" w:rsidRPr="001920F8" w:rsidRDefault="00D043E2" w:rsidP="00E86A38">
            <w:pPr>
              <w:pStyle w:val="BodyText2"/>
              <w:rPr>
                <w:rFonts w:cs="Arial"/>
                <w:b/>
                <w:bCs/>
                <w:sz w:val="22"/>
                <w:szCs w:val="22"/>
              </w:rPr>
            </w:pPr>
            <w:r w:rsidRPr="001920F8">
              <w:rPr>
                <w:rFonts w:cs="Arial"/>
                <w:sz w:val="22"/>
                <w:szCs w:val="22"/>
              </w:rPr>
              <w:t>Registra los incrementos significativos en el riesgo crediticio sobre una base colectiva de un emisor.</w:t>
            </w:r>
          </w:p>
        </w:tc>
        <w:tc>
          <w:tcPr>
            <w:tcW w:w="1276" w:type="dxa"/>
          </w:tcPr>
          <w:p w14:paraId="0935B7F7" w14:textId="77777777" w:rsidR="00D043E2" w:rsidRPr="001920F8" w:rsidRDefault="00D043E2" w:rsidP="00E86A38">
            <w:pPr>
              <w:pStyle w:val="BodyText2"/>
              <w:rPr>
                <w:rFonts w:cs="Arial"/>
                <w:b/>
                <w:bCs/>
                <w:sz w:val="22"/>
                <w:szCs w:val="22"/>
              </w:rPr>
            </w:pPr>
            <w:r w:rsidRPr="001920F8">
              <w:rPr>
                <w:rFonts w:cs="Arial"/>
                <w:sz w:val="22"/>
                <w:szCs w:val="22"/>
              </w:rPr>
              <w:t>Numérico</w:t>
            </w:r>
          </w:p>
        </w:tc>
        <w:tc>
          <w:tcPr>
            <w:tcW w:w="851" w:type="dxa"/>
          </w:tcPr>
          <w:p w14:paraId="0935B7F8" w14:textId="77777777" w:rsidR="00D043E2" w:rsidRPr="001920F8" w:rsidRDefault="00D043E2" w:rsidP="00E86A38">
            <w:pPr>
              <w:pStyle w:val="BodyText2"/>
              <w:rPr>
                <w:rFonts w:cs="Arial"/>
                <w:b/>
                <w:bCs/>
                <w:sz w:val="22"/>
                <w:szCs w:val="22"/>
              </w:rPr>
            </w:pPr>
            <w:r w:rsidRPr="001920F8">
              <w:rPr>
                <w:rFonts w:cs="Arial"/>
                <w:sz w:val="22"/>
                <w:szCs w:val="22"/>
              </w:rPr>
              <w:t>18</w:t>
            </w:r>
          </w:p>
        </w:tc>
        <w:tc>
          <w:tcPr>
            <w:tcW w:w="708" w:type="dxa"/>
          </w:tcPr>
          <w:p w14:paraId="0935B7F9" w14:textId="77777777" w:rsidR="00D043E2" w:rsidRPr="001920F8" w:rsidRDefault="00D043E2" w:rsidP="00E86A38">
            <w:pPr>
              <w:pStyle w:val="BodyText2"/>
              <w:rPr>
                <w:rFonts w:cs="Arial"/>
                <w:b/>
                <w:bCs/>
                <w:sz w:val="22"/>
                <w:szCs w:val="22"/>
              </w:rPr>
            </w:pPr>
            <w:r w:rsidRPr="001920F8">
              <w:rPr>
                <w:rFonts w:cs="Arial"/>
                <w:sz w:val="22"/>
                <w:szCs w:val="22"/>
              </w:rPr>
              <w:t>3</w:t>
            </w:r>
          </w:p>
        </w:tc>
        <w:tc>
          <w:tcPr>
            <w:tcW w:w="2410" w:type="dxa"/>
          </w:tcPr>
          <w:p w14:paraId="0935B7FA" w14:textId="77777777" w:rsidR="00D043E2" w:rsidRPr="001920F8" w:rsidRDefault="00D043E2" w:rsidP="00E86A38">
            <w:pPr>
              <w:pStyle w:val="BodyText2"/>
              <w:rPr>
                <w:rFonts w:cs="Arial"/>
                <w:b/>
                <w:bCs/>
                <w:sz w:val="22"/>
                <w:szCs w:val="22"/>
              </w:rPr>
            </w:pPr>
            <w:r w:rsidRPr="001920F8">
              <w:rPr>
                <w:rFonts w:cs="Arial"/>
                <w:sz w:val="22"/>
                <w:szCs w:val="22"/>
              </w:rPr>
              <w:t>Debe ser un valor negativo o cero. No puede ser positivo o nulo. Solo aplica cuando el campo 32 es: “</w:t>
            </w:r>
            <w:r w:rsidRPr="001920F8">
              <w:rPr>
                <w:rFonts w:cs="Arial"/>
                <w:b/>
                <w:sz w:val="22"/>
                <w:szCs w:val="22"/>
              </w:rPr>
              <w:t>C</w:t>
            </w:r>
            <w:r w:rsidR="008B3BA1" w:rsidRPr="001920F8">
              <w:rPr>
                <w:rFonts w:cs="Arial"/>
                <w:b/>
                <w:sz w:val="22"/>
                <w:szCs w:val="22"/>
              </w:rPr>
              <w:t xml:space="preserve">oste </w:t>
            </w:r>
            <w:r w:rsidRPr="001920F8">
              <w:rPr>
                <w:rFonts w:cs="Arial"/>
                <w:b/>
                <w:sz w:val="22"/>
                <w:szCs w:val="22"/>
              </w:rPr>
              <w:t>A</w:t>
            </w:r>
            <w:r w:rsidR="008B3BA1" w:rsidRPr="001920F8">
              <w:rPr>
                <w:rFonts w:cs="Arial"/>
                <w:b/>
                <w:sz w:val="22"/>
                <w:szCs w:val="22"/>
              </w:rPr>
              <w:t>mortizado</w:t>
            </w:r>
            <w:r w:rsidRPr="001920F8">
              <w:rPr>
                <w:rFonts w:cs="Arial"/>
                <w:sz w:val="22"/>
                <w:szCs w:val="22"/>
              </w:rPr>
              <w:t>”</w:t>
            </w:r>
            <w:r w:rsidR="000C615D" w:rsidRPr="001920F8">
              <w:rPr>
                <w:rFonts w:cs="Arial"/>
                <w:sz w:val="22"/>
                <w:szCs w:val="22"/>
              </w:rPr>
              <w:t xml:space="preserve"> o “</w:t>
            </w:r>
            <w:r w:rsidR="000C615D" w:rsidRPr="001920F8">
              <w:rPr>
                <w:rFonts w:cs="Arial"/>
                <w:b/>
                <w:sz w:val="22"/>
                <w:szCs w:val="22"/>
              </w:rPr>
              <w:t>Valor Razonable con cambios en Otro Resultado Integral</w:t>
            </w:r>
            <w:r w:rsidR="000C615D" w:rsidRPr="001920F8">
              <w:rPr>
                <w:rFonts w:cs="Arial"/>
                <w:sz w:val="22"/>
                <w:szCs w:val="22"/>
              </w:rPr>
              <w:t>”</w:t>
            </w:r>
          </w:p>
        </w:tc>
      </w:tr>
      <w:tr w:rsidR="00D27D81" w:rsidRPr="001920F8" w14:paraId="0935B804" w14:textId="77777777" w:rsidTr="00804730">
        <w:trPr>
          <w:tblHeader/>
        </w:trPr>
        <w:tc>
          <w:tcPr>
            <w:tcW w:w="852" w:type="dxa"/>
          </w:tcPr>
          <w:p w14:paraId="0935B7FC" w14:textId="77777777" w:rsidR="00D27D81" w:rsidRPr="001920F8" w:rsidRDefault="00D27D81" w:rsidP="00E86A38">
            <w:pPr>
              <w:pStyle w:val="BodyText2"/>
              <w:jc w:val="center"/>
              <w:rPr>
                <w:rFonts w:cs="Arial"/>
                <w:sz w:val="22"/>
                <w:szCs w:val="22"/>
              </w:rPr>
            </w:pPr>
            <w:r w:rsidRPr="001920F8">
              <w:rPr>
                <w:rFonts w:cs="Arial"/>
                <w:sz w:val="22"/>
                <w:szCs w:val="22"/>
              </w:rPr>
              <w:t>31</w:t>
            </w:r>
          </w:p>
        </w:tc>
        <w:tc>
          <w:tcPr>
            <w:tcW w:w="1134" w:type="dxa"/>
          </w:tcPr>
          <w:p w14:paraId="0935B7FD" w14:textId="77777777" w:rsidR="00D27D81" w:rsidRPr="001920F8" w:rsidRDefault="00D27D81" w:rsidP="00E86A38">
            <w:pPr>
              <w:pStyle w:val="BodyText2"/>
              <w:jc w:val="center"/>
              <w:rPr>
                <w:rFonts w:cs="Arial"/>
                <w:sz w:val="22"/>
                <w:szCs w:val="22"/>
              </w:rPr>
            </w:pPr>
            <w:r w:rsidRPr="001920F8">
              <w:rPr>
                <w:rFonts w:cs="Arial"/>
                <w:sz w:val="22"/>
                <w:szCs w:val="22"/>
              </w:rPr>
              <w:t>Modelo de Negocio</w:t>
            </w:r>
          </w:p>
        </w:tc>
        <w:tc>
          <w:tcPr>
            <w:tcW w:w="2409" w:type="dxa"/>
          </w:tcPr>
          <w:p w14:paraId="0935B7FE" w14:textId="77777777" w:rsidR="00D27D81" w:rsidRPr="001920F8" w:rsidRDefault="00D27D81" w:rsidP="00E86A38">
            <w:pPr>
              <w:pStyle w:val="BodyText2"/>
              <w:rPr>
                <w:rFonts w:cs="Arial"/>
                <w:sz w:val="22"/>
                <w:szCs w:val="22"/>
              </w:rPr>
            </w:pPr>
            <w:r w:rsidRPr="001920F8">
              <w:rPr>
                <w:rFonts w:cs="Arial"/>
                <w:sz w:val="22"/>
                <w:szCs w:val="22"/>
              </w:rPr>
              <w:t>Determina  cómo se gestionan juntos los grupos de activos financieros para lograr un objetivo de negocio concreto.</w:t>
            </w:r>
          </w:p>
        </w:tc>
        <w:tc>
          <w:tcPr>
            <w:tcW w:w="1276" w:type="dxa"/>
          </w:tcPr>
          <w:p w14:paraId="0935B7FF" w14:textId="77777777" w:rsidR="00D27D81" w:rsidRPr="001920F8" w:rsidRDefault="00D27D81" w:rsidP="00E86A38">
            <w:pPr>
              <w:pStyle w:val="BodyText2"/>
              <w:rPr>
                <w:rFonts w:cs="Arial"/>
                <w:sz w:val="22"/>
                <w:szCs w:val="22"/>
              </w:rPr>
            </w:pPr>
            <w:r w:rsidRPr="001920F8">
              <w:rPr>
                <w:rFonts w:cs="Arial"/>
                <w:sz w:val="22"/>
                <w:szCs w:val="22"/>
              </w:rPr>
              <w:t>Alfanumérico</w:t>
            </w:r>
          </w:p>
        </w:tc>
        <w:tc>
          <w:tcPr>
            <w:tcW w:w="851" w:type="dxa"/>
          </w:tcPr>
          <w:p w14:paraId="0935B800" w14:textId="77777777" w:rsidR="00D27D81" w:rsidRPr="001920F8" w:rsidRDefault="00D27D81" w:rsidP="00E86A38">
            <w:pPr>
              <w:pStyle w:val="BodyText2"/>
              <w:rPr>
                <w:rFonts w:cs="Arial"/>
                <w:sz w:val="22"/>
                <w:szCs w:val="22"/>
              </w:rPr>
            </w:pPr>
            <w:r w:rsidRPr="001920F8">
              <w:rPr>
                <w:rFonts w:cs="Arial"/>
                <w:sz w:val="22"/>
                <w:szCs w:val="22"/>
              </w:rPr>
              <w:t>5</w:t>
            </w:r>
          </w:p>
        </w:tc>
        <w:tc>
          <w:tcPr>
            <w:tcW w:w="708" w:type="dxa"/>
          </w:tcPr>
          <w:p w14:paraId="0935B801" w14:textId="77777777" w:rsidR="00D27D81" w:rsidRPr="001920F8" w:rsidRDefault="00D27D81" w:rsidP="00E86A38">
            <w:pPr>
              <w:pStyle w:val="BodyText2"/>
              <w:rPr>
                <w:rFonts w:cs="Arial"/>
                <w:sz w:val="22"/>
                <w:szCs w:val="22"/>
              </w:rPr>
            </w:pPr>
          </w:p>
        </w:tc>
        <w:tc>
          <w:tcPr>
            <w:tcW w:w="2410" w:type="dxa"/>
            <w:shd w:val="clear" w:color="auto" w:fill="auto"/>
          </w:tcPr>
          <w:p w14:paraId="0935B802" w14:textId="77777777" w:rsidR="00D27D81" w:rsidRPr="001920F8" w:rsidRDefault="00D27D81" w:rsidP="00E86A38">
            <w:pPr>
              <w:pStyle w:val="FootnoteText"/>
              <w:jc w:val="both"/>
              <w:rPr>
                <w:rFonts w:cs="Arial"/>
                <w:sz w:val="22"/>
                <w:szCs w:val="22"/>
              </w:rPr>
            </w:pPr>
            <w:r w:rsidRPr="001920F8">
              <w:rPr>
                <w:rFonts w:cs="Arial"/>
                <w:sz w:val="22"/>
                <w:szCs w:val="22"/>
              </w:rPr>
              <w:t>No puede ser nulo. Los valores válidos se detallan en la tabla 11 del anexo.</w:t>
            </w:r>
          </w:p>
          <w:p w14:paraId="0935B803" w14:textId="77777777" w:rsidR="00D27D81" w:rsidRPr="001920F8" w:rsidRDefault="00D27D81" w:rsidP="00E86A38">
            <w:pPr>
              <w:pStyle w:val="BodyText2"/>
              <w:rPr>
                <w:rFonts w:cs="Arial"/>
                <w:sz w:val="22"/>
                <w:szCs w:val="22"/>
              </w:rPr>
            </w:pPr>
          </w:p>
        </w:tc>
      </w:tr>
    </w:tbl>
    <w:p w14:paraId="0935B805" w14:textId="77777777" w:rsidR="00D043E2" w:rsidRPr="001920F8" w:rsidRDefault="00D043E2" w:rsidP="00D043E2">
      <w:pPr>
        <w:pStyle w:val="Numeracin"/>
        <w:numPr>
          <w:ilvl w:val="0"/>
          <w:numId w:val="0"/>
        </w:numPr>
        <w:spacing w:before="0"/>
        <w:ind w:left="1272" w:right="-193"/>
        <w:rPr>
          <w:rFonts w:ascii="Arial" w:hAnsi="Arial" w:cs="Arial"/>
          <w:szCs w:val="22"/>
        </w:rPr>
      </w:pPr>
    </w:p>
    <w:p w14:paraId="0935B806" w14:textId="77777777" w:rsidR="00D043E2" w:rsidRPr="001920F8" w:rsidRDefault="00D043E2" w:rsidP="00036A81">
      <w:pPr>
        <w:pStyle w:val="Numeracin"/>
        <w:numPr>
          <w:ilvl w:val="0"/>
          <w:numId w:val="4"/>
        </w:numPr>
        <w:spacing w:before="0"/>
        <w:ind w:right="-193"/>
        <w:rPr>
          <w:rFonts w:ascii="Arial" w:hAnsi="Arial" w:cs="Arial"/>
          <w:szCs w:val="22"/>
        </w:rPr>
      </w:pPr>
      <w:r w:rsidRPr="001920F8">
        <w:rPr>
          <w:rFonts w:ascii="Arial" w:hAnsi="Arial" w:cs="Arial"/>
          <w:szCs w:val="22"/>
        </w:rPr>
        <w:lastRenderedPageBreak/>
        <w:t xml:space="preserve">Se </w:t>
      </w:r>
      <w:r w:rsidR="00FE37BB" w:rsidRPr="001920F8">
        <w:rPr>
          <w:rFonts w:ascii="Arial" w:hAnsi="Arial" w:cs="Arial"/>
          <w:szCs w:val="22"/>
        </w:rPr>
        <w:t xml:space="preserve">agrega la Tabla No. 11, se </w:t>
      </w:r>
      <w:r w:rsidRPr="001920F8">
        <w:rPr>
          <w:rFonts w:ascii="Arial" w:hAnsi="Arial" w:cs="Arial"/>
          <w:szCs w:val="22"/>
        </w:rPr>
        <w:t>modifica</w:t>
      </w:r>
      <w:r w:rsidR="00DF1C69" w:rsidRPr="001920F8">
        <w:rPr>
          <w:rFonts w:ascii="Arial" w:hAnsi="Arial" w:cs="Arial"/>
          <w:szCs w:val="22"/>
        </w:rPr>
        <w:t>n</w:t>
      </w:r>
      <w:r w:rsidRPr="001920F8">
        <w:rPr>
          <w:rFonts w:ascii="Arial" w:hAnsi="Arial" w:cs="Arial"/>
          <w:szCs w:val="22"/>
        </w:rPr>
        <w:t xml:space="preserve"> la</w:t>
      </w:r>
      <w:r w:rsidR="00DF1C69" w:rsidRPr="001920F8">
        <w:rPr>
          <w:rFonts w:ascii="Arial" w:hAnsi="Arial" w:cs="Arial"/>
          <w:szCs w:val="22"/>
        </w:rPr>
        <w:t>s</w:t>
      </w:r>
      <w:r w:rsidRPr="001920F8">
        <w:rPr>
          <w:rFonts w:ascii="Arial" w:hAnsi="Arial" w:cs="Arial"/>
          <w:szCs w:val="22"/>
        </w:rPr>
        <w:t xml:space="preserve"> tabla</w:t>
      </w:r>
      <w:r w:rsidR="00DF1C69" w:rsidRPr="001920F8">
        <w:rPr>
          <w:rFonts w:ascii="Arial" w:hAnsi="Arial" w:cs="Arial"/>
          <w:szCs w:val="22"/>
        </w:rPr>
        <w:t>s</w:t>
      </w:r>
      <w:r w:rsidRPr="001920F8">
        <w:rPr>
          <w:rFonts w:ascii="Arial" w:hAnsi="Arial" w:cs="Arial"/>
          <w:szCs w:val="22"/>
        </w:rPr>
        <w:t xml:space="preserve"> </w:t>
      </w:r>
      <w:r w:rsidR="00617634" w:rsidRPr="001920F8">
        <w:rPr>
          <w:rFonts w:ascii="Arial" w:hAnsi="Arial" w:cs="Arial"/>
          <w:szCs w:val="22"/>
        </w:rPr>
        <w:t xml:space="preserve">No. </w:t>
      </w:r>
      <w:r w:rsidR="00DF1C69" w:rsidRPr="001920F8">
        <w:rPr>
          <w:rFonts w:ascii="Arial" w:hAnsi="Arial" w:cs="Arial"/>
          <w:szCs w:val="22"/>
        </w:rPr>
        <w:t xml:space="preserve">1 y </w:t>
      </w:r>
      <w:r w:rsidRPr="001920F8">
        <w:rPr>
          <w:rFonts w:ascii="Arial" w:hAnsi="Arial" w:cs="Arial"/>
          <w:szCs w:val="22"/>
        </w:rPr>
        <w:t>7 y se actualizan las reglas de validación de los siguientes campos</w:t>
      </w:r>
      <w:r w:rsidR="007E5664" w:rsidRPr="001920F8">
        <w:rPr>
          <w:rFonts w:ascii="Arial" w:hAnsi="Arial" w:cs="Arial"/>
          <w:szCs w:val="22"/>
        </w:rPr>
        <w:t>:</w:t>
      </w:r>
      <w:r w:rsidR="00DF1C69" w:rsidRPr="001920F8">
        <w:rPr>
          <w:rFonts w:ascii="Arial" w:hAnsi="Arial" w:cs="Arial"/>
          <w:szCs w:val="22"/>
        </w:rPr>
        <w:t xml:space="preserve"> </w:t>
      </w:r>
      <w:r w:rsidR="003E09E1" w:rsidRPr="001920F8">
        <w:rPr>
          <w:rFonts w:ascii="Arial" w:hAnsi="Arial" w:cs="Arial"/>
          <w:szCs w:val="22"/>
        </w:rPr>
        <w:t>Canal de Venta, Nemotécnico del emisor</w:t>
      </w:r>
      <w:r w:rsidRPr="001920F8">
        <w:rPr>
          <w:rFonts w:ascii="Arial" w:hAnsi="Arial" w:cs="Arial"/>
          <w:szCs w:val="22"/>
        </w:rPr>
        <w:t>,</w:t>
      </w:r>
      <w:r w:rsidR="003E09E1" w:rsidRPr="001920F8">
        <w:rPr>
          <w:rFonts w:ascii="Arial" w:hAnsi="Arial" w:cs="Arial"/>
          <w:szCs w:val="22"/>
        </w:rPr>
        <w:t xml:space="preserve"> Nombre del emisor</w:t>
      </w:r>
      <w:r w:rsidR="00EC78E8" w:rsidRPr="001920F8">
        <w:rPr>
          <w:rFonts w:ascii="Arial" w:hAnsi="Arial" w:cs="Arial"/>
          <w:szCs w:val="22"/>
        </w:rPr>
        <w:t xml:space="preserve">, Nemotécnico del instrumento, Nombre del instrumento, Indicador de estandarización, </w:t>
      </w:r>
      <w:r w:rsidR="00400004" w:rsidRPr="001920F8">
        <w:rPr>
          <w:rFonts w:ascii="Arial" w:hAnsi="Arial" w:cs="Arial"/>
          <w:szCs w:val="22"/>
        </w:rPr>
        <w:t xml:space="preserve">Sector del emisor, Tasa interés neta, Premio, Valor facial,  Intereses acumulados de conformidad con el detalle </w:t>
      </w:r>
      <w:r w:rsidR="00FE37BB" w:rsidRPr="001920F8">
        <w:rPr>
          <w:rFonts w:ascii="Arial" w:hAnsi="Arial" w:cs="Arial"/>
          <w:szCs w:val="22"/>
        </w:rPr>
        <w:t>en los anexos 10 y 18:</w:t>
      </w:r>
    </w:p>
    <w:p w14:paraId="0935B807" w14:textId="77777777" w:rsidR="003E62FA" w:rsidRPr="001920F8" w:rsidRDefault="003E62FA" w:rsidP="003E62FA">
      <w:pPr>
        <w:pStyle w:val="Numeracin"/>
        <w:numPr>
          <w:ilvl w:val="0"/>
          <w:numId w:val="0"/>
        </w:numPr>
        <w:spacing w:before="0"/>
        <w:ind w:left="643" w:right="-193" w:hanging="360"/>
        <w:rPr>
          <w:rFonts w:ascii="Arial" w:hAnsi="Arial" w:cs="Arial"/>
          <w:szCs w:val="22"/>
        </w:rPr>
      </w:pPr>
    </w:p>
    <w:bookmarkStart w:id="1" w:name="_MON_1612684804"/>
    <w:bookmarkEnd w:id="1"/>
    <w:p w14:paraId="0935B808" w14:textId="77777777" w:rsidR="003E62FA" w:rsidRPr="001920F8" w:rsidRDefault="000C615D" w:rsidP="00804730">
      <w:pPr>
        <w:pStyle w:val="Numeracin"/>
        <w:numPr>
          <w:ilvl w:val="0"/>
          <w:numId w:val="0"/>
        </w:numPr>
        <w:spacing w:before="0"/>
        <w:ind w:left="643" w:right="-193" w:hanging="360"/>
        <w:jc w:val="center"/>
        <w:rPr>
          <w:rFonts w:ascii="Arial" w:hAnsi="Arial" w:cs="Arial"/>
          <w:szCs w:val="22"/>
        </w:rPr>
      </w:pPr>
      <w:r w:rsidRPr="001920F8">
        <w:rPr>
          <w:rFonts w:ascii="Arial" w:hAnsi="Arial" w:cs="Arial"/>
          <w:szCs w:val="22"/>
        </w:rPr>
        <w:object w:dxaOrig="1596" w:dyaOrig="1033" w14:anchorId="0935B894">
          <v:shape id="_x0000_i1027" type="#_x0000_t75" style="width:79.5pt;height:50.25pt" o:ole="">
            <v:imagedata r:id="rId15" o:title=""/>
          </v:shape>
          <o:OLEObject Type="Embed" ProgID="Word.Document.12" ShapeID="_x0000_i1027" DrawAspect="Icon" ObjectID="_1636895193" r:id="rId16">
            <o:FieldCodes>\s</o:FieldCodes>
          </o:OLEObject>
        </w:object>
      </w:r>
      <w:bookmarkStart w:id="2" w:name="_MON_1612684820"/>
      <w:bookmarkEnd w:id="2"/>
      <w:r w:rsidRPr="001920F8">
        <w:rPr>
          <w:rFonts w:ascii="Arial" w:hAnsi="Arial" w:cs="Arial"/>
          <w:szCs w:val="22"/>
        </w:rPr>
        <w:object w:dxaOrig="1596" w:dyaOrig="1033" w14:anchorId="0935B895">
          <v:shape id="_x0000_i1028" type="#_x0000_t75" style="width:79.5pt;height:50.25pt" o:ole="">
            <v:imagedata r:id="rId17" o:title=""/>
          </v:shape>
          <o:OLEObject Type="Embed" ProgID="Word.Document.12" ShapeID="_x0000_i1028" DrawAspect="Icon" ObjectID="_1636895194" r:id="rId18">
            <o:FieldCodes>\s</o:FieldCodes>
          </o:OLEObject>
        </w:object>
      </w:r>
    </w:p>
    <w:p w14:paraId="0935B809" w14:textId="77777777" w:rsidR="0094720A" w:rsidRPr="001920F8" w:rsidRDefault="0094720A" w:rsidP="003E62FA">
      <w:pPr>
        <w:pStyle w:val="Numeracin"/>
        <w:numPr>
          <w:ilvl w:val="0"/>
          <w:numId w:val="0"/>
        </w:numPr>
        <w:spacing w:before="0"/>
        <w:ind w:left="643" w:right="-193" w:hanging="360"/>
        <w:rPr>
          <w:rFonts w:ascii="Arial" w:hAnsi="Arial" w:cs="Arial"/>
          <w:szCs w:val="22"/>
        </w:rPr>
      </w:pPr>
    </w:p>
    <w:p w14:paraId="0935B80A" w14:textId="77777777" w:rsidR="00A936B3" w:rsidRPr="001920F8" w:rsidRDefault="00A936B3" w:rsidP="00036A81">
      <w:pPr>
        <w:pStyle w:val="Numeracin"/>
        <w:numPr>
          <w:ilvl w:val="0"/>
          <w:numId w:val="4"/>
        </w:numPr>
        <w:spacing w:before="0"/>
        <w:ind w:right="-193"/>
        <w:rPr>
          <w:rFonts w:ascii="Arial" w:hAnsi="Arial" w:cs="Arial"/>
          <w:szCs w:val="22"/>
        </w:rPr>
      </w:pPr>
      <w:r w:rsidRPr="001920F8">
        <w:rPr>
          <w:rFonts w:ascii="Arial" w:hAnsi="Arial" w:cs="Arial"/>
          <w:szCs w:val="22"/>
        </w:rPr>
        <w:t>En el Anexo 3.a.2  Instructivo para el “Reporte de movimientos de deuda estandarizada” se cambia el nombre “ventanilla”  a “colocación directa” de acuerdo con lo siguiente:</w:t>
      </w:r>
    </w:p>
    <w:p w14:paraId="0935B80B" w14:textId="77777777" w:rsidR="00E86A38" w:rsidRPr="001920F8" w:rsidRDefault="00E86A38" w:rsidP="00A936B3">
      <w:pPr>
        <w:pStyle w:val="Numeracin"/>
        <w:numPr>
          <w:ilvl w:val="0"/>
          <w:numId w:val="0"/>
        </w:numPr>
        <w:tabs>
          <w:tab w:val="left" w:pos="567"/>
        </w:tabs>
        <w:spacing w:before="0"/>
        <w:ind w:left="360" w:right="-193" w:hanging="360"/>
        <w:rPr>
          <w:rFonts w:ascii="Arial" w:hAnsi="Arial" w:cs="Arial"/>
          <w:szCs w:val="22"/>
        </w:rPr>
      </w:pPr>
    </w:p>
    <w:tbl>
      <w:tblPr>
        <w:tblpPr w:leftFromText="141" w:rightFromText="141" w:vertAnchor="text" w:horzAnchor="margin" w:tblpX="-431" w:tblpY="233"/>
        <w:tblW w:w="9493" w:type="dxa"/>
        <w:tblCellMar>
          <w:left w:w="70" w:type="dxa"/>
          <w:right w:w="70" w:type="dxa"/>
        </w:tblCellMar>
        <w:tblLook w:val="04A0" w:firstRow="1" w:lastRow="0" w:firstColumn="1" w:lastColumn="0" w:noHBand="0" w:noVBand="1"/>
      </w:tblPr>
      <w:tblGrid>
        <w:gridCol w:w="1461"/>
        <w:gridCol w:w="1900"/>
        <w:gridCol w:w="2976"/>
        <w:gridCol w:w="3156"/>
      </w:tblGrid>
      <w:tr w:rsidR="00BA347C" w:rsidRPr="001920F8" w14:paraId="0935B810" w14:textId="77777777" w:rsidTr="00ED4D0E">
        <w:trPr>
          <w:trHeight w:val="300"/>
          <w:tblHeader/>
        </w:trPr>
        <w:tc>
          <w:tcPr>
            <w:tcW w:w="146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935B80C" w14:textId="77777777" w:rsidR="00BA347C" w:rsidRPr="001920F8" w:rsidRDefault="00BA347C" w:rsidP="00627D4F">
            <w:pPr>
              <w:spacing w:after="0" w:line="240" w:lineRule="auto"/>
              <w:jc w:val="center"/>
              <w:rPr>
                <w:rFonts w:eastAsia="Times New Roman" w:cs="Arial"/>
                <w:b/>
                <w:bCs/>
                <w:lang w:val="es-CR" w:eastAsia="es-CR"/>
              </w:rPr>
            </w:pPr>
            <w:r w:rsidRPr="001920F8">
              <w:rPr>
                <w:rFonts w:eastAsia="Times New Roman" w:cs="Arial"/>
                <w:b/>
                <w:bCs/>
                <w:lang w:val="es-CR" w:eastAsia="es-CR"/>
              </w:rPr>
              <w:t xml:space="preserve">Código </w:t>
            </w:r>
          </w:p>
        </w:tc>
        <w:tc>
          <w:tcPr>
            <w:tcW w:w="1900" w:type="dxa"/>
            <w:tcBorders>
              <w:top w:val="single" w:sz="4" w:space="0" w:color="auto"/>
              <w:left w:val="nil"/>
              <w:bottom w:val="single" w:sz="4" w:space="0" w:color="auto"/>
              <w:right w:val="single" w:sz="4" w:space="0" w:color="auto"/>
            </w:tcBorders>
            <w:shd w:val="clear" w:color="000000" w:fill="C0C0C0"/>
            <w:vAlign w:val="center"/>
            <w:hideMark/>
          </w:tcPr>
          <w:p w14:paraId="0935B80D" w14:textId="77777777" w:rsidR="00BA347C" w:rsidRPr="001920F8" w:rsidRDefault="00BA347C" w:rsidP="00627D4F">
            <w:pPr>
              <w:spacing w:after="0" w:line="240" w:lineRule="auto"/>
              <w:jc w:val="center"/>
              <w:rPr>
                <w:rFonts w:eastAsia="Times New Roman" w:cs="Arial"/>
                <w:b/>
                <w:bCs/>
                <w:lang w:val="es-CR" w:eastAsia="es-CR"/>
              </w:rPr>
            </w:pPr>
            <w:r w:rsidRPr="001920F8">
              <w:rPr>
                <w:rFonts w:eastAsia="Times New Roman" w:cs="Arial"/>
                <w:b/>
                <w:bCs/>
                <w:lang w:val="es-CR" w:eastAsia="es-CR"/>
              </w:rPr>
              <w:t>Cuenta</w:t>
            </w:r>
          </w:p>
        </w:tc>
        <w:tc>
          <w:tcPr>
            <w:tcW w:w="2976" w:type="dxa"/>
            <w:tcBorders>
              <w:top w:val="single" w:sz="4" w:space="0" w:color="auto"/>
              <w:left w:val="nil"/>
              <w:bottom w:val="single" w:sz="4" w:space="0" w:color="auto"/>
              <w:right w:val="single" w:sz="4" w:space="0" w:color="auto"/>
            </w:tcBorders>
            <w:shd w:val="clear" w:color="000000" w:fill="C0C0C0"/>
            <w:vAlign w:val="center"/>
            <w:hideMark/>
          </w:tcPr>
          <w:p w14:paraId="0935B80E" w14:textId="77777777" w:rsidR="00BA347C" w:rsidRPr="001920F8" w:rsidRDefault="00BA347C" w:rsidP="00627D4F">
            <w:pPr>
              <w:spacing w:after="0" w:line="240" w:lineRule="auto"/>
              <w:jc w:val="center"/>
              <w:rPr>
                <w:rFonts w:eastAsia="Times New Roman" w:cs="Arial"/>
                <w:b/>
                <w:bCs/>
                <w:lang w:val="es-CR" w:eastAsia="es-CR"/>
              </w:rPr>
            </w:pPr>
            <w:r w:rsidRPr="001920F8">
              <w:rPr>
                <w:rFonts w:eastAsia="Times New Roman" w:cs="Arial"/>
                <w:b/>
                <w:bCs/>
                <w:lang w:val="es-CR" w:eastAsia="es-CR"/>
              </w:rPr>
              <w:t>Vigente</w:t>
            </w:r>
          </w:p>
        </w:tc>
        <w:tc>
          <w:tcPr>
            <w:tcW w:w="3156" w:type="dxa"/>
            <w:tcBorders>
              <w:top w:val="single" w:sz="4" w:space="0" w:color="auto"/>
              <w:left w:val="nil"/>
              <w:bottom w:val="single" w:sz="4" w:space="0" w:color="auto"/>
              <w:right w:val="single" w:sz="4" w:space="0" w:color="auto"/>
            </w:tcBorders>
            <w:shd w:val="clear" w:color="000000" w:fill="C0C0C0"/>
            <w:vAlign w:val="center"/>
            <w:hideMark/>
          </w:tcPr>
          <w:p w14:paraId="0935B80F" w14:textId="77777777" w:rsidR="00BA347C" w:rsidRPr="001920F8" w:rsidRDefault="00BA347C" w:rsidP="00627D4F">
            <w:pPr>
              <w:spacing w:after="0" w:line="240" w:lineRule="auto"/>
              <w:jc w:val="center"/>
              <w:rPr>
                <w:rFonts w:eastAsia="Times New Roman" w:cs="Arial"/>
                <w:b/>
                <w:bCs/>
                <w:lang w:val="es-CR" w:eastAsia="es-CR"/>
              </w:rPr>
            </w:pPr>
            <w:r w:rsidRPr="001920F8">
              <w:rPr>
                <w:rFonts w:eastAsia="Times New Roman" w:cs="Arial"/>
                <w:b/>
                <w:bCs/>
                <w:lang w:val="es-CR" w:eastAsia="es-CR"/>
              </w:rPr>
              <w:t>Propuesto</w:t>
            </w:r>
          </w:p>
        </w:tc>
      </w:tr>
      <w:tr w:rsidR="00BA347C" w:rsidRPr="001920F8" w14:paraId="0935B815" w14:textId="77777777" w:rsidTr="00627D4F">
        <w:trPr>
          <w:trHeight w:val="300"/>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935B811" w14:textId="77777777" w:rsidR="00BA347C" w:rsidRPr="001920F8" w:rsidRDefault="00BA347C" w:rsidP="00627D4F">
            <w:pPr>
              <w:spacing w:after="0" w:line="240" w:lineRule="auto"/>
              <w:jc w:val="center"/>
              <w:rPr>
                <w:rFonts w:eastAsia="Times New Roman" w:cs="Arial"/>
                <w:b/>
                <w:bCs/>
                <w:lang w:val="es-CR" w:eastAsia="es-CR"/>
              </w:rPr>
            </w:pPr>
            <w:r w:rsidRPr="001920F8">
              <w:rPr>
                <w:rFonts w:eastAsia="Times New Roman" w:cs="Arial"/>
                <w:b/>
                <w:bCs/>
                <w:lang w:val="es-CR" w:eastAsia="es-CR"/>
              </w:rPr>
              <w:t> </w:t>
            </w:r>
          </w:p>
        </w:tc>
        <w:tc>
          <w:tcPr>
            <w:tcW w:w="1900" w:type="dxa"/>
            <w:tcBorders>
              <w:top w:val="nil"/>
              <w:left w:val="nil"/>
              <w:bottom w:val="single" w:sz="4" w:space="0" w:color="auto"/>
              <w:right w:val="single" w:sz="4" w:space="0" w:color="auto"/>
            </w:tcBorders>
            <w:shd w:val="clear" w:color="auto" w:fill="auto"/>
            <w:noWrap/>
            <w:vAlign w:val="center"/>
            <w:hideMark/>
          </w:tcPr>
          <w:p w14:paraId="0935B812" w14:textId="77777777" w:rsidR="00BA347C" w:rsidRPr="001920F8" w:rsidRDefault="00BA347C" w:rsidP="00627D4F">
            <w:pPr>
              <w:spacing w:after="0" w:line="240" w:lineRule="auto"/>
              <w:jc w:val="both"/>
              <w:rPr>
                <w:rFonts w:eastAsia="Times New Roman" w:cs="Arial"/>
                <w:b/>
                <w:bCs/>
                <w:lang w:val="es-CR" w:eastAsia="es-CR"/>
              </w:rPr>
            </w:pPr>
            <w:r w:rsidRPr="001920F8">
              <w:rPr>
                <w:rFonts w:eastAsia="Times New Roman" w:cs="Arial"/>
                <w:b/>
                <w:bCs/>
                <w:lang w:val="es-CR" w:eastAsia="es-CR"/>
              </w:rPr>
              <w:t>VENTANILLA</w:t>
            </w:r>
          </w:p>
        </w:tc>
        <w:tc>
          <w:tcPr>
            <w:tcW w:w="2976" w:type="dxa"/>
            <w:tcBorders>
              <w:top w:val="nil"/>
              <w:left w:val="nil"/>
              <w:bottom w:val="single" w:sz="4" w:space="0" w:color="auto"/>
              <w:right w:val="single" w:sz="4" w:space="0" w:color="auto"/>
            </w:tcBorders>
            <w:shd w:val="clear" w:color="auto" w:fill="auto"/>
            <w:vAlign w:val="center"/>
            <w:hideMark/>
          </w:tcPr>
          <w:p w14:paraId="0935B813" w14:textId="77777777" w:rsidR="00BA347C" w:rsidRPr="001920F8" w:rsidRDefault="00BA347C" w:rsidP="00627D4F">
            <w:pPr>
              <w:spacing w:after="0" w:line="240" w:lineRule="auto"/>
              <w:jc w:val="center"/>
              <w:rPr>
                <w:rFonts w:eastAsia="Times New Roman" w:cs="Arial"/>
                <w:b/>
                <w:bCs/>
                <w:lang w:val="es-CR" w:eastAsia="es-CR"/>
              </w:rPr>
            </w:pPr>
            <w:r w:rsidRPr="001920F8">
              <w:rPr>
                <w:rFonts w:eastAsia="Times New Roman" w:cs="Arial"/>
                <w:b/>
                <w:bCs/>
                <w:lang w:val="es-CR" w:eastAsia="es-CR"/>
              </w:rPr>
              <w:t> </w:t>
            </w:r>
          </w:p>
        </w:tc>
        <w:tc>
          <w:tcPr>
            <w:tcW w:w="3156" w:type="dxa"/>
            <w:tcBorders>
              <w:top w:val="nil"/>
              <w:left w:val="nil"/>
              <w:bottom w:val="single" w:sz="4" w:space="0" w:color="auto"/>
              <w:right w:val="single" w:sz="4" w:space="0" w:color="auto"/>
            </w:tcBorders>
            <w:shd w:val="clear" w:color="auto" w:fill="auto"/>
            <w:vAlign w:val="center"/>
            <w:hideMark/>
          </w:tcPr>
          <w:p w14:paraId="0935B814" w14:textId="77777777" w:rsidR="00BA347C" w:rsidRPr="001920F8" w:rsidRDefault="00BA347C" w:rsidP="00627D4F">
            <w:pPr>
              <w:spacing w:after="0" w:line="240" w:lineRule="auto"/>
              <w:rPr>
                <w:rFonts w:eastAsia="Times New Roman" w:cs="Arial"/>
                <w:b/>
                <w:bCs/>
                <w:lang w:val="es-CR" w:eastAsia="es-CR"/>
              </w:rPr>
            </w:pPr>
            <w:r w:rsidRPr="001920F8">
              <w:rPr>
                <w:rFonts w:eastAsia="Times New Roman" w:cs="Arial"/>
                <w:b/>
                <w:bCs/>
                <w:lang w:val="es-CR" w:eastAsia="es-CR"/>
              </w:rPr>
              <w:t>COLOCACIÓN DIRECTA</w:t>
            </w:r>
          </w:p>
        </w:tc>
      </w:tr>
      <w:tr w:rsidR="00BA347C" w:rsidRPr="001920F8" w14:paraId="0935B81A" w14:textId="77777777" w:rsidTr="00627D4F">
        <w:trPr>
          <w:trHeight w:val="1005"/>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14:paraId="0935B816" w14:textId="77777777" w:rsidR="00BA347C" w:rsidRPr="001920F8" w:rsidRDefault="00BA347C" w:rsidP="00627D4F">
            <w:pPr>
              <w:spacing w:after="0" w:line="240" w:lineRule="auto"/>
              <w:rPr>
                <w:rFonts w:eastAsia="Times New Roman" w:cs="Arial"/>
                <w:lang w:val="es-CR" w:eastAsia="es-CR"/>
              </w:rPr>
            </w:pPr>
            <w:r w:rsidRPr="001920F8">
              <w:rPr>
                <w:rFonts w:eastAsia="Times New Roman" w:cs="Arial"/>
                <w:lang w:val="es-CR" w:eastAsia="es-CR"/>
              </w:rPr>
              <w:t xml:space="preserve">12020000       </w:t>
            </w:r>
          </w:p>
        </w:tc>
        <w:tc>
          <w:tcPr>
            <w:tcW w:w="1900" w:type="dxa"/>
            <w:tcBorders>
              <w:top w:val="nil"/>
              <w:left w:val="nil"/>
              <w:bottom w:val="single" w:sz="4" w:space="0" w:color="auto"/>
              <w:right w:val="single" w:sz="4" w:space="0" w:color="auto"/>
            </w:tcBorders>
            <w:shd w:val="clear" w:color="auto" w:fill="auto"/>
            <w:vAlign w:val="center"/>
            <w:hideMark/>
          </w:tcPr>
          <w:p w14:paraId="0935B817"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Cantidad de valores colocados</w:t>
            </w:r>
          </w:p>
        </w:tc>
        <w:tc>
          <w:tcPr>
            <w:tcW w:w="2976" w:type="dxa"/>
            <w:tcBorders>
              <w:top w:val="nil"/>
              <w:left w:val="nil"/>
              <w:bottom w:val="single" w:sz="4" w:space="0" w:color="auto"/>
              <w:right w:val="single" w:sz="4" w:space="0" w:color="auto"/>
            </w:tcBorders>
            <w:shd w:val="clear" w:color="auto" w:fill="auto"/>
            <w:vAlign w:val="center"/>
            <w:hideMark/>
          </w:tcPr>
          <w:p w14:paraId="0935B818"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Número de valores colocados de la emisión, por medio del mecanismo de ventanilla.  </w:t>
            </w:r>
          </w:p>
        </w:tc>
        <w:tc>
          <w:tcPr>
            <w:tcW w:w="3156" w:type="dxa"/>
            <w:tcBorders>
              <w:top w:val="nil"/>
              <w:left w:val="nil"/>
              <w:bottom w:val="single" w:sz="4" w:space="0" w:color="auto"/>
              <w:right w:val="single" w:sz="4" w:space="0" w:color="auto"/>
            </w:tcBorders>
            <w:shd w:val="clear" w:color="auto" w:fill="auto"/>
            <w:vAlign w:val="center"/>
            <w:hideMark/>
          </w:tcPr>
          <w:p w14:paraId="0935B819" w14:textId="77777777" w:rsidR="00BA347C" w:rsidRPr="001920F8" w:rsidRDefault="00BA347C" w:rsidP="00804730">
            <w:pPr>
              <w:spacing w:after="0" w:line="240" w:lineRule="auto"/>
              <w:jc w:val="both"/>
              <w:rPr>
                <w:rFonts w:eastAsia="Times New Roman" w:cs="Arial"/>
                <w:lang w:val="es-CR" w:eastAsia="es-CR"/>
              </w:rPr>
            </w:pPr>
            <w:r w:rsidRPr="001920F8">
              <w:rPr>
                <w:rFonts w:eastAsia="Times New Roman" w:cs="Arial"/>
                <w:lang w:val="es-CR" w:eastAsia="es-CR"/>
              </w:rPr>
              <w:t xml:space="preserve">Número de valores colocados de la emisión, por medio del mecanismo de colocación directa.  </w:t>
            </w:r>
          </w:p>
        </w:tc>
      </w:tr>
      <w:tr w:rsidR="00BA347C" w:rsidRPr="001920F8" w14:paraId="0935B81F" w14:textId="77777777" w:rsidTr="00627D4F">
        <w:trPr>
          <w:trHeight w:val="645"/>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14:paraId="0935B81B" w14:textId="77777777" w:rsidR="00BA347C" w:rsidRPr="001920F8" w:rsidRDefault="00BA347C" w:rsidP="00627D4F">
            <w:pPr>
              <w:spacing w:after="0" w:line="240" w:lineRule="auto"/>
              <w:rPr>
                <w:rFonts w:eastAsia="Times New Roman" w:cs="Arial"/>
                <w:lang w:val="es-CR" w:eastAsia="es-CR"/>
              </w:rPr>
            </w:pPr>
            <w:r w:rsidRPr="001920F8">
              <w:rPr>
                <w:rFonts w:eastAsia="Times New Roman" w:cs="Arial"/>
                <w:lang w:val="es-CR" w:eastAsia="es-CR"/>
              </w:rPr>
              <w:t xml:space="preserve">12030000       </w:t>
            </w:r>
          </w:p>
        </w:tc>
        <w:tc>
          <w:tcPr>
            <w:tcW w:w="1900" w:type="dxa"/>
            <w:tcBorders>
              <w:top w:val="nil"/>
              <w:left w:val="nil"/>
              <w:bottom w:val="single" w:sz="4" w:space="0" w:color="auto"/>
              <w:right w:val="single" w:sz="4" w:space="0" w:color="auto"/>
            </w:tcBorders>
            <w:shd w:val="clear" w:color="auto" w:fill="auto"/>
            <w:vAlign w:val="center"/>
            <w:hideMark/>
          </w:tcPr>
          <w:p w14:paraId="0935B81C"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Rendimiento de colocación</w:t>
            </w:r>
          </w:p>
        </w:tc>
        <w:tc>
          <w:tcPr>
            <w:tcW w:w="2976" w:type="dxa"/>
            <w:tcBorders>
              <w:top w:val="nil"/>
              <w:left w:val="nil"/>
              <w:bottom w:val="single" w:sz="4" w:space="0" w:color="auto"/>
              <w:right w:val="single" w:sz="4" w:space="0" w:color="auto"/>
            </w:tcBorders>
            <w:shd w:val="clear" w:color="auto" w:fill="auto"/>
            <w:vAlign w:val="center"/>
            <w:hideMark/>
          </w:tcPr>
          <w:p w14:paraId="0935B81D"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Rendimiento único al cual fue realizada la colocación por ventanilla.</w:t>
            </w:r>
          </w:p>
        </w:tc>
        <w:tc>
          <w:tcPr>
            <w:tcW w:w="3156" w:type="dxa"/>
            <w:tcBorders>
              <w:top w:val="nil"/>
              <w:left w:val="nil"/>
              <w:bottom w:val="single" w:sz="4" w:space="0" w:color="auto"/>
              <w:right w:val="single" w:sz="4" w:space="0" w:color="auto"/>
            </w:tcBorders>
            <w:shd w:val="clear" w:color="auto" w:fill="auto"/>
            <w:vAlign w:val="center"/>
            <w:hideMark/>
          </w:tcPr>
          <w:p w14:paraId="0935B81E" w14:textId="77777777" w:rsidR="00BA347C" w:rsidRPr="001920F8" w:rsidRDefault="00BA347C" w:rsidP="00804730">
            <w:pPr>
              <w:spacing w:after="0" w:line="240" w:lineRule="auto"/>
              <w:jc w:val="both"/>
              <w:rPr>
                <w:rFonts w:eastAsia="Times New Roman" w:cs="Arial"/>
                <w:lang w:val="es-CR" w:eastAsia="es-CR"/>
              </w:rPr>
            </w:pPr>
            <w:r w:rsidRPr="001920F8">
              <w:rPr>
                <w:rFonts w:eastAsia="Times New Roman" w:cs="Arial"/>
                <w:lang w:val="es-CR" w:eastAsia="es-CR"/>
              </w:rPr>
              <w:t>Rendimiento único al cual fue realizada la colocación por colocación directa.</w:t>
            </w:r>
          </w:p>
        </w:tc>
      </w:tr>
      <w:tr w:rsidR="00BA347C" w:rsidRPr="001920F8" w14:paraId="0935B824" w14:textId="77777777" w:rsidTr="00627D4F">
        <w:trPr>
          <w:trHeight w:val="825"/>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14:paraId="0935B820" w14:textId="77777777" w:rsidR="00BA347C" w:rsidRPr="001920F8" w:rsidRDefault="00BA347C" w:rsidP="00627D4F">
            <w:pPr>
              <w:spacing w:after="0" w:line="240" w:lineRule="auto"/>
              <w:rPr>
                <w:rFonts w:eastAsia="Times New Roman" w:cs="Arial"/>
                <w:lang w:val="es-CR" w:eastAsia="es-CR"/>
              </w:rPr>
            </w:pPr>
            <w:r w:rsidRPr="001920F8">
              <w:rPr>
                <w:rFonts w:eastAsia="Times New Roman" w:cs="Arial"/>
                <w:lang w:val="es-CR" w:eastAsia="es-CR"/>
              </w:rPr>
              <w:t xml:space="preserve">12040000       </w:t>
            </w:r>
          </w:p>
        </w:tc>
        <w:tc>
          <w:tcPr>
            <w:tcW w:w="1900" w:type="dxa"/>
            <w:tcBorders>
              <w:top w:val="nil"/>
              <w:left w:val="nil"/>
              <w:bottom w:val="single" w:sz="4" w:space="0" w:color="auto"/>
              <w:right w:val="single" w:sz="4" w:space="0" w:color="auto"/>
            </w:tcBorders>
            <w:shd w:val="clear" w:color="auto" w:fill="auto"/>
            <w:noWrap/>
            <w:vAlign w:val="center"/>
            <w:hideMark/>
          </w:tcPr>
          <w:p w14:paraId="0935B821"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Precio de colocación </w:t>
            </w:r>
          </w:p>
        </w:tc>
        <w:tc>
          <w:tcPr>
            <w:tcW w:w="2976" w:type="dxa"/>
            <w:tcBorders>
              <w:top w:val="nil"/>
              <w:left w:val="nil"/>
              <w:bottom w:val="single" w:sz="4" w:space="0" w:color="auto"/>
              <w:right w:val="single" w:sz="4" w:space="0" w:color="auto"/>
            </w:tcBorders>
            <w:shd w:val="clear" w:color="auto" w:fill="auto"/>
            <w:vAlign w:val="bottom"/>
            <w:hideMark/>
          </w:tcPr>
          <w:p w14:paraId="0935B822" w14:textId="77777777" w:rsidR="00BA347C" w:rsidRPr="001920F8" w:rsidRDefault="00BA347C" w:rsidP="00627D4F">
            <w:pPr>
              <w:spacing w:after="0" w:line="240" w:lineRule="auto"/>
              <w:rPr>
                <w:rFonts w:eastAsia="Times New Roman" w:cs="Arial"/>
                <w:lang w:val="es-CR" w:eastAsia="es-CR"/>
              </w:rPr>
            </w:pPr>
            <w:r w:rsidRPr="001920F8">
              <w:rPr>
                <w:rFonts w:eastAsia="Times New Roman" w:cs="Arial"/>
                <w:lang w:val="es-CR" w:eastAsia="es-CR"/>
              </w:rPr>
              <w:t>Precio único al cual fue realizada la colocación por ventanilla. Corresponde al precio porcentual y se indica con dos decimales.</w:t>
            </w:r>
          </w:p>
        </w:tc>
        <w:tc>
          <w:tcPr>
            <w:tcW w:w="3156" w:type="dxa"/>
            <w:tcBorders>
              <w:top w:val="nil"/>
              <w:left w:val="nil"/>
              <w:bottom w:val="single" w:sz="4" w:space="0" w:color="auto"/>
              <w:right w:val="single" w:sz="4" w:space="0" w:color="auto"/>
            </w:tcBorders>
            <w:shd w:val="clear" w:color="auto" w:fill="auto"/>
            <w:vAlign w:val="bottom"/>
            <w:hideMark/>
          </w:tcPr>
          <w:p w14:paraId="0935B823" w14:textId="77777777" w:rsidR="00BA347C" w:rsidRPr="001920F8" w:rsidRDefault="00BA347C" w:rsidP="00804730">
            <w:pPr>
              <w:spacing w:after="0" w:line="240" w:lineRule="auto"/>
              <w:jc w:val="both"/>
              <w:rPr>
                <w:rFonts w:eastAsia="Times New Roman" w:cs="Arial"/>
                <w:lang w:val="es-CR" w:eastAsia="es-CR"/>
              </w:rPr>
            </w:pPr>
            <w:r w:rsidRPr="001920F8">
              <w:rPr>
                <w:rFonts w:eastAsia="Times New Roman" w:cs="Arial"/>
                <w:lang w:val="es-CR" w:eastAsia="es-CR"/>
              </w:rPr>
              <w:t>Precio único al cual fue realizada la colocación por colocación directa. Corresponde al precio porcentual y se indica con dos decimales.</w:t>
            </w:r>
          </w:p>
        </w:tc>
      </w:tr>
      <w:tr w:rsidR="00BA347C" w:rsidRPr="001920F8" w14:paraId="0935B829" w14:textId="77777777" w:rsidTr="00627D4F">
        <w:trPr>
          <w:trHeight w:val="30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14:paraId="0935B825" w14:textId="77777777" w:rsidR="00BA347C" w:rsidRPr="001920F8" w:rsidRDefault="00BA347C" w:rsidP="00627D4F">
            <w:pPr>
              <w:spacing w:after="0" w:line="240" w:lineRule="auto"/>
              <w:rPr>
                <w:rFonts w:eastAsia="Times New Roman" w:cs="Arial"/>
                <w:color w:val="000000"/>
                <w:lang w:val="es-CR" w:eastAsia="es-CR"/>
              </w:rPr>
            </w:pPr>
            <w:r w:rsidRPr="001920F8">
              <w:rPr>
                <w:rFonts w:eastAsia="Times New Roman" w:cs="Arial"/>
                <w:color w:val="000000"/>
                <w:lang w:val="es-CR" w:eastAsia="es-CR"/>
              </w:rPr>
              <w:t> </w:t>
            </w:r>
          </w:p>
        </w:tc>
        <w:tc>
          <w:tcPr>
            <w:tcW w:w="1900" w:type="dxa"/>
            <w:tcBorders>
              <w:top w:val="nil"/>
              <w:left w:val="nil"/>
              <w:bottom w:val="single" w:sz="4" w:space="0" w:color="auto"/>
              <w:right w:val="single" w:sz="4" w:space="0" w:color="auto"/>
            </w:tcBorders>
            <w:shd w:val="clear" w:color="auto" w:fill="auto"/>
            <w:noWrap/>
            <w:vAlign w:val="center"/>
            <w:hideMark/>
          </w:tcPr>
          <w:p w14:paraId="0935B826" w14:textId="77777777" w:rsidR="00BA347C" w:rsidRPr="001920F8" w:rsidRDefault="00BA347C" w:rsidP="00804730">
            <w:pPr>
              <w:spacing w:after="0" w:line="240" w:lineRule="auto"/>
              <w:jc w:val="center"/>
              <w:rPr>
                <w:rFonts w:eastAsia="Times New Roman" w:cs="Arial"/>
                <w:b/>
                <w:bCs/>
                <w:lang w:val="es-CR" w:eastAsia="es-CR"/>
              </w:rPr>
            </w:pPr>
            <w:r w:rsidRPr="001920F8">
              <w:rPr>
                <w:rFonts w:eastAsia="Times New Roman" w:cs="Arial"/>
                <w:b/>
                <w:bCs/>
                <w:lang w:val="es-CR" w:eastAsia="es-CR"/>
              </w:rPr>
              <w:t>VENTANILLA INVERSA</w:t>
            </w:r>
          </w:p>
        </w:tc>
        <w:tc>
          <w:tcPr>
            <w:tcW w:w="2976" w:type="dxa"/>
            <w:tcBorders>
              <w:top w:val="nil"/>
              <w:left w:val="nil"/>
              <w:bottom w:val="single" w:sz="4" w:space="0" w:color="auto"/>
              <w:right w:val="single" w:sz="4" w:space="0" w:color="auto"/>
            </w:tcBorders>
            <w:shd w:val="clear" w:color="auto" w:fill="auto"/>
            <w:noWrap/>
            <w:vAlign w:val="center"/>
            <w:hideMark/>
          </w:tcPr>
          <w:p w14:paraId="0935B827" w14:textId="77777777" w:rsidR="00BA347C" w:rsidRPr="001920F8" w:rsidRDefault="00BA347C" w:rsidP="00804730">
            <w:pPr>
              <w:spacing w:after="0" w:line="240" w:lineRule="auto"/>
              <w:jc w:val="center"/>
              <w:rPr>
                <w:rFonts w:eastAsia="Times New Roman" w:cs="Arial"/>
                <w:b/>
                <w:bCs/>
                <w:lang w:val="es-CR" w:eastAsia="es-CR"/>
              </w:rPr>
            </w:pPr>
          </w:p>
        </w:tc>
        <w:tc>
          <w:tcPr>
            <w:tcW w:w="3156" w:type="dxa"/>
            <w:tcBorders>
              <w:top w:val="nil"/>
              <w:left w:val="nil"/>
              <w:bottom w:val="single" w:sz="4" w:space="0" w:color="auto"/>
              <w:right w:val="single" w:sz="4" w:space="0" w:color="auto"/>
            </w:tcBorders>
            <w:shd w:val="clear" w:color="auto" w:fill="auto"/>
            <w:noWrap/>
            <w:vAlign w:val="center"/>
            <w:hideMark/>
          </w:tcPr>
          <w:p w14:paraId="0935B828" w14:textId="77777777" w:rsidR="00BA347C" w:rsidRPr="001920F8" w:rsidRDefault="00BA347C" w:rsidP="00804730">
            <w:pPr>
              <w:spacing w:after="0" w:line="240" w:lineRule="auto"/>
              <w:jc w:val="center"/>
              <w:rPr>
                <w:rFonts w:eastAsia="Times New Roman" w:cs="Arial"/>
                <w:b/>
                <w:bCs/>
                <w:lang w:val="es-CR" w:eastAsia="es-CR"/>
              </w:rPr>
            </w:pPr>
            <w:r w:rsidRPr="001920F8">
              <w:rPr>
                <w:rFonts w:eastAsia="Times New Roman" w:cs="Arial"/>
                <w:b/>
                <w:bCs/>
                <w:lang w:val="es-CR" w:eastAsia="es-CR"/>
              </w:rPr>
              <w:t>COLOCACIÓN DIRECTA INVERSA</w:t>
            </w:r>
          </w:p>
        </w:tc>
      </w:tr>
      <w:tr w:rsidR="00BA347C" w:rsidRPr="001920F8" w14:paraId="0935B82E" w14:textId="77777777" w:rsidTr="00627D4F">
        <w:trPr>
          <w:trHeight w:val="2022"/>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14:paraId="0935B82A"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16000000       </w:t>
            </w:r>
          </w:p>
        </w:tc>
        <w:tc>
          <w:tcPr>
            <w:tcW w:w="1900" w:type="dxa"/>
            <w:tcBorders>
              <w:top w:val="nil"/>
              <w:left w:val="nil"/>
              <w:bottom w:val="single" w:sz="4" w:space="0" w:color="auto"/>
              <w:right w:val="single" w:sz="4" w:space="0" w:color="auto"/>
            </w:tcBorders>
            <w:shd w:val="clear" w:color="auto" w:fill="auto"/>
            <w:noWrap/>
            <w:vAlign w:val="center"/>
            <w:hideMark/>
          </w:tcPr>
          <w:p w14:paraId="0935B82B"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Monto comprado por ventanilla inversa a valor facial</w:t>
            </w:r>
          </w:p>
        </w:tc>
        <w:tc>
          <w:tcPr>
            <w:tcW w:w="2976" w:type="dxa"/>
            <w:tcBorders>
              <w:top w:val="nil"/>
              <w:left w:val="nil"/>
              <w:bottom w:val="single" w:sz="4" w:space="0" w:color="auto"/>
              <w:right w:val="single" w:sz="4" w:space="0" w:color="auto"/>
            </w:tcBorders>
            <w:shd w:val="clear" w:color="auto" w:fill="auto"/>
            <w:vAlign w:val="center"/>
            <w:hideMark/>
          </w:tcPr>
          <w:p w14:paraId="0935B82C"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Monto total comprado valor facial, por medio del  mecanismo de ventanilla inversa. Consiste en multiplicar la cantidad de valores de deuda por su valor facial. </w:t>
            </w:r>
            <w:r w:rsidRPr="001920F8">
              <w:rPr>
                <w:rFonts w:eastAsia="Times New Roman" w:cs="Arial"/>
                <w:lang w:val="es-CR" w:eastAsia="es-CR"/>
              </w:rPr>
              <w:br/>
              <w:t xml:space="preserve">Este campo es obligatorio, por lo tanto, se deberá indicar cero aún en caso que no se hayan colocado valores.  </w:t>
            </w:r>
            <w:r w:rsidRPr="001920F8">
              <w:rPr>
                <w:rFonts w:eastAsia="Times New Roman" w:cs="Arial"/>
                <w:lang w:val="es-CR" w:eastAsia="es-CR"/>
              </w:rPr>
              <w:br/>
              <w:t xml:space="preserve">Se indica en miles de unidades de la moneda de la emisión. </w:t>
            </w:r>
          </w:p>
        </w:tc>
        <w:tc>
          <w:tcPr>
            <w:tcW w:w="3156" w:type="dxa"/>
            <w:tcBorders>
              <w:top w:val="nil"/>
              <w:left w:val="nil"/>
              <w:bottom w:val="single" w:sz="4" w:space="0" w:color="auto"/>
              <w:right w:val="single" w:sz="4" w:space="0" w:color="auto"/>
            </w:tcBorders>
            <w:shd w:val="clear" w:color="auto" w:fill="auto"/>
            <w:vAlign w:val="center"/>
            <w:hideMark/>
          </w:tcPr>
          <w:p w14:paraId="0935B82D"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Monto total comprado valor facial, por medio del  mecanismo de colocación directa inversa. Consiste en multiplicar la cantidad de valores de deuda por su valor facial. </w:t>
            </w:r>
            <w:r w:rsidRPr="001920F8">
              <w:rPr>
                <w:rFonts w:eastAsia="Times New Roman" w:cs="Arial"/>
                <w:lang w:val="es-CR" w:eastAsia="es-CR"/>
              </w:rPr>
              <w:br/>
              <w:t xml:space="preserve">Este campo es obligatorio, por lo tanto, se deberá indicar cero aún en caso que no se hayan colocado valores.  </w:t>
            </w:r>
            <w:r w:rsidRPr="001920F8">
              <w:rPr>
                <w:rFonts w:eastAsia="Times New Roman" w:cs="Arial"/>
                <w:lang w:val="es-CR" w:eastAsia="es-CR"/>
              </w:rPr>
              <w:br/>
              <w:t xml:space="preserve">Se indica en miles de unidades de la moneda de la emisión. </w:t>
            </w:r>
          </w:p>
        </w:tc>
      </w:tr>
      <w:tr w:rsidR="00BA347C" w:rsidRPr="001920F8" w14:paraId="0935B833" w14:textId="77777777" w:rsidTr="00627D4F">
        <w:trPr>
          <w:trHeight w:val="1485"/>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935B82F"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16010000       </w:t>
            </w:r>
          </w:p>
        </w:tc>
        <w:tc>
          <w:tcPr>
            <w:tcW w:w="1900" w:type="dxa"/>
            <w:tcBorders>
              <w:top w:val="nil"/>
              <w:left w:val="nil"/>
              <w:bottom w:val="single" w:sz="4" w:space="0" w:color="auto"/>
              <w:right w:val="single" w:sz="4" w:space="0" w:color="auto"/>
            </w:tcBorders>
            <w:shd w:val="clear" w:color="auto" w:fill="auto"/>
            <w:vAlign w:val="center"/>
            <w:hideMark/>
          </w:tcPr>
          <w:p w14:paraId="0935B830"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Monto comprado por colocación directa  inversa a valor transado</w:t>
            </w:r>
          </w:p>
        </w:tc>
        <w:tc>
          <w:tcPr>
            <w:tcW w:w="2976" w:type="dxa"/>
            <w:tcBorders>
              <w:top w:val="nil"/>
              <w:left w:val="nil"/>
              <w:bottom w:val="single" w:sz="4" w:space="0" w:color="auto"/>
              <w:right w:val="single" w:sz="4" w:space="0" w:color="auto"/>
            </w:tcBorders>
            <w:shd w:val="clear" w:color="auto" w:fill="auto"/>
            <w:vAlign w:val="center"/>
            <w:hideMark/>
          </w:tcPr>
          <w:p w14:paraId="0935B831" w14:textId="77777777" w:rsidR="00BA347C" w:rsidRPr="001920F8" w:rsidRDefault="00BA347C" w:rsidP="00804730">
            <w:pPr>
              <w:spacing w:after="0" w:line="240" w:lineRule="auto"/>
              <w:jc w:val="both"/>
              <w:rPr>
                <w:rFonts w:eastAsia="Times New Roman" w:cs="Arial"/>
                <w:lang w:val="es-CR" w:eastAsia="es-CR"/>
              </w:rPr>
            </w:pPr>
            <w:r w:rsidRPr="001920F8">
              <w:rPr>
                <w:rFonts w:eastAsia="Times New Roman" w:cs="Arial"/>
                <w:lang w:val="es-CR" w:eastAsia="es-CR"/>
              </w:rPr>
              <w:t xml:space="preserve">Monto total comprado a valor transado, por medio del  mecanismo de ventanilla inversa. Consiste en multiplicar la cantidad de </w:t>
            </w:r>
            <w:r w:rsidRPr="001920F8">
              <w:rPr>
                <w:rFonts w:eastAsia="Times New Roman" w:cs="Arial"/>
                <w:lang w:val="es-CR" w:eastAsia="es-CR"/>
              </w:rPr>
              <w:lastRenderedPageBreak/>
              <w:t>valores de deuda por su precio de colocación.</w:t>
            </w:r>
            <w:r w:rsidRPr="001920F8">
              <w:rPr>
                <w:rFonts w:eastAsia="Times New Roman" w:cs="Arial"/>
                <w:lang w:val="es-CR" w:eastAsia="es-CR"/>
              </w:rPr>
              <w:br/>
              <w:t>Se indica en miles de unidades de la moneda de la emisión.</w:t>
            </w:r>
          </w:p>
        </w:tc>
        <w:tc>
          <w:tcPr>
            <w:tcW w:w="3156" w:type="dxa"/>
            <w:tcBorders>
              <w:top w:val="nil"/>
              <w:left w:val="nil"/>
              <w:bottom w:val="single" w:sz="4" w:space="0" w:color="auto"/>
              <w:right w:val="single" w:sz="4" w:space="0" w:color="auto"/>
            </w:tcBorders>
            <w:shd w:val="clear" w:color="auto" w:fill="auto"/>
            <w:vAlign w:val="center"/>
            <w:hideMark/>
          </w:tcPr>
          <w:p w14:paraId="0935B832" w14:textId="77777777" w:rsidR="00BA347C" w:rsidRPr="001920F8" w:rsidRDefault="00BA347C" w:rsidP="00804730">
            <w:pPr>
              <w:spacing w:after="0" w:line="240" w:lineRule="auto"/>
              <w:jc w:val="both"/>
              <w:rPr>
                <w:rFonts w:eastAsia="Times New Roman" w:cs="Arial"/>
                <w:lang w:val="es-CR" w:eastAsia="es-CR"/>
              </w:rPr>
            </w:pPr>
            <w:r w:rsidRPr="001920F8">
              <w:rPr>
                <w:rFonts w:eastAsia="Times New Roman" w:cs="Arial"/>
                <w:lang w:val="es-CR" w:eastAsia="es-CR"/>
              </w:rPr>
              <w:lastRenderedPageBreak/>
              <w:t xml:space="preserve">Monto total comprado a valor transado, por medio del  mecanismo de colocación directa inversa. Consiste en multiplicar la cantidad de </w:t>
            </w:r>
            <w:r w:rsidRPr="001920F8">
              <w:rPr>
                <w:rFonts w:eastAsia="Times New Roman" w:cs="Arial"/>
                <w:lang w:val="es-CR" w:eastAsia="es-CR"/>
              </w:rPr>
              <w:lastRenderedPageBreak/>
              <w:t>valores de deuda por su precio de colocación.</w:t>
            </w:r>
            <w:r w:rsidRPr="001920F8">
              <w:rPr>
                <w:rFonts w:eastAsia="Times New Roman" w:cs="Arial"/>
                <w:lang w:val="es-CR" w:eastAsia="es-CR"/>
              </w:rPr>
              <w:br/>
              <w:t>Se indica en miles de unidades de la moneda de la emisión.</w:t>
            </w:r>
          </w:p>
        </w:tc>
      </w:tr>
      <w:tr w:rsidR="00BA347C" w:rsidRPr="001920F8" w14:paraId="0935B838" w14:textId="77777777" w:rsidTr="00627D4F">
        <w:trPr>
          <w:trHeight w:val="975"/>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935B834"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lastRenderedPageBreak/>
              <w:t xml:space="preserve">16020000       </w:t>
            </w:r>
          </w:p>
        </w:tc>
        <w:tc>
          <w:tcPr>
            <w:tcW w:w="1900" w:type="dxa"/>
            <w:tcBorders>
              <w:top w:val="nil"/>
              <w:left w:val="nil"/>
              <w:bottom w:val="single" w:sz="4" w:space="0" w:color="auto"/>
              <w:right w:val="single" w:sz="4" w:space="0" w:color="auto"/>
            </w:tcBorders>
            <w:shd w:val="clear" w:color="auto" w:fill="auto"/>
            <w:vAlign w:val="center"/>
            <w:hideMark/>
          </w:tcPr>
          <w:p w14:paraId="0935B835"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Cantidad de valores comprados</w:t>
            </w:r>
          </w:p>
        </w:tc>
        <w:tc>
          <w:tcPr>
            <w:tcW w:w="2976" w:type="dxa"/>
            <w:tcBorders>
              <w:top w:val="nil"/>
              <w:left w:val="nil"/>
              <w:bottom w:val="single" w:sz="4" w:space="0" w:color="auto"/>
              <w:right w:val="single" w:sz="4" w:space="0" w:color="auto"/>
            </w:tcBorders>
            <w:shd w:val="clear" w:color="auto" w:fill="auto"/>
            <w:vAlign w:val="center"/>
            <w:hideMark/>
          </w:tcPr>
          <w:p w14:paraId="0935B836"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Número de valores comprados de la emisión, por medio del mecanismo de ventanilla inversa.  </w:t>
            </w:r>
          </w:p>
        </w:tc>
        <w:tc>
          <w:tcPr>
            <w:tcW w:w="3156" w:type="dxa"/>
            <w:tcBorders>
              <w:top w:val="nil"/>
              <w:left w:val="nil"/>
              <w:bottom w:val="single" w:sz="4" w:space="0" w:color="auto"/>
              <w:right w:val="single" w:sz="4" w:space="0" w:color="auto"/>
            </w:tcBorders>
            <w:shd w:val="clear" w:color="auto" w:fill="auto"/>
            <w:vAlign w:val="center"/>
            <w:hideMark/>
          </w:tcPr>
          <w:p w14:paraId="0935B837"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Número de valores comprados de la emisión, por medio del mecanismo de colocación directa inversa.  </w:t>
            </w:r>
          </w:p>
        </w:tc>
      </w:tr>
      <w:tr w:rsidR="00BA347C" w:rsidRPr="001920F8" w14:paraId="0935B83D" w14:textId="77777777" w:rsidTr="00627D4F">
        <w:trPr>
          <w:trHeight w:val="720"/>
        </w:trPr>
        <w:tc>
          <w:tcPr>
            <w:tcW w:w="1461" w:type="dxa"/>
            <w:vMerge w:val="restart"/>
            <w:tcBorders>
              <w:top w:val="nil"/>
              <w:left w:val="single" w:sz="4" w:space="0" w:color="auto"/>
              <w:bottom w:val="single" w:sz="4" w:space="0" w:color="auto"/>
              <w:right w:val="single" w:sz="4" w:space="0" w:color="auto"/>
            </w:tcBorders>
            <w:shd w:val="clear" w:color="auto" w:fill="auto"/>
            <w:vAlign w:val="center"/>
            <w:hideMark/>
          </w:tcPr>
          <w:p w14:paraId="0935B839"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16030000       </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0935B83A"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Rendimiento pagado</w:t>
            </w:r>
          </w:p>
        </w:tc>
        <w:tc>
          <w:tcPr>
            <w:tcW w:w="2976" w:type="dxa"/>
            <w:tcBorders>
              <w:top w:val="nil"/>
              <w:left w:val="nil"/>
              <w:bottom w:val="single" w:sz="4" w:space="0" w:color="auto"/>
              <w:right w:val="single" w:sz="4" w:space="0" w:color="auto"/>
            </w:tcBorders>
            <w:shd w:val="clear" w:color="auto" w:fill="auto"/>
            <w:vAlign w:val="center"/>
            <w:hideMark/>
          </w:tcPr>
          <w:p w14:paraId="0935B83B"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Rendimiento único al cual fue realizada la compra por ventanilla inversa.</w:t>
            </w:r>
          </w:p>
        </w:tc>
        <w:tc>
          <w:tcPr>
            <w:tcW w:w="3156" w:type="dxa"/>
            <w:tcBorders>
              <w:top w:val="nil"/>
              <w:left w:val="nil"/>
              <w:bottom w:val="single" w:sz="4" w:space="0" w:color="auto"/>
              <w:right w:val="single" w:sz="4" w:space="0" w:color="auto"/>
            </w:tcBorders>
            <w:shd w:val="clear" w:color="auto" w:fill="auto"/>
            <w:vAlign w:val="center"/>
            <w:hideMark/>
          </w:tcPr>
          <w:p w14:paraId="0935B83C"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Rendimiento único al cual fue realizada la compra por colocación directa inversa.</w:t>
            </w:r>
          </w:p>
        </w:tc>
      </w:tr>
      <w:tr w:rsidR="00BA347C" w:rsidRPr="001920F8" w14:paraId="0935B842" w14:textId="77777777" w:rsidTr="00627D4F">
        <w:trPr>
          <w:trHeight w:val="525"/>
        </w:trPr>
        <w:tc>
          <w:tcPr>
            <w:tcW w:w="1461" w:type="dxa"/>
            <w:vMerge/>
            <w:tcBorders>
              <w:top w:val="nil"/>
              <w:left w:val="single" w:sz="4" w:space="0" w:color="auto"/>
              <w:bottom w:val="single" w:sz="4" w:space="0" w:color="auto"/>
              <w:right w:val="single" w:sz="4" w:space="0" w:color="auto"/>
            </w:tcBorders>
            <w:vAlign w:val="center"/>
            <w:hideMark/>
          </w:tcPr>
          <w:p w14:paraId="0935B83E" w14:textId="77777777" w:rsidR="00BA347C" w:rsidRPr="001920F8" w:rsidRDefault="00BA347C" w:rsidP="00627D4F">
            <w:pPr>
              <w:spacing w:after="0" w:line="240" w:lineRule="auto"/>
              <w:rPr>
                <w:rFonts w:eastAsia="Times New Roman" w:cs="Arial"/>
                <w:lang w:val="es-CR" w:eastAsia="es-CR"/>
              </w:rPr>
            </w:pPr>
          </w:p>
        </w:tc>
        <w:tc>
          <w:tcPr>
            <w:tcW w:w="1900" w:type="dxa"/>
            <w:vMerge/>
            <w:tcBorders>
              <w:top w:val="nil"/>
              <w:left w:val="single" w:sz="4" w:space="0" w:color="auto"/>
              <w:bottom w:val="single" w:sz="4" w:space="0" w:color="auto"/>
              <w:right w:val="single" w:sz="4" w:space="0" w:color="auto"/>
            </w:tcBorders>
            <w:vAlign w:val="center"/>
            <w:hideMark/>
          </w:tcPr>
          <w:p w14:paraId="0935B83F" w14:textId="77777777" w:rsidR="00BA347C" w:rsidRPr="001920F8" w:rsidRDefault="00BA347C" w:rsidP="00627D4F">
            <w:pPr>
              <w:spacing w:after="0" w:line="240" w:lineRule="auto"/>
              <w:rPr>
                <w:rFonts w:eastAsia="Times New Roman" w:cs="Arial"/>
                <w:lang w:val="es-CR" w:eastAsia="es-CR"/>
              </w:rPr>
            </w:pPr>
          </w:p>
        </w:tc>
        <w:tc>
          <w:tcPr>
            <w:tcW w:w="2976" w:type="dxa"/>
            <w:tcBorders>
              <w:top w:val="nil"/>
              <w:left w:val="nil"/>
              <w:bottom w:val="single" w:sz="4" w:space="0" w:color="auto"/>
              <w:right w:val="single" w:sz="4" w:space="0" w:color="auto"/>
            </w:tcBorders>
            <w:shd w:val="clear" w:color="auto" w:fill="auto"/>
            <w:vAlign w:val="center"/>
            <w:hideMark/>
          </w:tcPr>
          <w:p w14:paraId="0935B840"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Se indica con dos decimales.</w:t>
            </w:r>
          </w:p>
        </w:tc>
        <w:tc>
          <w:tcPr>
            <w:tcW w:w="3156" w:type="dxa"/>
            <w:tcBorders>
              <w:top w:val="nil"/>
              <w:left w:val="nil"/>
              <w:bottom w:val="single" w:sz="4" w:space="0" w:color="auto"/>
              <w:right w:val="single" w:sz="4" w:space="0" w:color="auto"/>
            </w:tcBorders>
            <w:shd w:val="clear" w:color="auto" w:fill="auto"/>
            <w:vAlign w:val="center"/>
            <w:hideMark/>
          </w:tcPr>
          <w:p w14:paraId="0935B841"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Se indica con dos decimales.</w:t>
            </w:r>
          </w:p>
        </w:tc>
      </w:tr>
      <w:tr w:rsidR="00BA347C" w:rsidRPr="001920F8" w14:paraId="0935B847" w14:textId="77777777" w:rsidTr="00627D4F">
        <w:trPr>
          <w:trHeight w:val="720"/>
        </w:trPr>
        <w:tc>
          <w:tcPr>
            <w:tcW w:w="1461" w:type="dxa"/>
            <w:vMerge w:val="restart"/>
            <w:tcBorders>
              <w:top w:val="nil"/>
              <w:left w:val="single" w:sz="4" w:space="0" w:color="auto"/>
              <w:bottom w:val="single" w:sz="4" w:space="0" w:color="auto"/>
              <w:right w:val="single" w:sz="4" w:space="0" w:color="auto"/>
            </w:tcBorders>
            <w:shd w:val="clear" w:color="auto" w:fill="auto"/>
            <w:vAlign w:val="center"/>
            <w:hideMark/>
          </w:tcPr>
          <w:p w14:paraId="0935B843"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16040000       </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0935B844"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Precio pagado </w:t>
            </w:r>
          </w:p>
        </w:tc>
        <w:tc>
          <w:tcPr>
            <w:tcW w:w="2976" w:type="dxa"/>
            <w:tcBorders>
              <w:top w:val="nil"/>
              <w:left w:val="nil"/>
              <w:bottom w:val="single" w:sz="4" w:space="0" w:color="auto"/>
              <w:right w:val="single" w:sz="4" w:space="0" w:color="auto"/>
            </w:tcBorders>
            <w:shd w:val="clear" w:color="auto" w:fill="auto"/>
            <w:vAlign w:val="center"/>
            <w:hideMark/>
          </w:tcPr>
          <w:p w14:paraId="0935B845"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Precio único al cual fue realizada la compra por ventanilla inversa.</w:t>
            </w:r>
          </w:p>
        </w:tc>
        <w:tc>
          <w:tcPr>
            <w:tcW w:w="3156" w:type="dxa"/>
            <w:tcBorders>
              <w:top w:val="nil"/>
              <w:left w:val="nil"/>
              <w:bottom w:val="single" w:sz="4" w:space="0" w:color="auto"/>
              <w:right w:val="single" w:sz="4" w:space="0" w:color="auto"/>
            </w:tcBorders>
            <w:shd w:val="clear" w:color="auto" w:fill="auto"/>
            <w:vAlign w:val="center"/>
            <w:hideMark/>
          </w:tcPr>
          <w:p w14:paraId="0935B846"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Precio único al cual fue realizada la compra por colocación directa inversa.</w:t>
            </w:r>
          </w:p>
        </w:tc>
      </w:tr>
      <w:tr w:rsidR="00BA347C" w:rsidRPr="001920F8" w14:paraId="0935B84C" w14:textId="77777777" w:rsidTr="00627D4F">
        <w:trPr>
          <w:trHeight w:val="540"/>
        </w:trPr>
        <w:tc>
          <w:tcPr>
            <w:tcW w:w="1461" w:type="dxa"/>
            <w:vMerge/>
            <w:tcBorders>
              <w:top w:val="nil"/>
              <w:left w:val="single" w:sz="4" w:space="0" w:color="auto"/>
              <w:bottom w:val="single" w:sz="4" w:space="0" w:color="auto"/>
              <w:right w:val="single" w:sz="4" w:space="0" w:color="auto"/>
            </w:tcBorders>
            <w:vAlign w:val="center"/>
            <w:hideMark/>
          </w:tcPr>
          <w:p w14:paraId="0935B848" w14:textId="77777777" w:rsidR="00BA347C" w:rsidRPr="001920F8" w:rsidRDefault="00BA347C" w:rsidP="00627D4F">
            <w:pPr>
              <w:spacing w:after="0" w:line="240" w:lineRule="auto"/>
              <w:rPr>
                <w:rFonts w:eastAsia="Times New Roman" w:cs="Arial"/>
                <w:lang w:val="es-CR" w:eastAsia="es-CR"/>
              </w:rPr>
            </w:pPr>
          </w:p>
        </w:tc>
        <w:tc>
          <w:tcPr>
            <w:tcW w:w="1900" w:type="dxa"/>
            <w:vMerge/>
            <w:tcBorders>
              <w:top w:val="nil"/>
              <w:left w:val="single" w:sz="4" w:space="0" w:color="auto"/>
              <w:bottom w:val="single" w:sz="4" w:space="0" w:color="auto"/>
              <w:right w:val="single" w:sz="4" w:space="0" w:color="auto"/>
            </w:tcBorders>
            <w:vAlign w:val="center"/>
            <w:hideMark/>
          </w:tcPr>
          <w:p w14:paraId="0935B849" w14:textId="77777777" w:rsidR="00BA347C" w:rsidRPr="001920F8" w:rsidRDefault="00BA347C" w:rsidP="00627D4F">
            <w:pPr>
              <w:spacing w:after="0" w:line="240" w:lineRule="auto"/>
              <w:rPr>
                <w:rFonts w:eastAsia="Times New Roman" w:cs="Arial"/>
                <w:lang w:val="es-CR" w:eastAsia="es-CR"/>
              </w:rPr>
            </w:pPr>
          </w:p>
        </w:tc>
        <w:tc>
          <w:tcPr>
            <w:tcW w:w="2976" w:type="dxa"/>
            <w:tcBorders>
              <w:top w:val="nil"/>
              <w:left w:val="nil"/>
              <w:bottom w:val="single" w:sz="4" w:space="0" w:color="auto"/>
              <w:right w:val="single" w:sz="4" w:space="0" w:color="auto"/>
            </w:tcBorders>
            <w:shd w:val="clear" w:color="auto" w:fill="auto"/>
            <w:vAlign w:val="center"/>
            <w:hideMark/>
          </w:tcPr>
          <w:p w14:paraId="0935B84A"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Corresponde al precio porcentual y se indica con dos decimales.</w:t>
            </w:r>
          </w:p>
        </w:tc>
        <w:tc>
          <w:tcPr>
            <w:tcW w:w="3156" w:type="dxa"/>
            <w:tcBorders>
              <w:top w:val="nil"/>
              <w:left w:val="nil"/>
              <w:bottom w:val="single" w:sz="4" w:space="0" w:color="auto"/>
              <w:right w:val="single" w:sz="4" w:space="0" w:color="auto"/>
            </w:tcBorders>
            <w:shd w:val="clear" w:color="auto" w:fill="auto"/>
            <w:vAlign w:val="center"/>
            <w:hideMark/>
          </w:tcPr>
          <w:p w14:paraId="0935B84B"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Corresponde al precio porcentual y se indica con dos decimales.</w:t>
            </w:r>
          </w:p>
        </w:tc>
      </w:tr>
      <w:tr w:rsidR="00BA347C" w:rsidRPr="001920F8" w14:paraId="0935B851" w14:textId="77777777" w:rsidTr="00627D4F">
        <w:trPr>
          <w:trHeight w:val="930"/>
        </w:trPr>
        <w:tc>
          <w:tcPr>
            <w:tcW w:w="1461" w:type="dxa"/>
            <w:vMerge w:val="restart"/>
            <w:tcBorders>
              <w:top w:val="nil"/>
              <w:left w:val="single" w:sz="4" w:space="0" w:color="auto"/>
              <w:bottom w:val="single" w:sz="4" w:space="0" w:color="auto"/>
              <w:right w:val="single" w:sz="4" w:space="0" w:color="auto"/>
            </w:tcBorders>
            <w:shd w:val="clear" w:color="auto" w:fill="auto"/>
            <w:vAlign w:val="center"/>
            <w:hideMark/>
          </w:tcPr>
          <w:p w14:paraId="0935B84D"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16050000       </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0935B84E"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Monto convocado</w:t>
            </w:r>
          </w:p>
        </w:tc>
        <w:tc>
          <w:tcPr>
            <w:tcW w:w="2976" w:type="dxa"/>
            <w:tcBorders>
              <w:top w:val="nil"/>
              <w:left w:val="nil"/>
              <w:bottom w:val="single" w:sz="4" w:space="0" w:color="auto"/>
              <w:right w:val="single" w:sz="4" w:space="0" w:color="auto"/>
            </w:tcBorders>
            <w:shd w:val="clear" w:color="auto" w:fill="auto"/>
            <w:vAlign w:val="center"/>
            <w:hideMark/>
          </w:tcPr>
          <w:p w14:paraId="0935B84F"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Monto total indicado  en el Comunicado de Hecho Relevante de convocatoria de la apertura de la ventanilla inversa.</w:t>
            </w:r>
          </w:p>
        </w:tc>
        <w:tc>
          <w:tcPr>
            <w:tcW w:w="3156" w:type="dxa"/>
            <w:tcBorders>
              <w:top w:val="nil"/>
              <w:left w:val="nil"/>
              <w:bottom w:val="single" w:sz="4" w:space="0" w:color="auto"/>
              <w:right w:val="single" w:sz="4" w:space="0" w:color="auto"/>
            </w:tcBorders>
            <w:shd w:val="clear" w:color="auto" w:fill="auto"/>
            <w:vAlign w:val="center"/>
            <w:hideMark/>
          </w:tcPr>
          <w:p w14:paraId="0935B850"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Monto total indicado  en el Comunicado de Hecho Relevante de convocatoria de la apertura de la colocación directa inversa.</w:t>
            </w:r>
          </w:p>
        </w:tc>
      </w:tr>
      <w:tr w:rsidR="00BA347C" w:rsidRPr="001920F8" w14:paraId="0935B856" w14:textId="77777777" w:rsidTr="00627D4F">
        <w:trPr>
          <w:trHeight w:val="795"/>
        </w:trPr>
        <w:tc>
          <w:tcPr>
            <w:tcW w:w="1461" w:type="dxa"/>
            <w:vMerge/>
            <w:tcBorders>
              <w:top w:val="nil"/>
              <w:left w:val="single" w:sz="4" w:space="0" w:color="auto"/>
              <w:bottom w:val="single" w:sz="4" w:space="0" w:color="auto"/>
              <w:right w:val="single" w:sz="4" w:space="0" w:color="auto"/>
            </w:tcBorders>
            <w:vAlign w:val="center"/>
            <w:hideMark/>
          </w:tcPr>
          <w:p w14:paraId="0935B852" w14:textId="77777777" w:rsidR="00BA347C" w:rsidRPr="001920F8" w:rsidRDefault="00BA347C" w:rsidP="00627D4F">
            <w:pPr>
              <w:spacing w:after="0" w:line="240" w:lineRule="auto"/>
              <w:rPr>
                <w:rFonts w:eastAsia="Times New Roman" w:cs="Arial"/>
                <w:lang w:val="es-CR" w:eastAsia="es-CR"/>
              </w:rPr>
            </w:pPr>
          </w:p>
        </w:tc>
        <w:tc>
          <w:tcPr>
            <w:tcW w:w="1900" w:type="dxa"/>
            <w:vMerge/>
            <w:tcBorders>
              <w:top w:val="nil"/>
              <w:left w:val="single" w:sz="4" w:space="0" w:color="auto"/>
              <w:bottom w:val="single" w:sz="4" w:space="0" w:color="auto"/>
              <w:right w:val="single" w:sz="4" w:space="0" w:color="auto"/>
            </w:tcBorders>
            <w:vAlign w:val="center"/>
            <w:hideMark/>
          </w:tcPr>
          <w:p w14:paraId="0935B853" w14:textId="77777777" w:rsidR="00BA347C" w:rsidRPr="001920F8" w:rsidRDefault="00BA347C" w:rsidP="00627D4F">
            <w:pPr>
              <w:spacing w:after="0" w:line="240" w:lineRule="auto"/>
              <w:rPr>
                <w:rFonts w:eastAsia="Times New Roman" w:cs="Arial"/>
                <w:lang w:val="es-CR" w:eastAsia="es-CR"/>
              </w:rPr>
            </w:pPr>
          </w:p>
        </w:tc>
        <w:tc>
          <w:tcPr>
            <w:tcW w:w="2976" w:type="dxa"/>
            <w:tcBorders>
              <w:top w:val="nil"/>
              <w:left w:val="nil"/>
              <w:bottom w:val="single" w:sz="4" w:space="0" w:color="auto"/>
              <w:right w:val="single" w:sz="4" w:space="0" w:color="auto"/>
            </w:tcBorders>
            <w:shd w:val="clear" w:color="auto" w:fill="auto"/>
            <w:vAlign w:val="center"/>
            <w:hideMark/>
          </w:tcPr>
          <w:p w14:paraId="0935B854"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Este campo es obligatorio, por lo tanto, se deberá indicar cero aún en caso que no se hayan colocado valores. </w:t>
            </w:r>
          </w:p>
        </w:tc>
        <w:tc>
          <w:tcPr>
            <w:tcW w:w="3156" w:type="dxa"/>
            <w:tcBorders>
              <w:top w:val="nil"/>
              <w:left w:val="nil"/>
              <w:bottom w:val="single" w:sz="4" w:space="0" w:color="auto"/>
              <w:right w:val="single" w:sz="4" w:space="0" w:color="auto"/>
            </w:tcBorders>
            <w:shd w:val="clear" w:color="auto" w:fill="auto"/>
            <w:vAlign w:val="center"/>
            <w:hideMark/>
          </w:tcPr>
          <w:p w14:paraId="0935B855"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Este campo es obligatorio, por lo tanto, se deberá indicar cero aún en caso que no se hayan colocado valores. </w:t>
            </w:r>
          </w:p>
        </w:tc>
      </w:tr>
      <w:tr w:rsidR="00BA347C" w:rsidRPr="001920F8" w14:paraId="0935B85B" w14:textId="77777777" w:rsidTr="00627D4F">
        <w:trPr>
          <w:trHeight w:val="600"/>
        </w:trPr>
        <w:tc>
          <w:tcPr>
            <w:tcW w:w="1461" w:type="dxa"/>
            <w:vMerge/>
            <w:tcBorders>
              <w:top w:val="nil"/>
              <w:left w:val="single" w:sz="4" w:space="0" w:color="auto"/>
              <w:bottom w:val="single" w:sz="4" w:space="0" w:color="auto"/>
              <w:right w:val="single" w:sz="4" w:space="0" w:color="auto"/>
            </w:tcBorders>
            <w:vAlign w:val="center"/>
            <w:hideMark/>
          </w:tcPr>
          <w:p w14:paraId="0935B857" w14:textId="77777777" w:rsidR="00BA347C" w:rsidRPr="001920F8" w:rsidRDefault="00BA347C" w:rsidP="00627D4F">
            <w:pPr>
              <w:spacing w:after="0" w:line="240" w:lineRule="auto"/>
              <w:rPr>
                <w:rFonts w:eastAsia="Times New Roman" w:cs="Arial"/>
                <w:lang w:val="es-CR" w:eastAsia="es-CR"/>
              </w:rPr>
            </w:pPr>
          </w:p>
        </w:tc>
        <w:tc>
          <w:tcPr>
            <w:tcW w:w="1900" w:type="dxa"/>
            <w:vMerge/>
            <w:tcBorders>
              <w:top w:val="nil"/>
              <w:left w:val="single" w:sz="4" w:space="0" w:color="auto"/>
              <w:bottom w:val="single" w:sz="4" w:space="0" w:color="auto"/>
              <w:right w:val="single" w:sz="4" w:space="0" w:color="auto"/>
            </w:tcBorders>
            <w:vAlign w:val="center"/>
            <w:hideMark/>
          </w:tcPr>
          <w:p w14:paraId="0935B858" w14:textId="77777777" w:rsidR="00BA347C" w:rsidRPr="001920F8" w:rsidRDefault="00BA347C" w:rsidP="00627D4F">
            <w:pPr>
              <w:spacing w:after="0" w:line="240" w:lineRule="auto"/>
              <w:rPr>
                <w:rFonts w:eastAsia="Times New Roman" w:cs="Arial"/>
                <w:lang w:val="es-CR" w:eastAsia="es-CR"/>
              </w:rPr>
            </w:pPr>
          </w:p>
        </w:tc>
        <w:tc>
          <w:tcPr>
            <w:tcW w:w="2976" w:type="dxa"/>
            <w:tcBorders>
              <w:top w:val="nil"/>
              <w:left w:val="nil"/>
              <w:bottom w:val="single" w:sz="4" w:space="0" w:color="auto"/>
              <w:right w:val="single" w:sz="4" w:space="0" w:color="auto"/>
            </w:tcBorders>
            <w:shd w:val="clear" w:color="auto" w:fill="auto"/>
            <w:vAlign w:val="center"/>
            <w:hideMark/>
          </w:tcPr>
          <w:p w14:paraId="0935B859"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Se indica en miles de unidades de la moneda de la emisión. </w:t>
            </w:r>
          </w:p>
        </w:tc>
        <w:tc>
          <w:tcPr>
            <w:tcW w:w="3156" w:type="dxa"/>
            <w:tcBorders>
              <w:top w:val="nil"/>
              <w:left w:val="nil"/>
              <w:bottom w:val="single" w:sz="4" w:space="0" w:color="auto"/>
              <w:right w:val="single" w:sz="4" w:space="0" w:color="auto"/>
            </w:tcBorders>
            <w:shd w:val="clear" w:color="auto" w:fill="auto"/>
            <w:vAlign w:val="center"/>
            <w:hideMark/>
          </w:tcPr>
          <w:p w14:paraId="0935B85A" w14:textId="77777777" w:rsidR="00BA347C" w:rsidRPr="001920F8" w:rsidRDefault="00BA347C" w:rsidP="00627D4F">
            <w:pPr>
              <w:spacing w:after="0" w:line="240" w:lineRule="auto"/>
              <w:jc w:val="both"/>
              <w:rPr>
                <w:rFonts w:eastAsia="Times New Roman" w:cs="Arial"/>
                <w:lang w:val="es-CR" w:eastAsia="es-CR"/>
              </w:rPr>
            </w:pPr>
            <w:r w:rsidRPr="001920F8">
              <w:rPr>
                <w:rFonts w:eastAsia="Times New Roman" w:cs="Arial"/>
                <w:lang w:val="es-CR" w:eastAsia="es-CR"/>
              </w:rPr>
              <w:t xml:space="preserve">Se indica en miles de unidades de la moneda de la emisión. </w:t>
            </w:r>
          </w:p>
        </w:tc>
      </w:tr>
    </w:tbl>
    <w:p w14:paraId="0935B85C" w14:textId="77777777" w:rsidR="00FE37BB" w:rsidRPr="001920F8" w:rsidRDefault="00FE37BB" w:rsidP="00DA5F13">
      <w:pPr>
        <w:pStyle w:val="Numeracin"/>
        <w:numPr>
          <w:ilvl w:val="0"/>
          <w:numId w:val="0"/>
        </w:numPr>
        <w:spacing w:before="0"/>
        <w:ind w:right="-193"/>
        <w:rPr>
          <w:rFonts w:ascii="Arial" w:hAnsi="Arial" w:cs="Arial"/>
          <w:szCs w:val="22"/>
          <w:lang w:val="es-CR"/>
        </w:rPr>
      </w:pPr>
    </w:p>
    <w:p w14:paraId="0935B85D" w14:textId="77777777" w:rsidR="00A936B3" w:rsidRPr="001920F8" w:rsidRDefault="00FE37BB" w:rsidP="00036A81">
      <w:pPr>
        <w:pStyle w:val="Numeracin"/>
        <w:numPr>
          <w:ilvl w:val="0"/>
          <w:numId w:val="4"/>
        </w:numPr>
        <w:spacing w:before="0"/>
        <w:ind w:right="-193"/>
        <w:rPr>
          <w:rFonts w:ascii="Arial" w:hAnsi="Arial" w:cs="Arial"/>
          <w:szCs w:val="22"/>
          <w:lang w:val="es-CR"/>
        </w:rPr>
      </w:pPr>
      <w:r w:rsidRPr="001920F8">
        <w:rPr>
          <w:rFonts w:ascii="Arial" w:hAnsi="Arial" w:cs="Arial"/>
          <w:szCs w:val="22"/>
          <w:lang w:val="es-CR"/>
        </w:rPr>
        <w:t>E</w:t>
      </w:r>
      <w:r w:rsidR="00BA347C" w:rsidRPr="001920F8">
        <w:rPr>
          <w:rFonts w:ascii="Arial" w:hAnsi="Arial" w:cs="Arial"/>
          <w:szCs w:val="22"/>
          <w:lang w:val="es-CR"/>
        </w:rPr>
        <w:t>n el anexo 3; se modifica la redacción de los instructivos de la siguiente manera:</w:t>
      </w:r>
    </w:p>
    <w:p w14:paraId="0935B85E" w14:textId="77777777" w:rsidR="00BA347C" w:rsidRPr="001920F8" w:rsidRDefault="00BA347C" w:rsidP="00A936B3">
      <w:pPr>
        <w:pStyle w:val="Numeracin"/>
        <w:numPr>
          <w:ilvl w:val="0"/>
          <w:numId w:val="0"/>
        </w:numPr>
        <w:tabs>
          <w:tab w:val="left" w:pos="567"/>
        </w:tabs>
        <w:spacing w:before="0"/>
        <w:ind w:left="360" w:right="-193" w:hanging="360"/>
        <w:rPr>
          <w:rFonts w:ascii="Arial" w:hAnsi="Arial" w:cs="Arial"/>
          <w:szCs w:val="22"/>
          <w:lang w:val="es-CR"/>
        </w:rPr>
      </w:pPr>
    </w:p>
    <w:tbl>
      <w:tblPr>
        <w:tblStyle w:val="TableGrid"/>
        <w:tblW w:w="9454" w:type="dxa"/>
        <w:tblInd w:w="-387" w:type="dxa"/>
        <w:tblLook w:val="04A0" w:firstRow="1" w:lastRow="0" w:firstColumn="1" w:lastColumn="0" w:noHBand="0" w:noVBand="1"/>
      </w:tblPr>
      <w:tblGrid>
        <w:gridCol w:w="4777"/>
        <w:gridCol w:w="4677"/>
      </w:tblGrid>
      <w:tr w:rsidR="00BA718F" w:rsidRPr="001920F8" w14:paraId="0935B861" w14:textId="77777777" w:rsidTr="00627D4F">
        <w:tc>
          <w:tcPr>
            <w:tcW w:w="4777" w:type="dxa"/>
          </w:tcPr>
          <w:p w14:paraId="0935B85F" w14:textId="77777777" w:rsidR="002127AA" w:rsidRPr="001920F8" w:rsidRDefault="002127AA" w:rsidP="00BA718F">
            <w:pPr>
              <w:pStyle w:val="Numeracin"/>
              <w:numPr>
                <w:ilvl w:val="0"/>
                <w:numId w:val="0"/>
              </w:numPr>
              <w:tabs>
                <w:tab w:val="left" w:pos="567"/>
              </w:tabs>
              <w:spacing w:before="0"/>
              <w:ind w:right="-193"/>
              <w:jc w:val="center"/>
              <w:rPr>
                <w:rFonts w:ascii="Arial" w:hAnsi="Arial" w:cs="Arial"/>
                <w:szCs w:val="22"/>
                <w:lang w:val="es-CR"/>
              </w:rPr>
            </w:pPr>
            <w:r w:rsidRPr="001920F8">
              <w:rPr>
                <w:rFonts w:ascii="Arial" w:hAnsi="Arial" w:cs="Arial"/>
                <w:szCs w:val="22"/>
                <w:lang w:val="es-CR"/>
              </w:rPr>
              <w:t>Vigente</w:t>
            </w:r>
          </w:p>
        </w:tc>
        <w:tc>
          <w:tcPr>
            <w:tcW w:w="4677" w:type="dxa"/>
          </w:tcPr>
          <w:p w14:paraId="0935B860" w14:textId="77777777" w:rsidR="002127AA" w:rsidRPr="001920F8" w:rsidRDefault="002127AA" w:rsidP="00BA718F">
            <w:pPr>
              <w:pStyle w:val="Numeracin"/>
              <w:numPr>
                <w:ilvl w:val="0"/>
                <w:numId w:val="0"/>
              </w:numPr>
              <w:tabs>
                <w:tab w:val="left" w:pos="567"/>
              </w:tabs>
              <w:spacing w:before="0"/>
              <w:ind w:right="-193"/>
              <w:jc w:val="center"/>
              <w:rPr>
                <w:rFonts w:ascii="Arial" w:hAnsi="Arial" w:cs="Arial"/>
                <w:szCs w:val="22"/>
                <w:lang w:val="es-CR"/>
              </w:rPr>
            </w:pPr>
            <w:r w:rsidRPr="001920F8">
              <w:rPr>
                <w:rFonts w:ascii="Arial" w:hAnsi="Arial" w:cs="Arial"/>
                <w:szCs w:val="22"/>
                <w:lang w:val="es-CR"/>
              </w:rPr>
              <w:t>Propuesto</w:t>
            </w:r>
          </w:p>
        </w:tc>
      </w:tr>
      <w:tr w:rsidR="00BA718F" w:rsidRPr="001920F8" w14:paraId="0935B86B" w14:textId="77777777" w:rsidTr="00627D4F">
        <w:tc>
          <w:tcPr>
            <w:tcW w:w="4777" w:type="dxa"/>
          </w:tcPr>
          <w:p w14:paraId="0935B862" w14:textId="77777777" w:rsidR="00D0557B" w:rsidRPr="001920F8" w:rsidRDefault="00D0557B" w:rsidP="00D0557B">
            <w:pPr>
              <w:pStyle w:val="Numeracin"/>
              <w:numPr>
                <w:ilvl w:val="0"/>
                <w:numId w:val="0"/>
              </w:numPr>
              <w:ind w:right="176"/>
              <w:rPr>
                <w:rFonts w:ascii="Arial" w:hAnsi="Arial" w:cs="Arial"/>
                <w:szCs w:val="22"/>
                <w:lang w:val="es-CR"/>
              </w:rPr>
            </w:pPr>
            <w:r w:rsidRPr="001920F8">
              <w:rPr>
                <w:rFonts w:ascii="Arial" w:hAnsi="Arial" w:cs="Arial"/>
                <w:szCs w:val="22"/>
                <w:lang w:val="es-CR"/>
              </w:rPr>
              <w:t>“…</w:t>
            </w:r>
          </w:p>
          <w:p w14:paraId="0935B863" w14:textId="77777777" w:rsidR="002127AA" w:rsidRPr="001920F8" w:rsidRDefault="002127AA" w:rsidP="00036A81">
            <w:pPr>
              <w:pStyle w:val="Numeracin"/>
              <w:numPr>
                <w:ilvl w:val="0"/>
                <w:numId w:val="5"/>
              </w:numPr>
              <w:ind w:right="176"/>
              <w:rPr>
                <w:rFonts w:ascii="Arial" w:hAnsi="Arial" w:cs="Arial"/>
                <w:szCs w:val="22"/>
                <w:lang w:val="es-CR"/>
              </w:rPr>
            </w:pPr>
            <w:r w:rsidRPr="001920F8">
              <w:rPr>
                <w:rFonts w:ascii="Arial" w:hAnsi="Arial" w:cs="Arial"/>
                <w:szCs w:val="22"/>
                <w:lang w:val="es-CR"/>
              </w:rPr>
              <w:t xml:space="preserve">El resultado de las colocaciones directas, colocaciones directas inversas y subastas inversas, de mercado primario cuando el emisor realice directamente la transacción, </w:t>
            </w:r>
            <w:r w:rsidR="00BA718F" w:rsidRPr="001920F8">
              <w:rPr>
                <w:rFonts w:ascii="Arial" w:hAnsi="Arial" w:cs="Arial"/>
                <w:szCs w:val="22"/>
                <w:lang w:val="es-CR"/>
              </w:rPr>
              <w:t>es decir que no</w:t>
            </w:r>
            <w:r w:rsidRPr="001920F8">
              <w:rPr>
                <w:rFonts w:ascii="Arial" w:hAnsi="Arial" w:cs="Arial"/>
                <w:szCs w:val="22"/>
                <w:lang w:val="es-CR"/>
              </w:rPr>
              <w:t xml:space="preserve"> utilice los sistemas transaccionales de la Bolsa Nacional de Valores autorizados en el Registro Nacional de Valores e Intermediarios de Costa Rica. Inclusive en los casos en que no se hayan colocado valores, si se recibieron ofertas de compra, deberá enviarse la información sobre </w:t>
            </w:r>
            <w:r w:rsidRPr="001920F8">
              <w:rPr>
                <w:rFonts w:ascii="Arial" w:hAnsi="Arial" w:cs="Arial"/>
                <w:szCs w:val="22"/>
                <w:lang w:val="es-CR"/>
              </w:rPr>
              <w:lastRenderedPageBreak/>
              <w:t xml:space="preserve">dichas ofertas conforme lo requerido en el catálogo. </w:t>
            </w:r>
          </w:p>
          <w:p w14:paraId="0935B864" w14:textId="77777777" w:rsidR="00D0557B" w:rsidRPr="001920F8" w:rsidRDefault="00D0557B" w:rsidP="00D0557B">
            <w:pPr>
              <w:pStyle w:val="Numeracin"/>
              <w:numPr>
                <w:ilvl w:val="0"/>
                <w:numId w:val="0"/>
              </w:numPr>
              <w:ind w:right="176"/>
              <w:rPr>
                <w:rFonts w:ascii="Arial" w:hAnsi="Arial" w:cs="Arial"/>
                <w:szCs w:val="22"/>
                <w:lang w:val="es-CR"/>
              </w:rPr>
            </w:pPr>
            <w:r w:rsidRPr="001920F8">
              <w:rPr>
                <w:rFonts w:ascii="Arial" w:hAnsi="Arial" w:cs="Arial"/>
                <w:szCs w:val="22"/>
                <w:lang w:val="es-CR"/>
              </w:rPr>
              <w:t>…”</w:t>
            </w:r>
          </w:p>
          <w:p w14:paraId="0935B865" w14:textId="77777777" w:rsidR="002127AA" w:rsidRPr="001920F8" w:rsidRDefault="002127AA" w:rsidP="002127AA">
            <w:pPr>
              <w:pStyle w:val="Numeracin"/>
              <w:numPr>
                <w:ilvl w:val="0"/>
                <w:numId w:val="0"/>
              </w:numPr>
              <w:tabs>
                <w:tab w:val="left" w:pos="567"/>
              </w:tabs>
              <w:spacing w:before="0"/>
              <w:ind w:right="-193"/>
              <w:rPr>
                <w:rFonts w:ascii="Arial" w:hAnsi="Arial" w:cs="Arial"/>
                <w:szCs w:val="22"/>
                <w:highlight w:val="cyan"/>
                <w:lang w:val="es-CR"/>
              </w:rPr>
            </w:pPr>
          </w:p>
        </w:tc>
        <w:tc>
          <w:tcPr>
            <w:tcW w:w="4677" w:type="dxa"/>
          </w:tcPr>
          <w:p w14:paraId="0935B866" w14:textId="77777777" w:rsidR="00D0557B" w:rsidRPr="001920F8" w:rsidRDefault="00D0557B" w:rsidP="00D0557B">
            <w:pPr>
              <w:pStyle w:val="Numeracin"/>
              <w:numPr>
                <w:ilvl w:val="0"/>
                <w:numId w:val="0"/>
              </w:numPr>
              <w:tabs>
                <w:tab w:val="left" w:pos="567"/>
              </w:tabs>
              <w:ind w:right="176"/>
              <w:rPr>
                <w:rFonts w:ascii="Arial" w:hAnsi="Arial" w:cs="Arial"/>
                <w:szCs w:val="22"/>
                <w:lang w:val="es-CR"/>
              </w:rPr>
            </w:pPr>
            <w:r w:rsidRPr="001920F8">
              <w:rPr>
                <w:rFonts w:ascii="Arial" w:hAnsi="Arial" w:cs="Arial"/>
                <w:szCs w:val="22"/>
                <w:lang w:val="es-CR"/>
              </w:rPr>
              <w:lastRenderedPageBreak/>
              <w:t>“…</w:t>
            </w:r>
          </w:p>
          <w:p w14:paraId="0935B867" w14:textId="77777777" w:rsidR="00D0557B" w:rsidRPr="001920F8" w:rsidRDefault="00D0557B" w:rsidP="00036A81">
            <w:pPr>
              <w:pStyle w:val="Numeracin"/>
              <w:numPr>
                <w:ilvl w:val="0"/>
                <w:numId w:val="6"/>
              </w:numPr>
              <w:ind w:right="176"/>
              <w:rPr>
                <w:rFonts w:ascii="Arial" w:hAnsi="Arial" w:cs="Arial"/>
                <w:szCs w:val="22"/>
                <w:lang w:val="es-CR"/>
              </w:rPr>
            </w:pPr>
            <w:r w:rsidRPr="001920F8">
              <w:rPr>
                <w:rFonts w:ascii="Arial" w:hAnsi="Arial" w:cs="Arial"/>
                <w:szCs w:val="22"/>
                <w:lang w:val="es-CR"/>
              </w:rPr>
              <w:t>El resultado de las colocaciones directas</w:t>
            </w:r>
            <w:r w:rsidR="00054F61" w:rsidRPr="001920F8">
              <w:rPr>
                <w:rFonts w:ascii="Arial" w:hAnsi="Arial" w:cs="Arial"/>
                <w:szCs w:val="22"/>
                <w:lang w:val="es-CR"/>
              </w:rPr>
              <w:t>,</w:t>
            </w:r>
            <w:r w:rsidR="00054F61" w:rsidRPr="001920F8">
              <w:rPr>
                <w:rFonts w:ascii="Arial" w:hAnsi="Arial" w:cs="Arial"/>
                <w:szCs w:val="22"/>
              </w:rPr>
              <w:t xml:space="preserve"> </w:t>
            </w:r>
            <w:r w:rsidR="00054F61" w:rsidRPr="001920F8">
              <w:rPr>
                <w:rFonts w:ascii="Arial" w:hAnsi="Arial" w:cs="Arial"/>
                <w:szCs w:val="22"/>
                <w:lang w:val="es-CR"/>
              </w:rPr>
              <w:t>subastas y contratos de colocación</w:t>
            </w:r>
            <w:r w:rsidRPr="001920F8">
              <w:rPr>
                <w:rFonts w:ascii="Arial" w:hAnsi="Arial" w:cs="Arial"/>
                <w:szCs w:val="22"/>
                <w:lang w:val="es-CR"/>
              </w:rPr>
              <w:t xml:space="preserve">, de mercado primario cuando el emisor realice directamente la transacción, es decir que no utilice los sistemas transaccionales de la Bolsa Nacional de Valores autorizados en el Registro Nacional de Valores e Intermediarios de Costa Rica. Inclusive en los casos en que no se hayan colocado valores, si se recibieron ofertas de compra, deberá enviarse la información sobre </w:t>
            </w:r>
            <w:r w:rsidRPr="001920F8">
              <w:rPr>
                <w:rFonts w:ascii="Arial" w:hAnsi="Arial" w:cs="Arial"/>
                <w:szCs w:val="22"/>
                <w:lang w:val="es-CR"/>
              </w:rPr>
              <w:lastRenderedPageBreak/>
              <w:t xml:space="preserve">dichas ofertas conforme lo requerido en el catálogo. </w:t>
            </w:r>
          </w:p>
          <w:p w14:paraId="0935B868" w14:textId="77777777" w:rsidR="00D0557B" w:rsidRPr="001920F8" w:rsidRDefault="00D0557B" w:rsidP="00D0557B">
            <w:pPr>
              <w:pStyle w:val="Numeracin"/>
              <w:numPr>
                <w:ilvl w:val="0"/>
                <w:numId w:val="0"/>
              </w:numPr>
              <w:ind w:left="742" w:right="175" w:hanging="425"/>
              <w:rPr>
                <w:rFonts w:ascii="Arial" w:hAnsi="Arial" w:cs="Arial"/>
                <w:szCs w:val="22"/>
                <w:lang w:val="es-CR"/>
              </w:rPr>
            </w:pPr>
            <w:r w:rsidRPr="001920F8">
              <w:rPr>
                <w:rFonts w:ascii="Arial" w:hAnsi="Arial" w:cs="Arial"/>
                <w:szCs w:val="22"/>
                <w:lang w:val="es-CR"/>
              </w:rPr>
              <w:t>1 Bis. El BCCR y Gobierno deben reportar las colocaciones directas</w:t>
            </w:r>
            <w:r w:rsidR="00054F61" w:rsidRPr="001920F8">
              <w:rPr>
                <w:rFonts w:ascii="Arial" w:hAnsi="Arial" w:cs="Arial"/>
                <w:szCs w:val="22"/>
                <w:lang w:val="es-CR"/>
              </w:rPr>
              <w:t>, subastas y contratos de colocación</w:t>
            </w:r>
            <w:r w:rsidRPr="001920F8">
              <w:rPr>
                <w:rFonts w:ascii="Arial" w:hAnsi="Arial" w:cs="Arial"/>
                <w:szCs w:val="22"/>
                <w:lang w:val="es-CR"/>
              </w:rPr>
              <w:t xml:space="preserve"> cuando no utilicen los sistemas transaccionales de la Bolsa Nacional de Valores.</w:t>
            </w:r>
          </w:p>
          <w:p w14:paraId="0935B869" w14:textId="77777777" w:rsidR="002127AA" w:rsidRPr="001920F8" w:rsidRDefault="00D0557B" w:rsidP="00D0557B">
            <w:pPr>
              <w:pStyle w:val="Numeracin"/>
              <w:numPr>
                <w:ilvl w:val="0"/>
                <w:numId w:val="0"/>
              </w:numPr>
              <w:ind w:left="742" w:right="175" w:hanging="425"/>
              <w:rPr>
                <w:rFonts w:ascii="Arial" w:hAnsi="Arial" w:cs="Arial"/>
                <w:szCs w:val="22"/>
                <w:lang w:val="es-CR"/>
              </w:rPr>
            </w:pPr>
            <w:proofErr w:type="gramStart"/>
            <w:r w:rsidRPr="001920F8">
              <w:rPr>
                <w:rFonts w:ascii="Arial" w:hAnsi="Arial" w:cs="Arial"/>
                <w:szCs w:val="22"/>
                <w:lang w:val="es-CR"/>
              </w:rPr>
              <w:t>1.Ter</w:t>
            </w:r>
            <w:proofErr w:type="gramEnd"/>
            <w:r w:rsidRPr="001920F8">
              <w:rPr>
                <w:rFonts w:ascii="Arial" w:hAnsi="Arial" w:cs="Arial"/>
                <w:szCs w:val="22"/>
                <w:lang w:val="es-CR"/>
              </w:rPr>
              <w:t xml:space="preserve">. </w:t>
            </w:r>
            <w:r w:rsidR="002127AA" w:rsidRPr="001920F8">
              <w:rPr>
                <w:rFonts w:ascii="Arial" w:hAnsi="Arial" w:cs="Arial"/>
                <w:szCs w:val="22"/>
                <w:lang w:val="es-CR"/>
              </w:rPr>
              <w:t xml:space="preserve">El resultado de las </w:t>
            </w:r>
            <w:r w:rsidRPr="001920F8">
              <w:rPr>
                <w:rFonts w:ascii="Arial" w:hAnsi="Arial" w:cs="Arial"/>
                <w:szCs w:val="22"/>
                <w:lang w:val="es-CR"/>
              </w:rPr>
              <w:t>subastas inversas y las colocaciones directas inversas</w:t>
            </w:r>
            <w:r w:rsidR="002127AA" w:rsidRPr="001920F8">
              <w:rPr>
                <w:rFonts w:ascii="Arial" w:hAnsi="Arial" w:cs="Arial"/>
                <w:szCs w:val="22"/>
                <w:lang w:val="es-CR"/>
              </w:rPr>
              <w:t xml:space="preserve">. </w:t>
            </w:r>
          </w:p>
          <w:p w14:paraId="0935B86A" w14:textId="77777777" w:rsidR="00AE0DE2" w:rsidRPr="001920F8" w:rsidRDefault="00AE0DE2" w:rsidP="00AE0DE2">
            <w:pPr>
              <w:pStyle w:val="Numeracin"/>
              <w:numPr>
                <w:ilvl w:val="0"/>
                <w:numId w:val="0"/>
              </w:numPr>
              <w:tabs>
                <w:tab w:val="left" w:pos="567"/>
              </w:tabs>
              <w:ind w:right="-193"/>
              <w:rPr>
                <w:rFonts w:ascii="Arial" w:hAnsi="Arial" w:cs="Arial"/>
                <w:szCs w:val="22"/>
                <w:lang w:val="es-CR"/>
              </w:rPr>
            </w:pPr>
            <w:r w:rsidRPr="001920F8">
              <w:rPr>
                <w:rFonts w:ascii="Arial" w:hAnsi="Arial" w:cs="Arial"/>
                <w:szCs w:val="22"/>
                <w:lang w:val="es-CR"/>
              </w:rPr>
              <w:t>…”</w:t>
            </w:r>
          </w:p>
        </w:tc>
      </w:tr>
    </w:tbl>
    <w:p w14:paraId="0935B86C" w14:textId="77777777" w:rsidR="00BA347C" w:rsidRPr="001920F8" w:rsidRDefault="00BA347C" w:rsidP="00A936B3">
      <w:pPr>
        <w:pStyle w:val="Numeracin"/>
        <w:numPr>
          <w:ilvl w:val="0"/>
          <w:numId w:val="0"/>
        </w:numPr>
        <w:tabs>
          <w:tab w:val="left" w:pos="567"/>
        </w:tabs>
        <w:spacing w:before="0"/>
        <w:ind w:left="360" w:right="-193" w:hanging="360"/>
        <w:rPr>
          <w:rFonts w:ascii="Arial" w:hAnsi="Arial" w:cs="Arial"/>
          <w:szCs w:val="22"/>
          <w:lang w:val="es-CR"/>
        </w:rPr>
      </w:pPr>
    </w:p>
    <w:bookmarkStart w:id="3" w:name="_MON_1612765417"/>
    <w:bookmarkEnd w:id="3"/>
    <w:p w14:paraId="0935B86D" w14:textId="77777777" w:rsidR="00E33AE6" w:rsidRPr="001920F8" w:rsidRDefault="0036003D" w:rsidP="00C823D8">
      <w:pPr>
        <w:pStyle w:val="Numeracin"/>
        <w:numPr>
          <w:ilvl w:val="0"/>
          <w:numId w:val="0"/>
        </w:numPr>
        <w:tabs>
          <w:tab w:val="left" w:pos="567"/>
        </w:tabs>
        <w:spacing w:before="0"/>
        <w:ind w:left="360" w:right="-193" w:hanging="360"/>
        <w:jc w:val="center"/>
        <w:rPr>
          <w:rFonts w:ascii="Arial" w:hAnsi="Arial" w:cs="Arial"/>
          <w:szCs w:val="22"/>
          <w:lang w:val="es-CR"/>
        </w:rPr>
      </w:pPr>
      <w:r w:rsidRPr="001920F8">
        <w:rPr>
          <w:rFonts w:ascii="Arial" w:hAnsi="Arial" w:cs="Arial"/>
          <w:szCs w:val="22"/>
          <w:lang w:val="es-CR"/>
        </w:rPr>
        <w:object w:dxaOrig="1539" w:dyaOrig="997" w14:anchorId="0935B896">
          <v:shape id="_x0000_i1029" type="#_x0000_t75" style="width:79.5pt;height:50.25pt" o:ole="">
            <v:imagedata r:id="rId19" o:title=""/>
          </v:shape>
          <o:OLEObject Type="Embed" ProgID="Excel.Sheet.12" ShapeID="_x0000_i1029" DrawAspect="Icon" ObjectID="_1636895195" r:id="rId20"/>
        </w:object>
      </w:r>
    </w:p>
    <w:p w14:paraId="0935B86E" w14:textId="77777777" w:rsidR="00E33AE6" w:rsidRPr="001920F8" w:rsidRDefault="00E33AE6" w:rsidP="00A936B3">
      <w:pPr>
        <w:pStyle w:val="Numeracin"/>
        <w:numPr>
          <w:ilvl w:val="0"/>
          <w:numId w:val="0"/>
        </w:numPr>
        <w:tabs>
          <w:tab w:val="left" w:pos="567"/>
        </w:tabs>
        <w:spacing w:before="0"/>
        <w:ind w:left="360" w:right="-193" w:hanging="360"/>
        <w:rPr>
          <w:rFonts w:ascii="Arial" w:hAnsi="Arial" w:cs="Arial"/>
          <w:szCs w:val="22"/>
          <w:lang w:val="es-CR"/>
        </w:rPr>
      </w:pPr>
    </w:p>
    <w:p w14:paraId="0935B86F" w14:textId="77777777" w:rsidR="00E86A38" w:rsidRPr="001920F8" w:rsidRDefault="00E33AE6" w:rsidP="00ED4D0E">
      <w:pPr>
        <w:pStyle w:val="Numeracin"/>
        <w:numPr>
          <w:ilvl w:val="0"/>
          <w:numId w:val="4"/>
        </w:numPr>
        <w:spacing w:before="0"/>
        <w:ind w:right="-193"/>
        <w:rPr>
          <w:rFonts w:ascii="Arial" w:hAnsi="Arial" w:cs="Arial"/>
          <w:szCs w:val="22"/>
          <w:lang w:val="es-CR"/>
        </w:rPr>
      </w:pPr>
      <w:r w:rsidRPr="001920F8">
        <w:rPr>
          <w:rFonts w:ascii="Arial" w:hAnsi="Arial" w:cs="Arial"/>
          <w:szCs w:val="22"/>
          <w:lang w:val="es-CR"/>
        </w:rPr>
        <w:t>Se adiciona el Anexo No.62 “</w:t>
      </w:r>
      <w:r w:rsidR="00B52CB5" w:rsidRPr="001920F8">
        <w:rPr>
          <w:rFonts w:ascii="Arial" w:hAnsi="Arial" w:cs="Arial"/>
          <w:szCs w:val="22"/>
          <w:lang w:val="es-CR"/>
        </w:rPr>
        <w:t xml:space="preserve">Reporte </w:t>
      </w:r>
      <w:r w:rsidRPr="001920F8">
        <w:rPr>
          <w:rFonts w:ascii="Arial" w:hAnsi="Arial" w:cs="Arial"/>
          <w:szCs w:val="22"/>
          <w:lang w:val="es-CR"/>
        </w:rPr>
        <w:t xml:space="preserve">Servicios </w:t>
      </w:r>
      <w:r w:rsidR="00B52CB5" w:rsidRPr="001920F8">
        <w:rPr>
          <w:rFonts w:ascii="Arial" w:hAnsi="Arial" w:cs="Arial"/>
          <w:szCs w:val="22"/>
          <w:lang w:val="es-CR"/>
        </w:rPr>
        <w:t xml:space="preserve">de </w:t>
      </w:r>
      <w:r w:rsidRPr="001920F8">
        <w:rPr>
          <w:rFonts w:ascii="Arial" w:hAnsi="Arial" w:cs="Arial"/>
          <w:szCs w:val="22"/>
          <w:lang w:val="es-CR"/>
        </w:rPr>
        <w:t>Intermedia</w:t>
      </w:r>
      <w:r w:rsidR="00B52CB5" w:rsidRPr="001920F8">
        <w:rPr>
          <w:rFonts w:ascii="Arial" w:hAnsi="Arial" w:cs="Arial"/>
          <w:szCs w:val="22"/>
          <w:lang w:val="es-CR"/>
        </w:rPr>
        <w:t>ción de Valores</w:t>
      </w:r>
      <w:r w:rsidRPr="001920F8">
        <w:rPr>
          <w:rFonts w:ascii="Arial" w:hAnsi="Arial" w:cs="Arial"/>
          <w:szCs w:val="22"/>
          <w:lang w:val="es-CR"/>
        </w:rPr>
        <w:t xml:space="preserve">” con el propósito de obtener información agregada sobre Puestos de Bolsa; la cantidad de clientes </w:t>
      </w:r>
      <w:r w:rsidR="00B52CB5" w:rsidRPr="001920F8">
        <w:rPr>
          <w:rFonts w:ascii="Arial" w:hAnsi="Arial" w:cs="Arial"/>
          <w:szCs w:val="22"/>
          <w:lang w:val="es-CR"/>
        </w:rPr>
        <w:t>a los cuales se le prestan servicios según el Reglamento de Intermediación y Actividades</w:t>
      </w:r>
      <w:r w:rsidRPr="001920F8">
        <w:rPr>
          <w:rFonts w:ascii="Arial" w:hAnsi="Arial" w:cs="Arial"/>
          <w:szCs w:val="22"/>
          <w:lang w:val="es-CR"/>
        </w:rPr>
        <w:t xml:space="preserve">, así como </w:t>
      </w:r>
      <w:r w:rsidR="00B52CB5" w:rsidRPr="001920F8">
        <w:rPr>
          <w:rFonts w:ascii="Arial" w:hAnsi="Arial" w:cs="Arial"/>
          <w:szCs w:val="22"/>
          <w:lang w:val="es-CR"/>
        </w:rPr>
        <w:t>de algunos volúmenes de carteras bajo administración individual y volúmenes de colocaciones de oferta privada en que participa el puesto de bolsa</w:t>
      </w:r>
      <w:r w:rsidRPr="001920F8">
        <w:rPr>
          <w:rFonts w:ascii="Arial" w:hAnsi="Arial" w:cs="Arial"/>
          <w:szCs w:val="22"/>
          <w:lang w:val="es-CR"/>
        </w:rPr>
        <w:t>.  Adicionalmente se modifica el Cuadro de Información Periódica de la siguiente forma:</w:t>
      </w:r>
    </w:p>
    <w:p w14:paraId="0935B870" w14:textId="77777777" w:rsidR="00E86A38" w:rsidRPr="001920F8" w:rsidRDefault="00E86A38" w:rsidP="000D5004">
      <w:pPr>
        <w:pStyle w:val="Numeracin"/>
        <w:numPr>
          <w:ilvl w:val="0"/>
          <w:numId w:val="0"/>
        </w:numPr>
        <w:spacing w:before="0"/>
        <w:ind w:left="643" w:right="-193" w:hanging="360"/>
        <w:rPr>
          <w:rFonts w:ascii="Arial" w:hAnsi="Arial" w:cs="Arial"/>
          <w:szCs w:val="22"/>
          <w:lang w:val="es-CR"/>
        </w:rPr>
      </w:pPr>
    </w:p>
    <w:tbl>
      <w:tblPr>
        <w:tblW w:w="9072" w:type="dxa"/>
        <w:tblInd w:w="-5" w:type="dxa"/>
        <w:tblCellMar>
          <w:left w:w="70" w:type="dxa"/>
          <w:right w:w="70" w:type="dxa"/>
        </w:tblCellMar>
        <w:tblLook w:val="04A0" w:firstRow="1" w:lastRow="0" w:firstColumn="1" w:lastColumn="0" w:noHBand="0" w:noVBand="1"/>
      </w:tblPr>
      <w:tblGrid>
        <w:gridCol w:w="2069"/>
        <w:gridCol w:w="1461"/>
        <w:gridCol w:w="1045"/>
        <w:gridCol w:w="1066"/>
        <w:gridCol w:w="1473"/>
        <w:gridCol w:w="1958"/>
      </w:tblGrid>
      <w:tr w:rsidR="006B4F0A" w:rsidRPr="001920F8" w14:paraId="0935B877" w14:textId="77777777" w:rsidTr="00627D4F">
        <w:trPr>
          <w:trHeight w:val="522"/>
        </w:trPr>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5B871" w14:textId="77777777" w:rsidR="006B4F0A" w:rsidRPr="001920F8" w:rsidRDefault="006B4F0A" w:rsidP="000819CA">
            <w:pPr>
              <w:spacing w:after="0" w:line="240" w:lineRule="auto"/>
              <w:jc w:val="center"/>
              <w:rPr>
                <w:rFonts w:eastAsia="Times New Roman" w:cs="Arial"/>
                <w:b/>
                <w:bCs/>
                <w:lang w:val="es-CR" w:eastAsia="es-CR"/>
              </w:rPr>
            </w:pPr>
            <w:r w:rsidRPr="001920F8">
              <w:rPr>
                <w:rFonts w:eastAsia="Times New Roman" w:cs="Arial"/>
                <w:b/>
                <w:bCs/>
                <w:lang w:val="es-CR" w:eastAsia="es-CR"/>
              </w:rPr>
              <w:t>Reporte</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0935B872" w14:textId="77777777" w:rsidR="006B4F0A" w:rsidRPr="001920F8" w:rsidRDefault="006B4F0A" w:rsidP="000819CA">
            <w:pPr>
              <w:spacing w:after="0" w:line="240" w:lineRule="auto"/>
              <w:jc w:val="center"/>
              <w:rPr>
                <w:rFonts w:eastAsia="Times New Roman" w:cs="Arial"/>
                <w:b/>
                <w:bCs/>
                <w:lang w:val="es-CR" w:eastAsia="es-CR"/>
              </w:rPr>
            </w:pPr>
            <w:r w:rsidRPr="001920F8">
              <w:rPr>
                <w:rFonts w:eastAsia="Times New Roman" w:cs="Arial"/>
                <w:b/>
                <w:bCs/>
                <w:lang w:val="es-CR" w:eastAsia="es-CR"/>
              </w:rPr>
              <w:t>Periodicidad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935B873" w14:textId="77777777" w:rsidR="006B4F0A" w:rsidRPr="001920F8" w:rsidRDefault="006B4F0A" w:rsidP="000819CA">
            <w:pPr>
              <w:spacing w:after="0" w:line="240" w:lineRule="auto"/>
              <w:jc w:val="center"/>
              <w:rPr>
                <w:rFonts w:eastAsia="Times New Roman" w:cs="Arial"/>
                <w:b/>
                <w:bCs/>
                <w:lang w:val="es-CR" w:eastAsia="es-CR"/>
              </w:rPr>
            </w:pPr>
            <w:r w:rsidRPr="001920F8">
              <w:rPr>
                <w:rFonts w:eastAsia="Times New Roman" w:cs="Arial"/>
                <w:b/>
                <w:bCs/>
                <w:lang w:val="es-CR" w:eastAsia="es-CR"/>
              </w:rPr>
              <w:t>Plazo máximo de entrega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935B874" w14:textId="77777777" w:rsidR="006B4F0A" w:rsidRPr="001920F8" w:rsidRDefault="006B4F0A" w:rsidP="000819CA">
            <w:pPr>
              <w:spacing w:after="0" w:line="240" w:lineRule="auto"/>
              <w:jc w:val="center"/>
              <w:rPr>
                <w:rFonts w:eastAsia="Times New Roman" w:cs="Arial"/>
                <w:b/>
                <w:bCs/>
                <w:lang w:val="es-CR" w:eastAsia="es-CR"/>
              </w:rPr>
            </w:pPr>
            <w:r w:rsidRPr="001920F8">
              <w:rPr>
                <w:rFonts w:eastAsia="Times New Roman" w:cs="Arial"/>
                <w:b/>
                <w:bCs/>
                <w:lang w:val="es-CR" w:eastAsia="es-CR"/>
              </w:rPr>
              <w:t>Formato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35B875" w14:textId="77777777" w:rsidR="006B4F0A" w:rsidRPr="001920F8" w:rsidRDefault="006B4F0A" w:rsidP="000819CA">
            <w:pPr>
              <w:spacing w:after="0" w:line="240" w:lineRule="auto"/>
              <w:jc w:val="center"/>
              <w:rPr>
                <w:rFonts w:eastAsia="Times New Roman" w:cs="Arial"/>
                <w:b/>
                <w:bCs/>
                <w:lang w:val="es-CR" w:eastAsia="es-CR"/>
              </w:rPr>
            </w:pPr>
            <w:r w:rsidRPr="001920F8">
              <w:rPr>
                <w:rFonts w:eastAsia="Times New Roman" w:cs="Arial"/>
                <w:b/>
                <w:bCs/>
                <w:lang w:val="es-CR" w:eastAsia="es-CR"/>
              </w:rPr>
              <w:t>Medio de envío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35B876" w14:textId="77777777" w:rsidR="006B4F0A" w:rsidRPr="001920F8" w:rsidRDefault="006B4F0A" w:rsidP="000819CA">
            <w:pPr>
              <w:spacing w:after="0" w:line="240" w:lineRule="auto"/>
              <w:jc w:val="center"/>
              <w:rPr>
                <w:rFonts w:eastAsia="Times New Roman" w:cs="Arial"/>
                <w:b/>
                <w:bCs/>
                <w:lang w:val="es-CR" w:eastAsia="es-CR"/>
              </w:rPr>
            </w:pPr>
            <w:r w:rsidRPr="001920F8">
              <w:rPr>
                <w:rFonts w:eastAsia="Times New Roman" w:cs="Arial"/>
                <w:b/>
                <w:bCs/>
                <w:lang w:val="es-CR" w:eastAsia="es-CR"/>
              </w:rPr>
              <w:t>Notas Aclaratorias</w:t>
            </w:r>
          </w:p>
        </w:tc>
      </w:tr>
      <w:tr w:rsidR="006B4F0A" w:rsidRPr="001920F8" w14:paraId="0935B87E" w14:textId="77777777" w:rsidTr="00627D4F">
        <w:trPr>
          <w:trHeight w:val="1515"/>
        </w:trPr>
        <w:tc>
          <w:tcPr>
            <w:tcW w:w="2069" w:type="dxa"/>
            <w:tcBorders>
              <w:top w:val="nil"/>
              <w:left w:val="single" w:sz="4" w:space="0" w:color="auto"/>
              <w:bottom w:val="single" w:sz="4" w:space="0" w:color="auto"/>
              <w:right w:val="single" w:sz="4" w:space="0" w:color="auto"/>
            </w:tcBorders>
            <w:shd w:val="clear" w:color="auto" w:fill="auto"/>
            <w:vAlign w:val="center"/>
            <w:hideMark/>
          </w:tcPr>
          <w:p w14:paraId="0935B878" w14:textId="77777777" w:rsidR="006B4F0A" w:rsidRPr="001920F8" w:rsidRDefault="006B4F0A" w:rsidP="00B52CB5">
            <w:pPr>
              <w:spacing w:after="0" w:line="240" w:lineRule="auto"/>
              <w:rPr>
                <w:rFonts w:eastAsia="Times New Roman" w:cs="Arial"/>
                <w:lang w:val="es-CR" w:eastAsia="es-CR"/>
              </w:rPr>
            </w:pPr>
            <w:r w:rsidRPr="001920F8">
              <w:rPr>
                <w:rFonts w:eastAsia="Times New Roman" w:cs="Arial"/>
                <w:lang w:val="es-CR" w:eastAsia="es-CR"/>
              </w:rPr>
              <w:t xml:space="preserve">Reporte de Servicios de </w:t>
            </w:r>
            <w:r w:rsidR="00B52CB5" w:rsidRPr="001920F8">
              <w:rPr>
                <w:rFonts w:eastAsia="Times New Roman" w:cs="Arial"/>
                <w:lang w:val="es-CR" w:eastAsia="es-CR"/>
              </w:rPr>
              <w:t>Intermediación de Valores</w:t>
            </w:r>
          </w:p>
        </w:tc>
        <w:tc>
          <w:tcPr>
            <w:tcW w:w="1341" w:type="dxa"/>
            <w:tcBorders>
              <w:top w:val="nil"/>
              <w:left w:val="nil"/>
              <w:bottom w:val="single" w:sz="4" w:space="0" w:color="auto"/>
              <w:right w:val="single" w:sz="4" w:space="0" w:color="auto"/>
            </w:tcBorders>
            <w:shd w:val="clear" w:color="auto" w:fill="auto"/>
            <w:vAlign w:val="center"/>
            <w:hideMark/>
          </w:tcPr>
          <w:p w14:paraId="0935B879" w14:textId="77777777" w:rsidR="006B4F0A" w:rsidRPr="001920F8" w:rsidRDefault="006B4F0A" w:rsidP="00D60956">
            <w:pPr>
              <w:spacing w:after="0" w:line="240" w:lineRule="auto"/>
              <w:jc w:val="center"/>
              <w:rPr>
                <w:rFonts w:eastAsia="Times New Roman" w:cs="Arial"/>
                <w:lang w:val="es-CR" w:eastAsia="es-CR"/>
              </w:rPr>
            </w:pPr>
            <w:r w:rsidRPr="001920F8">
              <w:rPr>
                <w:rFonts w:eastAsia="Times New Roman" w:cs="Arial"/>
                <w:lang w:val="es-CR" w:eastAsia="es-CR"/>
              </w:rPr>
              <w:t xml:space="preserve"> </w:t>
            </w:r>
            <w:r w:rsidR="00D60956" w:rsidRPr="001920F8">
              <w:rPr>
                <w:rFonts w:eastAsia="Times New Roman" w:cs="Arial"/>
                <w:lang w:val="es-CR" w:eastAsia="es-CR"/>
              </w:rPr>
              <w:t>Trimestral</w:t>
            </w:r>
            <w:r w:rsidRPr="001920F8">
              <w:rPr>
                <w:rFonts w:eastAsia="Times New Roman" w:cs="Arial"/>
                <w:lang w:val="es-CR" w:eastAsia="es-CR"/>
              </w:rPr>
              <w:t xml:space="preserve"> </w:t>
            </w:r>
          </w:p>
        </w:tc>
        <w:tc>
          <w:tcPr>
            <w:tcW w:w="897" w:type="dxa"/>
            <w:tcBorders>
              <w:top w:val="nil"/>
              <w:left w:val="nil"/>
              <w:bottom w:val="single" w:sz="4" w:space="0" w:color="auto"/>
              <w:right w:val="single" w:sz="4" w:space="0" w:color="auto"/>
            </w:tcBorders>
            <w:shd w:val="clear" w:color="auto" w:fill="auto"/>
            <w:vAlign w:val="center"/>
            <w:hideMark/>
          </w:tcPr>
          <w:p w14:paraId="0935B87A" w14:textId="77777777" w:rsidR="006B4F0A" w:rsidRPr="001920F8" w:rsidRDefault="006B4F0A" w:rsidP="00D60956">
            <w:pPr>
              <w:spacing w:after="0" w:line="240" w:lineRule="auto"/>
              <w:jc w:val="center"/>
              <w:rPr>
                <w:rFonts w:eastAsia="Times New Roman" w:cs="Arial"/>
                <w:lang w:val="es-CR" w:eastAsia="es-CR"/>
              </w:rPr>
            </w:pPr>
            <w:r w:rsidRPr="001920F8">
              <w:rPr>
                <w:rFonts w:eastAsia="Times New Roman" w:cs="Arial"/>
                <w:lang w:val="es-CR" w:eastAsia="es-CR"/>
              </w:rPr>
              <w:t xml:space="preserve"> 5 días hábiles después del cierre </w:t>
            </w:r>
            <w:r w:rsidR="00D60956" w:rsidRPr="001920F8">
              <w:rPr>
                <w:rFonts w:eastAsia="Times New Roman" w:cs="Arial"/>
                <w:lang w:val="es-CR" w:eastAsia="es-CR"/>
              </w:rPr>
              <w:t>trimestral</w:t>
            </w:r>
            <w:r w:rsidRPr="001920F8">
              <w:rPr>
                <w:rFonts w:eastAsia="Times New Roman" w:cs="Arial"/>
                <w:lang w:val="es-CR" w:eastAsia="es-CR"/>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935B87B" w14:textId="77777777" w:rsidR="006B4F0A" w:rsidRPr="001920F8" w:rsidRDefault="006B4F0A" w:rsidP="000819CA">
            <w:pPr>
              <w:spacing w:after="0" w:line="240" w:lineRule="auto"/>
              <w:jc w:val="center"/>
              <w:rPr>
                <w:rFonts w:eastAsia="Times New Roman" w:cs="Arial"/>
                <w:lang w:val="es-CR" w:eastAsia="es-CR"/>
              </w:rPr>
            </w:pPr>
            <w:r w:rsidRPr="001920F8">
              <w:rPr>
                <w:rFonts w:eastAsia="Times New Roman" w:cs="Arial"/>
                <w:lang w:val="es-CR" w:eastAsia="es-CR"/>
              </w:rPr>
              <w:t>Anexo 62</w:t>
            </w:r>
          </w:p>
        </w:tc>
        <w:tc>
          <w:tcPr>
            <w:tcW w:w="1559" w:type="dxa"/>
            <w:tcBorders>
              <w:top w:val="nil"/>
              <w:left w:val="nil"/>
              <w:bottom w:val="single" w:sz="4" w:space="0" w:color="auto"/>
              <w:right w:val="single" w:sz="4" w:space="0" w:color="auto"/>
            </w:tcBorders>
            <w:shd w:val="clear" w:color="auto" w:fill="auto"/>
            <w:vAlign w:val="center"/>
            <w:hideMark/>
          </w:tcPr>
          <w:p w14:paraId="0935B87C" w14:textId="77777777" w:rsidR="006B4F0A" w:rsidRPr="001920F8" w:rsidRDefault="006B4F0A" w:rsidP="000819CA">
            <w:pPr>
              <w:spacing w:after="0" w:line="240" w:lineRule="auto"/>
              <w:jc w:val="center"/>
              <w:rPr>
                <w:rFonts w:eastAsia="Times New Roman" w:cs="Arial"/>
                <w:lang w:val="es-CR" w:eastAsia="es-CR"/>
              </w:rPr>
            </w:pPr>
            <w:r w:rsidRPr="001920F8">
              <w:rPr>
                <w:rFonts w:eastAsia="Times New Roman" w:cs="Arial"/>
                <w:lang w:val="es-CR" w:eastAsia="es-CR"/>
              </w:rPr>
              <w:t>Sistema Ingresador</w:t>
            </w:r>
          </w:p>
        </w:tc>
        <w:tc>
          <w:tcPr>
            <w:tcW w:w="2126" w:type="dxa"/>
            <w:tcBorders>
              <w:top w:val="nil"/>
              <w:left w:val="nil"/>
              <w:bottom w:val="single" w:sz="4" w:space="0" w:color="auto"/>
              <w:right w:val="single" w:sz="4" w:space="0" w:color="auto"/>
            </w:tcBorders>
            <w:shd w:val="clear" w:color="auto" w:fill="auto"/>
            <w:vAlign w:val="center"/>
            <w:hideMark/>
          </w:tcPr>
          <w:p w14:paraId="0935B87D" w14:textId="77777777" w:rsidR="006B4F0A" w:rsidRPr="001920F8" w:rsidRDefault="006B4F0A" w:rsidP="000819CA">
            <w:pPr>
              <w:spacing w:after="0" w:line="240" w:lineRule="auto"/>
              <w:rPr>
                <w:rFonts w:eastAsia="Times New Roman" w:cs="Arial"/>
                <w:lang w:val="es-CR" w:eastAsia="es-CR"/>
              </w:rPr>
            </w:pPr>
            <w:r w:rsidRPr="001920F8">
              <w:rPr>
                <w:rFonts w:eastAsia="Times New Roman" w:cs="Arial"/>
                <w:lang w:val="es-CR" w:eastAsia="es-CR"/>
              </w:rPr>
              <w:t xml:space="preserve">Corresponde únicamente a Puestos de Bolsa </w:t>
            </w:r>
          </w:p>
        </w:tc>
      </w:tr>
    </w:tbl>
    <w:p w14:paraId="0935B87F" w14:textId="77777777" w:rsidR="00E33AE6" w:rsidRPr="001920F8" w:rsidRDefault="00E33AE6" w:rsidP="00A936B3">
      <w:pPr>
        <w:pStyle w:val="Numeracin"/>
        <w:numPr>
          <w:ilvl w:val="0"/>
          <w:numId w:val="0"/>
        </w:numPr>
        <w:tabs>
          <w:tab w:val="left" w:pos="567"/>
        </w:tabs>
        <w:spacing w:before="0"/>
        <w:ind w:left="360" w:right="-193" w:hanging="360"/>
        <w:rPr>
          <w:rFonts w:ascii="Arial" w:hAnsi="Arial" w:cs="Arial"/>
          <w:szCs w:val="22"/>
          <w:lang w:val="es-CR"/>
        </w:rPr>
      </w:pPr>
    </w:p>
    <w:p w14:paraId="0935B880" w14:textId="77777777" w:rsidR="00B52CB5" w:rsidRPr="001920F8" w:rsidRDefault="00B52CB5" w:rsidP="00290543">
      <w:pPr>
        <w:pStyle w:val="Numeracin"/>
        <w:numPr>
          <w:ilvl w:val="0"/>
          <w:numId w:val="0"/>
        </w:numPr>
        <w:tabs>
          <w:tab w:val="left" w:pos="567"/>
        </w:tabs>
        <w:spacing w:before="0"/>
        <w:ind w:left="360" w:right="-193" w:hanging="360"/>
        <w:jc w:val="center"/>
        <w:rPr>
          <w:rFonts w:ascii="Arial" w:hAnsi="Arial" w:cs="Arial"/>
          <w:szCs w:val="22"/>
          <w:lang w:val="es-CR"/>
        </w:rPr>
      </w:pPr>
    </w:p>
    <w:bookmarkStart w:id="4" w:name="_GoBack"/>
    <w:bookmarkStart w:id="5" w:name="_MON_1636895148"/>
    <w:bookmarkEnd w:id="5"/>
    <w:p w14:paraId="0935B881" w14:textId="5BE6105D" w:rsidR="00B52CB5" w:rsidRPr="001920F8" w:rsidRDefault="004C132E" w:rsidP="00290543">
      <w:pPr>
        <w:spacing w:after="0" w:line="276" w:lineRule="auto"/>
        <w:jc w:val="center"/>
        <w:rPr>
          <w:rFonts w:cs="Arial"/>
          <w:lang w:val="es-CR"/>
        </w:rPr>
      </w:pPr>
      <w:r>
        <w:rPr>
          <w:rFonts w:eastAsia="Calibri" w:cs="Arial"/>
          <w:lang w:val="es-CR"/>
        </w:rPr>
        <w:object w:dxaOrig="1539" w:dyaOrig="997" w14:anchorId="240EAF48">
          <v:shape id="_x0000_i1031" type="#_x0000_t75" style="width:77.25pt;height:49.5pt" o:ole="">
            <v:imagedata r:id="rId21" o:title=""/>
          </v:shape>
          <o:OLEObject Type="Embed" ProgID="Excel.Sheet.8" ShapeID="_x0000_i1031" DrawAspect="Icon" ObjectID="_1636895196" r:id="rId22"/>
        </w:object>
      </w:r>
      <w:bookmarkEnd w:id="4"/>
      <w:r w:rsidR="008138A2">
        <w:rPr>
          <w:rFonts w:eastAsia="Calibri" w:cs="Arial"/>
          <w:lang w:val="es-CR"/>
        </w:rPr>
        <w:t xml:space="preserve">     </w:t>
      </w:r>
      <w:bookmarkStart w:id="6" w:name="_MON_1625037262"/>
      <w:bookmarkEnd w:id="6"/>
      <w:r w:rsidR="00024260" w:rsidRPr="001920F8">
        <w:rPr>
          <w:rFonts w:eastAsia="Calibri" w:cs="Arial"/>
          <w:lang w:val="es-CR"/>
        </w:rPr>
        <w:object w:dxaOrig="1539" w:dyaOrig="997" w14:anchorId="0935B898">
          <v:shape id="_x0000_i1030" type="#_x0000_t75" style="width:79.5pt;height:50.25pt" o:ole="">
            <v:imagedata r:id="rId23" o:title=""/>
          </v:shape>
          <o:OLEObject Type="Embed" ProgID="Excel.Sheet.12" ShapeID="_x0000_i1030" DrawAspect="Icon" ObjectID="_1636895197" r:id="rId24"/>
        </w:object>
      </w:r>
    </w:p>
    <w:p w14:paraId="0935B882" w14:textId="77777777" w:rsidR="00B52CB5" w:rsidRPr="001920F8" w:rsidRDefault="00B52CB5" w:rsidP="00B52CB5">
      <w:pPr>
        <w:pStyle w:val="Numeracin"/>
        <w:numPr>
          <w:ilvl w:val="0"/>
          <w:numId w:val="0"/>
        </w:numPr>
        <w:spacing w:before="0"/>
        <w:ind w:left="1272" w:right="-193"/>
        <w:rPr>
          <w:rFonts w:ascii="Arial" w:hAnsi="Arial" w:cs="Arial"/>
          <w:szCs w:val="22"/>
        </w:rPr>
      </w:pPr>
    </w:p>
    <w:p w14:paraId="0935B883" w14:textId="77777777" w:rsidR="00A773F7" w:rsidRPr="001920F8" w:rsidRDefault="00A773F7" w:rsidP="00036A81">
      <w:pPr>
        <w:pStyle w:val="Numeracin"/>
        <w:numPr>
          <w:ilvl w:val="0"/>
          <w:numId w:val="4"/>
        </w:numPr>
        <w:spacing w:before="0"/>
        <w:ind w:right="-193"/>
        <w:rPr>
          <w:rFonts w:ascii="Arial" w:hAnsi="Arial" w:cs="Arial"/>
          <w:szCs w:val="22"/>
        </w:rPr>
      </w:pPr>
      <w:r w:rsidRPr="001920F8">
        <w:rPr>
          <w:rFonts w:ascii="Arial" w:hAnsi="Arial" w:cs="Arial"/>
          <w:szCs w:val="22"/>
        </w:rPr>
        <w:t xml:space="preserve">Se </w:t>
      </w:r>
      <w:r w:rsidR="00AD7329" w:rsidRPr="001920F8">
        <w:rPr>
          <w:rFonts w:ascii="Arial" w:hAnsi="Arial" w:cs="Arial"/>
          <w:szCs w:val="22"/>
        </w:rPr>
        <w:t>agregan</w:t>
      </w:r>
      <w:r w:rsidR="00FE7400" w:rsidRPr="001920F8">
        <w:rPr>
          <w:rFonts w:ascii="Arial" w:hAnsi="Arial" w:cs="Arial"/>
          <w:szCs w:val="22"/>
        </w:rPr>
        <w:t xml:space="preserve"> los incisos r</w:t>
      </w:r>
      <w:r w:rsidR="00E33AE6" w:rsidRPr="001920F8">
        <w:rPr>
          <w:rFonts w:ascii="Arial" w:hAnsi="Arial" w:cs="Arial"/>
          <w:szCs w:val="22"/>
        </w:rPr>
        <w:t xml:space="preserve">, </w:t>
      </w:r>
      <w:r w:rsidR="00FE7400" w:rsidRPr="001920F8">
        <w:rPr>
          <w:rFonts w:ascii="Arial" w:hAnsi="Arial" w:cs="Arial"/>
          <w:szCs w:val="22"/>
        </w:rPr>
        <w:t>s</w:t>
      </w:r>
      <w:r w:rsidR="00E33AE6" w:rsidRPr="001920F8">
        <w:rPr>
          <w:rFonts w:ascii="Arial" w:hAnsi="Arial" w:cs="Arial"/>
          <w:szCs w:val="22"/>
        </w:rPr>
        <w:t xml:space="preserve"> y t</w:t>
      </w:r>
      <w:r w:rsidRPr="001920F8">
        <w:rPr>
          <w:rFonts w:ascii="Arial" w:hAnsi="Arial" w:cs="Arial"/>
          <w:szCs w:val="22"/>
        </w:rPr>
        <w:t xml:space="preserve"> al Artículo 3.  Naturaleza de la información periódica, divulgación y registro, </w:t>
      </w:r>
      <w:r w:rsidR="00FE7400" w:rsidRPr="001920F8">
        <w:rPr>
          <w:rFonts w:ascii="Arial" w:hAnsi="Arial" w:cs="Arial"/>
          <w:szCs w:val="22"/>
        </w:rPr>
        <w:t>como excepción para mantener la confidencialidad de esta información</w:t>
      </w:r>
      <w:r w:rsidRPr="001920F8">
        <w:rPr>
          <w:rFonts w:ascii="Arial" w:hAnsi="Arial" w:cs="Arial"/>
          <w:szCs w:val="22"/>
        </w:rPr>
        <w:t>:</w:t>
      </w:r>
    </w:p>
    <w:p w14:paraId="0935B884" w14:textId="77777777" w:rsidR="003E62FA" w:rsidRPr="001920F8" w:rsidRDefault="003E62FA" w:rsidP="003E62FA">
      <w:pPr>
        <w:pStyle w:val="Numeracin"/>
        <w:numPr>
          <w:ilvl w:val="0"/>
          <w:numId w:val="0"/>
        </w:numPr>
        <w:spacing w:before="0"/>
        <w:ind w:left="643" w:right="-193" w:hanging="360"/>
        <w:rPr>
          <w:rFonts w:ascii="Arial" w:hAnsi="Arial" w:cs="Arial"/>
          <w:szCs w:val="22"/>
        </w:rPr>
      </w:pPr>
    </w:p>
    <w:p w14:paraId="0935B885" w14:textId="77777777" w:rsidR="000D5004" w:rsidRPr="001920F8" w:rsidRDefault="003E62FA" w:rsidP="00FE37BB">
      <w:pPr>
        <w:pStyle w:val="Numeracin"/>
        <w:numPr>
          <w:ilvl w:val="0"/>
          <w:numId w:val="0"/>
        </w:numPr>
        <w:spacing w:before="0"/>
        <w:ind w:left="2410" w:right="-193" w:hanging="360"/>
        <w:rPr>
          <w:rFonts w:ascii="Arial" w:hAnsi="Arial" w:cs="Arial"/>
          <w:i/>
          <w:szCs w:val="22"/>
        </w:rPr>
      </w:pPr>
      <w:r w:rsidRPr="001920F8">
        <w:rPr>
          <w:rFonts w:ascii="Arial" w:hAnsi="Arial" w:cs="Arial"/>
          <w:i/>
          <w:szCs w:val="22"/>
        </w:rPr>
        <w:t>r. Identificación de</w:t>
      </w:r>
      <w:r w:rsidR="00FE7400" w:rsidRPr="001920F8">
        <w:rPr>
          <w:rFonts w:ascii="Arial" w:hAnsi="Arial" w:cs="Arial"/>
          <w:i/>
          <w:szCs w:val="22"/>
        </w:rPr>
        <w:t>l nombre de las entidades bancarias en las que se mantienen las cuentas corrientes de los fondos de inversión (Estado de Situación Financiera BG_Fondos)</w:t>
      </w:r>
      <w:r w:rsidRPr="001920F8">
        <w:rPr>
          <w:rFonts w:ascii="Arial" w:hAnsi="Arial" w:cs="Arial"/>
          <w:i/>
          <w:szCs w:val="22"/>
        </w:rPr>
        <w:t xml:space="preserve">”, Anexo </w:t>
      </w:r>
      <w:r w:rsidR="00FE7400" w:rsidRPr="001920F8">
        <w:rPr>
          <w:rFonts w:ascii="Arial" w:hAnsi="Arial" w:cs="Arial"/>
          <w:i/>
          <w:szCs w:val="22"/>
        </w:rPr>
        <w:t>15</w:t>
      </w:r>
      <w:r w:rsidRPr="001920F8">
        <w:rPr>
          <w:rFonts w:ascii="Arial" w:hAnsi="Arial" w:cs="Arial"/>
          <w:i/>
          <w:szCs w:val="22"/>
        </w:rPr>
        <w:t>. (</w:t>
      </w:r>
      <w:proofErr w:type="gramStart"/>
      <w:r w:rsidRPr="001920F8">
        <w:rPr>
          <w:rFonts w:ascii="Arial" w:hAnsi="Arial" w:cs="Arial"/>
          <w:i/>
          <w:szCs w:val="22"/>
        </w:rPr>
        <w:t>cuentas</w:t>
      </w:r>
      <w:proofErr w:type="gramEnd"/>
      <w:r w:rsidRPr="001920F8">
        <w:rPr>
          <w:rFonts w:ascii="Arial" w:hAnsi="Arial" w:cs="Arial"/>
          <w:i/>
          <w:szCs w:val="22"/>
        </w:rPr>
        <w:t xml:space="preserve">: </w:t>
      </w:r>
    </w:p>
    <w:p w14:paraId="0935B886" w14:textId="77777777" w:rsidR="000D5004" w:rsidRPr="001920F8" w:rsidRDefault="000D5004" w:rsidP="000D5004">
      <w:pPr>
        <w:pStyle w:val="Numeracin"/>
        <w:numPr>
          <w:ilvl w:val="0"/>
          <w:numId w:val="0"/>
        </w:numPr>
        <w:tabs>
          <w:tab w:val="left" w:pos="567"/>
        </w:tabs>
        <w:ind w:left="2410" w:right="-193"/>
        <w:rPr>
          <w:rFonts w:ascii="Arial" w:hAnsi="Arial" w:cs="Arial"/>
          <w:i/>
          <w:szCs w:val="22"/>
          <w:lang w:val="es-CR"/>
        </w:rPr>
      </w:pPr>
      <w:r w:rsidRPr="001920F8">
        <w:rPr>
          <w:rFonts w:ascii="Arial" w:hAnsi="Arial" w:cs="Arial"/>
          <w:i/>
          <w:szCs w:val="22"/>
          <w:lang w:val="es-CR"/>
        </w:rPr>
        <w:lastRenderedPageBreak/>
        <w:t>701001010110,</w:t>
      </w:r>
      <w:r w:rsidR="00B52CB5" w:rsidRPr="001920F8">
        <w:rPr>
          <w:rFonts w:ascii="Arial" w:hAnsi="Arial" w:cs="Arial"/>
          <w:i/>
          <w:szCs w:val="22"/>
          <w:lang w:val="es-CR"/>
        </w:rPr>
        <w:t xml:space="preserve"> </w:t>
      </w:r>
      <w:r w:rsidRPr="001920F8">
        <w:rPr>
          <w:rFonts w:ascii="Arial" w:hAnsi="Arial" w:cs="Arial"/>
          <w:i/>
          <w:szCs w:val="22"/>
          <w:lang w:val="es-CR"/>
        </w:rPr>
        <w:t xml:space="preserve">701001010111, 701001010112, 701001010113, 701001010114, 701001010115, 701001010116, 701001010117, 701001010118, 701001010119, 701001010120, 701001010121, 701001010122, 701001010123, 701001010124, 701001010125, </w:t>
      </w:r>
      <w:r w:rsidR="00804730">
        <w:rPr>
          <w:rFonts w:ascii="Arial" w:hAnsi="Arial" w:cs="Arial"/>
          <w:i/>
          <w:szCs w:val="22"/>
          <w:lang w:val="es-CR"/>
        </w:rPr>
        <w:t xml:space="preserve">    </w:t>
      </w:r>
      <w:r w:rsidRPr="001920F8">
        <w:rPr>
          <w:rFonts w:ascii="Arial" w:hAnsi="Arial" w:cs="Arial"/>
          <w:i/>
          <w:szCs w:val="22"/>
          <w:lang w:val="es-CR"/>
        </w:rPr>
        <w:t>701001010199  y   01001020110,  701001020111,  701001020112,</w:t>
      </w:r>
      <w:r w:rsidR="00804730">
        <w:rPr>
          <w:rFonts w:ascii="Arial" w:hAnsi="Arial" w:cs="Arial"/>
          <w:i/>
          <w:szCs w:val="22"/>
          <w:lang w:val="es-CR"/>
        </w:rPr>
        <w:t xml:space="preserve">  701001020113,  701001020114,  </w:t>
      </w:r>
      <w:r w:rsidRPr="001920F8">
        <w:rPr>
          <w:rFonts w:ascii="Arial" w:hAnsi="Arial" w:cs="Arial"/>
          <w:i/>
          <w:szCs w:val="22"/>
          <w:lang w:val="es-CR"/>
        </w:rPr>
        <w:t>701001020115,  01001020116,  7010010</w:t>
      </w:r>
      <w:r w:rsidR="00804730">
        <w:rPr>
          <w:rFonts w:ascii="Arial" w:hAnsi="Arial" w:cs="Arial"/>
          <w:i/>
          <w:szCs w:val="22"/>
          <w:lang w:val="es-CR"/>
        </w:rPr>
        <w:t xml:space="preserve">20117, </w:t>
      </w:r>
      <w:r w:rsidRPr="001920F8">
        <w:rPr>
          <w:rFonts w:ascii="Arial" w:hAnsi="Arial" w:cs="Arial"/>
          <w:i/>
          <w:szCs w:val="22"/>
          <w:lang w:val="es-CR"/>
        </w:rPr>
        <w:t xml:space="preserve">701001020118, 701001020119,  701001020120,  701001020121,  701001020122,  701001020123,  701001020124,  701001020125,  701001020185,  </w:t>
      </w:r>
      <w:r w:rsidR="00804730">
        <w:rPr>
          <w:rFonts w:ascii="Arial" w:hAnsi="Arial" w:cs="Arial"/>
          <w:i/>
          <w:szCs w:val="22"/>
          <w:lang w:val="es-CR"/>
        </w:rPr>
        <w:t xml:space="preserve">          </w:t>
      </w:r>
      <w:r w:rsidRPr="001920F8">
        <w:rPr>
          <w:rFonts w:ascii="Arial" w:hAnsi="Arial" w:cs="Arial"/>
          <w:i/>
          <w:szCs w:val="22"/>
          <w:lang w:val="es-CR"/>
        </w:rPr>
        <w:t>701001020199</w:t>
      </w:r>
    </w:p>
    <w:p w14:paraId="0935B887" w14:textId="77777777" w:rsidR="000D5004" w:rsidRPr="001920F8" w:rsidRDefault="000D5004" w:rsidP="00FE37BB">
      <w:pPr>
        <w:pStyle w:val="Numeracin"/>
        <w:numPr>
          <w:ilvl w:val="0"/>
          <w:numId w:val="0"/>
        </w:numPr>
        <w:tabs>
          <w:tab w:val="left" w:pos="567"/>
        </w:tabs>
        <w:spacing w:before="0"/>
        <w:ind w:left="2410" w:right="-193" w:hanging="360"/>
        <w:rPr>
          <w:rFonts w:ascii="Arial" w:hAnsi="Arial" w:cs="Arial"/>
          <w:i/>
          <w:szCs w:val="22"/>
        </w:rPr>
      </w:pPr>
    </w:p>
    <w:p w14:paraId="0935B888" w14:textId="77777777" w:rsidR="00A773F7" w:rsidRPr="001920F8" w:rsidRDefault="003E62FA" w:rsidP="00FE37BB">
      <w:pPr>
        <w:spacing w:after="0" w:line="276" w:lineRule="auto"/>
        <w:ind w:left="2410"/>
        <w:jc w:val="both"/>
        <w:rPr>
          <w:rFonts w:cs="Arial"/>
          <w:i/>
          <w:lang w:val="es-CR"/>
        </w:rPr>
      </w:pPr>
      <w:r w:rsidRPr="001920F8">
        <w:rPr>
          <w:rFonts w:cs="Arial"/>
          <w:i/>
        </w:rPr>
        <w:t>s</w:t>
      </w:r>
      <w:r w:rsidR="00A773F7" w:rsidRPr="001920F8">
        <w:rPr>
          <w:rFonts w:cs="Arial"/>
          <w:i/>
        </w:rPr>
        <w:t xml:space="preserve">. </w:t>
      </w:r>
      <w:r w:rsidR="00A773F7" w:rsidRPr="001920F8">
        <w:rPr>
          <w:rFonts w:cs="Arial"/>
          <w:i/>
          <w:lang w:val="es-CR"/>
        </w:rPr>
        <w:t xml:space="preserve">Identificación de </w:t>
      </w:r>
      <w:r w:rsidRPr="001920F8">
        <w:rPr>
          <w:rFonts w:cs="Arial"/>
          <w:i/>
          <w:lang w:val="es-CR"/>
        </w:rPr>
        <w:t xml:space="preserve">la </w:t>
      </w:r>
      <w:r w:rsidR="00A773F7" w:rsidRPr="001920F8">
        <w:rPr>
          <w:rFonts w:cs="Arial"/>
          <w:i/>
          <w:lang w:val="es-CR"/>
        </w:rPr>
        <w:t>proyección de reembolsos en fondos abiertos del “Reporte de Indicadores de Riesgo”, Anexo 33. (</w:t>
      </w:r>
      <w:proofErr w:type="gramStart"/>
      <w:r w:rsidRPr="001920F8">
        <w:rPr>
          <w:rFonts w:cs="Arial"/>
          <w:i/>
          <w:lang w:val="es-CR"/>
        </w:rPr>
        <w:t>cuentas</w:t>
      </w:r>
      <w:proofErr w:type="gramEnd"/>
      <w:r w:rsidRPr="001920F8">
        <w:rPr>
          <w:rFonts w:cs="Arial"/>
          <w:i/>
          <w:lang w:val="es-CR"/>
        </w:rPr>
        <w:t>:</w:t>
      </w:r>
      <w:r w:rsidR="00A773F7" w:rsidRPr="001920F8">
        <w:rPr>
          <w:rFonts w:cs="Arial"/>
          <w:i/>
          <w:lang w:val="es-CR"/>
        </w:rPr>
        <w:t xml:space="preserve"> </w:t>
      </w:r>
      <w:r w:rsidRPr="001920F8">
        <w:rPr>
          <w:rFonts w:cs="Arial"/>
          <w:i/>
          <w:lang w:val="es-CR"/>
        </w:rPr>
        <w:t>800000000000, 800500000000, 801000000000, 801500000000, 802000000000, 802500000000, 803000000000</w:t>
      </w:r>
      <w:r w:rsidR="00A773F7" w:rsidRPr="001920F8">
        <w:rPr>
          <w:rFonts w:cs="Arial"/>
          <w:i/>
          <w:lang w:val="es-CR"/>
        </w:rPr>
        <w:t>).</w:t>
      </w:r>
    </w:p>
    <w:p w14:paraId="0935B889" w14:textId="77777777" w:rsidR="00E33AE6" w:rsidRPr="001920F8" w:rsidRDefault="00E33AE6" w:rsidP="00FE37BB">
      <w:pPr>
        <w:spacing w:after="0" w:line="276" w:lineRule="auto"/>
        <w:ind w:left="2410"/>
        <w:jc w:val="both"/>
        <w:rPr>
          <w:rFonts w:cs="Arial"/>
          <w:i/>
          <w:lang w:val="es-CR"/>
        </w:rPr>
      </w:pPr>
    </w:p>
    <w:p w14:paraId="0935B88A" w14:textId="77777777" w:rsidR="00E33AE6" w:rsidRPr="001920F8" w:rsidRDefault="00E33AE6" w:rsidP="00FE37BB">
      <w:pPr>
        <w:spacing w:after="0" w:line="276" w:lineRule="auto"/>
        <w:ind w:left="2410"/>
        <w:jc w:val="both"/>
        <w:rPr>
          <w:rFonts w:cs="Arial"/>
          <w:i/>
          <w:lang w:val="es-CR"/>
        </w:rPr>
      </w:pPr>
      <w:proofErr w:type="gramStart"/>
      <w:r w:rsidRPr="001920F8">
        <w:rPr>
          <w:rFonts w:cs="Arial"/>
          <w:i/>
          <w:lang w:val="es-CR"/>
        </w:rPr>
        <w:t>t</w:t>
      </w:r>
      <w:proofErr w:type="gramEnd"/>
      <w:r w:rsidRPr="001920F8">
        <w:rPr>
          <w:rFonts w:cs="Arial"/>
          <w:i/>
          <w:lang w:val="es-CR"/>
        </w:rPr>
        <w:t xml:space="preserve">. Reporte </w:t>
      </w:r>
      <w:r w:rsidR="00B52CB5" w:rsidRPr="001920F8">
        <w:rPr>
          <w:rFonts w:cs="Arial"/>
          <w:i/>
          <w:lang w:val="es-CR"/>
        </w:rPr>
        <w:t>de Servicios de Intermediación de Valores</w:t>
      </w:r>
      <w:r w:rsidRPr="001920F8">
        <w:rPr>
          <w:rFonts w:cs="Arial"/>
          <w:i/>
          <w:lang w:val="es-CR"/>
        </w:rPr>
        <w:t>. Anexo 62.</w:t>
      </w:r>
      <w:r w:rsidR="00FE37BB" w:rsidRPr="001920F8">
        <w:rPr>
          <w:rFonts w:cs="Arial"/>
          <w:i/>
          <w:lang w:val="es-CR"/>
        </w:rPr>
        <w:t>”</w:t>
      </w:r>
    </w:p>
    <w:p w14:paraId="0935B88B" w14:textId="77777777" w:rsidR="00E23AFB" w:rsidRPr="001920F8" w:rsidRDefault="00E23AFB" w:rsidP="00E23AFB">
      <w:pPr>
        <w:spacing w:after="0" w:line="276" w:lineRule="auto"/>
        <w:jc w:val="both"/>
        <w:rPr>
          <w:rFonts w:cs="Arial"/>
          <w:lang w:val="es-CR"/>
        </w:rPr>
      </w:pPr>
    </w:p>
    <w:p w14:paraId="0935B88C" w14:textId="77777777" w:rsidR="00931BA1" w:rsidRPr="001920F8" w:rsidRDefault="00AD7329" w:rsidP="00036A81">
      <w:pPr>
        <w:pStyle w:val="Numeracin"/>
        <w:numPr>
          <w:ilvl w:val="0"/>
          <w:numId w:val="4"/>
        </w:numPr>
        <w:spacing w:before="0"/>
        <w:ind w:right="-193"/>
        <w:rPr>
          <w:rFonts w:ascii="Arial" w:eastAsiaTheme="minorHAnsi" w:hAnsi="Arial" w:cs="Arial"/>
          <w:szCs w:val="22"/>
          <w:lang w:val="es-CR" w:eastAsia="en-US"/>
        </w:rPr>
      </w:pPr>
      <w:r w:rsidRPr="001920F8">
        <w:rPr>
          <w:rFonts w:ascii="Arial" w:eastAsiaTheme="minorHAnsi" w:hAnsi="Arial" w:cs="Arial"/>
          <w:szCs w:val="22"/>
          <w:lang w:val="es-CR" w:eastAsia="en-US"/>
        </w:rPr>
        <w:t>Se elimina el Reporte de Clasificación de riesgo de los clientes Normativa Ley 8204 (Anexo 49)</w:t>
      </w:r>
    </w:p>
    <w:p w14:paraId="0935B88D" w14:textId="77777777" w:rsidR="00931BA1" w:rsidRPr="001920F8" w:rsidRDefault="00931BA1" w:rsidP="00931BA1">
      <w:pPr>
        <w:pStyle w:val="Numeracin"/>
        <w:numPr>
          <w:ilvl w:val="0"/>
          <w:numId w:val="0"/>
        </w:numPr>
        <w:spacing w:before="0"/>
        <w:ind w:left="643" w:right="-193" w:hanging="360"/>
        <w:rPr>
          <w:rFonts w:ascii="Arial" w:eastAsiaTheme="minorHAnsi" w:hAnsi="Arial" w:cs="Arial"/>
          <w:szCs w:val="22"/>
          <w:highlight w:val="green"/>
          <w:lang w:val="es-CR" w:eastAsia="en-US"/>
        </w:rPr>
      </w:pPr>
    </w:p>
    <w:p w14:paraId="0935B88E" w14:textId="77777777" w:rsidR="00A46E76" w:rsidRPr="001920F8" w:rsidRDefault="00A46E76" w:rsidP="00A46E76">
      <w:pPr>
        <w:ind w:right="-193"/>
        <w:jc w:val="both"/>
        <w:rPr>
          <w:rFonts w:eastAsia="Times New Roman" w:cs="Arial"/>
          <w:b/>
          <w:lang w:eastAsia="es-ES"/>
        </w:rPr>
      </w:pPr>
      <w:r w:rsidRPr="001920F8">
        <w:rPr>
          <w:rFonts w:eastAsia="Times New Roman" w:cs="Arial"/>
          <w:b/>
          <w:lang w:eastAsia="es-ES"/>
        </w:rPr>
        <w:t>Artículo 2. Vigencia</w:t>
      </w:r>
    </w:p>
    <w:p w14:paraId="0935B88F" w14:textId="77777777" w:rsidR="00646C87" w:rsidRPr="001920F8" w:rsidRDefault="00D60956" w:rsidP="00646C87">
      <w:pPr>
        <w:spacing w:after="0" w:line="240" w:lineRule="auto"/>
        <w:ind w:right="-193"/>
        <w:jc w:val="both"/>
        <w:rPr>
          <w:rFonts w:eastAsia="Times New Roman" w:cs="Arial"/>
          <w:lang w:val="es-CR"/>
        </w:rPr>
      </w:pPr>
      <w:r w:rsidRPr="001920F8">
        <w:rPr>
          <w:rFonts w:eastAsia="Times New Roman" w:cs="Arial"/>
          <w:lang w:val="es-CR"/>
        </w:rPr>
        <w:t xml:space="preserve">Rige </w:t>
      </w:r>
      <w:r w:rsidR="00646C87" w:rsidRPr="001920F8">
        <w:rPr>
          <w:rFonts w:eastAsia="Times New Roman" w:cs="Arial"/>
          <w:lang w:val="es-CR"/>
        </w:rPr>
        <w:t xml:space="preserve">a partir </w:t>
      </w:r>
      <w:r w:rsidR="00FC25DD" w:rsidRPr="001920F8">
        <w:rPr>
          <w:rFonts w:eastAsia="Times New Roman" w:cs="Arial"/>
          <w:lang w:val="es-CR"/>
        </w:rPr>
        <w:t>del 1 de enero del 2020.</w:t>
      </w:r>
    </w:p>
    <w:p w14:paraId="0935B890" w14:textId="77777777" w:rsidR="00ED4D0E" w:rsidRPr="001920F8" w:rsidRDefault="00ED4D0E" w:rsidP="00646C87">
      <w:pPr>
        <w:spacing w:after="0" w:line="240" w:lineRule="auto"/>
        <w:ind w:right="-193"/>
        <w:jc w:val="both"/>
        <w:rPr>
          <w:rFonts w:eastAsia="Times New Roman" w:cs="Arial"/>
          <w:lang w:val="es-CR"/>
        </w:rPr>
      </w:pPr>
      <w:r w:rsidRPr="001920F8">
        <w:rPr>
          <w:rFonts w:eastAsia="Calibri" w:cs="Arial"/>
          <w:noProof/>
          <w:lang w:val="es-CR" w:eastAsia="es-CR"/>
        </w:rPr>
        <w:drawing>
          <wp:inline distT="0" distB="0" distL="0" distR="0" wp14:anchorId="0935B899" wp14:editId="0935B89A">
            <wp:extent cx="2732405" cy="32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2405" cy="327660"/>
                    </a:xfrm>
                    <a:prstGeom prst="rect">
                      <a:avLst/>
                    </a:prstGeom>
                    <a:noFill/>
                    <a:ln>
                      <a:noFill/>
                    </a:ln>
                  </pic:spPr>
                </pic:pic>
              </a:graphicData>
            </a:graphic>
          </wp:inline>
        </w:drawing>
      </w:r>
    </w:p>
    <w:p w14:paraId="0935B891" w14:textId="77777777" w:rsidR="00646C87" w:rsidRPr="001920F8" w:rsidRDefault="00646C87" w:rsidP="00646C87">
      <w:pPr>
        <w:ind w:right="-193"/>
        <w:jc w:val="both"/>
        <w:rPr>
          <w:rFonts w:eastAsia="Times New Roman" w:cs="Arial"/>
          <w:b/>
        </w:rPr>
      </w:pPr>
    </w:p>
    <w:sectPr w:rsidR="00646C87" w:rsidRPr="001920F8" w:rsidSect="002E2615">
      <w:headerReference w:type="default" r:id="rId26"/>
      <w:footerReference w:type="default" r:id="rId27"/>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CB1C9" w14:textId="77777777" w:rsidR="009E7D3F" w:rsidRDefault="009E7D3F">
      <w:pPr>
        <w:spacing w:after="0" w:line="240" w:lineRule="auto"/>
      </w:pPr>
      <w:r>
        <w:separator/>
      </w:r>
    </w:p>
  </w:endnote>
  <w:endnote w:type="continuationSeparator" w:id="0">
    <w:p w14:paraId="29F3F5AF" w14:textId="77777777" w:rsidR="009E7D3F" w:rsidRDefault="009E7D3F">
      <w:pPr>
        <w:spacing w:after="0" w:line="240" w:lineRule="auto"/>
      </w:pPr>
      <w:r>
        <w:continuationSeparator/>
      </w:r>
    </w:p>
  </w:endnote>
  <w:endnote w:type="continuationNotice" w:id="1">
    <w:p w14:paraId="195F7CC8" w14:textId="77777777" w:rsidR="009E7D3F" w:rsidRDefault="009E7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5B8A3" w14:textId="77777777" w:rsidR="000819CA" w:rsidRPr="00DD78F3" w:rsidRDefault="000819CA">
    <w:pPr>
      <w:pStyle w:val="Footer"/>
      <w:rPr>
        <w:color w:val="1B75BB"/>
      </w:rPr>
    </w:pPr>
  </w:p>
  <w:p w14:paraId="0935B8A4" w14:textId="77777777" w:rsidR="000819CA" w:rsidRDefault="00081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E3784" w14:textId="77777777" w:rsidR="009E7D3F" w:rsidRDefault="009E7D3F">
      <w:pPr>
        <w:spacing w:after="0" w:line="240" w:lineRule="auto"/>
      </w:pPr>
      <w:r>
        <w:separator/>
      </w:r>
    </w:p>
  </w:footnote>
  <w:footnote w:type="continuationSeparator" w:id="0">
    <w:p w14:paraId="610E5F79" w14:textId="77777777" w:rsidR="009E7D3F" w:rsidRDefault="009E7D3F">
      <w:pPr>
        <w:spacing w:after="0" w:line="240" w:lineRule="auto"/>
      </w:pPr>
      <w:r>
        <w:continuationSeparator/>
      </w:r>
    </w:p>
  </w:footnote>
  <w:footnote w:type="continuationNotice" w:id="1">
    <w:p w14:paraId="4538EECF" w14:textId="77777777" w:rsidR="009E7D3F" w:rsidRDefault="009E7D3F">
      <w:pPr>
        <w:spacing w:after="0" w:line="240" w:lineRule="auto"/>
      </w:pPr>
    </w:p>
  </w:footnote>
  <w:footnote w:id="2">
    <w:p w14:paraId="0935B8A9" w14:textId="77777777" w:rsidR="001920F8" w:rsidRPr="001920F8" w:rsidRDefault="001920F8" w:rsidP="00804730">
      <w:pPr>
        <w:pStyle w:val="FootnoteText"/>
        <w:jc w:val="both"/>
        <w:rPr>
          <w:lang w:val="es-CR"/>
        </w:rPr>
      </w:pPr>
      <w:r w:rsidRPr="001920F8">
        <w:rPr>
          <w:rStyle w:val="FootnoteReference"/>
        </w:rPr>
        <w:footnoteRef/>
      </w:r>
      <w:r w:rsidRPr="001920F8">
        <w:t xml:space="preserve"> </w:t>
      </w:r>
      <w:r w:rsidRPr="001920F8">
        <w:rPr>
          <w:rFonts w:cs="Arial"/>
        </w:rPr>
        <w:t xml:space="preserve">Superintendencia General de Valores. Despacho de la Superintendente. A las once horas del veintiséis de julio del dos mil diecinueve.  </w:t>
      </w:r>
      <w:r w:rsidR="00804730">
        <w:rPr>
          <w:rFonts w:cs="Arial"/>
        </w:rPr>
        <w:t>Public</w:t>
      </w:r>
      <w:r w:rsidR="00D35AC7">
        <w:rPr>
          <w:rFonts w:cs="Arial"/>
        </w:rPr>
        <w:t>ado en el Alcance Digital No. 212</w:t>
      </w:r>
      <w:r w:rsidR="00804730">
        <w:rPr>
          <w:rFonts w:cs="Arial"/>
        </w:rPr>
        <w:t xml:space="preserve"> a la Gaceta No. 185 del 1 de octubre del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5B8A1" w14:textId="77777777" w:rsidR="00D66B14" w:rsidRDefault="00D66B14" w:rsidP="00D66B14">
    <w:pPr>
      <w:pStyle w:val="Header"/>
      <w:jc w:val="right"/>
      <w:rPr>
        <w:rFonts w:ascii="Calibri" w:hAnsi="Calibri" w:cs="Arial"/>
        <w:i/>
        <w:noProof/>
        <w:sz w:val="20"/>
        <w:szCs w:val="20"/>
        <w:lang w:val="es-CR" w:eastAsia="es-CR"/>
      </w:rPr>
    </w:pPr>
    <w:r w:rsidRPr="00E47B91">
      <w:rPr>
        <w:rFonts w:ascii="Calibri" w:hAnsi="Calibri" w:cs="Arial"/>
        <w:i/>
        <w:noProof/>
        <w:sz w:val="20"/>
        <w:szCs w:val="20"/>
        <w:lang w:val="es-CR" w:eastAsia="es-CR"/>
      </w:rPr>
      <w:drawing>
        <wp:inline distT="0" distB="0" distL="0" distR="0" wp14:anchorId="0935B8A5" wp14:editId="0935B8A6">
          <wp:extent cx="1581150" cy="390525"/>
          <wp:effectExtent l="0" t="0" r="0" b="9525"/>
          <wp:docPr id="2" name="Picture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0935B8A2" w14:textId="77777777" w:rsidR="00D66B14" w:rsidRDefault="00D66B14">
    <w:pPr>
      <w:pStyle w:val="Header"/>
    </w:pPr>
    <w:r>
      <w:rPr>
        <w:noProof/>
        <w:lang w:val="es-CR" w:eastAsia="es-CR"/>
      </w:rPr>
      <mc:AlternateContent>
        <mc:Choice Requires="wps">
          <w:drawing>
            <wp:anchor distT="4294967292" distB="4294967292" distL="114300" distR="114300" simplePos="0" relativeHeight="251658240" behindDoc="0" locked="0" layoutInCell="1" allowOverlap="1" wp14:anchorId="0935B8A7" wp14:editId="0935B8A8">
              <wp:simplePos x="0" y="0"/>
              <wp:positionH relativeFrom="margin">
                <wp:posOffset>-17780</wp:posOffset>
              </wp:positionH>
              <wp:positionV relativeFrom="paragraph">
                <wp:posOffset>67945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94633" id="Straight Connector 4"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5.35pt" to="42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HPSZPvaAAAACAEAAA8AAABkcnMvZG93bnJldi54&#10;bWxMj8FOwzAQRO9I/IO1lbi1TitoqxCnAiQ+oClSetzGSxI1Xkexk4a/ZxEHOO7MaPZNdphdpyYa&#10;QuvZwHqVgCKuvG25NvBxel/uQYWIbLHzTAa+KMAhv7/LMLX+xkeailgrKeGQooEmxj7VOlQNOQwr&#10;3xOL9+kHh1HOodZ2wJuUu05vkmSrHbYsHxrs6a2h6lqMzgBaXY6vVT+N5XRaF9v2kcvj2ZiHxfzy&#10;DCrSHP/C8IMv6JAL08WPbIPqDCw3Qh5FT3agxN8/7WTb5VfQeab/D8i/AQAA//8DAFBLAQItABQA&#10;BgAIAAAAIQC2gziS/gAAAOEBAAATAAAAAAAAAAAAAAAAAAAAAABbQ29udGVudF9UeXBlc10ueG1s&#10;UEsBAi0AFAAGAAgAAAAhADj9If/WAAAAlAEAAAsAAAAAAAAAAAAAAAAALwEAAF9yZWxzLy5yZWxz&#10;UEsBAi0AFAAGAAgAAAAhAEjpLE0oAgAAQQQAAA4AAAAAAAAAAAAAAAAALgIAAGRycy9lMm9Eb2Mu&#10;eG1sUEsBAi0AFAAGAAgAAAAhAHPSZPvaAAAACAEAAA8AAAAAAAAAAAAAAAAAggQAAGRycy9kb3du&#10;cmV2LnhtbFBLBQYAAAAABAAEAPMAAACJBQAAAAA=&#10;" strokecolor="#1b75bb"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698B"/>
    <w:multiLevelType w:val="hybridMultilevel"/>
    <w:tmpl w:val="AF164DC4"/>
    <w:lvl w:ilvl="0" w:tplc="BDBEA8B8">
      <w:start w:val="1"/>
      <w:numFmt w:val="lowerLetter"/>
      <w:lvlText w:val="%1."/>
      <w:lvlJc w:val="left"/>
      <w:pPr>
        <w:ind w:left="1272" w:hanging="705"/>
      </w:pPr>
      <w:rPr>
        <w:rFonts w:ascii="Arial" w:hAnsi="Arial" w:cs="Arial" w:hint="default"/>
        <w:b w:val="0"/>
        <w:i w:val="0"/>
      </w:rPr>
    </w:lvl>
    <w:lvl w:ilvl="1" w:tplc="04090019">
      <w:start w:val="1"/>
      <w:numFmt w:val="lowerLetter"/>
      <w:lvlText w:val="%2."/>
      <w:lvlJc w:val="left"/>
      <w:pPr>
        <w:ind w:left="1440" w:hanging="360"/>
      </w:pPr>
    </w:lvl>
    <w:lvl w:ilvl="2" w:tplc="1F22B38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95DFD"/>
    <w:multiLevelType w:val="hybridMultilevel"/>
    <w:tmpl w:val="9E9A20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5CF2736"/>
    <w:multiLevelType w:val="hybridMultilevel"/>
    <w:tmpl w:val="90AC96EA"/>
    <w:lvl w:ilvl="0" w:tplc="24F41BF2">
      <w:start w:val="1"/>
      <w:numFmt w:val="decimal"/>
      <w:lvlText w:val="%1."/>
      <w:lvlJc w:val="left"/>
      <w:pPr>
        <w:ind w:left="643" w:hanging="360"/>
      </w:pPr>
      <w:rPr>
        <w:rFonts w:hint="default"/>
      </w:rPr>
    </w:lvl>
    <w:lvl w:ilvl="1" w:tplc="140A0019" w:tentative="1">
      <w:start w:val="1"/>
      <w:numFmt w:val="lowerLetter"/>
      <w:lvlText w:val="%2."/>
      <w:lvlJc w:val="left"/>
      <w:pPr>
        <w:ind w:left="1363" w:hanging="360"/>
      </w:pPr>
    </w:lvl>
    <w:lvl w:ilvl="2" w:tplc="140A001B" w:tentative="1">
      <w:start w:val="1"/>
      <w:numFmt w:val="lowerRoman"/>
      <w:lvlText w:val="%3."/>
      <w:lvlJc w:val="right"/>
      <w:pPr>
        <w:ind w:left="2083" w:hanging="180"/>
      </w:pPr>
    </w:lvl>
    <w:lvl w:ilvl="3" w:tplc="140A000F" w:tentative="1">
      <w:start w:val="1"/>
      <w:numFmt w:val="decimal"/>
      <w:lvlText w:val="%4."/>
      <w:lvlJc w:val="left"/>
      <w:pPr>
        <w:ind w:left="2803" w:hanging="360"/>
      </w:pPr>
    </w:lvl>
    <w:lvl w:ilvl="4" w:tplc="140A0019" w:tentative="1">
      <w:start w:val="1"/>
      <w:numFmt w:val="lowerLetter"/>
      <w:lvlText w:val="%5."/>
      <w:lvlJc w:val="left"/>
      <w:pPr>
        <w:ind w:left="3523" w:hanging="360"/>
      </w:pPr>
    </w:lvl>
    <w:lvl w:ilvl="5" w:tplc="140A001B" w:tentative="1">
      <w:start w:val="1"/>
      <w:numFmt w:val="lowerRoman"/>
      <w:lvlText w:val="%6."/>
      <w:lvlJc w:val="right"/>
      <w:pPr>
        <w:ind w:left="4243" w:hanging="180"/>
      </w:pPr>
    </w:lvl>
    <w:lvl w:ilvl="6" w:tplc="140A000F" w:tentative="1">
      <w:start w:val="1"/>
      <w:numFmt w:val="decimal"/>
      <w:lvlText w:val="%7."/>
      <w:lvlJc w:val="left"/>
      <w:pPr>
        <w:ind w:left="4963" w:hanging="360"/>
      </w:pPr>
    </w:lvl>
    <w:lvl w:ilvl="7" w:tplc="140A0019" w:tentative="1">
      <w:start w:val="1"/>
      <w:numFmt w:val="lowerLetter"/>
      <w:lvlText w:val="%8."/>
      <w:lvlJc w:val="left"/>
      <w:pPr>
        <w:ind w:left="5683" w:hanging="360"/>
      </w:pPr>
    </w:lvl>
    <w:lvl w:ilvl="8" w:tplc="140A001B" w:tentative="1">
      <w:start w:val="1"/>
      <w:numFmt w:val="lowerRoman"/>
      <w:lvlText w:val="%9."/>
      <w:lvlJc w:val="right"/>
      <w:pPr>
        <w:ind w:left="6403" w:hanging="180"/>
      </w:pPr>
    </w:lvl>
  </w:abstractNum>
  <w:abstractNum w:abstractNumId="4" w15:restartNumberingAfterBreak="0">
    <w:nsid w:val="3F346C2E"/>
    <w:multiLevelType w:val="hybridMultilevel"/>
    <w:tmpl w:val="34448716"/>
    <w:lvl w:ilvl="0" w:tplc="31A0341A">
      <w:start w:val="1"/>
      <w:numFmt w:val="lowerLetter"/>
      <w:pStyle w:val="incisos"/>
      <w:lvlText w:val="%1)"/>
      <w:lvlJc w:val="left"/>
      <w:pPr>
        <w:tabs>
          <w:tab w:val="num" w:pos="907"/>
        </w:tabs>
        <w:ind w:left="907" w:hanging="33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37EDD"/>
    <w:multiLevelType w:val="hybridMultilevel"/>
    <w:tmpl w:val="C43A6900"/>
    <w:lvl w:ilvl="0" w:tplc="D774099A">
      <w:start w:val="1"/>
      <w:numFmt w:val="decimal"/>
      <w:pStyle w:val="Artculo"/>
      <w:lvlText w:val="Artículo %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3021F"/>
    <w:multiLevelType w:val="hybridMultilevel"/>
    <w:tmpl w:val="890C1084"/>
    <w:lvl w:ilvl="0" w:tplc="B76C60FE">
      <w:start w:val="1"/>
      <w:numFmt w:val="upperRoman"/>
      <w:lvlText w:val="%1."/>
      <w:lvlJc w:val="left"/>
      <w:pPr>
        <w:ind w:left="786" w:hanging="360"/>
      </w:pPr>
      <w:rPr>
        <w:rFonts w:hint="default"/>
      </w:rPr>
    </w:lvl>
    <w:lvl w:ilvl="1" w:tplc="140A0019">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3C"/>
    <w:rsid w:val="00001F6D"/>
    <w:rsid w:val="000079B3"/>
    <w:rsid w:val="00010325"/>
    <w:rsid w:val="00012AC2"/>
    <w:rsid w:val="00021E1F"/>
    <w:rsid w:val="00024260"/>
    <w:rsid w:val="0002685C"/>
    <w:rsid w:val="00036A81"/>
    <w:rsid w:val="00036AC2"/>
    <w:rsid w:val="00040E65"/>
    <w:rsid w:val="00054F61"/>
    <w:rsid w:val="00056F9D"/>
    <w:rsid w:val="00063FF9"/>
    <w:rsid w:val="000701EB"/>
    <w:rsid w:val="00072A96"/>
    <w:rsid w:val="00074CE9"/>
    <w:rsid w:val="000819CA"/>
    <w:rsid w:val="00084D3C"/>
    <w:rsid w:val="000967A6"/>
    <w:rsid w:val="000C615D"/>
    <w:rsid w:val="000D438E"/>
    <w:rsid w:val="000D5004"/>
    <w:rsid w:val="000E673D"/>
    <w:rsid w:val="000F33AD"/>
    <w:rsid w:val="000F6B5F"/>
    <w:rsid w:val="00100EDE"/>
    <w:rsid w:val="001113FB"/>
    <w:rsid w:val="0011235D"/>
    <w:rsid w:val="00126EC3"/>
    <w:rsid w:val="00133FE4"/>
    <w:rsid w:val="00135946"/>
    <w:rsid w:val="00160B2B"/>
    <w:rsid w:val="001619B2"/>
    <w:rsid w:val="00164E54"/>
    <w:rsid w:val="0016552C"/>
    <w:rsid w:val="00166492"/>
    <w:rsid w:val="001920F8"/>
    <w:rsid w:val="001A523F"/>
    <w:rsid w:val="001C1A9C"/>
    <w:rsid w:val="001E1E22"/>
    <w:rsid w:val="001F20A5"/>
    <w:rsid w:val="001F26FC"/>
    <w:rsid w:val="001F45EE"/>
    <w:rsid w:val="0020562F"/>
    <w:rsid w:val="002127AA"/>
    <w:rsid w:val="00222E91"/>
    <w:rsid w:val="00224C82"/>
    <w:rsid w:val="00233727"/>
    <w:rsid w:val="00233F34"/>
    <w:rsid w:val="00235709"/>
    <w:rsid w:val="002535B6"/>
    <w:rsid w:val="0025604F"/>
    <w:rsid w:val="00271729"/>
    <w:rsid w:val="00272917"/>
    <w:rsid w:val="002766F6"/>
    <w:rsid w:val="002777C9"/>
    <w:rsid w:val="00283339"/>
    <w:rsid w:val="00286C63"/>
    <w:rsid w:val="00287FFD"/>
    <w:rsid w:val="00290543"/>
    <w:rsid w:val="002A0353"/>
    <w:rsid w:val="002D40F4"/>
    <w:rsid w:val="002D7B14"/>
    <w:rsid w:val="002E0E1C"/>
    <w:rsid w:val="002E2615"/>
    <w:rsid w:val="002F5D2C"/>
    <w:rsid w:val="00311F05"/>
    <w:rsid w:val="00320894"/>
    <w:rsid w:val="0032386A"/>
    <w:rsid w:val="00326D2E"/>
    <w:rsid w:val="00327D54"/>
    <w:rsid w:val="0034119E"/>
    <w:rsid w:val="00341E58"/>
    <w:rsid w:val="00344877"/>
    <w:rsid w:val="00345DA2"/>
    <w:rsid w:val="0034702D"/>
    <w:rsid w:val="00355562"/>
    <w:rsid w:val="003565C8"/>
    <w:rsid w:val="0036003D"/>
    <w:rsid w:val="0036027E"/>
    <w:rsid w:val="003618BD"/>
    <w:rsid w:val="00364204"/>
    <w:rsid w:val="00371867"/>
    <w:rsid w:val="003724A7"/>
    <w:rsid w:val="00372FD5"/>
    <w:rsid w:val="00393999"/>
    <w:rsid w:val="003B1AC0"/>
    <w:rsid w:val="003C6ED2"/>
    <w:rsid w:val="003E09E1"/>
    <w:rsid w:val="003E62FA"/>
    <w:rsid w:val="00400004"/>
    <w:rsid w:val="0041084B"/>
    <w:rsid w:val="0044753F"/>
    <w:rsid w:val="004527CA"/>
    <w:rsid w:val="00453842"/>
    <w:rsid w:val="00470374"/>
    <w:rsid w:val="004827FC"/>
    <w:rsid w:val="00483BCD"/>
    <w:rsid w:val="004C132E"/>
    <w:rsid w:val="0050369C"/>
    <w:rsid w:val="00511A73"/>
    <w:rsid w:val="00530A22"/>
    <w:rsid w:val="00541261"/>
    <w:rsid w:val="00542ACB"/>
    <w:rsid w:val="00546D16"/>
    <w:rsid w:val="00550BCA"/>
    <w:rsid w:val="00557772"/>
    <w:rsid w:val="005729F4"/>
    <w:rsid w:val="00572EA7"/>
    <w:rsid w:val="00576862"/>
    <w:rsid w:val="00592DAD"/>
    <w:rsid w:val="00593C6D"/>
    <w:rsid w:val="005A32B7"/>
    <w:rsid w:val="005E65F9"/>
    <w:rsid w:val="005F04B3"/>
    <w:rsid w:val="00605210"/>
    <w:rsid w:val="00617634"/>
    <w:rsid w:val="00617C38"/>
    <w:rsid w:val="00620001"/>
    <w:rsid w:val="00623C53"/>
    <w:rsid w:val="00627D4F"/>
    <w:rsid w:val="006306A6"/>
    <w:rsid w:val="00640E00"/>
    <w:rsid w:val="00646C87"/>
    <w:rsid w:val="00647DBC"/>
    <w:rsid w:val="00653DB8"/>
    <w:rsid w:val="00664B79"/>
    <w:rsid w:val="00665D2B"/>
    <w:rsid w:val="00670EB9"/>
    <w:rsid w:val="00671A1D"/>
    <w:rsid w:val="006742CA"/>
    <w:rsid w:val="00676705"/>
    <w:rsid w:val="006916D6"/>
    <w:rsid w:val="006B4F0A"/>
    <w:rsid w:val="006D4E64"/>
    <w:rsid w:val="007123F8"/>
    <w:rsid w:val="00715C16"/>
    <w:rsid w:val="00720D3A"/>
    <w:rsid w:val="00724902"/>
    <w:rsid w:val="007249C2"/>
    <w:rsid w:val="00737261"/>
    <w:rsid w:val="0075241E"/>
    <w:rsid w:val="00761088"/>
    <w:rsid w:val="0076620E"/>
    <w:rsid w:val="007706F3"/>
    <w:rsid w:val="0077586A"/>
    <w:rsid w:val="00776391"/>
    <w:rsid w:val="0077641B"/>
    <w:rsid w:val="00780A39"/>
    <w:rsid w:val="00783E91"/>
    <w:rsid w:val="00785562"/>
    <w:rsid w:val="00795EC5"/>
    <w:rsid w:val="007A4A57"/>
    <w:rsid w:val="007B3B7D"/>
    <w:rsid w:val="007C6298"/>
    <w:rsid w:val="007D394A"/>
    <w:rsid w:val="007D6546"/>
    <w:rsid w:val="007E18A4"/>
    <w:rsid w:val="007E5664"/>
    <w:rsid w:val="007E7434"/>
    <w:rsid w:val="007F1A72"/>
    <w:rsid w:val="007F37C4"/>
    <w:rsid w:val="007F63A2"/>
    <w:rsid w:val="00804730"/>
    <w:rsid w:val="008138A2"/>
    <w:rsid w:val="00814F8A"/>
    <w:rsid w:val="008152A3"/>
    <w:rsid w:val="008242DD"/>
    <w:rsid w:val="008448AA"/>
    <w:rsid w:val="0084626D"/>
    <w:rsid w:val="00854A17"/>
    <w:rsid w:val="00855D9F"/>
    <w:rsid w:val="00856341"/>
    <w:rsid w:val="00862B34"/>
    <w:rsid w:val="00864ADD"/>
    <w:rsid w:val="008811DF"/>
    <w:rsid w:val="008922F5"/>
    <w:rsid w:val="008A3E90"/>
    <w:rsid w:val="008A54F3"/>
    <w:rsid w:val="008A60F7"/>
    <w:rsid w:val="008B1A60"/>
    <w:rsid w:val="008B3BA1"/>
    <w:rsid w:val="008B580D"/>
    <w:rsid w:val="008B76C2"/>
    <w:rsid w:val="008D2F3A"/>
    <w:rsid w:val="008D3211"/>
    <w:rsid w:val="008D6C16"/>
    <w:rsid w:val="008D6F8D"/>
    <w:rsid w:val="008F0966"/>
    <w:rsid w:val="008F5263"/>
    <w:rsid w:val="0090653E"/>
    <w:rsid w:val="00913430"/>
    <w:rsid w:val="00923D8E"/>
    <w:rsid w:val="00924E95"/>
    <w:rsid w:val="009271BB"/>
    <w:rsid w:val="00931BA1"/>
    <w:rsid w:val="00937249"/>
    <w:rsid w:val="0094720A"/>
    <w:rsid w:val="00965136"/>
    <w:rsid w:val="0097234F"/>
    <w:rsid w:val="00985AB8"/>
    <w:rsid w:val="009B2FC7"/>
    <w:rsid w:val="009C07F7"/>
    <w:rsid w:val="009C748E"/>
    <w:rsid w:val="009E7D3F"/>
    <w:rsid w:val="009F102F"/>
    <w:rsid w:val="00A01C5D"/>
    <w:rsid w:val="00A03092"/>
    <w:rsid w:val="00A0492E"/>
    <w:rsid w:val="00A0750D"/>
    <w:rsid w:val="00A40C4E"/>
    <w:rsid w:val="00A46E76"/>
    <w:rsid w:val="00A66667"/>
    <w:rsid w:val="00A73E44"/>
    <w:rsid w:val="00A773F7"/>
    <w:rsid w:val="00A91AAA"/>
    <w:rsid w:val="00A936B3"/>
    <w:rsid w:val="00AB2200"/>
    <w:rsid w:val="00AB3961"/>
    <w:rsid w:val="00AC2078"/>
    <w:rsid w:val="00AC2FD8"/>
    <w:rsid w:val="00AD5FA8"/>
    <w:rsid w:val="00AD65D9"/>
    <w:rsid w:val="00AD7329"/>
    <w:rsid w:val="00AE0DE2"/>
    <w:rsid w:val="00AF17BC"/>
    <w:rsid w:val="00AF433E"/>
    <w:rsid w:val="00B078A7"/>
    <w:rsid w:val="00B10159"/>
    <w:rsid w:val="00B25E41"/>
    <w:rsid w:val="00B32405"/>
    <w:rsid w:val="00B52CB5"/>
    <w:rsid w:val="00B61704"/>
    <w:rsid w:val="00B716C8"/>
    <w:rsid w:val="00B71972"/>
    <w:rsid w:val="00B77C5A"/>
    <w:rsid w:val="00B77EF0"/>
    <w:rsid w:val="00B81CFB"/>
    <w:rsid w:val="00B97F7A"/>
    <w:rsid w:val="00BA3085"/>
    <w:rsid w:val="00BA347C"/>
    <w:rsid w:val="00BA718F"/>
    <w:rsid w:val="00BB73E8"/>
    <w:rsid w:val="00BE488F"/>
    <w:rsid w:val="00BF30E0"/>
    <w:rsid w:val="00C0102B"/>
    <w:rsid w:val="00C0134B"/>
    <w:rsid w:val="00C2389A"/>
    <w:rsid w:val="00C23B7A"/>
    <w:rsid w:val="00C25FE2"/>
    <w:rsid w:val="00C32C1D"/>
    <w:rsid w:val="00C40254"/>
    <w:rsid w:val="00C64755"/>
    <w:rsid w:val="00C70297"/>
    <w:rsid w:val="00C71806"/>
    <w:rsid w:val="00C72C1E"/>
    <w:rsid w:val="00C73417"/>
    <w:rsid w:val="00C73F78"/>
    <w:rsid w:val="00C75EA7"/>
    <w:rsid w:val="00C823D8"/>
    <w:rsid w:val="00C93E04"/>
    <w:rsid w:val="00C95B8E"/>
    <w:rsid w:val="00C97F2C"/>
    <w:rsid w:val="00CA33AC"/>
    <w:rsid w:val="00CA49B9"/>
    <w:rsid w:val="00CB04A7"/>
    <w:rsid w:val="00CB3597"/>
    <w:rsid w:val="00CD7B08"/>
    <w:rsid w:val="00CE7ACA"/>
    <w:rsid w:val="00CF1313"/>
    <w:rsid w:val="00CF2896"/>
    <w:rsid w:val="00CF3A98"/>
    <w:rsid w:val="00D00277"/>
    <w:rsid w:val="00D00DF7"/>
    <w:rsid w:val="00D043E2"/>
    <w:rsid w:val="00D0557B"/>
    <w:rsid w:val="00D12B38"/>
    <w:rsid w:val="00D25823"/>
    <w:rsid w:val="00D27D81"/>
    <w:rsid w:val="00D35AC7"/>
    <w:rsid w:val="00D42851"/>
    <w:rsid w:val="00D46155"/>
    <w:rsid w:val="00D46299"/>
    <w:rsid w:val="00D50369"/>
    <w:rsid w:val="00D60956"/>
    <w:rsid w:val="00D6423E"/>
    <w:rsid w:val="00D64311"/>
    <w:rsid w:val="00D6690F"/>
    <w:rsid w:val="00D66B14"/>
    <w:rsid w:val="00D7596F"/>
    <w:rsid w:val="00D9660B"/>
    <w:rsid w:val="00DA06C2"/>
    <w:rsid w:val="00DA5F13"/>
    <w:rsid w:val="00DB4291"/>
    <w:rsid w:val="00DB47B7"/>
    <w:rsid w:val="00DB53D8"/>
    <w:rsid w:val="00DD4E93"/>
    <w:rsid w:val="00DD78F3"/>
    <w:rsid w:val="00DE01DA"/>
    <w:rsid w:val="00DE1A58"/>
    <w:rsid w:val="00DF176E"/>
    <w:rsid w:val="00DF1C69"/>
    <w:rsid w:val="00E1160C"/>
    <w:rsid w:val="00E12B84"/>
    <w:rsid w:val="00E14B8E"/>
    <w:rsid w:val="00E165D7"/>
    <w:rsid w:val="00E23AFB"/>
    <w:rsid w:val="00E25724"/>
    <w:rsid w:val="00E33AE6"/>
    <w:rsid w:val="00E3756B"/>
    <w:rsid w:val="00E42C88"/>
    <w:rsid w:val="00E56047"/>
    <w:rsid w:val="00E57963"/>
    <w:rsid w:val="00E620B7"/>
    <w:rsid w:val="00E628A0"/>
    <w:rsid w:val="00E66265"/>
    <w:rsid w:val="00E728D0"/>
    <w:rsid w:val="00E75211"/>
    <w:rsid w:val="00E75517"/>
    <w:rsid w:val="00E77507"/>
    <w:rsid w:val="00E83A58"/>
    <w:rsid w:val="00E85724"/>
    <w:rsid w:val="00E86A38"/>
    <w:rsid w:val="00EB482A"/>
    <w:rsid w:val="00EB75E7"/>
    <w:rsid w:val="00EC1F90"/>
    <w:rsid w:val="00EC78E8"/>
    <w:rsid w:val="00ED1A10"/>
    <w:rsid w:val="00ED4D0E"/>
    <w:rsid w:val="00EE2604"/>
    <w:rsid w:val="00EE3FA7"/>
    <w:rsid w:val="00EE60DF"/>
    <w:rsid w:val="00F15E4B"/>
    <w:rsid w:val="00F175FD"/>
    <w:rsid w:val="00F21B0E"/>
    <w:rsid w:val="00F42878"/>
    <w:rsid w:val="00F461AC"/>
    <w:rsid w:val="00F54943"/>
    <w:rsid w:val="00F61B42"/>
    <w:rsid w:val="00F63F55"/>
    <w:rsid w:val="00F74B4F"/>
    <w:rsid w:val="00F92103"/>
    <w:rsid w:val="00F929C4"/>
    <w:rsid w:val="00FB522F"/>
    <w:rsid w:val="00FC25DD"/>
    <w:rsid w:val="00FD14B5"/>
    <w:rsid w:val="00FE22E3"/>
    <w:rsid w:val="00FE31B5"/>
    <w:rsid w:val="00FE37BB"/>
    <w:rsid w:val="00FE51D2"/>
    <w:rsid w:val="00FE74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5B69C"/>
  <w15:chartTrackingRefBased/>
  <w15:docId w15:val="{38264AB0-75B3-4580-9260-6C53D07B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dereglamento">
    <w:name w:val="Texto de reglamento"/>
    <w:basedOn w:val="Normal"/>
    <w:link w:val="TextodereglamentoChar"/>
    <w:qFormat/>
    <w:rsid w:val="00084D3C"/>
    <w:pPr>
      <w:spacing w:before="120" w:after="0" w:line="240" w:lineRule="auto"/>
      <w:jc w:val="both"/>
    </w:pPr>
    <w:rPr>
      <w:rFonts w:ascii="Times New Roman" w:eastAsia="Times New Roman" w:hAnsi="Times New Roman" w:cs="Times New Roman"/>
      <w:szCs w:val="24"/>
      <w:lang w:eastAsia="es-ES"/>
    </w:rPr>
  </w:style>
  <w:style w:type="paragraph" w:customStyle="1" w:styleId="Numeracin">
    <w:name w:val="Numeración"/>
    <w:basedOn w:val="Textodereglamento"/>
    <w:link w:val="NumeracinChar"/>
    <w:qFormat/>
    <w:rsid w:val="00084D3C"/>
    <w:pPr>
      <w:numPr>
        <w:numId w:val="1"/>
      </w:numPr>
    </w:pPr>
  </w:style>
  <w:style w:type="character" w:customStyle="1" w:styleId="TextodereglamentoChar">
    <w:name w:val="Texto de reglamento Char"/>
    <w:link w:val="Textodereglamento"/>
    <w:rsid w:val="00084D3C"/>
    <w:rPr>
      <w:rFonts w:ascii="Times New Roman" w:eastAsia="Times New Roman" w:hAnsi="Times New Roman" w:cs="Times New Roman"/>
      <w:szCs w:val="24"/>
      <w:lang w:eastAsia="es-ES"/>
    </w:rPr>
  </w:style>
  <w:style w:type="character" w:customStyle="1" w:styleId="NumeracinChar">
    <w:name w:val="Numeración Char"/>
    <w:link w:val="Numeracin"/>
    <w:rsid w:val="00084D3C"/>
    <w:rPr>
      <w:rFonts w:ascii="Times New Roman" w:eastAsia="Times New Roman" w:hAnsi="Times New Roman" w:cs="Times New Roman"/>
      <w:szCs w:val="24"/>
      <w:lang w:eastAsia="es-ES"/>
    </w:rPr>
  </w:style>
  <w:style w:type="paragraph" w:styleId="ListParagraph">
    <w:name w:val="List Paragraph"/>
    <w:aliases w:val="Titulo 2"/>
    <w:basedOn w:val="Normal"/>
    <w:link w:val="ListParagraphChar"/>
    <w:uiPriority w:val="34"/>
    <w:qFormat/>
    <w:rsid w:val="00084D3C"/>
    <w:pPr>
      <w:ind w:left="720"/>
      <w:contextualSpacing/>
    </w:pPr>
  </w:style>
  <w:style w:type="paragraph" w:styleId="Header">
    <w:name w:val="header"/>
    <w:basedOn w:val="Normal"/>
    <w:link w:val="HeaderChar"/>
    <w:uiPriority w:val="99"/>
    <w:unhideWhenUsed/>
    <w:rsid w:val="00084D3C"/>
    <w:pPr>
      <w:tabs>
        <w:tab w:val="center" w:pos="4419"/>
        <w:tab w:val="right" w:pos="8838"/>
      </w:tabs>
      <w:spacing w:after="0" w:line="240" w:lineRule="auto"/>
    </w:pPr>
  </w:style>
  <w:style w:type="character" w:customStyle="1" w:styleId="HeaderChar">
    <w:name w:val="Header Char"/>
    <w:basedOn w:val="DefaultParagraphFont"/>
    <w:link w:val="Header"/>
    <w:uiPriority w:val="99"/>
    <w:rsid w:val="00084D3C"/>
  </w:style>
  <w:style w:type="character" w:customStyle="1" w:styleId="ListParagraphChar">
    <w:name w:val="List Paragraph Char"/>
    <w:aliases w:val="Titulo 2 Char"/>
    <w:link w:val="ListParagraph"/>
    <w:uiPriority w:val="34"/>
    <w:locked/>
    <w:rsid w:val="00084D3C"/>
  </w:style>
  <w:style w:type="paragraph" w:customStyle="1" w:styleId="incisos">
    <w:name w:val="incisos"/>
    <w:basedOn w:val="Textodereglamento"/>
    <w:qFormat/>
    <w:rsid w:val="00084D3C"/>
    <w:pPr>
      <w:numPr>
        <w:numId w:val="2"/>
      </w:numPr>
      <w:spacing w:before="60"/>
    </w:pPr>
    <w:rPr>
      <w:sz w:val="24"/>
    </w:rPr>
  </w:style>
  <w:style w:type="paragraph" w:customStyle="1" w:styleId="Artculo">
    <w:name w:val="Artículo"/>
    <w:basedOn w:val="Normal"/>
    <w:next w:val="Textodereglamento"/>
    <w:qFormat/>
    <w:rsid w:val="00084D3C"/>
    <w:pPr>
      <w:keepNext/>
      <w:numPr>
        <w:numId w:val="3"/>
      </w:numPr>
      <w:spacing w:before="180" w:after="60" w:line="240" w:lineRule="auto"/>
    </w:pPr>
    <w:rPr>
      <w:rFonts w:ascii="Times New Roman" w:eastAsia="Times New Roman" w:hAnsi="Times New Roman" w:cs="Times New Roman"/>
      <w:b/>
      <w:szCs w:val="24"/>
      <w:lang w:eastAsia="es-ES"/>
    </w:rPr>
  </w:style>
  <w:style w:type="paragraph" w:styleId="Footer">
    <w:name w:val="footer"/>
    <w:basedOn w:val="Normal"/>
    <w:link w:val="FooterChar"/>
    <w:uiPriority w:val="99"/>
    <w:unhideWhenUsed/>
    <w:rsid w:val="00CE7ACA"/>
    <w:pPr>
      <w:tabs>
        <w:tab w:val="center" w:pos="4419"/>
        <w:tab w:val="right" w:pos="8838"/>
      </w:tabs>
      <w:spacing w:after="0" w:line="240" w:lineRule="auto"/>
    </w:pPr>
  </w:style>
  <w:style w:type="character" w:customStyle="1" w:styleId="FooterChar">
    <w:name w:val="Footer Char"/>
    <w:basedOn w:val="DefaultParagraphFont"/>
    <w:link w:val="Footer"/>
    <w:uiPriority w:val="99"/>
    <w:rsid w:val="00CE7ACA"/>
  </w:style>
  <w:style w:type="paragraph" w:styleId="FootnoteText">
    <w:name w:val="footnote text"/>
    <w:basedOn w:val="Normal"/>
    <w:link w:val="FootnoteTextChar"/>
    <w:semiHidden/>
    <w:unhideWhenUsed/>
    <w:rsid w:val="00372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FD5"/>
    <w:rPr>
      <w:sz w:val="20"/>
      <w:szCs w:val="20"/>
    </w:rPr>
  </w:style>
  <w:style w:type="character" w:styleId="FootnoteReference">
    <w:name w:val="footnote reference"/>
    <w:basedOn w:val="DefaultParagraphFont"/>
    <w:semiHidden/>
    <w:unhideWhenUsed/>
    <w:rsid w:val="00372FD5"/>
    <w:rPr>
      <w:vertAlign w:val="superscript"/>
    </w:rPr>
  </w:style>
  <w:style w:type="character" w:styleId="CommentReference">
    <w:name w:val="annotation reference"/>
    <w:basedOn w:val="DefaultParagraphFont"/>
    <w:uiPriority w:val="99"/>
    <w:semiHidden/>
    <w:unhideWhenUsed/>
    <w:rsid w:val="00A46E76"/>
    <w:rPr>
      <w:sz w:val="16"/>
      <w:szCs w:val="16"/>
    </w:rPr>
  </w:style>
  <w:style w:type="paragraph" w:styleId="CommentText">
    <w:name w:val="annotation text"/>
    <w:basedOn w:val="Normal"/>
    <w:link w:val="CommentTextChar"/>
    <w:uiPriority w:val="99"/>
    <w:semiHidden/>
    <w:unhideWhenUsed/>
    <w:rsid w:val="00A46E76"/>
    <w:pPr>
      <w:spacing w:line="240" w:lineRule="auto"/>
    </w:pPr>
    <w:rPr>
      <w:sz w:val="20"/>
      <w:szCs w:val="20"/>
    </w:rPr>
  </w:style>
  <w:style w:type="character" w:customStyle="1" w:styleId="CommentTextChar">
    <w:name w:val="Comment Text Char"/>
    <w:basedOn w:val="DefaultParagraphFont"/>
    <w:link w:val="CommentText"/>
    <w:uiPriority w:val="99"/>
    <w:semiHidden/>
    <w:rsid w:val="00A46E76"/>
    <w:rPr>
      <w:sz w:val="20"/>
      <w:szCs w:val="20"/>
    </w:rPr>
  </w:style>
  <w:style w:type="paragraph" w:styleId="CommentSubject">
    <w:name w:val="annotation subject"/>
    <w:basedOn w:val="CommentText"/>
    <w:next w:val="CommentText"/>
    <w:link w:val="CommentSubjectChar"/>
    <w:uiPriority w:val="99"/>
    <w:semiHidden/>
    <w:unhideWhenUsed/>
    <w:rsid w:val="00A46E76"/>
    <w:rPr>
      <w:b/>
      <w:bCs/>
    </w:rPr>
  </w:style>
  <w:style w:type="character" w:customStyle="1" w:styleId="CommentSubjectChar">
    <w:name w:val="Comment Subject Char"/>
    <w:basedOn w:val="CommentTextChar"/>
    <w:link w:val="CommentSubject"/>
    <w:uiPriority w:val="99"/>
    <w:semiHidden/>
    <w:rsid w:val="00A46E76"/>
    <w:rPr>
      <w:b/>
      <w:bCs/>
      <w:sz w:val="20"/>
      <w:szCs w:val="20"/>
    </w:rPr>
  </w:style>
  <w:style w:type="paragraph" w:styleId="BalloonText">
    <w:name w:val="Balloon Text"/>
    <w:basedOn w:val="Normal"/>
    <w:link w:val="BalloonTextChar"/>
    <w:uiPriority w:val="99"/>
    <w:semiHidden/>
    <w:unhideWhenUsed/>
    <w:rsid w:val="00A46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E76"/>
    <w:rPr>
      <w:rFonts w:ascii="Segoe UI" w:hAnsi="Segoe UI" w:cs="Segoe UI"/>
      <w:sz w:val="18"/>
      <w:szCs w:val="18"/>
    </w:rPr>
  </w:style>
  <w:style w:type="paragraph" w:styleId="Title">
    <w:name w:val="Title"/>
    <w:basedOn w:val="Normal"/>
    <w:link w:val="TitleChar"/>
    <w:uiPriority w:val="10"/>
    <w:qFormat/>
    <w:rsid w:val="00720D3A"/>
    <w:pPr>
      <w:widowControl w:val="0"/>
      <w:spacing w:after="0" w:line="240" w:lineRule="auto"/>
      <w:jc w:val="center"/>
      <w:outlineLvl w:val="0"/>
    </w:pPr>
    <w:rPr>
      <w:rFonts w:eastAsia="Times New Roman" w:cs="Times New Roman"/>
      <w:b/>
      <w:i/>
      <w:sz w:val="24"/>
      <w:szCs w:val="24"/>
      <w:lang w:val="es-CR"/>
    </w:rPr>
  </w:style>
  <w:style w:type="character" w:customStyle="1" w:styleId="TitleChar">
    <w:name w:val="Title Char"/>
    <w:basedOn w:val="DefaultParagraphFont"/>
    <w:link w:val="Title"/>
    <w:uiPriority w:val="10"/>
    <w:rsid w:val="00720D3A"/>
    <w:rPr>
      <w:rFonts w:eastAsia="Times New Roman" w:cs="Times New Roman"/>
      <w:b/>
      <w:i/>
      <w:sz w:val="24"/>
      <w:szCs w:val="24"/>
      <w:lang w:val="es-CR"/>
    </w:rPr>
  </w:style>
  <w:style w:type="paragraph" w:styleId="BodyText2">
    <w:name w:val="Body Text 2"/>
    <w:basedOn w:val="Normal"/>
    <w:link w:val="BodyText2Char"/>
    <w:rsid w:val="00D043E2"/>
    <w:pPr>
      <w:spacing w:after="0" w:line="240" w:lineRule="auto"/>
      <w:jc w:val="both"/>
    </w:pPr>
    <w:rPr>
      <w:rFonts w:eastAsia="Times New Roman" w:cs="Times New Roman"/>
      <w:sz w:val="24"/>
      <w:szCs w:val="20"/>
      <w:lang w:val="es-CR"/>
    </w:rPr>
  </w:style>
  <w:style w:type="character" w:customStyle="1" w:styleId="BodyText2Char">
    <w:name w:val="Body Text 2 Char"/>
    <w:basedOn w:val="DefaultParagraphFont"/>
    <w:link w:val="BodyText2"/>
    <w:rsid w:val="00D043E2"/>
    <w:rPr>
      <w:rFonts w:eastAsia="Times New Roman" w:cs="Times New Roman"/>
      <w:sz w:val="24"/>
      <w:szCs w:val="20"/>
      <w:lang w:val="es-CR"/>
    </w:rPr>
  </w:style>
  <w:style w:type="table" w:styleId="TableGrid">
    <w:name w:val="Table Grid"/>
    <w:basedOn w:val="TableNormal"/>
    <w:uiPriority w:val="39"/>
    <w:rsid w:val="00212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1771">
      <w:bodyDiv w:val="1"/>
      <w:marLeft w:val="0"/>
      <w:marRight w:val="0"/>
      <w:marTop w:val="0"/>
      <w:marBottom w:val="0"/>
      <w:divBdr>
        <w:top w:val="none" w:sz="0" w:space="0" w:color="auto"/>
        <w:left w:val="none" w:sz="0" w:space="0" w:color="auto"/>
        <w:bottom w:val="none" w:sz="0" w:space="0" w:color="auto"/>
        <w:right w:val="none" w:sz="0" w:space="0" w:color="auto"/>
      </w:divBdr>
    </w:div>
    <w:div w:id="372775692">
      <w:bodyDiv w:val="1"/>
      <w:marLeft w:val="0"/>
      <w:marRight w:val="0"/>
      <w:marTop w:val="0"/>
      <w:marBottom w:val="0"/>
      <w:divBdr>
        <w:top w:val="none" w:sz="0" w:space="0" w:color="auto"/>
        <w:left w:val="none" w:sz="0" w:space="0" w:color="auto"/>
        <w:bottom w:val="none" w:sz="0" w:space="0" w:color="auto"/>
        <w:right w:val="none" w:sz="0" w:space="0" w:color="auto"/>
      </w:divBdr>
    </w:div>
    <w:div w:id="424739078">
      <w:bodyDiv w:val="1"/>
      <w:marLeft w:val="0"/>
      <w:marRight w:val="0"/>
      <w:marTop w:val="0"/>
      <w:marBottom w:val="0"/>
      <w:divBdr>
        <w:top w:val="none" w:sz="0" w:space="0" w:color="auto"/>
        <w:left w:val="none" w:sz="0" w:space="0" w:color="auto"/>
        <w:bottom w:val="none" w:sz="0" w:space="0" w:color="auto"/>
        <w:right w:val="none" w:sz="0" w:space="0" w:color="auto"/>
      </w:divBdr>
    </w:div>
    <w:div w:id="453015156">
      <w:bodyDiv w:val="1"/>
      <w:marLeft w:val="0"/>
      <w:marRight w:val="0"/>
      <w:marTop w:val="0"/>
      <w:marBottom w:val="0"/>
      <w:divBdr>
        <w:top w:val="none" w:sz="0" w:space="0" w:color="auto"/>
        <w:left w:val="none" w:sz="0" w:space="0" w:color="auto"/>
        <w:bottom w:val="none" w:sz="0" w:space="0" w:color="auto"/>
        <w:right w:val="none" w:sz="0" w:space="0" w:color="auto"/>
      </w:divBdr>
    </w:div>
    <w:div w:id="502478451">
      <w:bodyDiv w:val="1"/>
      <w:marLeft w:val="0"/>
      <w:marRight w:val="0"/>
      <w:marTop w:val="0"/>
      <w:marBottom w:val="0"/>
      <w:divBdr>
        <w:top w:val="none" w:sz="0" w:space="0" w:color="auto"/>
        <w:left w:val="none" w:sz="0" w:space="0" w:color="auto"/>
        <w:bottom w:val="none" w:sz="0" w:space="0" w:color="auto"/>
        <w:right w:val="none" w:sz="0" w:space="0" w:color="auto"/>
      </w:divBdr>
    </w:div>
    <w:div w:id="539633176">
      <w:bodyDiv w:val="1"/>
      <w:marLeft w:val="0"/>
      <w:marRight w:val="0"/>
      <w:marTop w:val="0"/>
      <w:marBottom w:val="0"/>
      <w:divBdr>
        <w:top w:val="none" w:sz="0" w:space="0" w:color="auto"/>
        <w:left w:val="none" w:sz="0" w:space="0" w:color="auto"/>
        <w:bottom w:val="none" w:sz="0" w:space="0" w:color="auto"/>
        <w:right w:val="none" w:sz="0" w:space="0" w:color="auto"/>
      </w:divBdr>
    </w:div>
    <w:div w:id="589240348">
      <w:bodyDiv w:val="1"/>
      <w:marLeft w:val="0"/>
      <w:marRight w:val="0"/>
      <w:marTop w:val="0"/>
      <w:marBottom w:val="0"/>
      <w:divBdr>
        <w:top w:val="none" w:sz="0" w:space="0" w:color="auto"/>
        <w:left w:val="none" w:sz="0" w:space="0" w:color="auto"/>
        <w:bottom w:val="none" w:sz="0" w:space="0" w:color="auto"/>
        <w:right w:val="none" w:sz="0" w:space="0" w:color="auto"/>
      </w:divBdr>
    </w:div>
    <w:div w:id="643395596">
      <w:bodyDiv w:val="1"/>
      <w:marLeft w:val="0"/>
      <w:marRight w:val="0"/>
      <w:marTop w:val="0"/>
      <w:marBottom w:val="0"/>
      <w:divBdr>
        <w:top w:val="none" w:sz="0" w:space="0" w:color="auto"/>
        <w:left w:val="none" w:sz="0" w:space="0" w:color="auto"/>
        <w:bottom w:val="none" w:sz="0" w:space="0" w:color="auto"/>
        <w:right w:val="none" w:sz="0" w:space="0" w:color="auto"/>
      </w:divBdr>
    </w:div>
    <w:div w:id="778140134">
      <w:bodyDiv w:val="1"/>
      <w:marLeft w:val="0"/>
      <w:marRight w:val="0"/>
      <w:marTop w:val="0"/>
      <w:marBottom w:val="0"/>
      <w:divBdr>
        <w:top w:val="none" w:sz="0" w:space="0" w:color="auto"/>
        <w:left w:val="none" w:sz="0" w:space="0" w:color="auto"/>
        <w:bottom w:val="none" w:sz="0" w:space="0" w:color="auto"/>
        <w:right w:val="none" w:sz="0" w:space="0" w:color="auto"/>
      </w:divBdr>
    </w:div>
    <w:div w:id="899291089">
      <w:bodyDiv w:val="1"/>
      <w:marLeft w:val="0"/>
      <w:marRight w:val="0"/>
      <w:marTop w:val="0"/>
      <w:marBottom w:val="0"/>
      <w:divBdr>
        <w:top w:val="none" w:sz="0" w:space="0" w:color="auto"/>
        <w:left w:val="none" w:sz="0" w:space="0" w:color="auto"/>
        <w:bottom w:val="none" w:sz="0" w:space="0" w:color="auto"/>
        <w:right w:val="none" w:sz="0" w:space="0" w:color="auto"/>
      </w:divBdr>
    </w:div>
    <w:div w:id="965114030">
      <w:bodyDiv w:val="1"/>
      <w:marLeft w:val="0"/>
      <w:marRight w:val="0"/>
      <w:marTop w:val="0"/>
      <w:marBottom w:val="0"/>
      <w:divBdr>
        <w:top w:val="none" w:sz="0" w:space="0" w:color="auto"/>
        <w:left w:val="none" w:sz="0" w:space="0" w:color="auto"/>
        <w:bottom w:val="none" w:sz="0" w:space="0" w:color="auto"/>
        <w:right w:val="none" w:sz="0" w:space="0" w:color="auto"/>
      </w:divBdr>
    </w:div>
    <w:div w:id="968902226">
      <w:bodyDiv w:val="1"/>
      <w:marLeft w:val="0"/>
      <w:marRight w:val="0"/>
      <w:marTop w:val="0"/>
      <w:marBottom w:val="0"/>
      <w:divBdr>
        <w:top w:val="none" w:sz="0" w:space="0" w:color="auto"/>
        <w:left w:val="none" w:sz="0" w:space="0" w:color="auto"/>
        <w:bottom w:val="none" w:sz="0" w:space="0" w:color="auto"/>
        <w:right w:val="none" w:sz="0" w:space="0" w:color="auto"/>
      </w:divBdr>
    </w:div>
    <w:div w:id="1703048898">
      <w:bodyDiv w:val="1"/>
      <w:marLeft w:val="0"/>
      <w:marRight w:val="0"/>
      <w:marTop w:val="0"/>
      <w:marBottom w:val="0"/>
      <w:divBdr>
        <w:top w:val="none" w:sz="0" w:space="0" w:color="auto"/>
        <w:left w:val="none" w:sz="0" w:space="0" w:color="auto"/>
        <w:bottom w:val="none" w:sz="0" w:space="0" w:color="auto"/>
        <w:right w:val="none" w:sz="0" w:space="0" w:color="auto"/>
      </w:divBdr>
    </w:div>
    <w:div w:id="1839736289">
      <w:bodyDiv w:val="1"/>
      <w:marLeft w:val="0"/>
      <w:marRight w:val="0"/>
      <w:marTop w:val="0"/>
      <w:marBottom w:val="0"/>
      <w:divBdr>
        <w:top w:val="none" w:sz="0" w:space="0" w:color="auto"/>
        <w:left w:val="none" w:sz="0" w:space="0" w:color="auto"/>
        <w:bottom w:val="none" w:sz="0" w:space="0" w:color="auto"/>
        <w:right w:val="none" w:sz="0" w:space="0" w:color="auto"/>
      </w:divBdr>
    </w:div>
    <w:div w:id="1909417151">
      <w:bodyDiv w:val="1"/>
      <w:marLeft w:val="0"/>
      <w:marRight w:val="0"/>
      <w:marTop w:val="0"/>
      <w:marBottom w:val="0"/>
      <w:divBdr>
        <w:top w:val="none" w:sz="0" w:space="0" w:color="auto"/>
        <w:left w:val="none" w:sz="0" w:space="0" w:color="auto"/>
        <w:bottom w:val="none" w:sz="0" w:space="0" w:color="auto"/>
        <w:right w:val="none" w:sz="0" w:space="0" w:color="auto"/>
      </w:divBdr>
    </w:div>
    <w:div w:id="20805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emf"/>
  <Relationship Id="rId12" Type="http://schemas.openxmlformats.org/officeDocument/2006/relationships/oleObject" Target="embeddings/Microsoft_Excel_97-2003_Worksheet1.xls"/>
  <Relationship Id="rId13" Type="http://schemas.openxmlformats.org/officeDocument/2006/relationships/image" Target="media/image2.emf"/>
  <Relationship Id="rId14" Type="http://schemas.openxmlformats.org/officeDocument/2006/relationships/oleObject" Target="embeddings/Microsoft_Excel_97-2003_Worksheet2.xls"/>
  <Relationship Id="rId15" Type="http://schemas.openxmlformats.org/officeDocument/2006/relationships/image" Target="media/image3.emf"/>
  <Relationship Id="rId16" Type="http://schemas.openxmlformats.org/officeDocument/2006/relationships/package" Target="embeddings/Microsoft_Word_Document1.docx"/>
  <Relationship Id="rId17" Type="http://schemas.openxmlformats.org/officeDocument/2006/relationships/image" Target="media/image4.emf"/>
  <Relationship Id="rId18" Type="http://schemas.openxmlformats.org/officeDocument/2006/relationships/package" Target="embeddings/Microsoft_Word_Document2.docx"/>
  <Relationship Id="rId19" Type="http://schemas.openxmlformats.org/officeDocument/2006/relationships/image" Target="media/image5.emf"/>
  <Relationship Id="rId2" Type="http://schemas.openxmlformats.org/officeDocument/2006/relationships/customXml" Target="/customXml/item2.xml"/>
  <Relationship Id="rId20" Type="http://schemas.openxmlformats.org/officeDocument/2006/relationships/package" Target="embeddings/Microsoft_Excel_Worksheet3.xlsx"/>
  <Relationship Id="rId21" Type="http://schemas.openxmlformats.org/officeDocument/2006/relationships/image" Target="media/image6.emf"/>
  <Relationship Id="rId22" Type="http://schemas.openxmlformats.org/officeDocument/2006/relationships/oleObject" Target="embeddings/Microsoft_Excel_97-2003_Worksheet3.xls"/>
  <Relationship Id="rId23" Type="http://schemas.openxmlformats.org/officeDocument/2006/relationships/image" Target="media/image7.emf"/>
  <Relationship Id="rId24" Type="http://schemas.openxmlformats.org/officeDocument/2006/relationships/package" Target="embeddings/Microsoft_Excel_Worksheet4.xlsx"/>
  <Relationship Id="rId25" Type="http://schemas.openxmlformats.org/officeDocument/2006/relationships/image" Target="media/image8.png"/>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9.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BA887-55E4-49BC-A0B7-17605A628ABE}"/>
</file>

<file path=customXml/itemProps2.xml><?xml version="1.0" encoding="utf-8"?>
<ds:datastoreItem xmlns:ds="http://schemas.openxmlformats.org/officeDocument/2006/customXml" ds:itemID="{5F363039-013A-4F88-A0E9-C8B39EB75C57}"/>
</file>

<file path=customXml/itemProps3.xml><?xml version="1.0" encoding="utf-8"?>
<ds:datastoreItem xmlns:ds="http://schemas.openxmlformats.org/officeDocument/2006/customXml" ds:itemID="{8E501F2D-7F1E-4473-A83A-5B2923FEFB0B}"/>
</file>

<file path=customXml/itemProps4.xml><?xml version="1.0" encoding="utf-8"?>
<ds:datastoreItem xmlns:ds="http://schemas.openxmlformats.org/officeDocument/2006/customXml" ds:itemID="{1DE3EB7B-A2BD-45F9-903A-168207540460}"/>
</file>

<file path=docProps/app.xml><?xml version="1.0" encoding="utf-8"?>
<Properties xmlns="http://schemas.openxmlformats.org/officeDocument/2006/extended-properties" xmlns:vt="http://schemas.openxmlformats.org/officeDocument/2006/docPropsVTypes">
  <Template>Normal.dotm</Template>
  <TotalTime>6</TotalTime>
  <Pages>9</Pages>
  <Words>3278</Words>
  <Characters>18033</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SGV-A-235 Modificación al Acuerdo SGV-A-75 “Suministro de Información Periódica”</vt:lpstr>
      <vt:lpstr>SGV-A-231 Modificación al Acuerdo SGV-A-75 “Suministro de Información Periódica”</vt:lpstr>
    </vt:vector>
  </TitlesOfParts>
  <Company>SUGEVAL</Company>
  <LinksUpToDate>false</LinksUpToDate>
  <CharactersWithSpaces>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SGV-A-235 Modificación al Acuerdo SGV-A-75 “Suministro de Información Periódica”</dc:title>
  <dc:creator>FERNANDEZ PORRAS PATRICIA</dc:creator>
  <cp:lastModifiedBy>FERNANDEZ PORRAS PATRICIA</cp:lastModifiedBy>
  <cp:revision>4</cp:revision>
  <dcterms:created xsi:type="dcterms:W3CDTF">2019-12-03T18:19:00Z</dcterms:created>
  <dcterms:modified xsi:type="dcterms:W3CDTF">2019-12-03T22:20:00Z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SGV-A-235.docx</vt:lpwstr>
  </property>
</Properties>
</file>