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94874" w14:textId="77777777" w:rsidR="0096434A" w:rsidRPr="00614A7A" w:rsidRDefault="00614A7A" w:rsidP="0096434A">
      <w:pPr>
        <w:spacing w:after="0" w:line="240" w:lineRule="auto"/>
        <w:ind w:right="-193"/>
        <w:jc w:val="both"/>
        <w:rPr>
          <w:rFonts w:ascii="Arial" w:eastAsia="Times New Roman" w:hAnsi="Arial" w:cs="Arial"/>
          <w:bCs/>
          <w:i/>
          <w:iCs/>
          <w:noProof/>
          <w:sz w:val="24"/>
          <w:szCs w:val="24"/>
          <w:lang w:val="es-ES_tradnl" w:eastAsia="es-ES"/>
        </w:rPr>
      </w:pPr>
      <w:r w:rsidRPr="00614A7A">
        <w:rPr>
          <w:rFonts w:ascii="Arial" w:eastAsia="Times New Roman" w:hAnsi="Arial" w:cs="Arial"/>
          <w:b/>
          <w:bCs/>
          <w:lang w:val="es-ES"/>
        </w:rPr>
        <w:t>SGV-A-236.</w:t>
      </w:r>
      <w:r w:rsidRPr="00614A7A">
        <w:rPr>
          <w:rFonts w:ascii="Arial" w:eastAsia="Times New Roman" w:hAnsi="Arial" w:cs="Arial"/>
          <w:bCs/>
          <w:lang w:val="es-ES"/>
        </w:rPr>
        <w:t xml:space="preserve"> </w:t>
      </w:r>
      <w:r w:rsidR="0096434A" w:rsidRPr="00614A7A">
        <w:rPr>
          <w:rFonts w:ascii="Arial" w:eastAsia="Times New Roman" w:hAnsi="Arial" w:cs="Arial"/>
          <w:b/>
          <w:lang w:val="es-ES" w:eastAsia="es-ES"/>
        </w:rPr>
        <w:t xml:space="preserve">MODIFICACIÓN AL ACUERDO SGV-A-158 “GUÍA PARA LA ELABORACION Y REMISION DE PROSPECTOS DE FONDOS DE INVERSION” </w:t>
      </w:r>
      <w:r w:rsidR="0096434A">
        <w:rPr>
          <w:rStyle w:val="FootnoteReference"/>
          <w:rFonts w:ascii="Arial" w:eastAsia="Times New Roman" w:hAnsi="Arial" w:cs="Arial"/>
          <w:b/>
          <w:lang w:val="es-ES" w:eastAsia="es-ES"/>
        </w:rPr>
        <w:footnoteReference w:id="1"/>
      </w:r>
    </w:p>
    <w:p w14:paraId="20F94875" w14:textId="77777777" w:rsidR="0096434A" w:rsidRPr="0096434A" w:rsidRDefault="0096434A" w:rsidP="00614A7A">
      <w:pPr>
        <w:spacing w:after="0" w:line="240" w:lineRule="auto"/>
        <w:ind w:right="-193"/>
        <w:jc w:val="both"/>
        <w:rPr>
          <w:rFonts w:ascii="Arial" w:eastAsia="Times New Roman" w:hAnsi="Arial" w:cs="Arial"/>
          <w:bCs/>
          <w:lang w:val="es-ES_tradnl"/>
        </w:rPr>
      </w:pPr>
    </w:p>
    <w:p w14:paraId="20F94876" w14:textId="77777777" w:rsidR="00614A7A" w:rsidRPr="00614A7A" w:rsidRDefault="00614A7A" w:rsidP="00614A7A">
      <w:pPr>
        <w:spacing w:after="0" w:line="276" w:lineRule="auto"/>
        <w:ind w:right="-193"/>
        <w:jc w:val="both"/>
        <w:rPr>
          <w:rFonts w:ascii="Arial" w:eastAsia="Times New Roman" w:hAnsi="Arial" w:cs="Arial"/>
          <w:b/>
          <w:bCs/>
          <w:lang w:eastAsia="es-ES"/>
        </w:rPr>
      </w:pPr>
      <w:r w:rsidRPr="00614A7A">
        <w:rPr>
          <w:rFonts w:ascii="Arial" w:eastAsia="Times New Roman" w:hAnsi="Arial" w:cs="Arial"/>
          <w:b/>
          <w:bCs/>
          <w:lang w:eastAsia="es-ES"/>
        </w:rPr>
        <w:t>Considerando que:</w:t>
      </w:r>
    </w:p>
    <w:p w14:paraId="20F94877" w14:textId="77777777" w:rsidR="00614A7A" w:rsidRPr="00614A7A" w:rsidRDefault="00614A7A" w:rsidP="0096434A">
      <w:pPr>
        <w:tabs>
          <w:tab w:val="left" w:pos="567"/>
        </w:tabs>
        <w:spacing w:after="0" w:line="240" w:lineRule="auto"/>
        <w:ind w:right="-193"/>
        <w:jc w:val="both"/>
        <w:rPr>
          <w:rFonts w:ascii="Arial" w:eastAsia="Times New Roman" w:hAnsi="Arial" w:cs="Arial"/>
          <w:lang w:val="es-ES" w:eastAsia="es-ES"/>
        </w:rPr>
      </w:pPr>
    </w:p>
    <w:p w14:paraId="20F94878" w14:textId="77777777" w:rsidR="00614A7A" w:rsidRDefault="00614A7A" w:rsidP="00C5678C">
      <w:pPr>
        <w:pStyle w:val="ListParagraph"/>
        <w:numPr>
          <w:ilvl w:val="0"/>
          <w:numId w:val="3"/>
        </w:numPr>
        <w:spacing w:before="120" w:after="0" w:line="240" w:lineRule="auto"/>
        <w:ind w:left="426" w:hanging="426"/>
        <w:jc w:val="both"/>
        <w:rPr>
          <w:rFonts w:ascii="Arial" w:eastAsia="Times New Roman" w:hAnsi="Arial" w:cs="Arial"/>
          <w:lang w:val="es-ES" w:eastAsia="es-ES"/>
        </w:rPr>
      </w:pPr>
      <w:r w:rsidRPr="00C5678C">
        <w:rPr>
          <w:rFonts w:ascii="Arial" w:eastAsia="Times New Roman" w:hAnsi="Arial" w:cs="Arial"/>
          <w:lang w:val="es-ES" w:eastAsia="es-ES"/>
        </w:rPr>
        <w:t xml:space="preserve">Mediante el artículo 17 de la Sesión 762-2008 del 19 de diciembre del 2008, el Consejo Nacional de Supervisión del Sistema Financiero aprobó el </w:t>
      </w:r>
      <w:r w:rsidRPr="00C5678C">
        <w:rPr>
          <w:rFonts w:ascii="Arial" w:eastAsia="Times New Roman" w:hAnsi="Arial" w:cs="Arial"/>
          <w:i/>
          <w:lang w:val="es-ES" w:eastAsia="es-ES"/>
        </w:rPr>
        <w:t>Reglamento General  sobre Sociedades Administradoras  y Fondos de Inversión</w:t>
      </w:r>
      <w:r w:rsidRPr="00C5678C">
        <w:rPr>
          <w:rFonts w:ascii="Arial" w:eastAsia="Times New Roman" w:hAnsi="Arial" w:cs="Arial"/>
          <w:lang w:val="es-ES" w:eastAsia="es-ES"/>
        </w:rPr>
        <w:t xml:space="preserve"> y el artículo 19 dispone que el Superintendente General de Valores emitirá una guía que defina el contenido mínimo, las normas de presentación y diseño de los prospectos de fondos de inversión, así como la definición de los medios electrónicos que se utilizarán en los procedimientos de autorización y modificación de prospectos. </w:t>
      </w:r>
    </w:p>
    <w:p w14:paraId="14B75060" w14:textId="77777777" w:rsidR="00C5678C" w:rsidRPr="00C5678C" w:rsidRDefault="00C5678C" w:rsidP="00C5678C">
      <w:pPr>
        <w:pStyle w:val="ListParagraph"/>
        <w:spacing w:before="120" w:after="0" w:line="240" w:lineRule="auto"/>
        <w:ind w:left="426"/>
        <w:jc w:val="both"/>
        <w:rPr>
          <w:rFonts w:ascii="Arial" w:eastAsia="Times New Roman" w:hAnsi="Arial" w:cs="Arial"/>
          <w:lang w:val="es-ES" w:eastAsia="es-ES"/>
        </w:rPr>
      </w:pPr>
    </w:p>
    <w:p w14:paraId="20F94879" w14:textId="77777777" w:rsidR="00614A7A" w:rsidRDefault="00614A7A" w:rsidP="00C5678C">
      <w:pPr>
        <w:pStyle w:val="ListParagraph"/>
        <w:numPr>
          <w:ilvl w:val="0"/>
          <w:numId w:val="3"/>
        </w:numPr>
        <w:spacing w:before="120" w:after="0" w:line="240" w:lineRule="auto"/>
        <w:ind w:left="426" w:hanging="426"/>
        <w:jc w:val="both"/>
        <w:rPr>
          <w:rFonts w:ascii="Arial" w:eastAsia="Times New Roman" w:hAnsi="Arial" w:cs="Arial"/>
          <w:lang w:val="es-ES" w:eastAsia="es-ES"/>
        </w:rPr>
      </w:pPr>
      <w:r w:rsidRPr="00614A7A">
        <w:rPr>
          <w:rFonts w:ascii="Arial" w:eastAsia="Times New Roman" w:hAnsi="Arial" w:cs="Arial"/>
          <w:lang w:val="es-ES" w:eastAsia="es-ES"/>
        </w:rPr>
        <w:t xml:space="preserve">Mediante el Acuerdo del Superintendente SGV-A-158 </w:t>
      </w:r>
      <w:r w:rsidRPr="00614A7A">
        <w:rPr>
          <w:rFonts w:ascii="Arial" w:eastAsia="Times New Roman" w:hAnsi="Arial" w:cs="Arial"/>
          <w:i/>
          <w:lang w:val="es-ES" w:eastAsia="es-ES"/>
        </w:rPr>
        <w:t>Guía para la elaboración y remisión de prospectos de fondos de inversión</w:t>
      </w:r>
      <w:r w:rsidRPr="00614A7A">
        <w:rPr>
          <w:rFonts w:ascii="Arial" w:eastAsia="Times New Roman" w:hAnsi="Arial" w:cs="Arial"/>
          <w:lang w:val="es-ES" w:eastAsia="es-ES"/>
        </w:rPr>
        <w:t>, se definieron las reglas y criterios que han de observarse para la presentación y tramitación por medios electrónicos de solicitudes de autorización y modificación de fondos de inversión, así como el contenido mínimo y las normas de presentación de los prospectos de los fondos de inversión.</w:t>
      </w:r>
    </w:p>
    <w:p w14:paraId="2AA6CD96" w14:textId="77777777" w:rsidR="00C5678C" w:rsidRPr="00614A7A" w:rsidRDefault="00C5678C" w:rsidP="00C5678C">
      <w:pPr>
        <w:pStyle w:val="ListParagraph"/>
        <w:spacing w:before="120" w:after="0" w:line="240" w:lineRule="auto"/>
        <w:ind w:left="426"/>
        <w:jc w:val="both"/>
        <w:rPr>
          <w:rFonts w:ascii="Arial" w:eastAsia="Times New Roman" w:hAnsi="Arial" w:cs="Arial"/>
          <w:lang w:val="es-ES" w:eastAsia="es-ES"/>
        </w:rPr>
      </w:pPr>
    </w:p>
    <w:p w14:paraId="20F9487A" w14:textId="77777777" w:rsidR="00614A7A" w:rsidRDefault="00614A7A" w:rsidP="00C5678C">
      <w:pPr>
        <w:pStyle w:val="ListParagraph"/>
        <w:numPr>
          <w:ilvl w:val="0"/>
          <w:numId w:val="3"/>
        </w:numPr>
        <w:spacing w:before="120" w:after="0" w:line="240" w:lineRule="auto"/>
        <w:ind w:left="426" w:hanging="426"/>
        <w:jc w:val="both"/>
        <w:rPr>
          <w:rFonts w:ascii="Arial" w:eastAsia="Times New Roman" w:hAnsi="Arial" w:cs="Arial"/>
          <w:lang w:val="es-ES" w:eastAsia="es-ES"/>
        </w:rPr>
      </w:pPr>
      <w:r w:rsidRPr="00614A7A">
        <w:rPr>
          <w:rFonts w:ascii="Arial" w:eastAsia="Times New Roman" w:hAnsi="Arial" w:cs="Arial"/>
          <w:lang w:val="es-ES" w:eastAsia="es-ES"/>
        </w:rPr>
        <w:t xml:space="preserve">El  Consejo Nacional de Supervisión del Sistema Financiero mediante los artículos 6 y 5 de las actas de las sesiones 1442-2018 y 1443-2018, ambas celebradas el 11 de setiembre del 2018, aprobó el </w:t>
      </w:r>
      <w:r w:rsidRPr="00614A7A">
        <w:rPr>
          <w:rFonts w:ascii="Arial" w:eastAsia="Times New Roman" w:hAnsi="Arial" w:cs="Arial"/>
          <w:i/>
          <w:lang w:val="es-ES" w:eastAsia="es-ES"/>
        </w:rPr>
        <w:t>Reglamento de Información Financiera</w:t>
      </w:r>
      <w:r w:rsidRPr="00614A7A">
        <w:rPr>
          <w:rFonts w:ascii="Arial" w:eastAsia="Times New Roman" w:hAnsi="Arial" w:cs="Arial"/>
          <w:lang w:val="es-ES" w:eastAsia="es-ES"/>
        </w:rPr>
        <w:t xml:space="preserve"> (RIF), el cual actualiza la base contable regulatoria con el propósito de avanzar en la adopción de las </w:t>
      </w:r>
      <w:r w:rsidRPr="00614A7A">
        <w:rPr>
          <w:rFonts w:ascii="Arial" w:eastAsia="Times New Roman" w:hAnsi="Arial" w:cs="Arial"/>
          <w:i/>
          <w:lang w:val="es-ES" w:eastAsia="es-ES"/>
        </w:rPr>
        <w:t>Normas Internacionales de Información Financiera</w:t>
      </w:r>
      <w:r w:rsidRPr="00614A7A">
        <w:rPr>
          <w:rFonts w:ascii="Arial" w:eastAsia="Times New Roman" w:hAnsi="Arial" w:cs="Arial"/>
          <w:lang w:val="es-ES" w:eastAsia="es-ES"/>
        </w:rPr>
        <w:t xml:space="preserve"> (NIIF) con sus textos más recientes por parte de las entidades del Sistema Financiero Nacional. La fecha de entrada en vigencia de dicho reglamento es el 1° de enero de 2020.</w:t>
      </w:r>
    </w:p>
    <w:p w14:paraId="1FED7D8B" w14:textId="77777777" w:rsidR="00C5678C" w:rsidRPr="00C5678C" w:rsidRDefault="00C5678C" w:rsidP="00C5678C">
      <w:pPr>
        <w:pStyle w:val="ListParagraph"/>
        <w:rPr>
          <w:rFonts w:ascii="Arial" w:eastAsia="Times New Roman" w:hAnsi="Arial" w:cs="Arial"/>
          <w:lang w:val="es-ES" w:eastAsia="es-ES"/>
        </w:rPr>
      </w:pPr>
    </w:p>
    <w:p w14:paraId="20F9487B" w14:textId="77777777" w:rsidR="00614A7A" w:rsidRDefault="00614A7A" w:rsidP="00C5678C">
      <w:pPr>
        <w:pStyle w:val="ListParagraph"/>
        <w:numPr>
          <w:ilvl w:val="0"/>
          <w:numId w:val="3"/>
        </w:numPr>
        <w:spacing w:before="120" w:after="0" w:line="240" w:lineRule="auto"/>
        <w:ind w:left="426" w:hanging="426"/>
        <w:jc w:val="both"/>
        <w:rPr>
          <w:rFonts w:ascii="Arial" w:eastAsia="Times New Roman" w:hAnsi="Arial" w:cs="Arial"/>
          <w:lang w:val="es-ES" w:eastAsia="es-ES"/>
        </w:rPr>
      </w:pPr>
      <w:r w:rsidRPr="00614A7A">
        <w:rPr>
          <w:rFonts w:ascii="Arial" w:eastAsia="Times New Roman" w:hAnsi="Arial" w:cs="Arial"/>
          <w:lang w:val="es-ES" w:eastAsia="es-ES"/>
        </w:rPr>
        <w:t xml:space="preserve">Con la implementación del </w:t>
      </w:r>
      <w:r w:rsidRPr="00614A7A">
        <w:rPr>
          <w:rFonts w:ascii="Arial" w:eastAsia="Times New Roman" w:hAnsi="Arial" w:cs="Arial"/>
          <w:i/>
          <w:lang w:val="es-ES" w:eastAsia="es-ES"/>
        </w:rPr>
        <w:t>Reglamento de Información Financiera</w:t>
      </w:r>
      <w:r w:rsidRPr="00614A7A">
        <w:rPr>
          <w:rFonts w:ascii="Arial" w:eastAsia="Times New Roman" w:hAnsi="Arial" w:cs="Arial"/>
          <w:lang w:val="es-ES" w:eastAsia="es-ES"/>
        </w:rPr>
        <w:t xml:space="preserve"> (RIF), específicamente en lo que respecta a la NIIF 9 que introduce el </w:t>
      </w:r>
      <w:r w:rsidRPr="00614A7A">
        <w:rPr>
          <w:rFonts w:ascii="Arial" w:eastAsia="Times New Roman" w:hAnsi="Arial" w:cs="Arial"/>
          <w:i/>
          <w:lang w:val="es-ES" w:eastAsia="es-ES"/>
        </w:rPr>
        <w:t>“modelo de negocio”</w:t>
      </w:r>
      <w:r w:rsidRPr="00614A7A">
        <w:rPr>
          <w:rFonts w:ascii="Arial" w:eastAsia="Times New Roman" w:hAnsi="Arial" w:cs="Arial"/>
          <w:lang w:val="es-ES" w:eastAsia="es-ES"/>
        </w:rPr>
        <w:t xml:space="preserve"> como una de las condicionantes para clasificar los activos financieros, se identificó la necesidad de que los prospectos incluyan revelaciones al inversionista sobre </w:t>
      </w:r>
      <w:r w:rsidRPr="00614A7A">
        <w:rPr>
          <w:rFonts w:ascii="Arial" w:eastAsia="Calibri" w:hAnsi="Arial" w:cs="Arial"/>
          <w:szCs w:val="24"/>
          <w:lang w:val="es-ES" w:eastAsia="es-ES"/>
        </w:rPr>
        <w:t>modelo de negocio y la aplicación contable de sus instrumentos financieros</w:t>
      </w:r>
      <w:r w:rsidRPr="00614A7A">
        <w:rPr>
          <w:rFonts w:ascii="Arial" w:eastAsia="Times New Roman" w:hAnsi="Arial" w:cs="Arial"/>
          <w:lang w:val="es-ES" w:eastAsia="es-ES"/>
        </w:rPr>
        <w:t xml:space="preserve"> que se utiliza en el fondo de inversión, los riesgos de la implementación de dicho modelo así como el proceso de valoración para los instrumentos financieros del fondo conforme al modelo definido, por lo que es necesario realizar reformas al Acuerdo SGV-A-158 para considerar dichos aspectos.</w:t>
      </w:r>
    </w:p>
    <w:p w14:paraId="2546DAF5" w14:textId="77777777" w:rsidR="00C5678C" w:rsidRPr="00C5678C" w:rsidRDefault="00C5678C" w:rsidP="00C5678C">
      <w:pPr>
        <w:pStyle w:val="ListParagraph"/>
        <w:rPr>
          <w:rFonts w:ascii="Arial" w:eastAsia="Times New Roman" w:hAnsi="Arial" w:cs="Arial"/>
          <w:lang w:val="es-ES" w:eastAsia="es-ES"/>
        </w:rPr>
      </w:pPr>
    </w:p>
    <w:p w14:paraId="20F9487C" w14:textId="77777777" w:rsidR="00614A7A" w:rsidRDefault="00614A7A" w:rsidP="00C5678C">
      <w:pPr>
        <w:pStyle w:val="ListParagraph"/>
        <w:numPr>
          <w:ilvl w:val="0"/>
          <w:numId w:val="3"/>
        </w:numPr>
        <w:spacing w:before="120" w:after="0" w:line="240" w:lineRule="auto"/>
        <w:ind w:left="426" w:hanging="426"/>
        <w:jc w:val="both"/>
        <w:rPr>
          <w:rFonts w:ascii="Arial" w:eastAsia="Times New Roman" w:hAnsi="Arial" w:cs="Arial"/>
          <w:lang w:val="es-ES" w:eastAsia="es-ES"/>
        </w:rPr>
      </w:pPr>
      <w:r w:rsidRPr="00614A7A">
        <w:rPr>
          <w:rFonts w:ascii="Arial" w:eastAsia="Times New Roman" w:hAnsi="Arial" w:cs="Arial"/>
          <w:lang w:val="es-ES" w:eastAsia="es-ES"/>
        </w:rPr>
        <w:t xml:space="preserve">De acuerdo con el artículo 8 de la </w:t>
      </w:r>
      <w:r w:rsidRPr="00614A7A">
        <w:rPr>
          <w:rFonts w:ascii="Arial" w:eastAsia="Times New Roman" w:hAnsi="Arial" w:cs="Arial"/>
          <w:i/>
          <w:lang w:val="es-ES" w:eastAsia="es-ES"/>
        </w:rPr>
        <w:t>Ley Reguladora del Mercado de Valores</w:t>
      </w:r>
      <w:r w:rsidRPr="00614A7A">
        <w:rPr>
          <w:rFonts w:ascii="Arial" w:eastAsia="Times New Roman" w:hAnsi="Arial" w:cs="Arial"/>
          <w:lang w:val="es-ES" w:eastAsia="es-ES"/>
        </w:rPr>
        <w:t xml:space="preserve"> corresponde al Superintendente General adoptar todas las acciones necesarias para el cumplimiento efectivo de las funciones de regulación, fiscalización y supervisión que le competen a la Superintendencia General de Valores.</w:t>
      </w:r>
    </w:p>
    <w:p w14:paraId="3F8C1F1D" w14:textId="77777777" w:rsidR="00C5678C" w:rsidRPr="00C5678C" w:rsidRDefault="00C5678C" w:rsidP="00C5678C">
      <w:pPr>
        <w:pStyle w:val="ListParagraph"/>
        <w:rPr>
          <w:rFonts w:ascii="Arial" w:eastAsia="Times New Roman" w:hAnsi="Arial" w:cs="Arial"/>
          <w:lang w:val="es-ES" w:eastAsia="es-ES"/>
        </w:rPr>
      </w:pPr>
    </w:p>
    <w:p w14:paraId="20F9487D" w14:textId="77777777" w:rsidR="00614A7A" w:rsidRPr="00614A7A" w:rsidRDefault="00614A7A" w:rsidP="00C5678C">
      <w:pPr>
        <w:pStyle w:val="ListParagraph"/>
        <w:numPr>
          <w:ilvl w:val="0"/>
          <w:numId w:val="3"/>
        </w:numPr>
        <w:spacing w:before="120" w:after="0" w:line="240" w:lineRule="auto"/>
        <w:ind w:left="426" w:hanging="426"/>
        <w:jc w:val="both"/>
        <w:rPr>
          <w:rFonts w:ascii="Arial" w:eastAsia="Times New Roman" w:hAnsi="Arial" w:cs="Arial"/>
          <w:lang w:val="es-ES" w:eastAsia="es-ES"/>
        </w:rPr>
      </w:pPr>
      <w:r w:rsidRPr="00614A7A">
        <w:rPr>
          <w:rFonts w:ascii="Arial" w:eastAsia="Times New Roman" w:hAnsi="Arial" w:cs="Arial"/>
          <w:lang w:val="es-ES" w:eastAsia="es-ES"/>
        </w:rPr>
        <w:lastRenderedPageBreak/>
        <w:t>El presente Acuerdo fue sometido a consulta de conformidad con el Artículo 361 de la Ley General de Administración Pública</w:t>
      </w:r>
    </w:p>
    <w:p w14:paraId="20F9487E" w14:textId="77777777" w:rsidR="00614A7A" w:rsidRPr="00614A7A" w:rsidRDefault="00614A7A" w:rsidP="00614A7A">
      <w:pPr>
        <w:spacing w:after="0" w:line="240" w:lineRule="auto"/>
        <w:ind w:left="643" w:right="-193" w:hanging="360"/>
        <w:jc w:val="both"/>
        <w:rPr>
          <w:rFonts w:ascii="Arial" w:eastAsia="Times New Roman" w:hAnsi="Arial" w:cs="Arial"/>
          <w:b/>
          <w:lang w:val="es-ES" w:eastAsia="es-ES"/>
        </w:rPr>
      </w:pPr>
      <w:r w:rsidRPr="00614A7A">
        <w:rPr>
          <w:rFonts w:ascii="Arial" w:eastAsia="Times New Roman" w:hAnsi="Arial" w:cs="Arial"/>
          <w:szCs w:val="24"/>
          <w:lang w:val="es-ES" w:eastAsia="es-ES"/>
        </w:rPr>
        <w:tab/>
      </w:r>
      <w:r w:rsidRPr="00614A7A">
        <w:rPr>
          <w:rFonts w:ascii="Arial" w:eastAsia="Times New Roman" w:hAnsi="Arial" w:cs="Arial"/>
          <w:szCs w:val="24"/>
          <w:lang w:val="es-ES" w:eastAsia="es-ES"/>
        </w:rPr>
        <w:tab/>
      </w:r>
      <w:r w:rsidRPr="00614A7A">
        <w:rPr>
          <w:rFonts w:ascii="Arial" w:eastAsia="Times New Roman" w:hAnsi="Arial" w:cs="Arial"/>
          <w:szCs w:val="24"/>
          <w:lang w:val="es-ES" w:eastAsia="es-ES"/>
        </w:rPr>
        <w:tab/>
      </w:r>
      <w:r w:rsidRPr="00614A7A">
        <w:rPr>
          <w:rFonts w:ascii="Arial" w:eastAsia="Times New Roman" w:hAnsi="Arial" w:cs="Arial"/>
          <w:szCs w:val="24"/>
          <w:lang w:val="es-ES" w:eastAsia="es-ES"/>
        </w:rPr>
        <w:tab/>
      </w:r>
    </w:p>
    <w:p w14:paraId="20F9487F" w14:textId="77777777" w:rsidR="00614A7A" w:rsidRDefault="00614A7A" w:rsidP="00614A7A">
      <w:pPr>
        <w:tabs>
          <w:tab w:val="left" w:pos="567"/>
        </w:tabs>
        <w:spacing w:after="0" w:line="240" w:lineRule="auto"/>
        <w:ind w:right="-193"/>
        <w:jc w:val="both"/>
        <w:rPr>
          <w:rFonts w:ascii="Arial" w:eastAsia="Times New Roman" w:hAnsi="Arial" w:cs="Arial"/>
          <w:b/>
          <w:lang w:val="es-ES" w:eastAsia="es-ES"/>
        </w:rPr>
      </w:pPr>
      <w:r w:rsidRPr="00614A7A">
        <w:rPr>
          <w:rFonts w:ascii="Arial" w:eastAsia="Times New Roman" w:hAnsi="Arial" w:cs="Arial"/>
          <w:b/>
          <w:lang w:val="es-ES" w:eastAsia="es-ES"/>
        </w:rPr>
        <w:t>Por tanto dispone el presente acuerdo:</w:t>
      </w:r>
    </w:p>
    <w:p w14:paraId="20F94880" w14:textId="77777777" w:rsidR="0096434A" w:rsidRDefault="0096434A" w:rsidP="00614A7A">
      <w:pPr>
        <w:tabs>
          <w:tab w:val="left" w:pos="567"/>
        </w:tabs>
        <w:spacing w:after="0" w:line="240" w:lineRule="auto"/>
        <w:ind w:right="-193"/>
        <w:jc w:val="both"/>
        <w:rPr>
          <w:rFonts w:ascii="Arial" w:eastAsia="Times New Roman" w:hAnsi="Arial" w:cs="Arial"/>
          <w:b/>
          <w:lang w:val="es-ES" w:eastAsia="es-ES"/>
        </w:rPr>
      </w:pPr>
    </w:p>
    <w:p w14:paraId="20F94882" w14:textId="77777777" w:rsidR="00614A7A" w:rsidRPr="00614A7A" w:rsidRDefault="00614A7A" w:rsidP="00614A7A">
      <w:pPr>
        <w:tabs>
          <w:tab w:val="left" w:pos="567"/>
        </w:tabs>
        <w:spacing w:after="0" w:line="240" w:lineRule="auto"/>
        <w:ind w:right="-193"/>
        <w:jc w:val="both"/>
        <w:rPr>
          <w:rFonts w:ascii="Arial" w:eastAsia="Times New Roman" w:hAnsi="Arial" w:cs="Arial"/>
          <w:b/>
          <w:lang w:val="es-ES" w:eastAsia="es-ES"/>
        </w:rPr>
      </w:pPr>
    </w:p>
    <w:p w14:paraId="20F94883" w14:textId="77777777" w:rsidR="00614A7A" w:rsidRPr="00614A7A" w:rsidRDefault="00614A7A" w:rsidP="00614A7A">
      <w:pPr>
        <w:spacing w:after="0" w:line="240" w:lineRule="auto"/>
        <w:ind w:right="-193"/>
        <w:jc w:val="both"/>
        <w:rPr>
          <w:rFonts w:ascii="Arial" w:eastAsia="Times New Roman" w:hAnsi="Arial" w:cs="Arial"/>
          <w:bCs/>
          <w:i/>
          <w:iCs/>
          <w:noProof/>
          <w:sz w:val="24"/>
          <w:szCs w:val="24"/>
          <w:lang w:val="es-ES_tradnl" w:eastAsia="es-ES"/>
        </w:rPr>
      </w:pPr>
      <w:r w:rsidRPr="00614A7A">
        <w:rPr>
          <w:rFonts w:ascii="Arial" w:eastAsia="Times New Roman" w:hAnsi="Arial" w:cs="Arial"/>
          <w:b/>
          <w:bCs/>
          <w:iCs/>
          <w:noProof/>
          <w:szCs w:val="24"/>
          <w:lang w:val="es-ES_tradnl" w:eastAsia="es-ES"/>
        </w:rPr>
        <w:t>SGV-A-236.</w:t>
      </w:r>
      <w:r w:rsidRPr="00614A7A">
        <w:rPr>
          <w:rFonts w:ascii="Arial" w:eastAsia="Times New Roman" w:hAnsi="Arial" w:cs="Arial"/>
          <w:bCs/>
          <w:iCs/>
          <w:noProof/>
          <w:szCs w:val="24"/>
          <w:lang w:val="es-ES_tradnl" w:eastAsia="es-ES"/>
        </w:rPr>
        <w:t xml:space="preserve"> </w:t>
      </w:r>
      <w:r w:rsidRPr="00614A7A">
        <w:rPr>
          <w:rFonts w:ascii="Arial" w:eastAsia="Times New Roman" w:hAnsi="Arial" w:cs="Arial"/>
          <w:b/>
          <w:lang w:val="es-ES" w:eastAsia="es-ES"/>
        </w:rPr>
        <w:t xml:space="preserve">MODIFICACIÓN AL ACUERDO SGV-A-158 “GUÍA PARA LA ELABORACION Y REMISION DE PROSPECTOS DE FONDOS DE INVERSION” </w:t>
      </w:r>
    </w:p>
    <w:p w14:paraId="20F94884" w14:textId="77777777" w:rsidR="00614A7A" w:rsidRPr="00614A7A" w:rsidRDefault="00614A7A" w:rsidP="00614A7A">
      <w:pPr>
        <w:spacing w:after="0" w:line="240" w:lineRule="auto"/>
        <w:ind w:right="-193"/>
        <w:jc w:val="center"/>
        <w:rPr>
          <w:rFonts w:ascii="Arial" w:eastAsia="Times New Roman" w:hAnsi="Arial" w:cs="Arial"/>
          <w:b/>
          <w:lang w:val="es-ES" w:eastAsia="es-ES"/>
        </w:rPr>
      </w:pPr>
    </w:p>
    <w:p w14:paraId="20F94885" w14:textId="77777777" w:rsidR="00614A7A" w:rsidRPr="00614A7A" w:rsidRDefault="00614A7A" w:rsidP="00614A7A">
      <w:pPr>
        <w:spacing w:after="0" w:line="240" w:lineRule="auto"/>
        <w:ind w:right="-193"/>
        <w:jc w:val="both"/>
        <w:rPr>
          <w:rFonts w:ascii="Arial" w:eastAsia="Arial Unicode MS" w:hAnsi="Arial" w:cs="Arial"/>
          <w:b/>
          <w:lang w:eastAsia="es-ES"/>
        </w:rPr>
      </w:pPr>
    </w:p>
    <w:p w14:paraId="20F94886" w14:textId="77777777" w:rsidR="00614A7A" w:rsidRPr="00614A7A" w:rsidRDefault="00614A7A" w:rsidP="0096434A">
      <w:pPr>
        <w:spacing w:after="0" w:line="240" w:lineRule="auto"/>
        <w:ind w:right="-193"/>
        <w:jc w:val="both"/>
        <w:rPr>
          <w:rFonts w:ascii="Arial" w:eastAsia="Times New Roman" w:hAnsi="Arial" w:cs="Arial"/>
          <w:lang w:val="es-ES" w:eastAsia="es-ES"/>
        </w:rPr>
      </w:pPr>
      <w:r w:rsidRPr="00614A7A">
        <w:rPr>
          <w:rFonts w:ascii="Arial" w:eastAsia="Times New Roman" w:hAnsi="Arial" w:cs="Arial"/>
          <w:b/>
          <w:lang w:val="es-ES" w:eastAsia="es-ES"/>
        </w:rPr>
        <w:t xml:space="preserve">Artículo 1. </w:t>
      </w:r>
      <w:r w:rsidRPr="00614A7A">
        <w:rPr>
          <w:rFonts w:ascii="Arial" w:eastAsia="Times New Roman" w:hAnsi="Arial" w:cs="Arial"/>
          <w:lang w:val="es-ES" w:eastAsia="es-ES"/>
        </w:rPr>
        <w:t xml:space="preserve">Adiciones y modificaciones al Anexo N°1 del Acuerdo </w:t>
      </w:r>
      <w:r w:rsidRPr="00614A7A">
        <w:rPr>
          <w:rFonts w:ascii="Arial" w:eastAsia="Times New Roman" w:hAnsi="Arial" w:cs="Arial"/>
          <w:i/>
          <w:lang w:val="es-ES" w:eastAsia="es-ES"/>
        </w:rPr>
        <w:t>“SGV-A-158 Guía para la elaboración y remisión de prospectos de fondos de inversión”</w:t>
      </w:r>
      <w:r w:rsidRPr="00614A7A">
        <w:rPr>
          <w:rFonts w:ascii="Arial" w:eastAsia="Times New Roman" w:hAnsi="Arial" w:cs="Arial"/>
          <w:lang w:val="es-ES" w:eastAsia="es-ES"/>
        </w:rPr>
        <w:t>.</w:t>
      </w:r>
    </w:p>
    <w:p w14:paraId="20F94887" w14:textId="77777777" w:rsidR="00614A7A" w:rsidRPr="00614A7A" w:rsidRDefault="00614A7A" w:rsidP="0096434A">
      <w:pPr>
        <w:spacing w:after="0" w:line="240" w:lineRule="auto"/>
        <w:ind w:right="-193"/>
        <w:jc w:val="both"/>
        <w:rPr>
          <w:rFonts w:ascii="Arial" w:eastAsia="Times New Roman" w:hAnsi="Arial" w:cs="Arial"/>
          <w:b/>
          <w:lang w:val="es-ES" w:eastAsia="es-ES"/>
        </w:rPr>
      </w:pPr>
    </w:p>
    <w:p w14:paraId="20F94888" w14:textId="77777777" w:rsidR="00614A7A" w:rsidRPr="00614A7A" w:rsidRDefault="00614A7A" w:rsidP="0096434A">
      <w:pPr>
        <w:numPr>
          <w:ilvl w:val="0"/>
          <w:numId w:val="1"/>
        </w:numPr>
        <w:ind w:left="284" w:hanging="284"/>
        <w:contextualSpacing/>
        <w:jc w:val="both"/>
        <w:rPr>
          <w:rFonts w:ascii="Arial" w:hAnsi="Arial" w:cs="Arial"/>
          <w:lang w:val="es-ES"/>
        </w:rPr>
      </w:pPr>
      <w:r w:rsidRPr="00614A7A">
        <w:rPr>
          <w:rFonts w:ascii="Arial" w:hAnsi="Arial" w:cs="Arial"/>
          <w:lang w:val="es-ES"/>
        </w:rPr>
        <w:t xml:space="preserve">Adicionar al apartado 3. Descripción del fondo la sección “3.1 Bis </w:t>
      </w:r>
      <w:r w:rsidRPr="00614A7A">
        <w:rPr>
          <w:rFonts w:ascii="Arial" w:hAnsi="Arial" w:cs="Arial"/>
          <w:i/>
          <w:lang w:val="es-ES"/>
        </w:rPr>
        <w:t>Descripción del Modelo de Negocio del Fondo de Inversión</w:t>
      </w:r>
      <w:r w:rsidRPr="00614A7A">
        <w:rPr>
          <w:rFonts w:ascii="Arial" w:hAnsi="Arial" w:cs="Arial"/>
          <w:lang w:val="es-ES"/>
        </w:rPr>
        <w:t xml:space="preserve">”, para que en adelante se lea así: </w:t>
      </w:r>
    </w:p>
    <w:p w14:paraId="20F94889" w14:textId="77777777" w:rsidR="00614A7A" w:rsidRPr="00614A7A" w:rsidRDefault="00614A7A" w:rsidP="0096434A">
      <w:pPr>
        <w:spacing w:after="0" w:line="240" w:lineRule="auto"/>
        <w:ind w:right="-193"/>
        <w:jc w:val="both"/>
        <w:rPr>
          <w:rFonts w:ascii="Arial" w:eastAsia="Times New Roman" w:hAnsi="Arial" w:cs="Arial"/>
          <w:lang w:val="es-ES" w:eastAsia="es-ES"/>
        </w:rPr>
      </w:pPr>
    </w:p>
    <w:p w14:paraId="20F9488A" w14:textId="77777777" w:rsidR="00614A7A" w:rsidRDefault="00614A7A" w:rsidP="0096434A">
      <w:pPr>
        <w:ind w:left="284"/>
        <w:contextualSpacing/>
        <w:jc w:val="both"/>
        <w:rPr>
          <w:rFonts w:ascii="Arial" w:hAnsi="Arial" w:cs="Arial"/>
          <w:lang w:val="es-ES"/>
        </w:rPr>
      </w:pPr>
      <w:r w:rsidRPr="00614A7A">
        <w:rPr>
          <w:rFonts w:ascii="Arial" w:hAnsi="Arial" w:cs="Arial"/>
          <w:lang w:val="es-ES"/>
        </w:rPr>
        <w:t>3.1 Bis. Definición del Modelo de Negocio del Fondo de Inversión, que considere al menos los siguientes aspectos:</w:t>
      </w:r>
    </w:p>
    <w:p w14:paraId="20F9488B" w14:textId="77777777" w:rsidR="00614A7A" w:rsidRPr="00614A7A" w:rsidRDefault="00614A7A" w:rsidP="00614A7A">
      <w:pPr>
        <w:ind w:left="284"/>
        <w:contextualSpacing/>
        <w:rPr>
          <w:rFonts w:ascii="Arial" w:hAnsi="Arial" w:cs="Arial"/>
          <w:lang w:val="es-ES"/>
        </w:rPr>
      </w:pPr>
    </w:p>
    <w:tbl>
      <w:tblPr>
        <w:tblStyle w:val="TableGrid"/>
        <w:tblW w:w="8359" w:type="dxa"/>
        <w:jc w:val="center"/>
        <w:tblLook w:val="04A0" w:firstRow="1" w:lastRow="0" w:firstColumn="1" w:lastColumn="0" w:noHBand="0" w:noVBand="1"/>
      </w:tblPr>
      <w:tblGrid>
        <w:gridCol w:w="3964"/>
        <w:gridCol w:w="4395"/>
      </w:tblGrid>
      <w:tr w:rsidR="00614A7A" w:rsidRPr="00614A7A" w14:paraId="20F9488D" w14:textId="77777777" w:rsidTr="00A854C7">
        <w:trPr>
          <w:trHeight w:val="628"/>
          <w:jc w:val="center"/>
        </w:trPr>
        <w:tc>
          <w:tcPr>
            <w:tcW w:w="8359" w:type="dxa"/>
            <w:gridSpan w:val="2"/>
            <w:vAlign w:val="center"/>
          </w:tcPr>
          <w:p w14:paraId="20F9488C" w14:textId="77777777" w:rsidR="00614A7A" w:rsidRPr="00614A7A" w:rsidRDefault="00614A7A" w:rsidP="00614A7A">
            <w:pPr>
              <w:jc w:val="center"/>
              <w:rPr>
                <w:rFonts w:cs="Arial"/>
                <w:b/>
              </w:rPr>
            </w:pPr>
            <w:r w:rsidRPr="00614A7A">
              <w:rPr>
                <w:rFonts w:cs="Arial"/>
                <w:b/>
              </w:rPr>
              <w:t>Modelo de Negocio del Fondo de Inversión</w:t>
            </w:r>
          </w:p>
        </w:tc>
      </w:tr>
      <w:tr w:rsidR="00614A7A" w:rsidRPr="00614A7A" w14:paraId="20F94895" w14:textId="77777777" w:rsidTr="00A854C7">
        <w:trPr>
          <w:jc w:val="center"/>
        </w:trPr>
        <w:tc>
          <w:tcPr>
            <w:tcW w:w="3964" w:type="dxa"/>
            <w:vAlign w:val="center"/>
          </w:tcPr>
          <w:p w14:paraId="20F9488E" w14:textId="77777777" w:rsidR="00614A7A" w:rsidRPr="00614A7A" w:rsidRDefault="00614A7A" w:rsidP="00614A7A">
            <w:pPr>
              <w:jc w:val="both"/>
              <w:rPr>
                <w:rFonts w:cs="Arial"/>
                <w:b/>
              </w:rPr>
            </w:pPr>
          </w:p>
          <w:p w14:paraId="20F9488F" w14:textId="77777777" w:rsidR="00614A7A" w:rsidRPr="00614A7A" w:rsidRDefault="00614A7A" w:rsidP="00614A7A">
            <w:pPr>
              <w:rPr>
                <w:rFonts w:cs="Arial"/>
                <w:b/>
              </w:rPr>
            </w:pPr>
            <w:r w:rsidRPr="00614A7A">
              <w:rPr>
                <w:rFonts w:cs="Arial"/>
                <w:b/>
              </w:rPr>
              <w:t>Descripción del modelo de negocio del fondo de inversión</w:t>
            </w:r>
          </w:p>
          <w:p w14:paraId="20F94890" w14:textId="77777777" w:rsidR="00614A7A" w:rsidRPr="00614A7A" w:rsidRDefault="00614A7A" w:rsidP="00614A7A">
            <w:pPr>
              <w:jc w:val="both"/>
              <w:rPr>
                <w:rFonts w:cs="Arial"/>
              </w:rPr>
            </w:pPr>
          </w:p>
          <w:p w14:paraId="20F94891" w14:textId="77777777" w:rsidR="00614A7A" w:rsidRPr="00614A7A" w:rsidRDefault="00614A7A" w:rsidP="00614A7A">
            <w:pPr>
              <w:jc w:val="both"/>
              <w:rPr>
                <w:rFonts w:cs="Arial"/>
              </w:rPr>
            </w:pPr>
          </w:p>
        </w:tc>
        <w:tc>
          <w:tcPr>
            <w:tcW w:w="4395" w:type="dxa"/>
          </w:tcPr>
          <w:p w14:paraId="20F94892" w14:textId="77777777" w:rsidR="00614A7A" w:rsidRPr="00614A7A" w:rsidRDefault="00614A7A" w:rsidP="00614A7A">
            <w:pPr>
              <w:rPr>
                <w:rFonts w:cs="Arial"/>
              </w:rPr>
            </w:pPr>
          </w:p>
          <w:p w14:paraId="20F94893" w14:textId="77777777" w:rsidR="00614A7A" w:rsidRPr="00614A7A" w:rsidRDefault="00614A7A" w:rsidP="00614A7A">
            <w:pPr>
              <w:ind w:left="171"/>
              <w:jc w:val="both"/>
              <w:rPr>
                <w:rFonts w:cs="Arial"/>
                <w:i/>
              </w:rPr>
            </w:pPr>
            <w:r w:rsidRPr="00614A7A">
              <w:rPr>
                <w:rFonts w:cs="Arial"/>
                <w:i/>
              </w:rPr>
              <w:t>Indicar en qué consiste el modelo de negocio y su aplicación en los registros contables que se aplicará en la gestión de los instrumentos financieros que conforman la cartera del fondo.</w:t>
            </w:r>
          </w:p>
          <w:p w14:paraId="20F94894" w14:textId="77777777" w:rsidR="00614A7A" w:rsidRPr="00614A7A" w:rsidRDefault="00614A7A" w:rsidP="00614A7A">
            <w:pPr>
              <w:jc w:val="both"/>
              <w:rPr>
                <w:rFonts w:cs="Arial"/>
              </w:rPr>
            </w:pPr>
          </w:p>
        </w:tc>
      </w:tr>
    </w:tbl>
    <w:p w14:paraId="20F94896" w14:textId="77777777" w:rsidR="00614A7A" w:rsidRPr="00614A7A" w:rsidRDefault="00614A7A" w:rsidP="00614A7A">
      <w:pPr>
        <w:rPr>
          <w:rFonts w:ascii="Arial" w:hAnsi="Arial" w:cs="Arial"/>
          <w:lang w:val="es-ES"/>
        </w:rPr>
      </w:pPr>
    </w:p>
    <w:p w14:paraId="20F94897" w14:textId="77777777" w:rsidR="00614A7A" w:rsidRPr="00614A7A" w:rsidRDefault="00614A7A" w:rsidP="00614A7A">
      <w:pPr>
        <w:numPr>
          <w:ilvl w:val="0"/>
          <w:numId w:val="1"/>
        </w:numPr>
        <w:ind w:left="284" w:hanging="284"/>
        <w:contextualSpacing/>
        <w:jc w:val="both"/>
        <w:rPr>
          <w:rFonts w:ascii="Arial" w:hAnsi="Arial" w:cs="Arial"/>
          <w:lang w:val="es-ES"/>
        </w:rPr>
      </w:pPr>
      <w:r w:rsidRPr="00614A7A">
        <w:rPr>
          <w:rFonts w:ascii="Arial" w:hAnsi="Arial" w:cs="Arial"/>
          <w:lang w:val="es-ES"/>
        </w:rPr>
        <w:t xml:space="preserve">Modificar la sección 5.2 “Tipos de riesgos” para incorporar a la tabla establecida los riesgos relacionados con la definición del modelo de negocio del fondo de inversión. </w:t>
      </w:r>
    </w:p>
    <w:p w14:paraId="20F94898" w14:textId="77777777" w:rsidR="00614A7A" w:rsidRPr="00614A7A" w:rsidRDefault="00614A7A" w:rsidP="00614A7A">
      <w:pPr>
        <w:tabs>
          <w:tab w:val="num" w:pos="567"/>
        </w:tabs>
        <w:spacing w:after="0" w:line="240" w:lineRule="auto"/>
        <w:ind w:left="567"/>
        <w:jc w:val="both"/>
        <w:rPr>
          <w:rFonts w:ascii="Arial" w:hAnsi="Arial" w:cs="Arial"/>
          <w:lang w:val="es-ES"/>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395"/>
      </w:tblGrid>
      <w:tr w:rsidR="00614A7A" w:rsidRPr="00614A7A" w14:paraId="20F9489A" w14:textId="77777777" w:rsidTr="00A854C7">
        <w:tc>
          <w:tcPr>
            <w:tcW w:w="8364" w:type="dxa"/>
            <w:gridSpan w:val="2"/>
          </w:tcPr>
          <w:p w14:paraId="20F94899" w14:textId="77777777" w:rsidR="00614A7A" w:rsidRPr="00614A7A" w:rsidRDefault="00614A7A" w:rsidP="00614A7A">
            <w:pPr>
              <w:spacing w:before="120" w:after="120" w:line="240" w:lineRule="auto"/>
              <w:ind w:left="295" w:hanging="295"/>
              <w:jc w:val="center"/>
              <w:rPr>
                <w:rFonts w:ascii="Arial" w:eastAsia="Times New Roman" w:hAnsi="Arial" w:cs="Arial"/>
                <w:b/>
                <w:lang w:eastAsia="es-ES"/>
              </w:rPr>
            </w:pPr>
            <w:r w:rsidRPr="00614A7A">
              <w:rPr>
                <w:rFonts w:ascii="Arial" w:eastAsia="Times New Roman" w:hAnsi="Arial" w:cs="Arial"/>
                <w:b/>
                <w:lang w:eastAsia="es-ES"/>
              </w:rPr>
              <w:t>Tipos de riesgo</w:t>
            </w:r>
          </w:p>
        </w:tc>
      </w:tr>
      <w:tr w:rsidR="00614A7A" w:rsidRPr="00614A7A" w14:paraId="20F9489E" w14:textId="77777777" w:rsidTr="00A854C7">
        <w:tc>
          <w:tcPr>
            <w:tcW w:w="3969" w:type="dxa"/>
          </w:tcPr>
          <w:p w14:paraId="20F9489B" w14:textId="77777777" w:rsidR="00614A7A" w:rsidRPr="00614A7A" w:rsidRDefault="00614A7A" w:rsidP="00614A7A">
            <w:pPr>
              <w:spacing w:after="0" w:line="240" w:lineRule="auto"/>
              <w:ind w:left="72"/>
              <w:jc w:val="center"/>
              <w:rPr>
                <w:rFonts w:ascii="Arial" w:eastAsia="Times New Roman" w:hAnsi="Arial" w:cs="Arial"/>
                <w:b/>
                <w:lang w:eastAsia="es-ES"/>
              </w:rPr>
            </w:pPr>
            <w:r w:rsidRPr="00614A7A">
              <w:rPr>
                <w:rFonts w:ascii="Arial" w:eastAsia="Times New Roman" w:hAnsi="Arial" w:cs="Arial"/>
                <w:b/>
                <w:lang w:eastAsia="es-ES"/>
              </w:rPr>
              <w:t>Tipo</w:t>
            </w:r>
          </w:p>
        </w:tc>
        <w:tc>
          <w:tcPr>
            <w:tcW w:w="4395" w:type="dxa"/>
            <w:shd w:val="clear" w:color="auto" w:fill="auto"/>
            <w:vAlign w:val="center"/>
          </w:tcPr>
          <w:p w14:paraId="20F9489C" w14:textId="77777777" w:rsidR="00614A7A" w:rsidRPr="00614A7A" w:rsidRDefault="00614A7A" w:rsidP="00614A7A">
            <w:pPr>
              <w:spacing w:after="0" w:line="240" w:lineRule="auto"/>
              <w:ind w:left="295" w:hanging="295"/>
              <w:jc w:val="center"/>
              <w:rPr>
                <w:rFonts w:ascii="Arial" w:eastAsia="Times New Roman" w:hAnsi="Arial" w:cs="Arial"/>
                <w:b/>
                <w:lang w:eastAsia="es-ES"/>
              </w:rPr>
            </w:pPr>
            <w:r w:rsidRPr="00614A7A">
              <w:rPr>
                <w:rFonts w:ascii="Arial" w:eastAsia="Times New Roman" w:hAnsi="Arial" w:cs="Arial"/>
                <w:b/>
                <w:lang w:eastAsia="es-ES"/>
              </w:rPr>
              <w:t>Descripción</w:t>
            </w:r>
          </w:p>
          <w:p w14:paraId="20F9489D" w14:textId="77777777" w:rsidR="00614A7A" w:rsidRPr="00614A7A" w:rsidRDefault="00614A7A" w:rsidP="00614A7A">
            <w:pPr>
              <w:spacing w:after="0" w:line="240" w:lineRule="auto"/>
              <w:ind w:left="295" w:hanging="295"/>
              <w:jc w:val="center"/>
              <w:rPr>
                <w:rFonts w:ascii="Arial" w:eastAsia="Times New Roman" w:hAnsi="Arial" w:cs="Arial"/>
                <w:b/>
                <w:lang w:eastAsia="es-ES"/>
              </w:rPr>
            </w:pPr>
            <w:r w:rsidRPr="00614A7A">
              <w:rPr>
                <w:rFonts w:ascii="Arial" w:eastAsia="Times New Roman" w:hAnsi="Arial" w:cs="Arial"/>
                <w:i/>
                <w:lang w:eastAsia="es-ES"/>
              </w:rPr>
              <w:t>(Describir el riesgo en un lenguaje simple que permita su fácil comprensión por parte del inversionista al que se dirige el fondo, e indicar las posibles consecuencias que el riesgo puede tener en su inversión</w:t>
            </w:r>
            <w:r w:rsidRPr="00614A7A">
              <w:rPr>
                <w:rFonts w:ascii="Arial" w:eastAsia="Times New Roman" w:hAnsi="Arial" w:cs="Arial"/>
                <w:lang w:eastAsia="es-ES"/>
              </w:rPr>
              <w:t>)</w:t>
            </w:r>
          </w:p>
        </w:tc>
      </w:tr>
      <w:tr w:rsidR="00614A7A" w:rsidRPr="00614A7A" w14:paraId="20F948A0" w14:textId="77777777" w:rsidTr="00A854C7">
        <w:tc>
          <w:tcPr>
            <w:tcW w:w="8364" w:type="dxa"/>
            <w:gridSpan w:val="2"/>
          </w:tcPr>
          <w:p w14:paraId="20F9489F" w14:textId="77777777" w:rsidR="00614A7A" w:rsidRPr="00614A7A" w:rsidRDefault="00614A7A" w:rsidP="00614A7A">
            <w:pPr>
              <w:spacing w:before="120" w:after="120" w:line="240" w:lineRule="auto"/>
              <w:ind w:left="295" w:hanging="295"/>
              <w:jc w:val="center"/>
              <w:rPr>
                <w:rFonts w:ascii="Arial" w:eastAsia="Times New Roman" w:hAnsi="Arial" w:cs="Arial"/>
                <w:b/>
                <w:lang w:eastAsia="es-ES"/>
              </w:rPr>
            </w:pPr>
            <w:r w:rsidRPr="00614A7A">
              <w:rPr>
                <w:rFonts w:ascii="Arial" w:eastAsia="Times New Roman" w:hAnsi="Arial" w:cs="Arial"/>
                <w:b/>
                <w:lang w:eastAsia="es-ES"/>
              </w:rPr>
              <w:t>(…)</w:t>
            </w:r>
          </w:p>
        </w:tc>
      </w:tr>
      <w:tr w:rsidR="00614A7A" w:rsidRPr="00614A7A" w14:paraId="20F948A3" w14:textId="77777777" w:rsidTr="00A854C7">
        <w:tc>
          <w:tcPr>
            <w:tcW w:w="3969" w:type="dxa"/>
          </w:tcPr>
          <w:p w14:paraId="20F948A1" w14:textId="77777777" w:rsidR="00614A7A" w:rsidRPr="00614A7A" w:rsidRDefault="00614A7A" w:rsidP="00614A7A">
            <w:pPr>
              <w:ind w:left="72"/>
              <w:rPr>
                <w:rFonts w:ascii="Arial" w:hAnsi="Arial" w:cs="Arial"/>
                <w:b/>
                <w:lang w:val="es-ES"/>
              </w:rPr>
            </w:pPr>
            <w:r w:rsidRPr="00614A7A">
              <w:rPr>
                <w:rFonts w:ascii="Arial" w:hAnsi="Arial" w:cs="Arial"/>
                <w:b/>
                <w:lang w:val="es-ES"/>
              </w:rPr>
              <w:t>Riesgo de afectación en el valor de las participaciones por la aplicación incorrecta de las normas contables</w:t>
            </w:r>
          </w:p>
        </w:tc>
        <w:tc>
          <w:tcPr>
            <w:tcW w:w="4395" w:type="dxa"/>
            <w:shd w:val="clear" w:color="auto" w:fill="auto"/>
          </w:tcPr>
          <w:p w14:paraId="20F948A2" w14:textId="77777777" w:rsidR="00614A7A" w:rsidRPr="00614A7A" w:rsidRDefault="00614A7A" w:rsidP="00614A7A">
            <w:pPr>
              <w:spacing w:after="0" w:line="240" w:lineRule="auto"/>
              <w:jc w:val="center"/>
              <w:rPr>
                <w:rFonts w:ascii="Arial" w:eastAsia="Times New Roman" w:hAnsi="Arial" w:cs="Arial"/>
                <w:i/>
                <w:lang w:eastAsia="es-ES"/>
              </w:rPr>
            </w:pPr>
            <w:r w:rsidRPr="00614A7A">
              <w:rPr>
                <w:rFonts w:ascii="Arial" w:eastAsia="Times New Roman" w:hAnsi="Arial" w:cs="Arial"/>
                <w:i/>
                <w:lang w:eastAsia="es-ES"/>
              </w:rPr>
              <w:t>(Ídem)</w:t>
            </w:r>
          </w:p>
        </w:tc>
      </w:tr>
      <w:tr w:rsidR="00614A7A" w:rsidRPr="00614A7A" w14:paraId="20F948A6" w14:textId="77777777" w:rsidTr="00A854C7">
        <w:tc>
          <w:tcPr>
            <w:tcW w:w="3969" w:type="dxa"/>
          </w:tcPr>
          <w:p w14:paraId="20F948A4" w14:textId="77777777" w:rsidR="00614A7A" w:rsidRPr="00614A7A" w:rsidRDefault="00614A7A" w:rsidP="00614A7A">
            <w:pPr>
              <w:ind w:left="72"/>
              <w:jc w:val="both"/>
              <w:rPr>
                <w:rFonts w:ascii="Arial" w:hAnsi="Arial" w:cs="Arial"/>
                <w:b/>
                <w:lang w:val="es-ES"/>
              </w:rPr>
            </w:pPr>
            <w:r w:rsidRPr="00614A7A">
              <w:rPr>
                <w:rFonts w:ascii="Arial" w:hAnsi="Arial" w:cs="Arial"/>
                <w:b/>
                <w:lang w:val="es-ES"/>
              </w:rPr>
              <w:t xml:space="preserve">Otros riesgos relacionados con la definición del modelo de negocio del fondo de inversión que considere relevante revelar, por </w:t>
            </w:r>
            <w:r w:rsidRPr="00614A7A">
              <w:rPr>
                <w:rFonts w:ascii="Arial" w:hAnsi="Arial" w:cs="Arial"/>
                <w:b/>
                <w:lang w:val="es-ES"/>
              </w:rPr>
              <w:lastRenderedPageBreak/>
              <w:t>ejemplo: cuando el  modelo de negocio incluya valoración a costo amortizado, indicar que en un momento determinado, el valor contable de la cartera podría diferir con respecto a los precios de referencia del mercado, situación que podría acentuarse en caso de reembolsos masivos o en escenarios de volatilidad en los precios del mercado originados por la liquidación de inversiones. Revelar cualquier otra implicación asociada que se considere relevante.</w:t>
            </w:r>
          </w:p>
        </w:tc>
        <w:tc>
          <w:tcPr>
            <w:tcW w:w="4395" w:type="dxa"/>
            <w:shd w:val="clear" w:color="auto" w:fill="auto"/>
          </w:tcPr>
          <w:p w14:paraId="20F948A5" w14:textId="77777777" w:rsidR="00614A7A" w:rsidRPr="00614A7A" w:rsidRDefault="00614A7A" w:rsidP="00614A7A">
            <w:pPr>
              <w:spacing w:after="0" w:line="240" w:lineRule="auto"/>
              <w:jc w:val="center"/>
              <w:rPr>
                <w:rFonts w:ascii="Arial" w:eastAsia="Times New Roman" w:hAnsi="Arial" w:cs="Arial"/>
                <w:i/>
                <w:lang w:eastAsia="es-ES"/>
              </w:rPr>
            </w:pPr>
            <w:r w:rsidRPr="00614A7A">
              <w:rPr>
                <w:rFonts w:ascii="Arial" w:eastAsia="Times New Roman" w:hAnsi="Arial" w:cs="Arial"/>
                <w:i/>
                <w:lang w:eastAsia="es-ES"/>
              </w:rPr>
              <w:lastRenderedPageBreak/>
              <w:t>(Ídem)</w:t>
            </w:r>
          </w:p>
        </w:tc>
      </w:tr>
      <w:tr w:rsidR="00614A7A" w:rsidRPr="00614A7A" w14:paraId="20F948A8" w14:textId="77777777" w:rsidTr="00A854C7">
        <w:tc>
          <w:tcPr>
            <w:tcW w:w="8364" w:type="dxa"/>
            <w:gridSpan w:val="2"/>
          </w:tcPr>
          <w:p w14:paraId="20F948A7" w14:textId="77777777" w:rsidR="00614A7A" w:rsidRPr="00614A7A" w:rsidRDefault="00614A7A" w:rsidP="00614A7A">
            <w:pPr>
              <w:spacing w:before="120" w:after="120" w:line="240" w:lineRule="auto"/>
              <w:ind w:left="295" w:hanging="295"/>
              <w:jc w:val="center"/>
              <w:rPr>
                <w:rFonts w:ascii="Arial" w:eastAsia="Times New Roman" w:hAnsi="Arial" w:cs="Arial"/>
                <w:b/>
                <w:lang w:eastAsia="es-ES"/>
              </w:rPr>
            </w:pPr>
            <w:r w:rsidRPr="00614A7A">
              <w:rPr>
                <w:rFonts w:ascii="Arial" w:eastAsia="Times New Roman" w:hAnsi="Arial" w:cs="Arial"/>
                <w:b/>
                <w:lang w:eastAsia="es-ES"/>
              </w:rPr>
              <w:t>(…)</w:t>
            </w:r>
          </w:p>
        </w:tc>
      </w:tr>
    </w:tbl>
    <w:p w14:paraId="20F948A9" w14:textId="77777777" w:rsidR="00614A7A" w:rsidRPr="00614A7A" w:rsidRDefault="00614A7A" w:rsidP="00614A7A">
      <w:pPr>
        <w:tabs>
          <w:tab w:val="left" w:pos="567"/>
        </w:tabs>
        <w:spacing w:after="0" w:line="240" w:lineRule="auto"/>
        <w:ind w:right="-193"/>
        <w:jc w:val="both"/>
        <w:rPr>
          <w:rFonts w:ascii="Arial" w:eastAsia="Times New Roman" w:hAnsi="Arial" w:cs="Arial"/>
          <w:lang w:val="es-ES" w:eastAsia="es-ES"/>
        </w:rPr>
      </w:pPr>
    </w:p>
    <w:p w14:paraId="20F948AA" w14:textId="77777777" w:rsidR="00614A7A" w:rsidRPr="00614A7A" w:rsidRDefault="00614A7A" w:rsidP="00614A7A">
      <w:pPr>
        <w:numPr>
          <w:ilvl w:val="0"/>
          <w:numId w:val="1"/>
        </w:numPr>
        <w:ind w:left="284" w:hanging="284"/>
        <w:contextualSpacing/>
        <w:jc w:val="both"/>
        <w:rPr>
          <w:rFonts w:ascii="Arial" w:hAnsi="Arial" w:cs="Arial"/>
          <w:lang w:val="es-ES"/>
        </w:rPr>
      </w:pPr>
      <w:r w:rsidRPr="00614A7A">
        <w:rPr>
          <w:rFonts w:ascii="Arial" w:hAnsi="Arial" w:cs="Arial"/>
          <w:lang w:val="es-ES"/>
        </w:rPr>
        <w:t xml:space="preserve">Modificar la sección  6.1 “Valores de Participación”, para modificar las filas de los rubros “Forma de representación” y “Metodología para la valoración de los activos financieros del fondo de inversión” para que en adelante se lea así:  </w:t>
      </w:r>
    </w:p>
    <w:p w14:paraId="20F948AB" w14:textId="77777777" w:rsidR="00614A7A" w:rsidRPr="00614A7A" w:rsidRDefault="00614A7A" w:rsidP="00614A7A">
      <w:pPr>
        <w:tabs>
          <w:tab w:val="left" w:pos="567"/>
        </w:tabs>
        <w:spacing w:after="0" w:line="240" w:lineRule="auto"/>
        <w:ind w:right="-193"/>
        <w:jc w:val="both"/>
        <w:rPr>
          <w:rFonts w:ascii="Arial" w:eastAsia="Times New Roman" w:hAnsi="Arial" w:cs="Arial"/>
          <w:lang w:val="es-ES" w:eastAsia="es-ES"/>
        </w:rPr>
      </w:pP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140"/>
      </w:tblGrid>
      <w:tr w:rsidR="00614A7A" w:rsidRPr="00614A7A" w14:paraId="20F948AD" w14:textId="77777777" w:rsidTr="00A854C7">
        <w:tc>
          <w:tcPr>
            <w:tcW w:w="8393" w:type="dxa"/>
            <w:gridSpan w:val="2"/>
            <w:vAlign w:val="center"/>
          </w:tcPr>
          <w:p w14:paraId="20F948AC" w14:textId="77777777" w:rsidR="00614A7A" w:rsidRPr="00614A7A" w:rsidRDefault="00614A7A" w:rsidP="00614A7A">
            <w:pPr>
              <w:widowControl w:val="0"/>
              <w:jc w:val="center"/>
              <w:rPr>
                <w:rFonts w:ascii="Arial" w:eastAsia="Calibri" w:hAnsi="Arial" w:cs="Arial"/>
                <w:b/>
                <w:lang w:val="es-ES"/>
              </w:rPr>
            </w:pPr>
            <w:r w:rsidRPr="00614A7A">
              <w:rPr>
                <w:rFonts w:ascii="Arial" w:eastAsia="Calibri" w:hAnsi="Arial" w:cs="Arial"/>
                <w:b/>
                <w:lang w:val="es-ES"/>
              </w:rPr>
              <w:t>Valores de Participación</w:t>
            </w:r>
          </w:p>
        </w:tc>
      </w:tr>
      <w:tr w:rsidR="00614A7A" w:rsidRPr="00614A7A" w14:paraId="20F948AF" w14:textId="77777777" w:rsidTr="00A854C7">
        <w:tc>
          <w:tcPr>
            <w:tcW w:w="8393" w:type="dxa"/>
            <w:gridSpan w:val="2"/>
            <w:vAlign w:val="center"/>
          </w:tcPr>
          <w:p w14:paraId="20F948AE" w14:textId="77777777" w:rsidR="00614A7A" w:rsidRPr="00614A7A" w:rsidRDefault="00614A7A" w:rsidP="00614A7A">
            <w:pPr>
              <w:jc w:val="center"/>
              <w:rPr>
                <w:rFonts w:ascii="Arial" w:eastAsia="Calibri" w:hAnsi="Arial" w:cs="Arial"/>
                <w:i/>
                <w:lang w:val="es-ES"/>
              </w:rPr>
            </w:pPr>
            <w:r w:rsidRPr="00614A7A">
              <w:rPr>
                <w:rFonts w:ascii="Arial" w:eastAsia="Calibri" w:hAnsi="Arial" w:cs="Arial"/>
                <w:b/>
                <w:lang w:val="es-ES"/>
              </w:rPr>
              <w:t>(…)</w:t>
            </w:r>
          </w:p>
        </w:tc>
      </w:tr>
      <w:tr w:rsidR="00614A7A" w:rsidRPr="00614A7A" w14:paraId="20F948B2" w14:textId="77777777" w:rsidTr="00A854C7">
        <w:tc>
          <w:tcPr>
            <w:tcW w:w="4253" w:type="dxa"/>
            <w:vAlign w:val="center"/>
          </w:tcPr>
          <w:p w14:paraId="20F948B0" w14:textId="77777777" w:rsidR="00614A7A" w:rsidRPr="00614A7A" w:rsidRDefault="00614A7A" w:rsidP="00614A7A">
            <w:pPr>
              <w:jc w:val="both"/>
              <w:rPr>
                <w:rFonts w:ascii="Arial" w:eastAsia="Calibri" w:hAnsi="Arial" w:cs="Arial"/>
                <w:b/>
                <w:lang w:val="es-ES"/>
              </w:rPr>
            </w:pPr>
            <w:r w:rsidRPr="00614A7A">
              <w:rPr>
                <w:rFonts w:ascii="Arial" w:eastAsia="Calibri" w:hAnsi="Arial" w:cs="Arial"/>
                <w:b/>
                <w:lang w:val="es-ES"/>
              </w:rPr>
              <w:t>Forma de representación</w:t>
            </w:r>
          </w:p>
        </w:tc>
        <w:tc>
          <w:tcPr>
            <w:tcW w:w="4140" w:type="dxa"/>
          </w:tcPr>
          <w:p w14:paraId="20F948B1" w14:textId="77777777" w:rsidR="00614A7A" w:rsidRPr="00614A7A" w:rsidRDefault="00614A7A" w:rsidP="00614A7A">
            <w:pPr>
              <w:rPr>
                <w:rFonts w:ascii="Arial" w:eastAsia="Calibri" w:hAnsi="Arial" w:cs="Arial"/>
                <w:i/>
                <w:lang w:val="es-ES"/>
              </w:rPr>
            </w:pPr>
            <w:r w:rsidRPr="00614A7A">
              <w:rPr>
                <w:rFonts w:ascii="Arial" w:eastAsia="Calibri" w:hAnsi="Arial" w:cs="Arial"/>
                <w:i/>
                <w:lang w:val="es-ES"/>
              </w:rPr>
              <w:t>Anotación en cuenta</w:t>
            </w:r>
          </w:p>
        </w:tc>
      </w:tr>
      <w:tr w:rsidR="00614A7A" w:rsidRPr="00614A7A" w14:paraId="20F948B4" w14:textId="77777777" w:rsidTr="00A854C7">
        <w:tc>
          <w:tcPr>
            <w:tcW w:w="8393" w:type="dxa"/>
            <w:gridSpan w:val="2"/>
            <w:vAlign w:val="center"/>
          </w:tcPr>
          <w:p w14:paraId="20F948B3" w14:textId="77777777" w:rsidR="00614A7A" w:rsidRPr="00614A7A" w:rsidRDefault="00614A7A" w:rsidP="00614A7A">
            <w:pPr>
              <w:jc w:val="center"/>
              <w:rPr>
                <w:rFonts w:ascii="Arial" w:eastAsia="Calibri" w:hAnsi="Arial" w:cs="Arial"/>
                <w:i/>
                <w:lang w:val="es-ES"/>
              </w:rPr>
            </w:pPr>
            <w:r w:rsidRPr="00614A7A">
              <w:rPr>
                <w:rFonts w:ascii="Arial" w:eastAsia="Calibri" w:hAnsi="Arial" w:cs="Arial"/>
                <w:b/>
                <w:lang w:val="es-ES"/>
              </w:rPr>
              <w:t>(…)</w:t>
            </w:r>
          </w:p>
        </w:tc>
      </w:tr>
      <w:tr w:rsidR="00614A7A" w:rsidRPr="00614A7A" w14:paraId="20F948C0" w14:textId="77777777" w:rsidTr="00A854C7">
        <w:tc>
          <w:tcPr>
            <w:tcW w:w="4253" w:type="dxa"/>
            <w:vAlign w:val="center"/>
          </w:tcPr>
          <w:p w14:paraId="20F948B5" w14:textId="77777777" w:rsidR="00614A7A" w:rsidRPr="00614A7A" w:rsidRDefault="00614A7A" w:rsidP="00614A7A">
            <w:pPr>
              <w:jc w:val="both"/>
              <w:rPr>
                <w:rFonts w:ascii="Arial" w:eastAsia="Calibri" w:hAnsi="Arial" w:cs="Arial"/>
                <w:b/>
                <w:lang w:val="es-ES"/>
              </w:rPr>
            </w:pPr>
            <w:r w:rsidRPr="00614A7A">
              <w:rPr>
                <w:rFonts w:ascii="Arial" w:eastAsia="Calibri" w:hAnsi="Arial" w:cs="Arial"/>
                <w:b/>
                <w:lang w:val="es-ES"/>
              </w:rPr>
              <w:t>Metodología para la valoración de los activos financieros del fondo de inversión</w:t>
            </w:r>
          </w:p>
        </w:tc>
        <w:tc>
          <w:tcPr>
            <w:tcW w:w="4140" w:type="dxa"/>
          </w:tcPr>
          <w:p w14:paraId="20F948B6" w14:textId="77777777" w:rsidR="00614A7A" w:rsidRPr="00614A7A" w:rsidRDefault="00614A7A" w:rsidP="00614A7A">
            <w:pPr>
              <w:rPr>
                <w:rFonts w:ascii="Arial" w:eastAsia="Calibri" w:hAnsi="Arial" w:cs="Arial"/>
                <w:i/>
                <w:lang w:val="es-ES"/>
              </w:rPr>
            </w:pPr>
            <w:r w:rsidRPr="00614A7A">
              <w:rPr>
                <w:rFonts w:ascii="Arial" w:eastAsia="Calibri" w:hAnsi="Arial" w:cs="Arial"/>
                <w:i/>
                <w:lang w:val="es-ES"/>
              </w:rPr>
              <w:t>Indicar:</w:t>
            </w:r>
          </w:p>
          <w:p w14:paraId="20F948B7" w14:textId="77777777" w:rsidR="00614A7A" w:rsidRPr="00614A7A" w:rsidRDefault="00614A7A" w:rsidP="00614A7A">
            <w:pPr>
              <w:numPr>
                <w:ilvl w:val="0"/>
                <w:numId w:val="2"/>
              </w:numPr>
              <w:contextualSpacing/>
              <w:jc w:val="both"/>
              <w:rPr>
                <w:rFonts w:ascii="Arial" w:eastAsia="Calibri" w:hAnsi="Arial" w:cs="Arial"/>
                <w:i/>
                <w:lang w:val="es-ES"/>
              </w:rPr>
            </w:pPr>
            <w:r w:rsidRPr="00614A7A">
              <w:rPr>
                <w:rFonts w:ascii="Arial" w:eastAsia="Calibri" w:hAnsi="Arial" w:cs="Arial"/>
                <w:i/>
                <w:lang w:val="es-ES"/>
              </w:rPr>
              <w:t>En qué consiste el proceso para la valoración de los activos financieros del fondo, el cual debe ser congruente con el modelo de negocio contable definido.</w:t>
            </w:r>
          </w:p>
          <w:p w14:paraId="20F948B8" w14:textId="77777777" w:rsidR="00614A7A" w:rsidRPr="00614A7A" w:rsidRDefault="00614A7A" w:rsidP="00614A7A">
            <w:pPr>
              <w:jc w:val="both"/>
              <w:rPr>
                <w:rFonts w:ascii="Arial" w:eastAsia="Calibri" w:hAnsi="Arial" w:cs="Arial"/>
                <w:b/>
                <w:i/>
                <w:lang w:val="es-ES"/>
              </w:rPr>
            </w:pPr>
            <w:r w:rsidRPr="00614A7A">
              <w:rPr>
                <w:rFonts w:ascii="Arial" w:eastAsia="Calibri" w:hAnsi="Arial" w:cs="Arial"/>
                <w:b/>
                <w:i/>
                <w:lang w:val="es-ES"/>
              </w:rPr>
              <w:t>Para los fondos  de inversión que utilicen el valor razonable como modelo de negocio contable, adicionalmente indicar:</w:t>
            </w:r>
          </w:p>
          <w:p w14:paraId="20F948B9" w14:textId="77777777" w:rsidR="00614A7A" w:rsidRPr="00614A7A" w:rsidRDefault="00614A7A" w:rsidP="00614A7A">
            <w:pPr>
              <w:ind w:left="720"/>
              <w:contextualSpacing/>
              <w:jc w:val="both"/>
              <w:rPr>
                <w:rFonts w:ascii="Arial" w:eastAsia="Times New Roman" w:hAnsi="Arial" w:cs="Arial"/>
                <w:b/>
                <w:i/>
                <w:lang w:val="es-ES" w:eastAsia="es-ES"/>
              </w:rPr>
            </w:pPr>
          </w:p>
          <w:p w14:paraId="20F948BA" w14:textId="77777777" w:rsidR="00614A7A" w:rsidRPr="00614A7A" w:rsidRDefault="00614A7A" w:rsidP="00614A7A">
            <w:pPr>
              <w:numPr>
                <w:ilvl w:val="0"/>
                <w:numId w:val="2"/>
              </w:numPr>
              <w:contextualSpacing/>
              <w:jc w:val="both"/>
              <w:rPr>
                <w:rFonts w:ascii="Arial" w:eastAsia="Calibri" w:hAnsi="Arial" w:cs="Arial"/>
                <w:i/>
                <w:lang w:val="es-ES"/>
              </w:rPr>
            </w:pPr>
            <w:r w:rsidRPr="00614A7A">
              <w:rPr>
                <w:rFonts w:ascii="Arial" w:eastAsia="Calibri" w:hAnsi="Arial" w:cs="Arial"/>
                <w:i/>
                <w:lang w:val="es-ES"/>
              </w:rPr>
              <w:t>El nombre de la metodología  y el nombre de la entidad contratada para el suministro de precios.</w:t>
            </w:r>
          </w:p>
          <w:p w14:paraId="20F948BB" w14:textId="77777777" w:rsidR="00614A7A" w:rsidRPr="00614A7A" w:rsidRDefault="00614A7A" w:rsidP="00614A7A">
            <w:pPr>
              <w:ind w:left="720"/>
              <w:contextualSpacing/>
              <w:jc w:val="both"/>
              <w:rPr>
                <w:rFonts w:ascii="Arial" w:eastAsia="Calibri" w:hAnsi="Arial" w:cs="Arial"/>
                <w:i/>
                <w:lang w:val="es-ES"/>
              </w:rPr>
            </w:pPr>
          </w:p>
          <w:p w14:paraId="20F948BC" w14:textId="77777777" w:rsidR="00614A7A" w:rsidRPr="00614A7A" w:rsidRDefault="00614A7A" w:rsidP="00614A7A">
            <w:pPr>
              <w:numPr>
                <w:ilvl w:val="0"/>
                <w:numId w:val="2"/>
              </w:numPr>
              <w:contextualSpacing/>
              <w:jc w:val="both"/>
              <w:rPr>
                <w:rFonts w:ascii="Arial" w:eastAsia="Calibri" w:hAnsi="Arial" w:cs="Arial"/>
                <w:i/>
                <w:lang w:val="es-ES"/>
              </w:rPr>
            </w:pPr>
            <w:r w:rsidRPr="00614A7A">
              <w:rPr>
                <w:rFonts w:ascii="Arial" w:eastAsia="Calibri" w:hAnsi="Arial" w:cs="Arial"/>
                <w:i/>
                <w:lang w:val="es-ES"/>
              </w:rPr>
              <w:t xml:space="preserve"> Los lugares en donde se puede tener acceso al documento que describe la metodología.</w:t>
            </w:r>
          </w:p>
          <w:p w14:paraId="20F948BD" w14:textId="77777777" w:rsidR="00614A7A" w:rsidRPr="00614A7A" w:rsidRDefault="00614A7A" w:rsidP="00614A7A">
            <w:pPr>
              <w:ind w:left="720"/>
              <w:contextualSpacing/>
              <w:rPr>
                <w:rFonts w:ascii="Arial" w:eastAsia="Calibri" w:hAnsi="Arial" w:cs="Arial"/>
                <w:i/>
                <w:lang w:val="es-ES"/>
              </w:rPr>
            </w:pPr>
          </w:p>
          <w:p w14:paraId="20F948BE" w14:textId="77777777" w:rsidR="00614A7A" w:rsidRPr="00614A7A" w:rsidRDefault="00614A7A" w:rsidP="00614A7A">
            <w:pPr>
              <w:contextualSpacing/>
              <w:jc w:val="both"/>
              <w:rPr>
                <w:rFonts w:ascii="Arial" w:eastAsia="Times New Roman" w:hAnsi="Arial" w:cs="Arial"/>
                <w:b/>
                <w:i/>
                <w:lang w:val="es-ES" w:eastAsia="es-ES"/>
              </w:rPr>
            </w:pPr>
            <w:r w:rsidRPr="00614A7A">
              <w:rPr>
                <w:rFonts w:ascii="Arial" w:eastAsia="Calibri" w:hAnsi="Arial" w:cs="Arial"/>
                <w:b/>
                <w:i/>
                <w:lang w:val="es-ES"/>
              </w:rPr>
              <w:lastRenderedPageBreak/>
              <w:t>En todos los casos en que el modelo de negocio definido  utilice el registro a costo amortizado para la totalidad o una parte de la cartera, indicar que el valor de mercado de dichos instrumentos será reflejado en las notas de los  estados financieros  intermedios y auditados del fondo de inversión.</w:t>
            </w:r>
            <w:r w:rsidRPr="00614A7A">
              <w:rPr>
                <w:rFonts w:ascii="Arial" w:eastAsia="Calibri" w:hAnsi="Arial" w:cs="Arial"/>
                <w:b/>
                <w:i/>
                <w:lang w:val="es-ES"/>
              </w:rPr>
              <w:tab/>
            </w:r>
          </w:p>
          <w:p w14:paraId="20F948BF" w14:textId="77777777" w:rsidR="00614A7A" w:rsidRPr="00614A7A" w:rsidRDefault="00614A7A" w:rsidP="00614A7A">
            <w:pPr>
              <w:jc w:val="both"/>
              <w:rPr>
                <w:rFonts w:ascii="Arial" w:eastAsia="Calibri" w:hAnsi="Arial" w:cs="Arial"/>
                <w:i/>
                <w:lang w:val="es-ES"/>
              </w:rPr>
            </w:pPr>
          </w:p>
        </w:tc>
      </w:tr>
      <w:tr w:rsidR="00614A7A" w:rsidRPr="00614A7A" w14:paraId="20F948C2" w14:textId="77777777" w:rsidTr="00A854C7">
        <w:tc>
          <w:tcPr>
            <w:tcW w:w="8393" w:type="dxa"/>
            <w:gridSpan w:val="2"/>
            <w:vAlign w:val="center"/>
          </w:tcPr>
          <w:p w14:paraId="20F948C1" w14:textId="77777777" w:rsidR="00614A7A" w:rsidRPr="00614A7A" w:rsidRDefault="00614A7A" w:rsidP="00614A7A">
            <w:pPr>
              <w:jc w:val="center"/>
              <w:rPr>
                <w:rFonts w:ascii="Arial" w:eastAsia="Calibri" w:hAnsi="Arial" w:cs="Arial"/>
                <w:i/>
                <w:lang w:val="es-ES"/>
              </w:rPr>
            </w:pPr>
            <w:r w:rsidRPr="00614A7A">
              <w:rPr>
                <w:rFonts w:ascii="Arial" w:eastAsia="Calibri" w:hAnsi="Arial" w:cs="Arial"/>
                <w:b/>
                <w:lang w:val="es-ES"/>
              </w:rPr>
              <w:lastRenderedPageBreak/>
              <w:t>(…)</w:t>
            </w:r>
          </w:p>
        </w:tc>
      </w:tr>
    </w:tbl>
    <w:p w14:paraId="20F948C3" w14:textId="77777777" w:rsidR="00614A7A" w:rsidRPr="00614A7A" w:rsidRDefault="00614A7A" w:rsidP="00614A7A">
      <w:pPr>
        <w:tabs>
          <w:tab w:val="left" w:pos="567"/>
        </w:tabs>
        <w:spacing w:after="0" w:line="240" w:lineRule="auto"/>
        <w:ind w:right="-193"/>
        <w:jc w:val="both"/>
        <w:rPr>
          <w:rFonts w:ascii="Arial" w:eastAsia="Times New Roman" w:hAnsi="Arial" w:cs="Arial"/>
          <w:lang w:val="es-ES" w:eastAsia="es-ES"/>
        </w:rPr>
      </w:pPr>
    </w:p>
    <w:p w14:paraId="20F948C4" w14:textId="77777777" w:rsidR="00614A7A" w:rsidRPr="00614A7A" w:rsidRDefault="00614A7A" w:rsidP="00614A7A">
      <w:pPr>
        <w:ind w:right="-193"/>
        <w:jc w:val="both"/>
        <w:rPr>
          <w:rFonts w:ascii="Arial" w:eastAsia="Times New Roman" w:hAnsi="Arial" w:cs="Arial"/>
          <w:b/>
          <w:lang w:val="es-ES" w:eastAsia="es-ES"/>
        </w:rPr>
      </w:pPr>
      <w:r w:rsidRPr="00614A7A">
        <w:rPr>
          <w:rFonts w:ascii="Arial" w:eastAsia="Times New Roman" w:hAnsi="Arial" w:cs="Arial"/>
          <w:b/>
          <w:lang w:val="es-ES" w:eastAsia="es-ES"/>
        </w:rPr>
        <w:t>Artículo 2. Vigencia</w:t>
      </w:r>
    </w:p>
    <w:p w14:paraId="20F948C5" w14:textId="77777777" w:rsidR="00614A7A" w:rsidRPr="00614A7A" w:rsidRDefault="00614A7A" w:rsidP="00614A7A">
      <w:pPr>
        <w:spacing w:after="0" w:line="240" w:lineRule="auto"/>
        <w:ind w:right="-193"/>
        <w:jc w:val="both"/>
        <w:rPr>
          <w:rFonts w:ascii="Arial" w:eastAsia="Times New Roman" w:hAnsi="Arial" w:cs="Arial"/>
        </w:rPr>
      </w:pPr>
      <w:r w:rsidRPr="00614A7A">
        <w:rPr>
          <w:rFonts w:ascii="Arial" w:eastAsia="Times New Roman" w:hAnsi="Arial" w:cs="Arial"/>
        </w:rPr>
        <w:t>Rige a partir del 1° de enero del 2020.</w:t>
      </w:r>
    </w:p>
    <w:p w14:paraId="20F948C6" w14:textId="77777777" w:rsidR="00614A7A" w:rsidRPr="00614A7A" w:rsidRDefault="00614A7A" w:rsidP="00614A7A">
      <w:pPr>
        <w:ind w:right="-193"/>
        <w:jc w:val="both"/>
        <w:rPr>
          <w:rFonts w:ascii="Arial" w:eastAsia="Times New Roman" w:hAnsi="Arial" w:cs="Arial"/>
          <w:b/>
          <w:lang w:val="es-ES"/>
        </w:rPr>
      </w:pPr>
    </w:p>
    <w:p w14:paraId="20F948C7" w14:textId="77777777" w:rsidR="00614A7A" w:rsidRPr="00614A7A" w:rsidRDefault="00614A7A" w:rsidP="00614A7A">
      <w:pPr>
        <w:ind w:right="-193"/>
        <w:jc w:val="both"/>
        <w:rPr>
          <w:rFonts w:ascii="Arial" w:eastAsia="Times New Roman" w:hAnsi="Arial" w:cs="Arial"/>
          <w:b/>
          <w:lang w:val="es-ES"/>
        </w:rPr>
      </w:pPr>
      <w:r w:rsidRPr="00614A7A">
        <w:rPr>
          <w:rFonts w:ascii="Arial" w:eastAsia="Times New Roman" w:hAnsi="Arial" w:cs="Arial"/>
          <w:b/>
          <w:lang w:val="es-ES"/>
        </w:rPr>
        <w:t>Transitorio I</w:t>
      </w:r>
    </w:p>
    <w:p w14:paraId="20F948C8" w14:textId="77777777" w:rsidR="00614A7A" w:rsidRPr="00614A7A" w:rsidRDefault="00614A7A" w:rsidP="00614A7A">
      <w:pPr>
        <w:ind w:right="-193"/>
        <w:jc w:val="both"/>
        <w:rPr>
          <w:rFonts w:ascii="Arial" w:eastAsia="Times New Roman" w:hAnsi="Arial" w:cs="Arial"/>
          <w:lang w:val="es-ES"/>
        </w:rPr>
      </w:pPr>
      <w:r w:rsidRPr="00614A7A">
        <w:rPr>
          <w:rFonts w:ascii="Arial" w:eastAsia="Times New Roman" w:hAnsi="Arial" w:cs="Arial"/>
          <w:lang w:val="es-ES"/>
        </w:rPr>
        <w:t>Las sociedades administradoras podrán realizar la solicitud de modificación por Hecho Relevante de los prospectos de los fondos de inversión que administran, para  incorporar los cambios establecidos en el presente Acuerdo, a partir del 1° de enero del 2020.</w:t>
      </w:r>
    </w:p>
    <w:p w14:paraId="20F948C9" w14:textId="77777777" w:rsidR="00614A7A" w:rsidRPr="00614A7A" w:rsidRDefault="00614A7A" w:rsidP="00614A7A">
      <w:pPr>
        <w:ind w:right="-193"/>
        <w:jc w:val="both"/>
        <w:rPr>
          <w:rFonts w:ascii="Arial" w:eastAsia="Times New Roman" w:hAnsi="Arial" w:cs="Arial"/>
          <w:lang w:val="es-ES"/>
        </w:rPr>
      </w:pPr>
      <w:r w:rsidRPr="00614A7A">
        <w:rPr>
          <w:rFonts w:ascii="Arial" w:eastAsia="Times New Roman" w:hAnsi="Arial" w:cs="Arial"/>
          <w:lang w:val="es-ES"/>
        </w:rPr>
        <w:t>La fecha límite para presentar la solicitud de modificación de los prospectos será el 31 de enero del 2020.</w:t>
      </w:r>
    </w:p>
    <w:p w14:paraId="20F948CA" w14:textId="77777777" w:rsidR="00614A7A" w:rsidRPr="00614A7A" w:rsidRDefault="00614A7A" w:rsidP="00614A7A">
      <w:pPr>
        <w:rPr>
          <w:rFonts w:ascii="Arial" w:hAnsi="Arial"/>
          <w:lang w:val="es-ES"/>
        </w:rPr>
      </w:pPr>
      <w:r w:rsidRPr="00614A7A">
        <w:rPr>
          <w:rFonts w:ascii="Arial" w:eastAsia="Calibri" w:hAnsi="Arial" w:cs="Arial"/>
          <w:noProof/>
          <w:lang w:eastAsia="es-CR"/>
        </w:rPr>
        <w:drawing>
          <wp:inline distT="0" distB="0" distL="0" distR="0" wp14:anchorId="20F948CC" wp14:editId="20F948CD">
            <wp:extent cx="2733675" cy="33337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333375"/>
                    </a:xfrm>
                    <a:prstGeom prst="rect">
                      <a:avLst/>
                    </a:prstGeom>
                    <a:noFill/>
                    <a:ln>
                      <a:noFill/>
                    </a:ln>
                  </pic:spPr>
                </pic:pic>
              </a:graphicData>
            </a:graphic>
          </wp:inline>
        </w:drawing>
      </w:r>
    </w:p>
    <w:p w14:paraId="20F948CB" w14:textId="77777777" w:rsidR="00F809F5" w:rsidRDefault="00F809F5"/>
    <w:sectPr w:rsidR="00F809F5" w:rsidSect="007630EC">
      <w:headerReference w:type="default" r:id="rId12"/>
      <w:footerReference w:type="default" r:id="rId13"/>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948D0" w14:textId="77777777" w:rsidR="00614A7A" w:rsidRDefault="00614A7A" w:rsidP="00614A7A">
      <w:pPr>
        <w:spacing w:after="0" w:line="240" w:lineRule="auto"/>
      </w:pPr>
      <w:r>
        <w:separator/>
      </w:r>
    </w:p>
  </w:endnote>
  <w:endnote w:type="continuationSeparator" w:id="0">
    <w:p w14:paraId="20F948D1" w14:textId="77777777" w:rsidR="00614A7A" w:rsidRDefault="00614A7A" w:rsidP="0061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48D4" w14:textId="77777777" w:rsidR="00883F98" w:rsidRPr="00DD78F3" w:rsidRDefault="00303732">
    <w:pPr>
      <w:pStyle w:val="Footer"/>
      <w:rPr>
        <w:color w:val="1B75BB"/>
      </w:rPr>
    </w:pPr>
  </w:p>
  <w:p w14:paraId="20F948D5" w14:textId="77777777" w:rsidR="00883F98" w:rsidRDefault="00303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948CE" w14:textId="77777777" w:rsidR="00614A7A" w:rsidRDefault="00614A7A" w:rsidP="00614A7A">
      <w:pPr>
        <w:spacing w:after="0" w:line="240" w:lineRule="auto"/>
      </w:pPr>
      <w:r>
        <w:separator/>
      </w:r>
    </w:p>
  </w:footnote>
  <w:footnote w:type="continuationSeparator" w:id="0">
    <w:p w14:paraId="20F948CF" w14:textId="77777777" w:rsidR="00614A7A" w:rsidRDefault="00614A7A" w:rsidP="00614A7A">
      <w:pPr>
        <w:spacing w:after="0" w:line="240" w:lineRule="auto"/>
      </w:pPr>
      <w:r>
        <w:continuationSeparator/>
      </w:r>
    </w:p>
  </w:footnote>
  <w:footnote w:id="1">
    <w:p w14:paraId="2D39EFDC" w14:textId="4492568B" w:rsidR="00EC0AC7" w:rsidRPr="00EC0AC7" w:rsidRDefault="0096434A" w:rsidP="00EC0AC7">
      <w:pPr>
        <w:autoSpaceDE w:val="0"/>
        <w:autoSpaceDN w:val="0"/>
        <w:jc w:val="both"/>
        <w:rPr>
          <w:rFonts w:ascii="Arial" w:eastAsia="Times New Roman" w:hAnsi="Arial" w:cs="Arial"/>
          <w:bCs/>
          <w:lang w:val="es-ES"/>
        </w:rPr>
      </w:pPr>
      <w:r w:rsidRPr="0096434A">
        <w:rPr>
          <w:rStyle w:val="FootnoteReference"/>
          <w:rFonts w:ascii="Arial" w:hAnsi="Arial" w:cs="Arial"/>
        </w:rPr>
        <w:footnoteRef/>
      </w:r>
      <w:r w:rsidRPr="0096434A">
        <w:rPr>
          <w:rFonts w:ascii="Arial" w:hAnsi="Arial" w:cs="Arial"/>
        </w:rPr>
        <w:t xml:space="preserve"> </w:t>
      </w:r>
      <w:r w:rsidRPr="00614A7A">
        <w:rPr>
          <w:rFonts w:ascii="Arial" w:eastAsia="Times New Roman" w:hAnsi="Arial" w:cs="Arial"/>
          <w:bCs/>
          <w:lang w:val="es-ES"/>
        </w:rPr>
        <w:t>Superintendencia General de Valores. Despacho de la Superintendente. A las diez horas del dieciséis de octubre del dos mil diecinueve.</w:t>
      </w:r>
      <w:r w:rsidR="00EC0AC7">
        <w:rPr>
          <w:rFonts w:ascii="Arial" w:eastAsia="Times New Roman" w:hAnsi="Arial" w:cs="Arial"/>
          <w:bCs/>
          <w:lang w:val="es-ES"/>
        </w:rPr>
        <w:t xml:space="preserve"> Publicado </w:t>
      </w:r>
      <w:r w:rsidR="00303732">
        <w:rPr>
          <w:rFonts w:ascii="Arial" w:eastAsia="Times New Roman" w:hAnsi="Arial" w:cs="Arial"/>
          <w:bCs/>
          <w:lang w:val="es-ES"/>
        </w:rPr>
        <w:t>en el Diario Oficial l</w:t>
      </w:r>
      <w:bookmarkStart w:id="0" w:name="_GoBack"/>
      <w:bookmarkEnd w:id="0"/>
      <w:r w:rsidR="00EC0AC7">
        <w:rPr>
          <w:rFonts w:ascii="Arial" w:eastAsia="Times New Roman" w:hAnsi="Arial" w:cs="Arial"/>
          <w:bCs/>
          <w:lang w:val="es-ES"/>
        </w:rPr>
        <w:t>a  Gaceta</w:t>
      </w:r>
      <w:r w:rsidR="00EC0AC7" w:rsidRPr="00EC0AC7">
        <w:rPr>
          <w:rFonts w:ascii="Arial" w:eastAsia="Times New Roman" w:hAnsi="Arial" w:cs="Arial"/>
          <w:bCs/>
          <w:lang w:val="es-ES"/>
        </w:rPr>
        <w:t xml:space="preserve"> </w:t>
      </w:r>
      <w:r w:rsidR="00EC0AC7">
        <w:rPr>
          <w:rFonts w:ascii="Arial" w:eastAsia="Times New Roman" w:hAnsi="Arial" w:cs="Arial"/>
          <w:bCs/>
          <w:lang w:val="es-ES"/>
        </w:rPr>
        <w:t xml:space="preserve">No. </w:t>
      </w:r>
      <w:r w:rsidR="00EC0AC7" w:rsidRPr="00EC0AC7">
        <w:rPr>
          <w:rFonts w:ascii="Arial" w:eastAsia="Times New Roman" w:hAnsi="Arial" w:cs="Arial"/>
          <w:bCs/>
          <w:lang w:val="es-ES"/>
        </w:rPr>
        <w:t>234 del lunes 09 de diciembre de 2019.</w:t>
      </w:r>
    </w:p>
    <w:p w14:paraId="20F948DA" w14:textId="7BE3AAE5" w:rsidR="0096434A" w:rsidRPr="00EC0AC7" w:rsidRDefault="0096434A" w:rsidP="0096434A">
      <w:pPr>
        <w:spacing w:after="0" w:line="240" w:lineRule="auto"/>
        <w:ind w:right="-193"/>
        <w:jc w:val="both"/>
        <w:rPr>
          <w:rFonts w:ascii="Arial" w:eastAsia="Times New Roman" w:hAnsi="Arial" w:cs="Arial"/>
          <w:bCs/>
        </w:rPr>
      </w:pPr>
    </w:p>
    <w:p w14:paraId="20F948DB" w14:textId="77777777" w:rsidR="0096434A" w:rsidRPr="0096434A" w:rsidRDefault="0096434A">
      <w:pPr>
        <w:pStyle w:val="FootnoteText"/>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48D2" w14:textId="77777777" w:rsidR="0096434A" w:rsidRDefault="0096434A" w:rsidP="0096434A">
    <w:pPr>
      <w:pStyle w:val="Header"/>
      <w:jc w:val="right"/>
      <w:rPr>
        <w:rFonts w:ascii="Calibri" w:hAnsi="Calibri" w:cs="Arial"/>
        <w:i/>
        <w:noProof/>
        <w:sz w:val="20"/>
        <w:szCs w:val="20"/>
        <w:lang w:eastAsia="es-CR"/>
      </w:rPr>
    </w:pPr>
    <w:r w:rsidRPr="006B3914">
      <w:rPr>
        <w:rFonts w:ascii="Calibri" w:hAnsi="Calibri" w:cs="Arial"/>
        <w:i/>
        <w:noProof/>
        <w:sz w:val="20"/>
        <w:szCs w:val="20"/>
        <w:lang w:val="es-CR" w:eastAsia="es-CR"/>
      </w:rPr>
      <w:drawing>
        <wp:inline distT="0" distB="0" distL="0" distR="0" wp14:anchorId="20F948D6" wp14:editId="20F948D7">
          <wp:extent cx="1581150" cy="390525"/>
          <wp:effectExtent l="0" t="0" r="0" b="9525"/>
          <wp:docPr id="3" name="Picture 3"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20F948D3" w14:textId="77777777" w:rsidR="0096434A" w:rsidRPr="002F32EE" w:rsidRDefault="0096434A" w:rsidP="0096434A">
    <w:pPr>
      <w:pStyle w:val="Header"/>
    </w:pPr>
    <w:r>
      <w:rPr>
        <w:noProof/>
        <w:lang w:val="es-CR" w:eastAsia="es-CR"/>
      </w:rPr>
      <mc:AlternateContent>
        <mc:Choice Requires="wps">
          <w:drawing>
            <wp:anchor distT="4294967292" distB="4294967292" distL="114300" distR="114300" simplePos="0" relativeHeight="251661312" behindDoc="0" locked="0" layoutInCell="1" allowOverlap="1" wp14:anchorId="20F948D8" wp14:editId="20F948D9">
              <wp:simplePos x="0" y="0"/>
              <wp:positionH relativeFrom="margin">
                <wp:align>center</wp:align>
              </wp:positionH>
              <wp:positionV relativeFrom="paragraph">
                <wp:posOffset>66675</wp:posOffset>
              </wp:positionV>
              <wp:extent cx="54597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C7574" id="Straight Connector 5" o:spid="_x0000_s1026" style="position:absolute;flip:y;z-index:25166131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5.25pt" to="429.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" strokecolor="#1b75bb" strokeweight="1.5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F701C"/>
    <w:multiLevelType w:val="hybridMultilevel"/>
    <w:tmpl w:val="51BAC8F8"/>
    <w:lvl w:ilvl="0" w:tplc="140A0019">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852038D"/>
    <w:multiLevelType w:val="hybridMultilevel"/>
    <w:tmpl w:val="E286D02E"/>
    <w:lvl w:ilvl="0" w:tplc="140A000F">
      <w:start w:val="1"/>
      <w:numFmt w:val="decimal"/>
      <w:lvlText w:val="%1."/>
      <w:lvlJc w:val="left"/>
      <w:pPr>
        <w:ind w:left="786" w:hanging="360"/>
      </w:p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 w15:restartNumberingAfterBreak="0">
    <w:nsid w:val="6ED41A99"/>
    <w:multiLevelType w:val="hybridMultilevel"/>
    <w:tmpl w:val="5DB683A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7A"/>
    <w:rsid w:val="00303732"/>
    <w:rsid w:val="00614A7A"/>
    <w:rsid w:val="007630EC"/>
    <w:rsid w:val="0096434A"/>
    <w:rsid w:val="00C5678C"/>
    <w:rsid w:val="00C653DC"/>
    <w:rsid w:val="00EC0AC7"/>
    <w:rsid w:val="00F75D1D"/>
    <w:rsid w:val="00F809F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F94874"/>
  <w15:chartTrackingRefBased/>
  <w15:docId w15:val="{DD310D59-5F08-403D-B025-48972096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A7A"/>
    <w:pPr>
      <w:tabs>
        <w:tab w:val="center" w:pos="4419"/>
        <w:tab w:val="right" w:pos="8838"/>
      </w:tabs>
      <w:spacing w:after="0" w:line="240" w:lineRule="auto"/>
    </w:pPr>
    <w:rPr>
      <w:rFonts w:ascii="Arial" w:hAnsi="Arial"/>
      <w:lang w:val="es-ES"/>
    </w:rPr>
  </w:style>
  <w:style w:type="character" w:customStyle="1" w:styleId="HeaderChar">
    <w:name w:val="Header Char"/>
    <w:basedOn w:val="DefaultParagraphFont"/>
    <w:link w:val="Header"/>
    <w:uiPriority w:val="99"/>
    <w:rsid w:val="00614A7A"/>
    <w:rPr>
      <w:rFonts w:ascii="Arial" w:hAnsi="Arial"/>
      <w:lang w:val="es-ES"/>
    </w:rPr>
  </w:style>
  <w:style w:type="paragraph" w:styleId="Footer">
    <w:name w:val="footer"/>
    <w:basedOn w:val="Normal"/>
    <w:link w:val="FooterChar"/>
    <w:uiPriority w:val="99"/>
    <w:unhideWhenUsed/>
    <w:rsid w:val="00614A7A"/>
    <w:pPr>
      <w:tabs>
        <w:tab w:val="center" w:pos="4419"/>
        <w:tab w:val="right" w:pos="8838"/>
      </w:tabs>
      <w:spacing w:after="0" w:line="240" w:lineRule="auto"/>
    </w:pPr>
    <w:rPr>
      <w:rFonts w:ascii="Arial" w:hAnsi="Arial"/>
      <w:lang w:val="es-ES"/>
    </w:rPr>
  </w:style>
  <w:style w:type="character" w:customStyle="1" w:styleId="FooterChar">
    <w:name w:val="Footer Char"/>
    <w:basedOn w:val="DefaultParagraphFont"/>
    <w:link w:val="Footer"/>
    <w:uiPriority w:val="99"/>
    <w:rsid w:val="00614A7A"/>
    <w:rPr>
      <w:rFonts w:ascii="Arial" w:hAnsi="Arial"/>
      <w:lang w:val="es-ES"/>
    </w:rPr>
  </w:style>
  <w:style w:type="table" w:styleId="TableGrid">
    <w:name w:val="Table Grid"/>
    <w:basedOn w:val="TableNormal"/>
    <w:uiPriority w:val="39"/>
    <w:rsid w:val="00614A7A"/>
    <w:pPr>
      <w:spacing w:after="0" w:line="240" w:lineRule="auto"/>
    </w:pPr>
    <w:rPr>
      <w:rFonts w:ascii="Arial" w:hAnsi="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4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34A"/>
    <w:rPr>
      <w:sz w:val="20"/>
      <w:szCs w:val="20"/>
    </w:rPr>
  </w:style>
  <w:style w:type="character" w:styleId="FootnoteReference">
    <w:name w:val="footnote reference"/>
    <w:basedOn w:val="DefaultParagraphFont"/>
    <w:uiPriority w:val="99"/>
    <w:semiHidden/>
    <w:unhideWhenUsed/>
    <w:rsid w:val="0096434A"/>
    <w:rPr>
      <w:vertAlign w:val="superscript"/>
    </w:rPr>
  </w:style>
  <w:style w:type="paragraph" w:styleId="ListParagraph">
    <w:name w:val="List Paragraph"/>
    <w:basedOn w:val="Normal"/>
    <w:uiPriority w:val="34"/>
    <w:qFormat/>
    <w:rsid w:val="00C56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28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7D915-D9A9-4853-98B5-FA18E6F8B06A}"/>
</file>

<file path=customXml/itemProps2.xml><?xml version="1.0" encoding="utf-8"?>
<ds:datastoreItem xmlns:ds="http://schemas.openxmlformats.org/officeDocument/2006/customXml" ds:itemID="{16FE0CDE-F2AD-446B-A795-8D0D2438654E}"/>
</file>

<file path=customXml/itemProps3.xml><?xml version="1.0" encoding="utf-8"?>
<ds:datastoreItem xmlns:ds="http://schemas.openxmlformats.org/officeDocument/2006/customXml" ds:itemID="{42949ACD-6D48-4528-A8BF-E5F3A9B8209B}"/>
</file>

<file path=customXml/itemProps4.xml><?xml version="1.0" encoding="utf-8"?>
<ds:datastoreItem xmlns:ds="http://schemas.openxmlformats.org/officeDocument/2006/customXml" ds:itemID="{43A79F05-A011-4FEA-BEF0-4301E09C1F90}"/>
</file>

<file path=docProps/app.xml><?xml version="1.0" encoding="utf-8"?>
<Properties xmlns="http://schemas.openxmlformats.org/officeDocument/2006/extended-properties" xmlns:vt="http://schemas.openxmlformats.org/officeDocument/2006/docPropsVTypes">
  <Template>Normal.dotm</Template>
  <TotalTime>2</TotalTime>
  <Pages>4</Pages>
  <Words>990</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PORRAS PATRICIA</dc:creator>
  <cp:lastModifiedBy>FERNANDEZ PORRAS PATRICIA</cp:lastModifiedBy>
  <cp:revision>4</cp:revision>
  <dcterms:created xsi:type="dcterms:W3CDTF">2019-12-27T17:19:00Z</dcterms:created>
  <dcterms:modified xsi:type="dcterms:W3CDTF">2019-12-27T18:00:00Z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5" name="FileLeafRef">
    <vt:lpwstr>SGV-A-236.docx</vt:lpwstr>
  </property>
</Properties>
</file>