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2E2A3" w14:textId="77777777" w:rsidR="003427B8" w:rsidRPr="003427B8" w:rsidRDefault="003427B8" w:rsidP="003427B8">
      <w:pPr>
        <w:spacing w:after="0" w:line="240" w:lineRule="auto"/>
        <w:ind w:right="-193"/>
        <w:jc w:val="both"/>
        <w:rPr>
          <w:rFonts w:ascii="Arial" w:eastAsia="Times New Roman" w:hAnsi="Arial" w:cs="Arial"/>
          <w:lang w:val="es-ES" w:eastAsia="es-ES"/>
        </w:rPr>
      </w:pPr>
      <w:r w:rsidRPr="003427B8">
        <w:rPr>
          <w:rFonts w:ascii="Arial" w:eastAsia="Times New Roman" w:hAnsi="Arial" w:cs="Arial"/>
          <w:b/>
          <w:bCs/>
          <w:i/>
          <w:iCs/>
          <w:noProof/>
          <w:sz w:val="24"/>
          <w:szCs w:val="24"/>
          <w:lang w:val="es-ES_tradnl"/>
        </w:rPr>
        <w:t>SGV-A-239. MODIFICACIÓN AL ACUERDO SGV-A-75 “SUMINISTRO DE INFORMACIÓN PERIÓDICA”</w:t>
      </w:r>
      <w:r w:rsidRPr="003427B8">
        <w:rPr>
          <w:rFonts w:ascii="Arial" w:eastAsia="Times New Roman" w:hAnsi="Arial" w:cs="Arial"/>
          <w:lang w:val="es-ES" w:eastAsia="es-ES"/>
        </w:rPr>
        <w:t xml:space="preserve"> </w:t>
      </w:r>
      <w:r>
        <w:rPr>
          <w:rStyle w:val="FootnoteReference"/>
          <w:rFonts w:ascii="Arial" w:eastAsia="Times New Roman" w:hAnsi="Arial" w:cs="Arial"/>
          <w:lang w:val="es-ES" w:eastAsia="es-ES"/>
        </w:rPr>
        <w:footnoteReference w:id="1"/>
      </w:r>
    </w:p>
    <w:p w14:paraId="42F2E2A4" w14:textId="77777777" w:rsidR="003427B8" w:rsidRPr="003427B8" w:rsidRDefault="003427B8" w:rsidP="003427B8">
      <w:pPr>
        <w:spacing w:after="0" w:line="240" w:lineRule="auto"/>
        <w:ind w:right="-193"/>
        <w:jc w:val="both"/>
        <w:rPr>
          <w:rFonts w:ascii="Arial" w:eastAsia="Times New Roman" w:hAnsi="Arial" w:cs="Arial"/>
          <w:bCs/>
          <w:lang w:val="es-ES"/>
        </w:rPr>
      </w:pPr>
    </w:p>
    <w:p w14:paraId="42F2E2A5" w14:textId="77777777" w:rsidR="003427B8" w:rsidRPr="003427B8" w:rsidRDefault="003427B8" w:rsidP="003427B8">
      <w:pPr>
        <w:spacing w:after="0" w:line="276" w:lineRule="auto"/>
        <w:ind w:right="-193"/>
        <w:jc w:val="both"/>
        <w:rPr>
          <w:rFonts w:ascii="Arial" w:eastAsia="Times New Roman" w:hAnsi="Arial" w:cs="Arial"/>
          <w:b/>
          <w:bCs/>
          <w:lang w:eastAsia="es-ES"/>
        </w:rPr>
      </w:pPr>
      <w:r w:rsidRPr="003427B8">
        <w:rPr>
          <w:rFonts w:ascii="Arial" w:eastAsia="Times New Roman" w:hAnsi="Arial" w:cs="Arial"/>
          <w:b/>
          <w:bCs/>
          <w:lang w:eastAsia="es-ES"/>
        </w:rPr>
        <w:t>Considerando que:</w:t>
      </w:r>
    </w:p>
    <w:p w14:paraId="42F2E2A6" w14:textId="77777777" w:rsidR="003427B8" w:rsidRPr="003427B8" w:rsidRDefault="003427B8" w:rsidP="003427B8">
      <w:pPr>
        <w:spacing w:after="0" w:line="276" w:lineRule="auto"/>
        <w:ind w:right="-193"/>
        <w:jc w:val="both"/>
        <w:rPr>
          <w:rFonts w:ascii="Arial" w:eastAsia="Times New Roman" w:hAnsi="Arial" w:cs="Arial"/>
          <w:b/>
          <w:bCs/>
          <w:lang w:eastAsia="es-ES"/>
        </w:rPr>
      </w:pPr>
    </w:p>
    <w:p w14:paraId="42F2E2A7" w14:textId="77777777" w:rsidR="003427B8" w:rsidRPr="003427B8" w:rsidRDefault="003427B8" w:rsidP="003427B8">
      <w:pPr>
        <w:numPr>
          <w:ilvl w:val="0"/>
          <w:numId w:val="1"/>
        </w:numPr>
        <w:tabs>
          <w:tab w:val="left" w:pos="567"/>
        </w:tabs>
        <w:spacing w:after="0" w:line="240" w:lineRule="auto"/>
        <w:ind w:left="567" w:right="-193" w:hanging="567"/>
        <w:jc w:val="both"/>
        <w:rPr>
          <w:rFonts w:ascii="Arial" w:eastAsia="Times New Roman" w:hAnsi="Arial" w:cs="Arial"/>
          <w:lang w:val="es-ES" w:eastAsia="es-ES"/>
        </w:rPr>
      </w:pPr>
      <w:r w:rsidRPr="003427B8">
        <w:rPr>
          <w:rFonts w:ascii="Arial" w:eastAsia="Times New Roman" w:hAnsi="Arial" w:cs="Arial"/>
          <w:lang w:val="es-ES" w:eastAsia="es-ES"/>
        </w:rPr>
        <w:t>El Artículo 8 inciso l) de la Ley Reguladora del Mercado de Valores faculta al Superintendente a exigir a los sujetos fiscalizados toda la información razonablemente necesaria, en las condiciones y periodicidad que la Superintendencia determine, para cumplir adecuadamente con sus funciones supervisoras del mercado de valores, según lo disponga el reglamento. Además, el artículo 69 de dicha Ley requiere a las sociedades administradora</w:t>
      </w:r>
      <w:bookmarkStart w:id="0" w:name="_GoBack"/>
      <w:bookmarkEnd w:id="0"/>
      <w:r w:rsidRPr="003427B8">
        <w:rPr>
          <w:rFonts w:ascii="Arial" w:eastAsia="Times New Roman" w:hAnsi="Arial" w:cs="Arial"/>
          <w:lang w:val="es-ES" w:eastAsia="es-ES"/>
        </w:rPr>
        <w:t>s de fondos de inversión suministrar información oportuna y veraz sobre su situación y la de los fondos que administran, de acuerdo con lo que dicte la Superintendencia</w:t>
      </w:r>
    </w:p>
    <w:p w14:paraId="42F2E2A8" w14:textId="77777777" w:rsidR="003427B8" w:rsidRPr="003427B8" w:rsidRDefault="003427B8" w:rsidP="003427B8">
      <w:pPr>
        <w:tabs>
          <w:tab w:val="left" w:pos="567"/>
        </w:tabs>
        <w:spacing w:after="0" w:line="240" w:lineRule="auto"/>
        <w:ind w:left="567" w:right="-193"/>
        <w:jc w:val="both"/>
        <w:rPr>
          <w:rFonts w:ascii="Arial" w:eastAsia="Times New Roman" w:hAnsi="Arial" w:cs="Arial"/>
          <w:lang w:val="es-ES" w:eastAsia="es-ES"/>
        </w:rPr>
      </w:pPr>
    </w:p>
    <w:p w14:paraId="42F2E2A9" w14:textId="77777777" w:rsidR="003427B8" w:rsidRPr="003427B8" w:rsidRDefault="003427B8" w:rsidP="003427B8">
      <w:pPr>
        <w:numPr>
          <w:ilvl w:val="0"/>
          <w:numId w:val="1"/>
        </w:numPr>
        <w:tabs>
          <w:tab w:val="left" w:pos="567"/>
        </w:tabs>
        <w:spacing w:after="0" w:line="240" w:lineRule="auto"/>
        <w:ind w:left="567" w:right="-193" w:hanging="567"/>
        <w:jc w:val="both"/>
        <w:rPr>
          <w:rFonts w:ascii="Arial" w:eastAsia="Times New Roman" w:hAnsi="Arial" w:cs="Arial"/>
          <w:lang w:val="es-ES" w:eastAsia="es-ES"/>
        </w:rPr>
      </w:pPr>
      <w:r w:rsidRPr="003427B8">
        <w:rPr>
          <w:rFonts w:ascii="Arial" w:eastAsia="Times New Roman" w:hAnsi="Arial" w:cs="Arial"/>
          <w:lang w:val="es-ES" w:eastAsia="es-ES"/>
        </w:rPr>
        <w:t>Mediante 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w:t>
      </w:r>
    </w:p>
    <w:p w14:paraId="42F2E2AA" w14:textId="77777777" w:rsidR="003427B8" w:rsidRPr="003427B8" w:rsidRDefault="003427B8" w:rsidP="003427B8">
      <w:pPr>
        <w:tabs>
          <w:tab w:val="left" w:pos="567"/>
        </w:tabs>
        <w:spacing w:after="0" w:line="240" w:lineRule="auto"/>
        <w:ind w:left="567" w:right="-193"/>
        <w:jc w:val="both"/>
        <w:rPr>
          <w:rFonts w:ascii="Arial" w:eastAsia="Times New Roman" w:hAnsi="Arial" w:cs="Arial"/>
          <w:lang w:val="es-ES" w:eastAsia="es-ES"/>
        </w:rPr>
      </w:pPr>
    </w:p>
    <w:p w14:paraId="42F2E2AB" w14:textId="77777777" w:rsidR="003427B8" w:rsidRPr="003427B8" w:rsidRDefault="003427B8" w:rsidP="003427B8">
      <w:pPr>
        <w:numPr>
          <w:ilvl w:val="0"/>
          <w:numId w:val="1"/>
        </w:numPr>
        <w:tabs>
          <w:tab w:val="left" w:pos="567"/>
        </w:tabs>
        <w:spacing w:after="0" w:line="240" w:lineRule="auto"/>
        <w:ind w:left="567" w:right="-193" w:hanging="567"/>
        <w:jc w:val="both"/>
        <w:rPr>
          <w:rFonts w:ascii="Arial" w:eastAsia="Times New Roman" w:hAnsi="Arial" w:cs="Arial"/>
          <w:lang w:val="es-ES" w:eastAsia="es-ES"/>
        </w:rPr>
      </w:pPr>
      <w:r w:rsidRPr="003427B8">
        <w:rPr>
          <w:rFonts w:ascii="Arial" w:eastAsia="Times New Roman" w:hAnsi="Arial" w:cs="Arial"/>
          <w:lang w:val="es-ES" w:eastAsia="es-ES"/>
        </w:rPr>
        <w:t>Este Reglamento confiere al Superintendente la potestad para definir el contenido, la periodicidad y los medios de suministro de la información periódica que debe remitirse a la Superintendencia General de Valores, por lo que emitió el SGV-A-75, Acuerdo sobre el Suministro de Información Periódica con fecha 24 de abril del 2003, y se ha retomado durante los últimos años para actualizar los deberes de información de las entidades.</w:t>
      </w:r>
    </w:p>
    <w:p w14:paraId="42F2E2AC" w14:textId="77777777" w:rsidR="003427B8" w:rsidRPr="003427B8" w:rsidRDefault="003427B8" w:rsidP="003427B8">
      <w:pPr>
        <w:tabs>
          <w:tab w:val="left" w:pos="567"/>
        </w:tabs>
        <w:spacing w:after="0" w:line="240" w:lineRule="auto"/>
        <w:ind w:left="567" w:right="-193"/>
        <w:jc w:val="both"/>
        <w:rPr>
          <w:rFonts w:ascii="Arial" w:eastAsia="Times New Roman" w:hAnsi="Arial" w:cs="Arial"/>
          <w:lang w:val="es-ES" w:eastAsia="es-ES"/>
        </w:rPr>
      </w:pPr>
    </w:p>
    <w:p w14:paraId="42F2E2AD" w14:textId="77777777" w:rsidR="003427B8" w:rsidRPr="003427B8" w:rsidRDefault="003427B8" w:rsidP="003427B8">
      <w:pPr>
        <w:numPr>
          <w:ilvl w:val="0"/>
          <w:numId w:val="1"/>
        </w:numPr>
        <w:tabs>
          <w:tab w:val="left" w:pos="567"/>
        </w:tabs>
        <w:spacing w:after="0" w:line="240" w:lineRule="auto"/>
        <w:ind w:left="567" w:right="-193" w:hanging="567"/>
        <w:jc w:val="both"/>
        <w:rPr>
          <w:rFonts w:ascii="Arial" w:eastAsia="Calibri" w:hAnsi="Arial" w:cs="Arial"/>
          <w:lang w:val="es-ES" w:eastAsia="es-CR"/>
        </w:rPr>
      </w:pPr>
      <w:r w:rsidRPr="003427B8">
        <w:rPr>
          <w:rFonts w:ascii="Arial" w:eastAsia="Times New Roman" w:hAnsi="Arial" w:cs="Arial"/>
          <w:lang w:val="es-ES" w:eastAsia="es-ES"/>
        </w:rPr>
        <w:t>Mediante los artículos 6 y 5 de las actas de las sesiones 1442-2018 y 1443-2018, ambas celebradas el 11 de setiembre de 2018, el Consejo Nacional de Supervisión del Sistema Financiero aprobó el Reglamento de Información Financiera, que dispone los plazos para la presentación de la información financiera, y en donde se disponible que p</w:t>
      </w:r>
      <w:bookmarkStart w:id="1" w:name="_Toc29378196"/>
      <w:r w:rsidRPr="003427B8">
        <w:rPr>
          <w:rFonts w:ascii="Arial" w:eastAsia="Times New Roman" w:hAnsi="Arial" w:cs="Arial"/>
          <w:lang w:val="es-ES" w:eastAsia="es-ES"/>
        </w:rPr>
        <w:t xml:space="preserve">ara las entidades supervisadas por SUGEVAL, la información se debe presentar de conformidad con el Reglamento sobre el suministro de información periódica, hechos relevantes y otras obligaciones de información y su Acuerdo respectivo.  </w:t>
      </w:r>
      <w:bookmarkEnd w:id="1"/>
    </w:p>
    <w:p w14:paraId="42F2E2AE" w14:textId="77777777" w:rsidR="003427B8" w:rsidRPr="003427B8" w:rsidRDefault="003427B8" w:rsidP="003427B8">
      <w:pPr>
        <w:tabs>
          <w:tab w:val="left" w:pos="567"/>
        </w:tabs>
        <w:spacing w:after="0" w:line="240" w:lineRule="auto"/>
        <w:ind w:left="567" w:right="-193"/>
        <w:jc w:val="both"/>
        <w:rPr>
          <w:rFonts w:ascii="Arial" w:eastAsia="Times New Roman" w:hAnsi="Arial" w:cs="Arial"/>
          <w:lang w:val="es-ES" w:eastAsia="es-ES"/>
        </w:rPr>
      </w:pPr>
    </w:p>
    <w:p w14:paraId="42F2E2AF" w14:textId="77777777" w:rsidR="003427B8" w:rsidRPr="003427B8" w:rsidRDefault="003427B8" w:rsidP="003427B8">
      <w:pPr>
        <w:numPr>
          <w:ilvl w:val="0"/>
          <w:numId w:val="1"/>
        </w:numPr>
        <w:tabs>
          <w:tab w:val="left" w:pos="567"/>
        </w:tabs>
        <w:spacing w:after="0" w:line="240" w:lineRule="auto"/>
        <w:ind w:left="567" w:right="-193" w:hanging="567"/>
        <w:jc w:val="both"/>
        <w:rPr>
          <w:rFonts w:ascii="Arial" w:eastAsia="Times New Roman" w:hAnsi="Arial" w:cs="Arial"/>
          <w:lang w:val="es-ES" w:eastAsia="es-ES"/>
        </w:rPr>
      </w:pPr>
      <w:r w:rsidRPr="003427B8">
        <w:rPr>
          <w:rFonts w:ascii="Arial" w:eastAsia="Times New Roman" w:hAnsi="Arial" w:cs="Arial"/>
          <w:lang w:val="es-ES" w:eastAsia="es-ES"/>
        </w:rPr>
        <w:t>Mediante Decreto Ejecutivo 42227-MP-S del 16 de marzo de 2020 se da la declaratoria de Estado de Emergencia Nacional en todo el territorio de la República de Costa Rica debido a la situación de emergencia sanitaria provocada por la enfermedad Coronavirus 2019 (COVID-19).</w:t>
      </w:r>
    </w:p>
    <w:p w14:paraId="42F2E2B0" w14:textId="77777777" w:rsidR="003427B8" w:rsidRPr="003427B8" w:rsidRDefault="003427B8" w:rsidP="003427B8">
      <w:pPr>
        <w:tabs>
          <w:tab w:val="left" w:pos="567"/>
        </w:tabs>
        <w:spacing w:after="0" w:line="240" w:lineRule="auto"/>
        <w:ind w:left="567" w:right="-193"/>
        <w:jc w:val="both"/>
        <w:rPr>
          <w:rFonts w:ascii="Arial" w:eastAsia="Times New Roman" w:hAnsi="Arial" w:cs="Arial"/>
          <w:lang w:val="es-ES" w:eastAsia="es-ES"/>
        </w:rPr>
      </w:pPr>
    </w:p>
    <w:p w14:paraId="42F2E2B1" w14:textId="77777777" w:rsidR="003427B8" w:rsidRPr="003427B8" w:rsidRDefault="003427B8" w:rsidP="003427B8">
      <w:pPr>
        <w:numPr>
          <w:ilvl w:val="0"/>
          <w:numId w:val="1"/>
        </w:numPr>
        <w:tabs>
          <w:tab w:val="left" w:pos="567"/>
        </w:tabs>
        <w:spacing w:after="0" w:line="240" w:lineRule="auto"/>
        <w:ind w:left="567" w:right="-193" w:hanging="567"/>
        <w:jc w:val="both"/>
        <w:rPr>
          <w:rFonts w:ascii="Arial" w:eastAsia="Times New Roman" w:hAnsi="Arial" w:cs="Arial"/>
          <w:lang w:val="es-ES" w:eastAsia="es-ES"/>
        </w:rPr>
      </w:pPr>
      <w:r w:rsidRPr="003427B8">
        <w:rPr>
          <w:rFonts w:ascii="Arial" w:eastAsia="Times New Roman" w:hAnsi="Arial" w:cs="Arial"/>
          <w:lang w:val="es-ES" w:eastAsia="es-ES"/>
        </w:rPr>
        <w:t>La SUGEVAL mantiene su compromiso de atender todos los requerimientos del Ministerio de Salud para la atención de la alerta sanitaria por COVID-19 y cumplir las disposiciones que dicten las autoridades de salud sobre la alerta sanitaria hasta que se resuelva la problemática actual.</w:t>
      </w:r>
    </w:p>
    <w:p w14:paraId="42F2E2B2" w14:textId="77777777" w:rsidR="003427B8" w:rsidRPr="003427B8" w:rsidRDefault="003427B8" w:rsidP="003427B8">
      <w:pPr>
        <w:tabs>
          <w:tab w:val="left" w:pos="567"/>
        </w:tabs>
        <w:spacing w:after="0" w:line="240" w:lineRule="auto"/>
        <w:ind w:left="567" w:right="-193"/>
        <w:jc w:val="both"/>
        <w:rPr>
          <w:rFonts w:ascii="Arial" w:eastAsia="Times New Roman" w:hAnsi="Arial" w:cs="Arial"/>
          <w:lang w:val="es-ES" w:eastAsia="es-ES"/>
        </w:rPr>
      </w:pPr>
    </w:p>
    <w:p w14:paraId="42F2E2B3" w14:textId="77777777" w:rsidR="003427B8" w:rsidRPr="003427B8" w:rsidRDefault="003427B8" w:rsidP="003427B8">
      <w:pPr>
        <w:numPr>
          <w:ilvl w:val="0"/>
          <w:numId w:val="1"/>
        </w:numPr>
        <w:tabs>
          <w:tab w:val="left" w:pos="567"/>
        </w:tabs>
        <w:spacing w:after="0" w:line="240" w:lineRule="auto"/>
        <w:ind w:left="567" w:right="-193" w:hanging="567"/>
        <w:jc w:val="both"/>
        <w:rPr>
          <w:rFonts w:ascii="Arial" w:eastAsia="Times New Roman" w:hAnsi="Arial" w:cs="Arial"/>
          <w:lang w:val="es-ES" w:eastAsia="es-CR"/>
        </w:rPr>
      </w:pPr>
      <w:r w:rsidRPr="003427B8">
        <w:rPr>
          <w:rFonts w:ascii="Arial" w:eastAsia="Times New Roman" w:hAnsi="Arial" w:cs="Arial"/>
          <w:lang w:val="es-ES" w:eastAsia="es-CR"/>
        </w:rPr>
        <w:lastRenderedPageBreak/>
        <w:t xml:space="preserve">El personal de las entidades supervisadas y de este órgano de supervisión está realizando sus mejores esfuerzos para mantener el flujo de información continua hacia los inversionistas del mercado de valores, de acuerdo con la normativa vigente y con el apoyo de los recursos tecnológicos disponibles. No obstante, </w:t>
      </w:r>
      <w:r w:rsidRPr="003427B8">
        <w:rPr>
          <w:rFonts w:ascii="Arial" w:eastAsia="Calibri" w:hAnsi="Arial" w:cs="Arial"/>
          <w:lang w:val="es-ES" w:eastAsia="es-CR"/>
        </w:rPr>
        <w:t>dados los inconvenientes y dificultades de la problemática actual, están surgiendo nuevas condiciones que justifican demoras razonables en la elaboración y publicación de los informes regulatorios que deben ser gestionadas para procurar que la información sea completa y veraz.</w:t>
      </w:r>
    </w:p>
    <w:p w14:paraId="42F2E2B4" w14:textId="77777777" w:rsidR="003427B8" w:rsidRPr="003427B8" w:rsidRDefault="003427B8" w:rsidP="003427B8">
      <w:pPr>
        <w:tabs>
          <w:tab w:val="left" w:pos="567"/>
        </w:tabs>
        <w:spacing w:after="0" w:line="240" w:lineRule="auto"/>
        <w:ind w:left="567" w:right="-193"/>
        <w:jc w:val="both"/>
        <w:rPr>
          <w:rFonts w:ascii="Arial" w:eastAsia="Times New Roman" w:hAnsi="Arial" w:cs="Arial"/>
          <w:lang w:val="es-ES" w:eastAsia="es-ES"/>
        </w:rPr>
      </w:pPr>
    </w:p>
    <w:p w14:paraId="42F2E2B5" w14:textId="77777777" w:rsidR="003427B8" w:rsidRPr="003427B8" w:rsidRDefault="003427B8" w:rsidP="003427B8">
      <w:pPr>
        <w:numPr>
          <w:ilvl w:val="0"/>
          <w:numId w:val="1"/>
        </w:numPr>
        <w:tabs>
          <w:tab w:val="left" w:pos="567"/>
        </w:tabs>
        <w:spacing w:after="0" w:line="240" w:lineRule="auto"/>
        <w:ind w:left="567" w:right="-193" w:hanging="567"/>
        <w:jc w:val="both"/>
        <w:rPr>
          <w:rFonts w:ascii="Arial" w:eastAsia="Times New Roman" w:hAnsi="Arial" w:cs="Arial"/>
          <w:lang w:val="es-ES" w:eastAsia="es-ES"/>
        </w:rPr>
      </w:pPr>
      <w:r w:rsidRPr="003427B8">
        <w:rPr>
          <w:rFonts w:ascii="Arial" w:eastAsia="Times New Roman" w:hAnsi="Arial" w:cs="Arial"/>
          <w:lang w:val="es-ES" w:eastAsia="es-ES"/>
        </w:rPr>
        <w:t>La Cámara de Fondos de Inversión (CAFI) y Cámara de Intermediarios Bursátiles y Afines (CAMBOLSA), han externado que las entidades supervisadas van a necesitar tiempo adicional para presentar ciertos informes regulatorios a la luz de las interrupciones causadas por la enfermedad de COVID-19. Además, para la preparación de la información de algunos informes regulatorios, es previsible que las entidades necesiten evaluar si el impacto del COVID-19 ha llevado a variar el contenido de la información que hacen pública, incluyendo mayor detalle sobre el impacto directo o indirecto de los eventos recientes y en curso, sobre su situación financiera, legal o de operaciones, así como la de los patrimonios de terceros bajo administración.</w:t>
      </w:r>
    </w:p>
    <w:p w14:paraId="42F2E2B6" w14:textId="77777777" w:rsidR="003427B8" w:rsidRPr="003427B8" w:rsidRDefault="003427B8" w:rsidP="003427B8">
      <w:pPr>
        <w:tabs>
          <w:tab w:val="left" w:pos="567"/>
        </w:tabs>
        <w:spacing w:after="0" w:line="240" w:lineRule="auto"/>
        <w:ind w:left="567" w:right="-193"/>
        <w:jc w:val="both"/>
        <w:rPr>
          <w:rFonts w:ascii="Arial" w:eastAsia="Times New Roman" w:hAnsi="Arial" w:cs="Arial"/>
          <w:lang w:val="es-ES" w:eastAsia="es-CR"/>
        </w:rPr>
      </w:pPr>
    </w:p>
    <w:p w14:paraId="42F2E2B7" w14:textId="77777777" w:rsidR="003427B8" w:rsidRPr="003427B8" w:rsidRDefault="003427B8" w:rsidP="003427B8">
      <w:pPr>
        <w:numPr>
          <w:ilvl w:val="0"/>
          <w:numId w:val="1"/>
        </w:numPr>
        <w:tabs>
          <w:tab w:val="left" w:pos="567"/>
        </w:tabs>
        <w:spacing w:after="0" w:line="240" w:lineRule="auto"/>
        <w:ind w:left="567" w:right="-193" w:hanging="567"/>
        <w:jc w:val="both"/>
        <w:rPr>
          <w:rFonts w:ascii="Arial" w:eastAsia="Calibri" w:hAnsi="Arial" w:cs="Arial"/>
          <w:lang w:val="es-ES" w:eastAsia="es-CR"/>
        </w:rPr>
      </w:pPr>
      <w:r w:rsidRPr="003427B8">
        <w:rPr>
          <w:rFonts w:ascii="Arial" w:eastAsia="Times New Roman" w:hAnsi="Arial" w:cs="Arial"/>
          <w:lang w:val="es-ES" w:eastAsia="es-CR"/>
        </w:rPr>
        <w:t xml:space="preserve">En atención a las obligaciones y recomendaciones dadas por nuestras autoridades nacionales, y basados en el principio legal de proporcionalidad, razonabilidad y fuerza mayor, se considera necesario modificar en forma extraordinaria la presentación de una parte de la información regulatoria requerida a las entidades supervisadas, para las fechas de corte comprendidas entre el 31 de marzo y hasta el 31 de mayo del 2020.  </w:t>
      </w:r>
      <w:r w:rsidRPr="003427B8">
        <w:rPr>
          <w:rFonts w:ascii="Arial" w:eastAsia="Calibri" w:hAnsi="Arial" w:cs="Arial"/>
          <w:lang w:val="es-ES"/>
        </w:rPr>
        <w:t>La medida permitirá mantener el suministro de información para que el público inversionista pueda dar seguimiento a sus inversiones sin llegar a una suspensión total, lo que da cumplimiento a las obligaciones de transparencia que se disponen en la Ley Reguladora del Mercado de Valores.</w:t>
      </w:r>
    </w:p>
    <w:p w14:paraId="42F2E2B8" w14:textId="77777777" w:rsidR="003427B8" w:rsidRPr="003427B8" w:rsidRDefault="003427B8" w:rsidP="003427B8">
      <w:pPr>
        <w:tabs>
          <w:tab w:val="left" w:pos="567"/>
        </w:tabs>
        <w:spacing w:after="0" w:line="240" w:lineRule="auto"/>
        <w:ind w:left="567" w:right="-193"/>
        <w:jc w:val="both"/>
        <w:rPr>
          <w:rFonts w:ascii="Arial" w:eastAsia="Calibri" w:hAnsi="Arial" w:cs="Arial"/>
          <w:lang w:val="es-ES" w:eastAsia="es-CR"/>
        </w:rPr>
      </w:pPr>
    </w:p>
    <w:p w14:paraId="42F2E2B9" w14:textId="77777777" w:rsidR="003427B8" w:rsidRPr="003427B8" w:rsidRDefault="003427B8" w:rsidP="003427B8">
      <w:pPr>
        <w:numPr>
          <w:ilvl w:val="0"/>
          <w:numId w:val="1"/>
        </w:numPr>
        <w:tabs>
          <w:tab w:val="left" w:pos="567"/>
        </w:tabs>
        <w:spacing w:after="0" w:line="240" w:lineRule="auto"/>
        <w:ind w:left="567" w:right="-193" w:hanging="567"/>
        <w:contextualSpacing/>
        <w:jc w:val="both"/>
        <w:rPr>
          <w:rFonts w:ascii="Arial" w:eastAsia="Calibri" w:hAnsi="Arial" w:cs="Arial"/>
          <w:lang w:val="es-ES" w:eastAsia="es-CR"/>
        </w:rPr>
      </w:pPr>
      <w:r w:rsidRPr="003427B8">
        <w:rPr>
          <w:rFonts w:ascii="Arial" w:eastAsia="Times New Roman" w:hAnsi="Arial" w:cs="Arial"/>
          <w:lang w:val="es-ES" w:eastAsia="es-CR"/>
        </w:rPr>
        <w:t xml:space="preserve">Se ha identificado unos reportes reglamentarios cuyo suministro en los plazos ya establecidos es necesario para el desarrollo de las funciones de seguimiento y supervisión de la SUGEVAL durante esta problemática, y que son indispensables para procurar la protección del interés general y el adecuado funcionamiento del sistema financiero nacional. </w:t>
      </w:r>
    </w:p>
    <w:p w14:paraId="42F2E2BA" w14:textId="77777777" w:rsidR="003427B8" w:rsidRPr="003427B8" w:rsidRDefault="003427B8" w:rsidP="003427B8">
      <w:pPr>
        <w:tabs>
          <w:tab w:val="left" w:pos="567"/>
        </w:tabs>
        <w:spacing w:after="0" w:line="240" w:lineRule="auto"/>
        <w:ind w:right="-193"/>
        <w:contextualSpacing/>
        <w:jc w:val="both"/>
        <w:rPr>
          <w:rFonts w:ascii="Arial" w:eastAsia="Calibri" w:hAnsi="Arial" w:cs="Arial"/>
          <w:lang w:val="es-ES" w:eastAsia="es-CR"/>
        </w:rPr>
      </w:pPr>
    </w:p>
    <w:p w14:paraId="42F2E2BB" w14:textId="77777777" w:rsidR="003427B8" w:rsidRPr="003427B8" w:rsidRDefault="003427B8" w:rsidP="003427B8">
      <w:pPr>
        <w:numPr>
          <w:ilvl w:val="0"/>
          <w:numId w:val="1"/>
        </w:numPr>
        <w:tabs>
          <w:tab w:val="left" w:pos="567"/>
        </w:tabs>
        <w:spacing w:after="0" w:line="240" w:lineRule="auto"/>
        <w:ind w:left="567" w:right="-193" w:hanging="567"/>
        <w:jc w:val="both"/>
        <w:rPr>
          <w:rFonts w:ascii="Arial" w:eastAsia="Times New Roman" w:hAnsi="Arial" w:cs="Arial"/>
          <w:lang w:val="es-ES" w:eastAsia="es-ES"/>
        </w:rPr>
      </w:pPr>
      <w:r w:rsidRPr="003427B8">
        <w:rPr>
          <w:rFonts w:ascii="Arial" w:eastAsia="Times New Roman" w:hAnsi="Arial" w:cs="Arial"/>
          <w:lang w:val="es-ES" w:eastAsia="es-ES"/>
        </w:rPr>
        <w:t>Otros órganos reguladores del mercado de valores en diferentes jurisdicciones han tomado medidas extraordinarias aplicables hasta que finalice el estado de emergencia que en sus países igualmente se han declarado, incluido un régimen de flexibilización o suspensión temporal para la preparación y aprobación de informes regulatorios, reanudándose de nuevo una vez que concluya dicha declaratoria.</w:t>
      </w:r>
    </w:p>
    <w:p w14:paraId="42F2E2BC" w14:textId="77777777" w:rsidR="003427B8" w:rsidRPr="003427B8" w:rsidRDefault="003427B8" w:rsidP="003427B8">
      <w:pPr>
        <w:tabs>
          <w:tab w:val="left" w:pos="567"/>
        </w:tabs>
        <w:spacing w:after="0" w:line="240" w:lineRule="auto"/>
        <w:ind w:left="567" w:right="-193"/>
        <w:jc w:val="both"/>
        <w:rPr>
          <w:rFonts w:ascii="Arial" w:eastAsia="Times New Roman" w:hAnsi="Arial" w:cs="Arial"/>
          <w:lang w:val="es-ES" w:eastAsia="es-CR"/>
        </w:rPr>
      </w:pPr>
    </w:p>
    <w:p w14:paraId="42F2E2BD" w14:textId="77777777" w:rsidR="003427B8" w:rsidRPr="003427B8" w:rsidRDefault="003427B8" w:rsidP="003427B8">
      <w:pPr>
        <w:numPr>
          <w:ilvl w:val="0"/>
          <w:numId w:val="1"/>
        </w:numPr>
        <w:tabs>
          <w:tab w:val="left" w:pos="567"/>
        </w:tabs>
        <w:spacing w:after="0" w:line="240" w:lineRule="auto"/>
        <w:ind w:left="567" w:right="-193" w:hanging="567"/>
        <w:jc w:val="both"/>
        <w:rPr>
          <w:rFonts w:ascii="Arial" w:eastAsia="Times New Roman" w:hAnsi="Arial" w:cs="Arial"/>
          <w:lang w:val="es-ES" w:eastAsia="es-CR"/>
        </w:rPr>
      </w:pPr>
      <w:r w:rsidRPr="003427B8">
        <w:rPr>
          <w:rFonts w:ascii="Arial" w:eastAsia="Times New Roman" w:hAnsi="Arial" w:cs="Arial"/>
          <w:lang w:val="es-ES" w:eastAsia="es-CR"/>
        </w:rPr>
        <w:t>Según lo previsto por la “Ley General de Administración Pública” en el artículo 361. “Se concederá a las entidades representativas de intereses de carácter general o corporativo afectados por la disposición la oportunidad de exponer su parecer, dentro del plazo de diez días, salvo cuando se opongan a ello razones de interés público o de urgencia debidamente consignadas en el anteproyecto”.  Por las razones antes expuestas, se omite la realización de una consulta particular al mercado sobre el presente acuerdo.</w:t>
      </w:r>
    </w:p>
    <w:p w14:paraId="42F2E2BE" w14:textId="77777777" w:rsidR="003427B8" w:rsidRPr="003427B8" w:rsidRDefault="003427B8" w:rsidP="003427B8">
      <w:pPr>
        <w:rPr>
          <w:rFonts w:ascii="Arial" w:eastAsia="Calibri" w:hAnsi="Arial" w:cs="Arial"/>
          <w:color w:val="000000"/>
          <w:lang w:val="es-ES" w:eastAsia="es-CR"/>
        </w:rPr>
      </w:pPr>
    </w:p>
    <w:p w14:paraId="42F2E2BF" w14:textId="77777777" w:rsidR="003427B8" w:rsidRPr="003427B8" w:rsidRDefault="003427B8" w:rsidP="003427B8">
      <w:pPr>
        <w:jc w:val="both"/>
        <w:rPr>
          <w:rFonts w:ascii="Arial" w:eastAsia="Calibri" w:hAnsi="Arial" w:cs="Arial"/>
          <w:b/>
          <w:lang w:val="es-ES"/>
        </w:rPr>
      </w:pPr>
      <w:r w:rsidRPr="003427B8">
        <w:rPr>
          <w:rFonts w:ascii="Arial" w:eastAsia="Calibri" w:hAnsi="Arial" w:cs="Arial"/>
          <w:b/>
          <w:lang w:val="es-ES"/>
        </w:rPr>
        <w:t>Por tanto dispone el presente acuerdo:</w:t>
      </w:r>
    </w:p>
    <w:p w14:paraId="42F2E2C0" w14:textId="77777777" w:rsidR="003427B8" w:rsidRPr="003427B8" w:rsidRDefault="003427B8" w:rsidP="003427B8">
      <w:pPr>
        <w:jc w:val="both"/>
        <w:rPr>
          <w:rFonts w:ascii="Arial" w:eastAsia="Calibri" w:hAnsi="Arial" w:cs="Arial"/>
          <w:lang w:val="es-ES"/>
        </w:rPr>
      </w:pPr>
    </w:p>
    <w:p w14:paraId="42F2E2C1" w14:textId="77777777" w:rsidR="003427B8" w:rsidRPr="003427B8" w:rsidRDefault="003427B8" w:rsidP="003427B8">
      <w:pPr>
        <w:spacing w:after="0" w:line="240" w:lineRule="auto"/>
        <w:ind w:right="-193"/>
        <w:jc w:val="center"/>
        <w:rPr>
          <w:rFonts w:ascii="Arial" w:eastAsia="Times New Roman" w:hAnsi="Arial" w:cs="Arial"/>
          <w:b/>
          <w:lang w:val="es-ES" w:eastAsia="es-ES"/>
        </w:rPr>
      </w:pPr>
      <w:r w:rsidRPr="003427B8">
        <w:rPr>
          <w:rFonts w:ascii="Arial" w:eastAsia="Times New Roman" w:hAnsi="Arial" w:cs="Arial"/>
          <w:b/>
          <w:lang w:val="es-ES" w:eastAsia="es-ES"/>
        </w:rPr>
        <w:t>SGV-A-239.  MODIFICACIÓN AL ACUERDO SGV-A-75 “SUMINISTRO DE INFORMACIÓN PERIÓDICA”</w:t>
      </w:r>
    </w:p>
    <w:p w14:paraId="42F2E2C2" w14:textId="77777777" w:rsidR="003427B8" w:rsidRPr="003427B8" w:rsidRDefault="003427B8" w:rsidP="003427B8">
      <w:pPr>
        <w:rPr>
          <w:rFonts w:ascii="Arial" w:eastAsia="Calibri" w:hAnsi="Arial" w:cs="Arial"/>
          <w:color w:val="000000"/>
          <w:lang w:val="es-ES" w:eastAsia="es-CR"/>
        </w:rPr>
      </w:pPr>
    </w:p>
    <w:p w14:paraId="42F2E2C3" w14:textId="77777777" w:rsidR="003427B8" w:rsidRPr="003427B8" w:rsidRDefault="003427B8" w:rsidP="003427B8">
      <w:pPr>
        <w:rPr>
          <w:rFonts w:ascii="Arial" w:eastAsia="Calibri" w:hAnsi="Arial" w:cs="Arial"/>
          <w:color w:val="000000"/>
          <w:lang w:val="es-ES" w:eastAsia="es-CR"/>
        </w:rPr>
      </w:pPr>
      <w:r w:rsidRPr="003427B8">
        <w:rPr>
          <w:rFonts w:ascii="Arial" w:eastAsia="Calibri" w:hAnsi="Arial" w:cs="Arial"/>
          <w:b/>
          <w:color w:val="000000"/>
          <w:lang w:val="es-ES" w:eastAsia="es-CR"/>
        </w:rPr>
        <w:t>Artículo 1.-</w:t>
      </w:r>
      <w:r w:rsidRPr="003427B8">
        <w:rPr>
          <w:rFonts w:ascii="Arial" w:eastAsia="Calibri" w:hAnsi="Arial" w:cs="Arial"/>
          <w:b/>
          <w:color w:val="000000"/>
          <w:lang w:val="es-ES" w:eastAsia="es-CR"/>
        </w:rPr>
        <w:tab/>
      </w:r>
      <w:r w:rsidRPr="003427B8">
        <w:rPr>
          <w:rFonts w:ascii="Arial" w:eastAsia="Calibri" w:hAnsi="Arial" w:cs="Arial"/>
          <w:color w:val="000000"/>
          <w:lang w:val="es-ES" w:eastAsia="es-CR"/>
        </w:rPr>
        <w:t xml:space="preserve"> Incorporar un transitorio VI al Acuerdo SGV-A-75, que se leerá de la siguiente manera:</w:t>
      </w:r>
    </w:p>
    <w:p w14:paraId="42F2E2C4" w14:textId="77777777" w:rsidR="003427B8" w:rsidRPr="003427B8" w:rsidRDefault="003427B8" w:rsidP="003427B8">
      <w:pPr>
        <w:rPr>
          <w:rFonts w:ascii="Arial" w:eastAsia="Calibri" w:hAnsi="Arial" w:cs="Arial"/>
          <w:b/>
          <w:color w:val="000000"/>
          <w:lang w:val="es-ES" w:eastAsia="es-CR"/>
        </w:rPr>
      </w:pPr>
      <w:r w:rsidRPr="003427B8">
        <w:rPr>
          <w:rFonts w:ascii="Arial" w:eastAsia="Calibri" w:hAnsi="Arial" w:cs="Arial"/>
          <w:b/>
          <w:color w:val="000000"/>
          <w:lang w:val="es-ES" w:eastAsia="es-CR"/>
        </w:rPr>
        <w:t>“Transitorio VI</w:t>
      </w:r>
    </w:p>
    <w:p w14:paraId="42F2E2C5" w14:textId="77777777" w:rsidR="003427B8" w:rsidRPr="003427B8" w:rsidRDefault="003427B8" w:rsidP="003427B8">
      <w:pPr>
        <w:jc w:val="both"/>
        <w:rPr>
          <w:rFonts w:ascii="Arial" w:eastAsia="Calibri" w:hAnsi="Arial" w:cs="Arial"/>
          <w:lang w:val="es-ES" w:eastAsia="es-CR"/>
        </w:rPr>
      </w:pPr>
      <w:r w:rsidRPr="003427B8">
        <w:rPr>
          <w:rFonts w:ascii="Arial" w:eastAsia="Calibri" w:hAnsi="Arial" w:cs="Arial"/>
          <w:color w:val="000000"/>
          <w:lang w:val="es-ES" w:eastAsia="es-CR"/>
        </w:rPr>
        <w:t xml:space="preserve">Se modifica en forma extraordinaria el plazo de entrega de la información que se detalla en el siguiente cuadro, </w:t>
      </w:r>
      <w:r w:rsidRPr="003427B8">
        <w:rPr>
          <w:rFonts w:ascii="Arial" w:eastAsia="Calibri" w:hAnsi="Arial" w:cs="Arial"/>
          <w:lang w:val="es-ES" w:eastAsia="es-CR"/>
        </w:rPr>
        <w:t>para las fechas de corte comprendidas entre el 31 de marzo y el 31 de mayo del 2020:</w:t>
      </w:r>
    </w:p>
    <w:tbl>
      <w:tblPr>
        <w:tblW w:w="8828" w:type="dxa"/>
        <w:tblCellMar>
          <w:left w:w="70" w:type="dxa"/>
          <w:right w:w="70" w:type="dxa"/>
        </w:tblCellMar>
        <w:tblLook w:val="04A0" w:firstRow="1" w:lastRow="0" w:firstColumn="1" w:lastColumn="0" w:noHBand="0" w:noVBand="1"/>
      </w:tblPr>
      <w:tblGrid>
        <w:gridCol w:w="1706"/>
        <w:gridCol w:w="3733"/>
        <w:gridCol w:w="1251"/>
        <w:gridCol w:w="1155"/>
        <w:gridCol w:w="983"/>
      </w:tblGrid>
      <w:tr w:rsidR="003427B8" w:rsidRPr="003427B8" w14:paraId="42F2E2C9" w14:textId="77777777" w:rsidTr="00244C6E">
        <w:trPr>
          <w:trHeight w:val="315"/>
          <w:tblHeader/>
        </w:trPr>
        <w:tc>
          <w:tcPr>
            <w:tcW w:w="17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2F2E2C6" w14:textId="77777777" w:rsidR="003427B8" w:rsidRPr="003427B8" w:rsidRDefault="003427B8" w:rsidP="003427B8">
            <w:pPr>
              <w:spacing w:after="0" w:line="240" w:lineRule="auto"/>
              <w:jc w:val="center"/>
              <w:rPr>
                <w:rFonts w:ascii="Arial" w:eastAsia="Times New Roman" w:hAnsi="Arial" w:cs="Arial"/>
                <w:b/>
                <w:bCs/>
                <w:color w:val="000000"/>
                <w:lang w:eastAsia="es-CR"/>
              </w:rPr>
            </w:pPr>
            <w:r w:rsidRPr="003427B8">
              <w:rPr>
                <w:rFonts w:ascii="Arial" w:eastAsia="Times New Roman" w:hAnsi="Arial" w:cs="Arial"/>
                <w:b/>
                <w:bCs/>
                <w:color w:val="000000"/>
                <w:lang w:eastAsia="es-CR"/>
              </w:rPr>
              <w:t>Tipo de entidad</w:t>
            </w:r>
          </w:p>
        </w:tc>
        <w:tc>
          <w:tcPr>
            <w:tcW w:w="373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2F2E2C7" w14:textId="77777777" w:rsidR="003427B8" w:rsidRPr="003427B8" w:rsidRDefault="003427B8" w:rsidP="003427B8">
            <w:pPr>
              <w:spacing w:after="0" w:line="240" w:lineRule="auto"/>
              <w:jc w:val="center"/>
              <w:rPr>
                <w:rFonts w:ascii="Arial" w:eastAsia="Times New Roman" w:hAnsi="Arial" w:cs="Arial"/>
                <w:b/>
                <w:bCs/>
                <w:color w:val="000000"/>
                <w:lang w:eastAsia="es-CR"/>
              </w:rPr>
            </w:pPr>
            <w:r w:rsidRPr="003427B8">
              <w:rPr>
                <w:rFonts w:ascii="Arial" w:eastAsia="Times New Roman" w:hAnsi="Arial" w:cs="Arial"/>
                <w:b/>
                <w:bCs/>
                <w:color w:val="000000"/>
                <w:lang w:eastAsia="es-CR"/>
              </w:rPr>
              <w:t>Informe</w:t>
            </w:r>
          </w:p>
        </w:tc>
        <w:tc>
          <w:tcPr>
            <w:tcW w:w="3389" w:type="dxa"/>
            <w:gridSpan w:val="3"/>
            <w:tcBorders>
              <w:top w:val="single" w:sz="4" w:space="0" w:color="auto"/>
              <w:left w:val="nil"/>
              <w:bottom w:val="single" w:sz="4" w:space="0" w:color="auto"/>
              <w:right w:val="single" w:sz="4" w:space="0" w:color="auto"/>
            </w:tcBorders>
            <w:shd w:val="clear" w:color="000000" w:fill="F2F2F2"/>
            <w:vAlign w:val="center"/>
            <w:hideMark/>
          </w:tcPr>
          <w:p w14:paraId="42F2E2C8" w14:textId="77777777" w:rsidR="003427B8" w:rsidRPr="003427B8" w:rsidRDefault="003427B8" w:rsidP="003427B8">
            <w:pPr>
              <w:spacing w:after="0" w:line="240" w:lineRule="auto"/>
              <w:jc w:val="center"/>
              <w:rPr>
                <w:rFonts w:ascii="Arial" w:eastAsia="Times New Roman" w:hAnsi="Arial" w:cs="Arial"/>
                <w:b/>
                <w:bCs/>
                <w:color w:val="000000"/>
                <w:lang w:eastAsia="es-CR"/>
              </w:rPr>
            </w:pPr>
            <w:r w:rsidRPr="003427B8">
              <w:rPr>
                <w:rFonts w:ascii="Arial" w:eastAsia="Times New Roman" w:hAnsi="Arial" w:cs="Arial"/>
                <w:b/>
                <w:bCs/>
                <w:color w:val="000000"/>
                <w:lang w:eastAsia="es-CR"/>
              </w:rPr>
              <w:t>Plazo Máximo Fijado</w:t>
            </w:r>
          </w:p>
        </w:tc>
      </w:tr>
      <w:tr w:rsidR="003427B8" w:rsidRPr="003427B8" w14:paraId="42F2E2CF" w14:textId="77777777" w:rsidTr="00244C6E">
        <w:trPr>
          <w:trHeight w:val="315"/>
          <w:tblHeader/>
        </w:trPr>
        <w:tc>
          <w:tcPr>
            <w:tcW w:w="1706" w:type="dxa"/>
            <w:vMerge/>
            <w:tcBorders>
              <w:top w:val="single" w:sz="4" w:space="0" w:color="auto"/>
              <w:left w:val="single" w:sz="4" w:space="0" w:color="auto"/>
              <w:bottom w:val="single" w:sz="4" w:space="0" w:color="auto"/>
              <w:right w:val="single" w:sz="4" w:space="0" w:color="auto"/>
            </w:tcBorders>
            <w:vAlign w:val="center"/>
            <w:hideMark/>
          </w:tcPr>
          <w:p w14:paraId="42F2E2CA" w14:textId="77777777" w:rsidR="003427B8" w:rsidRPr="003427B8" w:rsidRDefault="003427B8" w:rsidP="003427B8">
            <w:pPr>
              <w:spacing w:after="0" w:line="240" w:lineRule="auto"/>
              <w:rPr>
                <w:rFonts w:ascii="Arial" w:eastAsia="Times New Roman" w:hAnsi="Arial" w:cs="Arial"/>
                <w:b/>
                <w:bCs/>
                <w:color w:val="000000"/>
                <w:lang w:eastAsia="es-CR"/>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14:paraId="42F2E2CB" w14:textId="77777777" w:rsidR="003427B8" w:rsidRPr="003427B8" w:rsidRDefault="003427B8" w:rsidP="003427B8">
            <w:pPr>
              <w:spacing w:after="0" w:line="240" w:lineRule="auto"/>
              <w:rPr>
                <w:rFonts w:ascii="Arial" w:eastAsia="Times New Roman" w:hAnsi="Arial" w:cs="Arial"/>
                <w:b/>
                <w:bCs/>
                <w:color w:val="000000"/>
                <w:lang w:eastAsia="es-CR"/>
              </w:rPr>
            </w:pPr>
          </w:p>
        </w:tc>
        <w:tc>
          <w:tcPr>
            <w:tcW w:w="1251" w:type="dxa"/>
            <w:tcBorders>
              <w:top w:val="nil"/>
              <w:left w:val="nil"/>
              <w:bottom w:val="single" w:sz="4" w:space="0" w:color="auto"/>
              <w:right w:val="single" w:sz="4" w:space="0" w:color="auto"/>
            </w:tcBorders>
            <w:shd w:val="clear" w:color="000000" w:fill="F2F2F2"/>
            <w:vAlign w:val="center"/>
            <w:hideMark/>
          </w:tcPr>
          <w:p w14:paraId="42F2E2CC" w14:textId="77777777" w:rsidR="003427B8" w:rsidRPr="003427B8" w:rsidRDefault="003427B8" w:rsidP="003427B8">
            <w:pPr>
              <w:spacing w:after="0" w:line="240" w:lineRule="auto"/>
              <w:jc w:val="center"/>
              <w:rPr>
                <w:rFonts w:ascii="Arial" w:eastAsia="Times New Roman" w:hAnsi="Arial" w:cs="Arial"/>
                <w:b/>
                <w:bCs/>
                <w:color w:val="000000"/>
                <w:lang w:eastAsia="es-CR"/>
              </w:rPr>
            </w:pPr>
            <w:r w:rsidRPr="003427B8">
              <w:rPr>
                <w:rFonts w:ascii="Arial" w:eastAsia="Times New Roman" w:hAnsi="Arial" w:cs="Arial"/>
                <w:b/>
                <w:bCs/>
                <w:color w:val="000000"/>
                <w:lang w:eastAsia="es-CR"/>
              </w:rPr>
              <w:t>Marzo</w:t>
            </w:r>
          </w:p>
        </w:tc>
        <w:tc>
          <w:tcPr>
            <w:tcW w:w="1155" w:type="dxa"/>
            <w:tcBorders>
              <w:top w:val="nil"/>
              <w:left w:val="nil"/>
              <w:bottom w:val="single" w:sz="4" w:space="0" w:color="auto"/>
              <w:right w:val="single" w:sz="4" w:space="0" w:color="auto"/>
            </w:tcBorders>
            <w:shd w:val="clear" w:color="000000" w:fill="F2F2F2"/>
            <w:vAlign w:val="center"/>
            <w:hideMark/>
          </w:tcPr>
          <w:p w14:paraId="42F2E2CD" w14:textId="77777777" w:rsidR="003427B8" w:rsidRPr="003427B8" w:rsidRDefault="003427B8" w:rsidP="003427B8">
            <w:pPr>
              <w:spacing w:after="0" w:line="240" w:lineRule="auto"/>
              <w:jc w:val="center"/>
              <w:rPr>
                <w:rFonts w:ascii="Arial" w:eastAsia="Times New Roman" w:hAnsi="Arial" w:cs="Arial"/>
                <w:b/>
                <w:bCs/>
                <w:color w:val="000000"/>
                <w:lang w:eastAsia="es-CR"/>
              </w:rPr>
            </w:pPr>
            <w:r w:rsidRPr="003427B8">
              <w:rPr>
                <w:rFonts w:ascii="Arial" w:eastAsia="Times New Roman" w:hAnsi="Arial" w:cs="Arial"/>
                <w:b/>
                <w:bCs/>
                <w:color w:val="000000"/>
                <w:lang w:eastAsia="es-CR"/>
              </w:rPr>
              <w:t>Abril</w:t>
            </w:r>
          </w:p>
        </w:tc>
        <w:tc>
          <w:tcPr>
            <w:tcW w:w="983" w:type="dxa"/>
            <w:tcBorders>
              <w:top w:val="nil"/>
              <w:left w:val="nil"/>
              <w:bottom w:val="single" w:sz="4" w:space="0" w:color="auto"/>
              <w:right w:val="single" w:sz="4" w:space="0" w:color="auto"/>
            </w:tcBorders>
            <w:shd w:val="clear" w:color="000000" w:fill="F2F2F2"/>
          </w:tcPr>
          <w:p w14:paraId="42F2E2CE" w14:textId="77777777" w:rsidR="003427B8" w:rsidRPr="003427B8" w:rsidRDefault="003427B8" w:rsidP="003427B8">
            <w:pPr>
              <w:spacing w:after="0" w:line="240" w:lineRule="auto"/>
              <w:jc w:val="center"/>
              <w:rPr>
                <w:rFonts w:ascii="Arial" w:eastAsia="Times New Roman" w:hAnsi="Arial" w:cs="Arial"/>
                <w:b/>
                <w:bCs/>
                <w:color w:val="000000"/>
                <w:lang w:eastAsia="es-CR"/>
              </w:rPr>
            </w:pPr>
            <w:r w:rsidRPr="003427B8">
              <w:rPr>
                <w:rFonts w:ascii="Arial" w:eastAsia="Times New Roman" w:hAnsi="Arial" w:cs="Arial"/>
                <w:b/>
                <w:bCs/>
                <w:color w:val="000000"/>
                <w:lang w:eastAsia="es-CR"/>
              </w:rPr>
              <w:t>Mayo</w:t>
            </w:r>
          </w:p>
        </w:tc>
      </w:tr>
      <w:tr w:rsidR="003427B8" w:rsidRPr="003427B8" w14:paraId="42F2E2D7" w14:textId="77777777" w:rsidTr="00244C6E">
        <w:trPr>
          <w:trHeight w:val="499"/>
        </w:trPr>
        <w:tc>
          <w:tcPr>
            <w:tcW w:w="1706" w:type="dxa"/>
            <w:vMerge w:val="restart"/>
            <w:tcBorders>
              <w:top w:val="single" w:sz="4" w:space="0" w:color="auto"/>
              <w:left w:val="single" w:sz="4" w:space="0" w:color="auto"/>
              <w:right w:val="single" w:sz="4" w:space="0" w:color="auto"/>
            </w:tcBorders>
            <w:shd w:val="clear" w:color="auto" w:fill="auto"/>
            <w:vAlign w:val="center"/>
          </w:tcPr>
          <w:p w14:paraId="42F2E2D0" w14:textId="77777777" w:rsidR="003427B8" w:rsidRPr="003427B8" w:rsidRDefault="003427B8" w:rsidP="003427B8">
            <w:pPr>
              <w:spacing w:after="0" w:line="240" w:lineRule="auto"/>
              <w:jc w:val="center"/>
              <w:rPr>
                <w:rFonts w:ascii="Arial" w:eastAsia="Times New Roman" w:hAnsi="Arial" w:cs="Arial"/>
                <w:color w:val="000000"/>
                <w:lang w:eastAsia="es-CR"/>
              </w:rPr>
            </w:pPr>
            <w:r w:rsidRPr="003427B8">
              <w:rPr>
                <w:rFonts w:ascii="Arial" w:eastAsia="Times New Roman" w:hAnsi="Arial" w:cs="Arial"/>
                <w:color w:val="000000"/>
                <w:lang w:eastAsia="es-CR"/>
              </w:rPr>
              <w:t>Emisores de Valores</w:t>
            </w:r>
          </w:p>
        </w:tc>
        <w:tc>
          <w:tcPr>
            <w:tcW w:w="3733" w:type="dxa"/>
            <w:tcBorders>
              <w:top w:val="nil"/>
              <w:left w:val="nil"/>
              <w:bottom w:val="single" w:sz="4" w:space="0" w:color="auto"/>
              <w:right w:val="single" w:sz="4" w:space="0" w:color="auto"/>
            </w:tcBorders>
            <w:shd w:val="clear" w:color="000000" w:fill="FFFFFF"/>
            <w:vAlign w:val="center"/>
          </w:tcPr>
          <w:p w14:paraId="42F2E2D1"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Estados financieros internos:</w:t>
            </w:r>
          </w:p>
          <w:p w14:paraId="42F2E2D2"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 xml:space="preserve">Emisores que no consolidan e  </w:t>
            </w:r>
          </w:p>
          <w:p w14:paraId="42F2E2D3"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Emisores que consolidan con subsidiarias nacionales</w:t>
            </w:r>
          </w:p>
        </w:tc>
        <w:tc>
          <w:tcPr>
            <w:tcW w:w="1251" w:type="dxa"/>
            <w:tcBorders>
              <w:top w:val="nil"/>
              <w:left w:val="nil"/>
              <w:bottom w:val="single" w:sz="4" w:space="0" w:color="auto"/>
              <w:right w:val="single" w:sz="4" w:space="0" w:color="auto"/>
            </w:tcBorders>
            <w:shd w:val="clear" w:color="auto" w:fill="auto"/>
            <w:vAlign w:val="center"/>
          </w:tcPr>
          <w:p w14:paraId="42F2E2D4"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29-may</w:t>
            </w:r>
          </w:p>
        </w:tc>
        <w:tc>
          <w:tcPr>
            <w:tcW w:w="1155" w:type="dxa"/>
            <w:tcBorders>
              <w:top w:val="nil"/>
              <w:left w:val="nil"/>
              <w:bottom w:val="single" w:sz="4" w:space="0" w:color="auto"/>
              <w:right w:val="single" w:sz="4" w:space="0" w:color="auto"/>
            </w:tcBorders>
            <w:shd w:val="clear" w:color="auto" w:fill="auto"/>
            <w:vAlign w:val="center"/>
          </w:tcPr>
          <w:p w14:paraId="42F2E2D5" w14:textId="77777777" w:rsidR="003427B8" w:rsidRPr="003427B8" w:rsidRDefault="003427B8" w:rsidP="003427B8">
            <w:pPr>
              <w:spacing w:after="0" w:line="240" w:lineRule="auto"/>
              <w:jc w:val="center"/>
              <w:rPr>
                <w:rFonts w:ascii="Arial" w:eastAsia="Times New Roman" w:hAnsi="Arial" w:cs="Arial"/>
                <w:lang w:eastAsia="es-CR"/>
              </w:rPr>
            </w:pPr>
            <w:proofErr w:type="spellStart"/>
            <w:r w:rsidRPr="003427B8">
              <w:rPr>
                <w:rFonts w:ascii="Arial" w:eastAsia="Times New Roman" w:hAnsi="Arial" w:cs="Arial"/>
                <w:lang w:eastAsia="es-CR"/>
              </w:rPr>
              <w:t>n.a</w:t>
            </w:r>
            <w:proofErr w:type="spellEnd"/>
            <w:r w:rsidRPr="003427B8">
              <w:rPr>
                <w:rFonts w:ascii="Arial" w:eastAsia="Times New Roman" w:hAnsi="Arial" w:cs="Arial"/>
                <w:lang w:eastAsia="es-CR"/>
              </w:rPr>
              <w:t>.</w:t>
            </w:r>
          </w:p>
        </w:tc>
        <w:tc>
          <w:tcPr>
            <w:tcW w:w="983" w:type="dxa"/>
            <w:tcBorders>
              <w:top w:val="nil"/>
              <w:left w:val="nil"/>
              <w:bottom w:val="single" w:sz="4" w:space="0" w:color="auto"/>
              <w:right w:val="single" w:sz="4" w:space="0" w:color="auto"/>
            </w:tcBorders>
            <w:vAlign w:val="center"/>
          </w:tcPr>
          <w:p w14:paraId="42F2E2D6" w14:textId="77777777" w:rsidR="003427B8" w:rsidRPr="003427B8" w:rsidRDefault="003427B8" w:rsidP="003427B8">
            <w:pPr>
              <w:spacing w:after="0" w:line="240" w:lineRule="auto"/>
              <w:jc w:val="center"/>
              <w:rPr>
                <w:rFonts w:ascii="Arial" w:eastAsia="Times New Roman" w:hAnsi="Arial" w:cs="Arial"/>
                <w:lang w:eastAsia="es-CR"/>
              </w:rPr>
            </w:pPr>
            <w:proofErr w:type="spellStart"/>
            <w:r w:rsidRPr="003427B8">
              <w:rPr>
                <w:rFonts w:ascii="Arial" w:eastAsia="Times New Roman" w:hAnsi="Arial" w:cs="Arial"/>
                <w:lang w:eastAsia="es-CR"/>
              </w:rPr>
              <w:t>n.a</w:t>
            </w:r>
            <w:proofErr w:type="spellEnd"/>
            <w:r w:rsidRPr="003427B8">
              <w:rPr>
                <w:rFonts w:ascii="Arial" w:eastAsia="Times New Roman" w:hAnsi="Arial" w:cs="Arial"/>
                <w:lang w:eastAsia="es-CR"/>
              </w:rPr>
              <w:t>.</w:t>
            </w:r>
          </w:p>
        </w:tc>
      </w:tr>
      <w:tr w:rsidR="003427B8" w:rsidRPr="003427B8" w14:paraId="42F2E2DD" w14:textId="77777777" w:rsidTr="00244C6E">
        <w:trPr>
          <w:trHeight w:val="499"/>
        </w:trPr>
        <w:tc>
          <w:tcPr>
            <w:tcW w:w="1706" w:type="dxa"/>
            <w:vMerge/>
            <w:tcBorders>
              <w:left w:val="single" w:sz="4" w:space="0" w:color="auto"/>
              <w:right w:val="single" w:sz="4" w:space="0" w:color="auto"/>
            </w:tcBorders>
            <w:shd w:val="clear" w:color="auto" w:fill="auto"/>
            <w:vAlign w:val="center"/>
          </w:tcPr>
          <w:p w14:paraId="42F2E2D8" w14:textId="77777777" w:rsidR="003427B8" w:rsidRPr="003427B8" w:rsidRDefault="003427B8" w:rsidP="003427B8">
            <w:pPr>
              <w:spacing w:after="0" w:line="240" w:lineRule="auto"/>
              <w:jc w:val="center"/>
              <w:rPr>
                <w:rFonts w:ascii="Arial" w:eastAsia="Times New Roman" w:hAnsi="Arial" w:cs="Arial"/>
                <w:color w:val="000000"/>
                <w:lang w:eastAsia="es-CR"/>
              </w:rPr>
            </w:pPr>
          </w:p>
        </w:tc>
        <w:tc>
          <w:tcPr>
            <w:tcW w:w="3733" w:type="dxa"/>
            <w:tcBorders>
              <w:top w:val="nil"/>
              <w:left w:val="nil"/>
              <w:bottom w:val="single" w:sz="4" w:space="0" w:color="auto"/>
              <w:right w:val="single" w:sz="4" w:space="0" w:color="auto"/>
            </w:tcBorders>
            <w:shd w:val="clear" w:color="000000" w:fill="FFFFFF"/>
            <w:vAlign w:val="center"/>
          </w:tcPr>
          <w:p w14:paraId="42F2E2D9"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Informe de participaciones significativas que reportan los emisores accionarios</w:t>
            </w:r>
          </w:p>
        </w:tc>
        <w:tc>
          <w:tcPr>
            <w:tcW w:w="1251" w:type="dxa"/>
            <w:tcBorders>
              <w:top w:val="nil"/>
              <w:left w:val="nil"/>
              <w:bottom w:val="single" w:sz="4" w:space="0" w:color="auto"/>
              <w:right w:val="single" w:sz="4" w:space="0" w:color="auto"/>
            </w:tcBorders>
            <w:shd w:val="clear" w:color="auto" w:fill="auto"/>
            <w:vAlign w:val="center"/>
          </w:tcPr>
          <w:p w14:paraId="42F2E2DA"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29-may</w:t>
            </w:r>
          </w:p>
        </w:tc>
        <w:tc>
          <w:tcPr>
            <w:tcW w:w="1155" w:type="dxa"/>
            <w:tcBorders>
              <w:top w:val="nil"/>
              <w:left w:val="nil"/>
              <w:bottom w:val="single" w:sz="4" w:space="0" w:color="auto"/>
              <w:right w:val="single" w:sz="4" w:space="0" w:color="auto"/>
            </w:tcBorders>
            <w:shd w:val="clear" w:color="auto" w:fill="auto"/>
            <w:vAlign w:val="center"/>
          </w:tcPr>
          <w:p w14:paraId="42F2E2DB" w14:textId="77777777" w:rsidR="003427B8" w:rsidRPr="003427B8" w:rsidRDefault="003427B8" w:rsidP="003427B8">
            <w:pPr>
              <w:spacing w:after="0" w:line="240" w:lineRule="auto"/>
              <w:jc w:val="center"/>
              <w:rPr>
                <w:rFonts w:ascii="Arial" w:eastAsia="Times New Roman" w:hAnsi="Arial" w:cs="Arial"/>
                <w:lang w:eastAsia="es-CR"/>
              </w:rPr>
            </w:pPr>
            <w:proofErr w:type="spellStart"/>
            <w:r w:rsidRPr="003427B8">
              <w:rPr>
                <w:rFonts w:ascii="Arial" w:eastAsia="Times New Roman" w:hAnsi="Arial" w:cs="Arial"/>
                <w:lang w:eastAsia="es-CR"/>
              </w:rPr>
              <w:t>n.a</w:t>
            </w:r>
            <w:proofErr w:type="spellEnd"/>
            <w:r w:rsidRPr="003427B8">
              <w:rPr>
                <w:rFonts w:ascii="Arial" w:eastAsia="Times New Roman" w:hAnsi="Arial" w:cs="Arial"/>
                <w:lang w:eastAsia="es-CR"/>
              </w:rPr>
              <w:t>.</w:t>
            </w:r>
          </w:p>
        </w:tc>
        <w:tc>
          <w:tcPr>
            <w:tcW w:w="983" w:type="dxa"/>
            <w:tcBorders>
              <w:top w:val="nil"/>
              <w:left w:val="nil"/>
              <w:bottom w:val="single" w:sz="4" w:space="0" w:color="auto"/>
              <w:right w:val="single" w:sz="4" w:space="0" w:color="auto"/>
            </w:tcBorders>
            <w:vAlign w:val="center"/>
          </w:tcPr>
          <w:p w14:paraId="42F2E2DC" w14:textId="77777777" w:rsidR="003427B8" w:rsidRPr="003427B8" w:rsidRDefault="003427B8" w:rsidP="003427B8">
            <w:pPr>
              <w:spacing w:after="0" w:line="240" w:lineRule="auto"/>
              <w:jc w:val="center"/>
              <w:rPr>
                <w:rFonts w:ascii="Arial" w:eastAsia="Times New Roman" w:hAnsi="Arial" w:cs="Arial"/>
                <w:lang w:eastAsia="es-CR"/>
              </w:rPr>
            </w:pPr>
            <w:proofErr w:type="spellStart"/>
            <w:r w:rsidRPr="003427B8">
              <w:rPr>
                <w:rFonts w:ascii="Arial" w:eastAsia="Times New Roman" w:hAnsi="Arial" w:cs="Arial"/>
                <w:lang w:eastAsia="es-CR"/>
              </w:rPr>
              <w:t>n.a</w:t>
            </w:r>
            <w:proofErr w:type="spellEnd"/>
            <w:r w:rsidRPr="003427B8">
              <w:rPr>
                <w:rFonts w:ascii="Arial" w:eastAsia="Times New Roman" w:hAnsi="Arial" w:cs="Arial"/>
                <w:lang w:eastAsia="es-CR"/>
              </w:rPr>
              <w:t>.</w:t>
            </w:r>
          </w:p>
        </w:tc>
      </w:tr>
      <w:tr w:rsidR="003427B8" w:rsidRPr="003427B8" w14:paraId="42F2E2E3" w14:textId="77777777" w:rsidTr="00244C6E">
        <w:trPr>
          <w:trHeight w:val="499"/>
        </w:trPr>
        <w:tc>
          <w:tcPr>
            <w:tcW w:w="1706" w:type="dxa"/>
            <w:vMerge/>
            <w:tcBorders>
              <w:left w:val="single" w:sz="4" w:space="0" w:color="auto"/>
              <w:right w:val="single" w:sz="4" w:space="0" w:color="auto"/>
            </w:tcBorders>
            <w:shd w:val="clear" w:color="auto" w:fill="auto"/>
            <w:vAlign w:val="center"/>
          </w:tcPr>
          <w:p w14:paraId="42F2E2DE" w14:textId="77777777" w:rsidR="003427B8" w:rsidRPr="003427B8" w:rsidRDefault="003427B8" w:rsidP="003427B8">
            <w:pPr>
              <w:spacing w:after="0" w:line="240" w:lineRule="auto"/>
              <w:jc w:val="center"/>
              <w:rPr>
                <w:rFonts w:ascii="Arial" w:eastAsia="Times New Roman" w:hAnsi="Arial" w:cs="Arial"/>
                <w:color w:val="000000"/>
                <w:lang w:eastAsia="es-CR"/>
              </w:rPr>
            </w:pPr>
          </w:p>
        </w:tc>
        <w:tc>
          <w:tcPr>
            <w:tcW w:w="3733" w:type="dxa"/>
            <w:tcBorders>
              <w:top w:val="nil"/>
              <w:left w:val="nil"/>
              <w:bottom w:val="single" w:sz="4" w:space="0" w:color="auto"/>
              <w:right w:val="single" w:sz="4" w:space="0" w:color="auto"/>
            </w:tcBorders>
            <w:shd w:val="clear" w:color="000000" w:fill="FFFFFF"/>
          </w:tcPr>
          <w:p w14:paraId="42F2E2DF" w14:textId="77777777" w:rsidR="003427B8" w:rsidRPr="003427B8" w:rsidRDefault="003427B8" w:rsidP="003427B8">
            <w:pPr>
              <w:rPr>
                <w:rFonts w:ascii="Arial" w:eastAsia="Calibri" w:hAnsi="Arial" w:cs="Arial"/>
                <w:lang w:val="es-ES"/>
              </w:rPr>
            </w:pPr>
            <w:r w:rsidRPr="003427B8">
              <w:rPr>
                <w:rFonts w:ascii="Arial" w:eastAsia="Calibri" w:hAnsi="Arial" w:cs="Arial"/>
                <w:lang w:val="es-ES"/>
              </w:rPr>
              <w:t xml:space="preserve">Informe del estado sobre carteras de activos titularizados </w:t>
            </w:r>
          </w:p>
        </w:tc>
        <w:tc>
          <w:tcPr>
            <w:tcW w:w="1251" w:type="dxa"/>
            <w:tcBorders>
              <w:top w:val="nil"/>
              <w:left w:val="nil"/>
              <w:bottom w:val="single" w:sz="4" w:space="0" w:color="auto"/>
              <w:right w:val="single" w:sz="4" w:space="0" w:color="auto"/>
            </w:tcBorders>
            <w:shd w:val="clear" w:color="auto" w:fill="auto"/>
            <w:vAlign w:val="center"/>
          </w:tcPr>
          <w:p w14:paraId="42F2E2E0"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15-may</w:t>
            </w:r>
          </w:p>
        </w:tc>
        <w:tc>
          <w:tcPr>
            <w:tcW w:w="1155" w:type="dxa"/>
            <w:tcBorders>
              <w:top w:val="nil"/>
              <w:left w:val="nil"/>
              <w:bottom w:val="single" w:sz="4" w:space="0" w:color="auto"/>
              <w:right w:val="single" w:sz="4" w:space="0" w:color="auto"/>
            </w:tcBorders>
            <w:shd w:val="clear" w:color="auto" w:fill="auto"/>
            <w:vAlign w:val="center"/>
          </w:tcPr>
          <w:p w14:paraId="42F2E2E1" w14:textId="77777777" w:rsidR="003427B8" w:rsidRPr="003427B8" w:rsidRDefault="003427B8" w:rsidP="003427B8">
            <w:pPr>
              <w:spacing w:after="0" w:line="240" w:lineRule="auto"/>
              <w:jc w:val="center"/>
              <w:rPr>
                <w:rFonts w:ascii="Arial" w:eastAsia="Times New Roman" w:hAnsi="Arial" w:cs="Arial"/>
                <w:lang w:eastAsia="es-CR"/>
              </w:rPr>
            </w:pPr>
            <w:proofErr w:type="spellStart"/>
            <w:r w:rsidRPr="003427B8">
              <w:rPr>
                <w:rFonts w:ascii="Arial" w:eastAsia="Times New Roman" w:hAnsi="Arial" w:cs="Arial"/>
                <w:lang w:eastAsia="es-CR"/>
              </w:rPr>
              <w:t>n.a</w:t>
            </w:r>
            <w:proofErr w:type="spellEnd"/>
            <w:r w:rsidRPr="003427B8">
              <w:rPr>
                <w:rFonts w:ascii="Arial" w:eastAsia="Times New Roman" w:hAnsi="Arial" w:cs="Arial"/>
                <w:lang w:eastAsia="es-CR"/>
              </w:rPr>
              <w:t>.</w:t>
            </w:r>
          </w:p>
        </w:tc>
        <w:tc>
          <w:tcPr>
            <w:tcW w:w="983" w:type="dxa"/>
            <w:tcBorders>
              <w:top w:val="nil"/>
              <w:left w:val="nil"/>
              <w:bottom w:val="single" w:sz="4" w:space="0" w:color="auto"/>
              <w:right w:val="single" w:sz="4" w:space="0" w:color="auto"/>
            </w:tcBorders>
            <w:vAlign w:val="center"/>
          </w:tcPr>
          <w:p w14:paraId="42F2E2E2" w14:textId="77777777" w:rsidR="003427B8" w:rsidRPr="003427B8" w:rsidRDefault="003427B8" w:rsidP="003427B8">
            <w:pPr>
              <w:spacing w:after="0" w:line="240" w:lineRule="auto"/>
              <w:jc w:val="center"/>
              <w:rPr>
                <w:rFonts w:ascii="Arial" w:eastAsia="Times New Roman" w:hAnsi="Arial" w:cs="Arial"/>
                <w:lang w:eastAsia="es-CR"/>
              </w:rPr>
            </w:pPr>
            <w:proofErr w:type="spellStart"/>
            <w:r w:rsidRPr="003427B8">
              <w:rPr>
                <w:rFonts w:ascii="Arial" w:eastAsia="Times New Roman" w:hAnsi="Arial" w:cs="Arial"/>
                <w:lang w:eastAsia="es-CR"/>
              </w:rPr>
              <w:t>n.a</w:t>
            </w:r>
            <w:proofErr w:type="spellEnd"/>
            <w:r w:rsidRPr="003427B8">
              <w:rPr>
                <w:rFonts w:ascii="Arial" w:eastAsia="Times New Roman" w:hAnsi="Arial" w:cs="Arial"/>
                <w:lang w:eastAsia="es-CR"/>
              </w:rPr>
              <w:t>.</w:t>
            </w:r>
          </w:p>
        </w:tc>
      </w:tr>
      <w:tr w:rsidR="003427B8" w:rsidRPr="003427B8" w14:paraId="42F2E2E9" w14:textId="77777777" w:rsidTr="00244C6E">
        <w:trPr>
          <w:trHeight w:val="499"/>
        </w:trPr>
        <w:tc>
          <w:tcPr>
            <w:tcW w:w="1706" w:type="dxa"/>
            <w:vMerge/>
            <w:tcBorders>
              <w:left w:val="single" w:sz="4" w:space="0" w:color="auto"/>
              <w:right w:val="single" w:sz="4" w:space="0" w:color="auto"/>
            </w:tcBorders>
            <w:shd w:val="clear" w:color="auto" w:fill="auto"/>
            <w:vAlign w:val="center"/>
          </w:tcPr>
          <w:p w14:paraId="42F2E2E4" w14:textId="77777777" w:rsidR="003427B8" w:rsidRPr="003427B8" w:rsidRDefault="003427B8" w:rsidP="003427B8">
            <w:pPr>
              <w:spacing w:after="0" w:line="240" w:lineRule="auto"/>
              <w:jc w:val="center"/>
              <w:rPr>
                <w:rFonts w:ascii="Arial" w:eastAsia="Times New Roman" w:hAnsi="Arial" w:cs="Arial"/>
                <w:color w:val="000000"/>
                <w:lang w:eastAsia="es-CR"/>
              </w:rPr>
            </w:pPr>
          </w:p>
        </w:tc>
        <w:tc>
          <w:tcPr>
            <w:tcW w:w="3733" w:type="dxa"/>
            <w:tcBorders>
              <w:top w:val="nil"/>
              <w:left w:val="nil"/>
              <w:bottom w:val="single" w:sz="4" w:space="0" w:color="auto"/>
              <w:right w:val="single" w:sz="4" w:space="0" w:color="auto"/>
            </w:tcBorders>
            <w:shd w:val="clear" w:color="000000" w:fill="FFFFFF"/>
          </w:tcPr>
          <w:p w14:paraId="42F2E2E5" w14:textId="77777777" w:rsidR="003427B8" w:rsidRPr="003427B8" w:rsidRDefault="003427B8" w:rsidP="003427B8">
            <w:pPr>
              <w:rPr>
                <w:rFonts w:ascii="Arial" w:eastAsia="Calibri" w:hAnsi="Arial" w:cs="Arial"/>
                <w:lang w:val="es-ES"/>
              </w:rPr>
            </w:pPr>
            <w:r w:rsidRPr="003427B8">
              <w:rPr>
                <w:rFonts w:ascii="Arial" w:eastAsia="Calibri" w:hAnsi="Arial" w:cs="Arial"/>
                <w:lang w:val="es-ES"/>
              </w:rPr>
              <w:t>Informe de riesgo sobre carteras titularizadas</w:t>
            </w:r>
          </w:p>
        </w:tc>
        <w:tc>
          <w:tcPr>
            <w:tcW w:w="1251" w:type="dxa"/>
            <w:tcBorders>
              <w:top w:val="nil"/>
              <w:left w:val="nil"/>
              <w:bottom w:val="single" w:sz="4" w:space="0" w:color="auto"/>
              <w:right w:val="single" w:sz="4" w:space="0" w:color="auto"/>
            </w:tcBorders>
            <w:shd w:val="clear" w:color="auto" w:fill="auto"/>
            <w:vAlign w:val="center"/>
          </w:tcPr>
          <w:p w14:paraId="42F2E2E6"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15-may</w:t>
            </w:r>
          </w:p>
        </w:tc>
        <w:tc>
          <w:tcPr>
            <w:tcW w:w="1155" w:type="dxa"/>
            <w:tcBorders>
              <w:top w:val="nil"/>
              <w:left w:val="nil"/>
              <w:bottom w:val="single" w:sz="4" w:space="0" w:color="auto"/>
              <w:right w:val="single" w:sz="4" w:space="0" w:color="auto"/>
            </w:tcBorders>
            <w:shd w:val="clear" w:color="auto" w:fill="auto"/>
            <w:vAlign w:val="center"/>
          </w:tcPr>
          <w:p w14:paraId="42F2E2E7" w14:textId="77777777" w:rsidR="003427B8" w:rsidRPr="003427B8" w:rsidRDefault="003427B8" w:rsidP="003427B8">
            <w:pPr>
              <w:spacing w:after="0" w:line="240" w:lineRule="auto"/>
              <w:jc w:val="center"/>
              <w:rPr>
                <w:rFonts w:ascii="Arial" w:eastAsia="Times New Roman" w:hAnsi="Arial" w:cs="Arial"/>
                <w:lang w:eastAsia="es-CR"/>
              </w:rPr>
            </w:pPr>
            <w:proofErr w:type="spellStart"/>
            <w:r w:rsidRPr="003427B8">
              <w:rPr>
                <w:rFonts w:ascii="Arial" w:eastAsia="Times New Roman" w:hAnsi="Arial" w:cs="Arial"/>
                <w:lang w:eastAsia="es-CR"/>
              </w:rPr>
              <w:t>n.a</w:t>
            </w:r>
            <w:proofErr w:type="spellEnd"/>
            <w:r w:rsidRPr="003427B8">
              <w:rPr>
                <w:rFonts w:ascii="Arial" w:eastAsia="Times New Roman" w:hAnsi="Arial" w:cs="Arial"/>
                <w:lang w:eastAsia="es-CR"/>
              </w:rPr>
              <w:t>.</w:t>
            </w:r>
          </w:p>
        </w:tc>
        <w:tc>
          <w:tcPr>
            <w:tcW w:w="983" w:type="dxa"/>
            <w:tcBorders>
              <w:top w:val="nil"/>
              <w:left w:val="nil"/>
              <w:bottom w:val="single" w:sz="4" w:space="0" w:color="auto"/>
              <w:right w:val="single" w:sz="4" w:space="0" w:color="auto"/>
            </w:tcBorders>
            <w:vAlign w:val="center"/>
          </w:tcPr>
          <w:p w14:paraId="42F2E2E8" w14:textId="77777777" w:rsidR="003427B8" w:rsidRPr="003427B8" w:rsidRDefault="003427B8" w:rsidP="003427B8">
            <w:pPr>
              <w:spacing w:after="0" w:line="240" w:lineRule="auto"/>
              <w:jc w:val="center"/>
              <w:rPr>
                <w:rFonts w:ascii="Arial" w:eastAsia="Times New Roman" w:hAnsi="Arial" w:cs="Arial"/>
                <w:lang w:eastAsia="es-CR"/>
              </w:rPr>
            </w:pPr>
            <w:proofErr w:type="spellStart"/>
            <w:r w:rsidRPr="003427B8">
              <w:rPr>
                <w:rFonts w:ascii="Arial" w:eastAsia="Times New Roman" w:hAnsi="Arial" w:cs="Arial"/>
                <w:lang w:eastAsia="es-CR"/>
              </w:rPr>
              <w:t>n.a</w:t>
            </w:r>
            <w:proofErr w:type="spellEnd"/>
            <w:r w:rsidRPr="003427B8">
              <w:rPr>
                <w:rFonts w:ascii="Arial" w:eastAsia="Times New Roman" w:hAnsi="Arial" w:cs="Arial"/>
                <w:lang w:eastAsia="es-CR"/>
              </w:rPr>
              <w:t>.</w:t>
            </w:r>
          </w:p>
        </w:tc>
      </w:tr>
      <w:tr w:rsidR="003427B8" w:rsidRPr="003427B8" w14:paraId="42F2E2EF" w14:textId="77777777" w:rsidTr="003427B8">
        <w:trPr>
          <w:trHeight w:val="499"/>
        </w:trPr>
        <w:tc>
          <w:tcPr>
            <w:tcW w:w="1706" w:type="dxa"/>
            <w:vMerge/>
            <w:tcBorders>
              <w:left w:val="single" w:sz="4" w:space="0" w:color="auto"/>
              <w:bottom w:val="single" w:sz="4" w:space="0" w:color="auto"/>
              <w:right w:val="single" w:sz="4" w:space="0" w:color="auto"/>
            </w:tcBorders>
            <w:shd w:val="clear" w:color="auto" w:fill="auto"/>
            <w:vAlign w:val="center"/>
          </w:tcPr>
          <w:p w14:paraId="42F2E2EA" w14:textId="77777777" w:rsidR="003427B8" w:rsidRPr="003427B8" w:rsidRDefault="003427B8" w:rsidP="003427B8">
            <w:pPr>
              <w:spacing w:after="0" w:line="240" w:lineRule="auto"/>
              <w:jc w:val="center"/>
              <w:rPr>
                <w:rFonts w:ascii="Arial" w:eastAsia="Times New Roman" w:hAnsi="Arial" w:cs="Arial"/>
                <w:color w:val="000000"/>
                <w:lang w:eastAsia="es-CR"/>
              </w:rPr>
            </w:pPr>
          </w:p>
        </w:tc>
        <w:tc>
          <w:tcPr>
            <w:tcW w:w="3733" w:type="dxa"/>
            <w:tcBorders>
              <w:top w:val="nil"/>
              <w:left w:val="nil"/>
              <w:bottom w:val="single" w:sz="4" w:space="0" w:color="auto"/>
              <w:right w:val="single" w:sz="4" w:space="0" w:color="auto"/>
            </w:tcBorders>
            <w:shd w:val="clear" w:color="000000" w:fill="FFFFFF"/>
          </w:tcPr>
          <w:p w14:paraId="42F2E2EB" w14:textId="77777777" w:rsidR="003427B8" w:rsidRPr="003427B8" w:rsidRDefault="003427B8" w:rsidP="003427B8">
            <w:pPr>
              <w:rPr>
                <w:rFonts w:ascii="Arial" w:eastAsia="Calibri" w:hAnsi="Arial" w:cs="Arial"/>
                <w:lang w:val="es-ES"/>
              </w:rPr>
            </w:pPr>
            <w:r w:rsidRPr="003427B8">
              <w:rPr>
                <w:rFonts w:ascii="Arial" w:eastAsia="Calibri" w:hAnsi="Arial" w:cs="Arial"/>
                <w:lang w:val="es-ES"/>
              </w:rPr>
              <w:t xml:space="preserve">Informe del estado sobre carteras de activos titularizados distintos a carteras de crédito </w:t>
            </w:r>
          </w:p>
        </w:tc>
        <w:tc>
          <w:tcPr>
            <w:tcW w:w="1251" w:type="dxa"/>
            <w:tcBorders>
              <w:top w:val="nil"/>
              <w:left w:val="nil"/>
              <w:bottom w:val="single" w:sz="4" w:space="0" w:color="auto"/>
              <w:right w:val="single" w:sz="4" w:space="0" w:color="auto"/>
            </w:tcBorders>
            <w:shd w:val="clear" w:color="auto" w:fill="auto"/>
            <w:vAlign w:val="center"/>
          </w:tcPr>
          <w:p w14:paraId="42F2E2EC"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15-may</w:t>
            </w:r>
          </w:p>
        </w:tc>
        <w:tc>
          <w:tcPr>
            <w:tcW w:w="1155" w:type="dxa"/>
            <w:tcBorders>
              <w:top w:val="nil"/>
              <w:left w:val="nil"/>
              <w:bottom w:val="single" w:sz="4" w:space="0" w:color="auto"/>
              <w:right w:val="single" w:sz="4" w:space="0" w:color="auto"/>
            </w:tcBorders>
            <w:shd w:val="clear" w:color="auto" w:fill="auto"/>
            <w:vAlign w:val="center"/>
          </w:tcPr>
          <w:p w14:paraId="42F2E2ED" w14:textId="77777777" w:rsidR="003427B8" w:rsidRPr="003427B8" w:rsidRDefault="003427B8" w:rsidP="003427B8">
            <w:pPr>
              <w:spacing w:after="0" w:line="240" w:lineRule="auto"/>
              <w:jc w:val="center"/>
              <w:rPr>
                <w:rFonts w:ascii="Arial" w:eastAsia="Times New Roman" w:hAnsi="Arial" w:cs="Arial"/>
                <w:lang w:eastAsia="es-CR"/>
              </w:rPr>
            </w:pPr>
            <w:proofErr w:type="spellStart"/>
            <w:r w:rsidRPr="003427B8">
              <w:rPr>
                <w:rFonts w:ascii="Arial" w:eastAsia="Times New Roman" w:hAnsi="Arial" w:cs="Arial"/>
                <w:lang w:eastAsia="es-CR"/>
              </w:rPr>
              <w:t>n.a</w:t>
            </w:r>
            <w:proofErr w:type="spellEnd"/>
            <w:r w:rsidRPr="003427B8">
              <w:rPr>
                <w:rFonts w:ascii="Arial" w:eastAsia="Times New Roman" w:hAnsi="Arial" w:cs="Arial"/>
                <w:lang w:eastAsia="es-CR"/>
              </w:rPr>
              <w:t>.</w:t>
            </w:r>
          </w:p>
        </w:tc>
        <w:tc>
          <w:tcPr>
            <w:tcW w:w="983" w:type="dxa"/>
            <w:tcBorders>
              <w:top w:val="nil"/>
              <w:left w:val="nil"/>
              <w:bottom w:val="single" w:sz="4" w:space="0" w:color="auto"/>
              <w:right w:val="single" w:sz="4" w:space="0" w:color="auto"/>
            </w:tcBorders>
            <w:vAlign w:val="center"/>
          </w:tcPr>
          <w:p w14:paraId="42F2E2EE" w14:textId="77777777" w:rsidR="003427B8" w:rsidRPr="003427B8" w:rsidRDefault="003427B8" w:rsidP="003427B8">
            <w:pPr>
              <w:spacing w:after="0" w:line="240" w:lineRule="auto"/>
              <w:jc w:val="center"/>
              <w:rPr>
                <w:rFonts w:ascii="Arial" w:eastAsia="Times New Roman" w:hAnsi="Arial" w:cs="Arial"/>
                <w:lang w:eastAsia="es-CR"/>
              </w:rPr>
            </w:pPr>
            <w:proofErr w:type="spellStart"/>
            <w:r w:rsidRPr="003427B8">
              <w:rPr>
                <w:rFonts w:ascii="Arial" w:eastAsia="Times New Roman" w:hAnsi="Arial" w:cs="Arial"/>
                <w:lang w:eastAsia="es-CR"/>
              </w:rPr>
              <w:t>n.a</w:t>
            </w:r>
            <w:proofErr w:type="spellEnd"/>
            <w:r w:rsidRPr="003427B8">
              <w:rPr>
                <w:rFonts w:ascii="Arial" w:eastAsia="Times New Roman" w:hAnsi="Arial" w:cs="Arial"/>
                <w:lang w:eastAsia="es-CR"/>
              </w:rPr>
              <w:t>.</w:t>
            </w:r>
          </w:p>
        </w:tc>
      </w:tr>
      <w:tr w:rsidR="003427B8" w:rsidRPr="003427B8" w14:paraId="42F2E2F3" w14:textId="77777777" w:rsidTr="003427B8">
        <w:trPr>
          <w:trHeight w:val="499"/>
        </w:trPr>
        <w:tc>
          <w:tcPr>
            <w:tcW w:w="1706" w:type="dxa"/>
            <w:vMerge w:val="restart"/>
            <w:tcBorders>
              <w:top w:val="single" w:sz="4" w:space="0" w:color="auto"/>
              <w:left w:val="single" w:sz="4" w:space="0" w:color="auto"/>
              <w:right w:val="single" w:sz="4" w:space="0" w:color="auto"/>
            </w:tcBorders>
            <w:shd w:val="clear" w:color="auto" w:fill="auto"/>
            <w:vAlign w:val="center"/>
          </w:tcPr>
          <w:p w14:paraId="42F2E2F0" w14:textId="77777777" w:rsidR="003427B8" w:rsidRPr="003427B8" w:rsidRDefault="003427B8" w:rsidP="003427B8">
            <w:pPr>
              <w:spacing w:after="0" w:line="240" w:lineRule="auto"/>
              <w:jc w:val="center"/>
              <w:rPr>
                <w:rFonts w:ascii="Arial" w:eastAsia="Times New Roman" w:hAnsi="Arial" w:cs="Arial"/>
                <w:color w:val="000000"/>
                <w:lang w:eastAsia="es-CR"/>
              </w:rPr>
            </w:pPr>
            <w:r w:rsidRPr="003427B8">
              <w:rPr>
                <w:rFonts w:ascii="Arial" w:eastAsia="Times New Roman" w:hAnsi="Arial" w:cs="Arial"/>
                <w:color w:val="000000"/>
                <w:lang w:eastAsia="es-CR"/>
              </w:rPr>
              <w:t>Sociedades administradoras y fondos de inversión</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42F2E2F1"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Reporte  de composición de cartera de inversionistas de fondos de inversión (quincenal)</w:t>
            </w:r>
          </w:p>
        </w:tc>
        <w:tc>
          <w:tcPr>
            <w:tcW w:w="3389" w:type="dxa"/>
            <w:gridSpan w:val="3"/>
            <w:tcBorders>
              <w:top w:val="nil"/>
              <w:left w:val="nil"/>
              <w:bottom w:val="single" w:sz="4" w:space="0" w:color="auto"/>
              <w:right w:val="single" w:sz="4" w:space="0" w:color="auto"/>
            </w:tcBorders>
            <w:shd w:val="clear" w:color="auto" w:fill="auto"/>
            <w:vAlign w:val="center"/>
          </w:tcPr>
          <w:p w14:paraId="42F2E2F2"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 día hábil después del cierre quincenal</w:t>
            </w:r>
          </w:p>
        </w:tc>
      </w:tr>
      <w:tr w:rsidR="003427B8" w:rsidRPr="003427B8" w14:paraId="42F2E2FC" w14:textId="77777777" w:rsidTr="00244C6E">
        <w:trPr>
          <w:trHeight w:val="499"/>
        </w:trPr>
        <w:tc>
          <w:tcPr>
            <w:tcW w:w="1706" w:type="dxa"/>
            <w:vMerge/>
            <w:tcBorders>
              <w:left w:val="single" w:sz="4" w:space="0" w:color="auto"/>
              <w:right w:val="single" w:sz="4" w:space="0" w:color="auto"/>
            </w:tcBorders>
            <w:shd w:val="clear" w:color="auto" w:fill="auto"/>
            <w:vAlign w:val="center"/>
          </w:tcPr>
          <w:p w14:paraId="42F2E2F4" w14:textId="77777777" w:rsidR="003427B8" w:rsidRPr="003427B8" w:rsidRDefault="003427B8" w:rsidP="003427B8">
            <w:pPr>
              <w:spacing w:after="0" w:line="240" w:lineRule="auto"/>
              <w:jc w:val="center"/>
              <w:rPr>
                <w:rFonts w:ascii="Arial" w:eastAsia="Times New Roman" w:hAnsi="Arial" w:cs="Arial"/>
                <w:color w:val="000000"/>
                <w:lang w:eastAsia="es-CR"/>
              </w:rPr>
            </w:pPr>
          </w:p>
        </w:tc>
        <w:tc>
          <w:tcPr>
            <w:tcW w:w="3733" w:type="dxa"/>
            <w:tcBorders>
              <w:top w:val="nil"/>
              <w:left w:val="nil"/>
              <w:bottom w:val="single" w:sz="4" w:space="0" w:color="auto"/>
              <w:right w:val="single" w:sz="4" w:space="0" w:color="auto"/>
            </w:tcBorders>
            <w:shd w:val="clear" w:color="000000" w:fill="FFFFFF"/>
            <w:vAlign w:val="center"/>
          </w:tcPr>
          <w:p w14:paraId="42F2E2F5"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Reporte diario de suficiencia patrimonial y control de límites</w:t>
            </w:r>
          </w:p>
        </w:tc>
        <w:tc>
          <w:tcPr>
            <w:tcW w:w="1251" w:type="dxa"/>
            <w:tcBorders>
              <w:top w:val="nil"/>
              <w:left w:val="nil"/>
              <w:bottom w:val="single" w:sz="4" w:space="0" w:color="auto"/>
              <w:right w:val="single" w:sz="4" w:space="0" w:color="auto"/>
            </w:tcBorders>
            <w:shd w:val="clear" w:color="auto" w:fill="auto"/>
            <w:vAlign w:val="center"/>
          </w:tcPr>
          <w:p w14:paraId="42F2E2F6"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21-abr</w:t>
            </w:r>
          </w:p>
          <w:p w14:paraId="42F2E2F7"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Los cierres diarios pendientes de marzo</w:t>
            </w:r>
          </w:p>
        </w:tc>
        <w:tc>
          <w:tcPr>
            <w:tcW w:w="1155" w:type="dxa"/>
            <w:tcBorders>
              <w:top w:val="nil"/>
              <w:left w:val="nil"/>
              <w:bottom w:val="single" w:sz="4" w:space="0" w:color="auto"/>
              <w:right w:val="single" w:sz="4" w:space="0" w:color="auto"/>
            </w:tcBorders>
            <w:shd w:val="clear" w:color="auto" w:fill="auto"/>
            <w:vAlign w:val="center"/>
          </w:tcPr>
          <w:p w14:paraId="42F2E2F8"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15-may</w:t>
            </w:r>
          </w:p>
          <w:p w14:paraId="42F2E2F9"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Los cierres diarios de abril</w:t>
            </w:r>
          </w:p>
        </w:tc>
        <w:tc>
          <w:tcPr>
            <w:tcW w:w="983" w:type="dxa"/>
            <w:tcBorders>
              <w:top w:val="nil"/>
              <w:left w:val="nil"/>
              <w:bottom w:val="single" w:sz="4" w:space="0" w:color="auto"/>
              <w:right w:val="single" w:sz="4" w:space="0" w:color="auto"/>
            </w:tcBorders>
            <w:vAlign w:val="center"/>
          </w:tcPr>
          <w:p w14:paraId="42F2E2FA"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13-jun</w:t>
            </w:r>
          </w:p>
          <w:p w14:paraId="42F2E2FB"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Los cierres diarios de mayo</w:t>
            </w:r>
          </w:p>
        </w:tc>
      </w:tr>
      <w:tr w:rsidR="003427B8" w:rsidRPr="003427B8" w14:paraId="42F2E302" w14:textId="77777777" w:rsidTr="00244C6E">
        <w:trPr>
          <w:trHeight w:val="499"/>
        </w:trPr>
        <w:tc>
          <w:tcPr>
            <w:tcW w:w="1706" w:type="dxa"/>
            <w:vMerge/>
            <w:tcBorders>
              <w:left w:val="single" w:sz="4" w:space="0" w:color="auto"/>
              <w:right w:val="single" w:sz="4" w:space="0" w:color="auto"/>
            </w:tcBorders>
            <w:shd w:val="clear" w:color="auto" w:fill="auto"/>
            <w:vAlign w:val="center"/>
            <w:hideMark/>
          </w:tcPr>
          <w:p w14:paraId="42F2E2FD" w14:textId="77777777" w:rsidR="003427B8" w:rsidRPr="003427B8" w:rsidRDefault="003427B8" w:rsidP="003427B8">
            <w:pPr>
              <w:spacing w:after="0" w:line="240" w:lineRule="auto"/>
              <w:jc w:val="center"/>
              <w:rPr>
                <w:rFonts w:ascii="Arial" w:eastAsia="Times New Roman" w:hAnsi="Arial" w:cs="Arial"/>
                <w:color w:val="000000"/>
                <w:lang w:eastAsia="es-CR"/>
              </w:rPr>
            </w:pPr>
          </w:p>
        </w:tc>
        <w:tc>
          <w:tcPr>
            <w:tcW w:w="3733" w:type="dxa"/>
            <w:tcBorders>
              <w:top w:val="nil"/>
              <w:left w:val="nil"/>
              <w:bottom w:val="single" w:sz="4" w:space="0" w:color="auto"/>
              <w:right w:val="single" w:sz="4" w:space="0" w:color="auto"/>
            </w:tcBorders>
            <w:shd w:val="clear" w:color="000000" w:fill="FFFFFF"/>
            <w:vAlign w:val="center"/>
            <w:hideMark/>
          </w:tcPr>
          <w:p w14:paraId="42F2E2FE"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Estados financieros no auditados de la SFI</w:t>
            </w:r>
          </w:p>
        </w:tc>
        <w:tc>
          <w:tcPr>
            <w:tcW w:w="1251" w:type="dxa"/>
            <w:tcBorders>
              <w:top w:val="nil"/>
              <w:left w:val="nil"/>
              <w:bottom w:val="single" w:sz="4" w:space="0" w:color="auto"/>
              <w:right w:val="single" w:sz="4" w:space="0" w:color="auto"/>
            </w:tcBorders>
            <w:shd w:val="clear" w:color="auto" w:fill="auto"/>
            <w:vAlign w:val="center"/>
            <w:hideMark/>
          </w:tcPr>
          <w:p w14:paraId="42F2E2FF"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21-abr</w:t>
            </w:r>
          </w:p>
        </w:tc>
        <w:tc>
          <w:tcPr>
            <w:tcW w:w="1155" w:type="dxa"/>
            <w:tcBorders>
              <w:top w:val="nil"/>
              <w:left w:val="nil"/>
              <w:bottom w:val="single" w:sz="4" w:space="0" w:color="auto"/>
              <w:right w:val="single" w:sz="4" w:space="0" w:color="auto"/>
            </w:tcBorders>
            <w:shd w:val="clear" w:color="auto" w:fill="auto"/>
            <w:vAlign w:val="center"/>
            <w:hideMark/>
          </w:tcPr>
          <w:p w14:paraId="42F2E300"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15-may</w:t>
            </w:r>
          </w:p>
        </w:tc>
        <w:tc>
          <w:tcPr>
            <w:tcW w:w="983" w:type="dxa"/>
            <w:tcBorders>
              <w:top w:val="nil"/>
              <w:left w:val="nil"/>
              <w:bottom w:val="single" w:sz="4" w:space="0" w:color="auto"/>
              <w:right w:val="single" w:sz="4" w:space="0" w:color="auto"/>
            </w:tcBorders>
            <w:vAlign w:val="center"/>
          </w:tcPr>
          <w:p w14:paraId="42F2E301"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13-jun</w:t>
            </w:r>
          </w:p>
        </w:tc>
      </w:tr>
      <w:tr w:rsidR="003427B8" w:rsidRPr="003427B8" w14:paraId="42F2E308" w14:textId="77777777" w:rsidTr="00244C6E">
        <w:trPr>
          <w:trHeight w:val="499"/>
        </w:trPr>
        <w:tc>
          <w:tcPr>
            <w:tcW w:w="1706" w:type="dxa"/>
            <w:vMerge/>
            <w:tcBorders>
              <w:left w:val="single" w:sz="4" w:space="0" w:color="auto"/>
              <w:right w:val="single" w:sz="4" w:space="0" w:color="auto"/>
            </w:tcBorders>
            <w:shd w:val="clear" w:color="auto" w:fill="auto"/>
            <w:vAlign w:val="center"/>
          </w:tcPr>
          <w:p w14:paraId="42F2E303" w14:textId="77777777" w:rsidR="003427B8" w:rsidRPr="003427B8" w:rsidRDefault="003427B8" w:rsidP="003427B8">
            <w:pPr>
              <w:spacing w:after="0" w:line="240" w:lineRule="auto"/>
              <w:jc w:val="center"/>
              <w:rPr>
                <w:rFonts w:ascii="Arial" w:eastAsia="Times New Roman" w:hAnsi="Arial" w:cs="Arial"/>
                <w:color w:val="000000"/>
                <w:lang w:eastAsia="es-CR"/>
              </w:rPr>
            </w:pPr>
          </w:p>
        </w:tc>
        <w:tc>
          <w:tcPr>
            <w:tcW w:w="3733" w:type="dxa"/>
            <w:tcBorders>
              <w:top w:val="nil"/>
              <w:left w:val="nil"/>
              <w:bottom w:val="single" w:sz="4" w:space="0" w:color="auto"/>
              <w:right w:val="single" w:sz="4" w:space="0" w:color="auto"/>
            </w:tcBorders>
            <w:shd w:val="clear" w:color="000000" w:fill="FFFFFF"/>
            <w:vAlign w:val="center"/>
            <w:hideMark/>
          </w:tcPr>
          <w:p w14:paraId="42F2E304"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Reporte de inversiones propias de la SFI</w:t>
            </w:r>
          </w:p>
        </w:tc>
        <w:tc>
          <w:tcPr>
            <w:tcW w:w="1251" w:type="dxa"/>
            <w:tcBorders>
              <w:top w:val="nil"/>
              <w:left w:val="nil"/>
              <w:bottom w:val="single" w:sz="4" w:space="0" w:color="auto"/>
              <w:right w:val="single" w:sz="4" w:space="0" w:color="auto"/>
            </w:tcBorders>
            <w:shd w:val="clear" w:color="auto" w:fill="auto"/>
            <w:vAlign w:val="center"/>
            <w:hideMark/>
          </w:tcPr>
          <w:p w14:paraId="42F2E305"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21-abr</w:t>
            </w:r>
          </w:p>
        </w:tc>
        <w:tc>
          <w:tcPr>
            <w:tcW w:w="1155" w:type="dxa"/>
            <w:tcBorders>
              <w:top w:val="nil"/>
              <w:left w:val="nil"/>
              <w:bottom w:val="single" w:sz="4" w:space="0" w:color="auto"/>
              <w:right w:val="single" w:sz="4" w:space="0" w:color="auto"/>
            </w:tcBorders>
            <w:shd w:val="clear" w:color="auto" w:fill="auto"/>
            <w:vAlign w:val="center"/>
            <w:hideMark/>
          </w:tcPr>
          <w:p w14:paraId="42F2E306"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15-may</w:t>
            </w:r>
          </w:p>
        </w:tc>
        <w:tc>
          <w:tcPr>
            <w:tcW w:w="983" w:type="dxa"/>
            <w:tcBorders>
              <w:top w:val="nil"/>
              <w:left w:val="nil"/>
              <w:bottom w:val="single" w:sz="4" w:space="0" w:color="auto"/>
              <w:right w:val="single" w:sz="4" w:space="0" w:color="auto"/>
            </w:tcBorders>
            <w:vAlign w:val="center"/>
          </w:tcPr>
          <w:p w14:paraId="42F2E307"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13-jun</w:t>
            </w:r>
          </w:p>
        </w:tc>
      </w:tr>
      <w:tr w:rsidR="003427B8" w:rsidRPr="003427B8" w14:paraId="42F2E30E" w14:textId="77777777" w:rsidTr="00244C6E">
        <w:trPr>
          <w:trHeight w:val="499"/>
        </w:trPr>
        <w:tc>
          <w:tcPr>
            <w:tcW w:w="1706" w:type="dxa"/>
            <w:vMerge/>
            <w:tcBorders>
              <w:left w:val="single" w:sz="4" w:space="0" w:color="auto"/>
              <w:right w:val="single" w:sz="4" w:space="0" w:color="auto"/>
            </w:tcBorders>
            <w:shd w:val="clear" w:color="auto" w:fill="auto"/>
            <w:vAlign w:val="center"/>
          </w:tcPr>
          <w:p w14:paraId="42F2E309" w14:textId="77777777" w:rsidR="003427B8" w:rsidRPr="003427B8" w:rsidRDefault="003427B8" w:rsidP="003427B8">
            <w:pPr>
              <w:spacing w:after="0" w:line="240" w:lineRule="auto"/>
              <w:jc w:val="center"/>
              <w:rPr>
                <w:rFonts w:ascii="Arial" w:eastAsia="Times New Roman" w:hAnsi="Arial" w:cs="Arial"/>
                <w:color w:val="000000"/>
                <w:lang w:eastAsia="es-CR"/>
              </w:rPr>
            </w:pPr>
          </w:p>
        </w:tc>
        <w:tc>
          <w:tcPr>
            <w:tcW w:w="3733" w:type="dxa"/>
            <w:tcBorders>
              <w:top w:val="nil"/>
              <w:left w:val="nil"/>
              <w:bottom w:val="single" w:sz="4" w:space="0" w:color="auto"/>
              <w:right w:val="single" w:sz="4" w:space="0" w:color="auto"/>
            </w:tcBorders>
            <w:shd w:val="clear" w:color="000000" w:fill="FFFFFF"/>
            <w:vAlign w:val="center"/>
            <w:hideMark/>
          </w:tcPr>
          <w:p w14:paraId="42F2E30A"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 xml:space="preserve">Informe Trimestral de fondos de inversión </w:t>
            </w:r>
          </w:p>
        </w:tc>
        <w:tc>
          <w:tcPr>
            <w:tcW w:w="1251" w:type="dxa"/>
            <w:tcBorders>
              <w:top w:val="nil"/>
              <w:left w:val="nil"/>
              <w:bottom w:val="single" w:sz="4" w:space="0" w:color="auto"/>
              <w:right w:val="single" w:sz="4" w:space="0" w:color="auto"/>
            </w:tcBorders>
            <w:shd w:val="clear" w:color="auto" w:fill="auto"/>
            <w:vAlign w:val="center"/>
            <w:hideMark/>
          </w:tcPr>
          <w:p w14:paraId="42F2E30B"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15-may</w:t>
            </w:r>
          </w:p>
        </w:tc>
        <w:tc>
          <w:tcPr>
            <w:tcW w:w="1155" w:type="dxa"/>
            <w:tcBorders>
              <w:top w:val="nil"/>
              <w:left w:val="nil"/>
              <w:bottom w:val="single" w:sz="4" w:space="0" w:color="auto"/>
              <w:right w:val="single" w:sz="4" w:space="0" w:color="auto"/>
            </w:tcBorders>
            <w:shd w:val="clear" w:color="auto" w:fill="auto"/>
            <w:vAlign w:val="center"/>
            <w:hideMark/>
          </w:tcPr>
          <w:p w14:paraId="42F2E30C" w14:textId="77777777" w:rsidR="003427B8" w:rsidRPr="003427B8" w:rsidRDefault="003427B8" w:rsidP="003427B8">
            <w:pPr>
              <w:spacing w:after="0" w:line="240" w:lineRule="auto"/>
              <w:jc w:val="center"/>
              <w:rPr>
                <w:rFonts w:ascii="Arial" w:eastAsia="Times New Roman" w:hAnsi="Arial" w:cs="Arial"/>
                <w:lang w:eastAsia="es-CR"/>
              </w:rPr>
            </w:pPr>
            <w:proofErr w:type="spellStart"/>
            <w:r w:rsidRPr="003427B8">
              <w:rPr>
                <w:rFonts w:ascii="Arial" w:eastAsia="Times New Roman" w:hAnsi="Arial" w:cs="Arial"/>
                <w:lang w:eastAsia="es-CR"/>
              </w:rPr>
              <w:t>n.a</w:t>
            </w:r>
            <w:proofErr w:type="spellEnd"/>
            <w:r w:rsidRPr="003427B8">
              <w:rPr>
                <w:rFonts w:ascii="Arial" w:eastAsia="Times New Roman" w:hAnsi="Arial" w:cs="Arial"/>
                <w:lang w:eastAsia="es-CR"/>
              </w:rPr>
              <w:t>.</w:t>
            </w:r>
          </w:p>
        </w:tc>
        <w:tc>
          <w:tcPr>
            <w:tcW w:w="983" w:type="dxa"/>
            <w:tcBorders>
              <w:top w:val="nil"/>
              <w:left w:val="nil"/>
              <w:bottom w:val="single" w:sz="4" w:space="0" w:color="auto"/>
              <w:right w:val="single" w:sz="4" w:space="0" w:color="auto"/>
            </w:tcBorders>
            <w:vAlign w:val="center"/>
          </w:tcPr>
          <w:p w14:paraId="42F2E30D" w14:textId="77777777" w:rsidR="003427B8" w:rsidRPr="003427B8" w:rsidRDefault="003427B8" w:rsidP="003427B8">
            <w:pPr>
              <w:spacing w:after="0" w:line="240" w:lineRule="auto"/>
              <w:jc w:val="center"/>
              <w:rPr>
                <w:rFonts w:ascii="Arial" w:eastAsia="Times New Roman" w:hAnsi="Arial" w:cs="Arial"/>
                <w:lang w:eastAsia="es-CR"/>
              </w:rPr>
            </w:pPr>
            <w:proofErr w:type="spellStart"/>
            <w:r w:rsidRPr="003427B8">
              <w:rPr>
                <w:rFonts w:ascii="Arial" w:eastAsia="Times New Roman" w:hAnsi="Arial" w:cs="Arial"/>
                <w:lang w:eastAsia="es-CR"/>
              </w:rPr>
              <w:t>n.a</w:t>
            </w:r>
            <w:proofErr w:type="spellEnd"/>
            <w:r w:rsidRPr="003427B8">
              <w:rPr>
                <w:rFonts w:ascii="Arial" w:eastAsia="Times New Roman" w:hAnsi="Arial" w:cs="Arial"/>
                <w:lang w:eastAsia="es-CR"/>
              </w:rPr>
              <w:t>.</w:t>
            </w:r>
          </w:p>
        </w:tc>
      </w:tr>
      <w:tr w:rsidR="003427B8" w:rsidRPr="003427B8" w14:paraId="42F2E314" w14:textId="77777777" w:rsidTr="003427B8">
        <w:trPr>
          <w:trHeight w:val="499"/>
        </w:trPr>
        <w:tc>
          <w:tcPr>
            <w:tcW w:w="1706" w:type="dxa"/>
            <w:vMerge/>
            <w:tcBorders>
              <w:left w:val="single" w:sz="4" w:space="0" w:color="auto"/>
              <w:bottom w:val="single" w:sz="4" w:space="0" w:color="auto"/>
              <w:right w:val="single" w:sz="4" w:space="0" w:color="auto"/>
            </w:tcBorders>
            <w:shd w:val="clear" w:color="auto" w:fill="auto"/>
            <w:vAlign w:val="center"/>
          </w:tcPr>
          <w:p w14:paraId="42F2E30F" w14:textId="77777777" w:rsidR="003427B8" w:rsidRPr="003427B8" w:rsidRDefault="003427B8" w:rsidP="003427B8">
            <w:pPr>
              <w:spacing w:after="0" w:line="240" w:lineRule="auto"/>
              <w:jc w:val="center"/>
              <w:rPr>
                <w:rFonts w:ascii="Arial" w:eastAsia="Times New Roman" w:hAnsi="Arial" w:cs="Arial"/>
                <w:color w:val="000000"/>
                <w:lang w:eastAsia="es-CR"/>
              </w:rPr>
            </w:pPr>
          </w:p>
        </w:tc>
        <w:tc>
          <w:tcPr>
            <w:tcW w:w="3733" w:type="dxa"/>
            <w:tcBorders>
              <w:top w:val="nil"/>
              <w:left w:val="nil"/>
              <w:bottom w:val="single" w:sz="4" w:space="0" w:color="auto"/>
              <w:right w:val="single" w:sz="4" w:space="0" w:color="auto"/>
            </w:tcBorders>
            <w:shd w:val="clear" w:color="000000" w:fill="FFFFFF"/>
            <w:vAlign w:val="center"/>
            <w:hideMark/>
          </w:tcPr>
          <w:p w14:paraId="42F2E310"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 xml:space="preserve">Informe de avance de fondos de desarrollo de proyectos </w:t>
            </w:r>
          </w:p>
        </w:tc>
        <w:tc>
          <w:tcPr>
            <w:tcW w:w="1251" w:type="dxa"/>
            <w:tcBorders>
              <w:top w:val="nil"/>
              <w:left w:val="nil"/>
              <w:bottom w:val="single" w:sz="4" w:space="0" w:color="auto"/>
              <w:right w:val="single" w:sz="4" w:space="0" w:color="auto"/>
            </w:tcBorders>
            <w:shd w:val="clear" w:color="auto" w:fill="auto"/>
            <w:vAlign w:val="center"/>
            <w:hideMark/>
          </w:tcPr>
          <w:p w14:paraId="42F2E311"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15-may</w:t>
            </w:r>
          </w:p>
        </w:tc>
        <w:tc>
          <w:tcPr>
            <w:tcW w:w="1155" w:type="dxa"/>
            <w:tcBorders>
              <w:top w:val="nil"/>
              <w:left w:val="nil"/>
              <w:bottom w:val="single" w:sz="4" w:space="0" w:color="auto"/>
              <w:right w:val="single" w:sz="4" w:space="0" w:color="auto"/>
            </w:tcBorders>
            <w:shd w:val="clear" w:color="auto" w:fill="auto"/>
            <w:vAlign w:val="center"/>
          </w:tcPr>
          <w:p w14:paraId="42F2E312" w14:textId="77777777" w:rsidR="003427B8" w:rsidRPr="003427B8" w:rsidRDefault="003427B8" w:rsidP="003427B8">
            <w:pPr>
              <w:spacing w:after="0" w:line="240" w:lineRule="auto"/>
              <w:jc w:val="center"/>
              <w:rPr>
                <w:rFonts w:ascii="Arial" w:eastAsia="Times New Roman" w:hAnsi="Arial" w:cs="Arial"/>
                <w:lang w:eastAsia="es-CR"/>
              </w:rPr>
            </w:pPr>
            <w:proofErr w:type="spellStart"/>
            <w:r w:rsidRPr="003427B8">
              <w:rPr>
                <w:rFonts w:ascii="Arial" w:eastAsia="Times New Roman" w:hAnsi="Arial" w:cs="Arial"/>
                <w:lang w:eastAsia="es-CR"/>
              </w:rPr>
              <w:t>n.a</w:t>
            </w:r>
            <w:proofErr w:type="spellEnd"/>
            <w:r w:rsidRPr="003427B8">
              <w:rPr>
                <w:rFonts w:ascii="Arial" w:eastAsia="Times New Roman" w:hAnsi="Arial" w:cs="Arial"/>
                <w:lang w:eastAsia="es-CR"/>
              </w:rPr>
              <w:t>.</w:t>
            </w:r>
          </w:p>
        </w:tc>
        <w:tc>
          <w:tcPr>
            <w:tcW w:w="983" w:type="dxa"/>
            <w:tcBorders>
              <w:top w:val="nil"/>
              <w:left w:val="nil"/>
              <w:bottom w:val="single" w:sz="4" w:space="0" w:color="auto"/>
              <w:right w:val="single" w:sz="4" w:space="0" w:color="auto"/>
            </w:tcBorders>
            <w:vAlign w:val="center"/>
          </w:tcPr>
          <w:p w14:paraId="42F2E313" w14:textId="77777777" w:rsidR="003427B8" w:rsidRPr="003427B8" w:rsidRDefault="003427B8" w:rsidP="003427B8">
            <w:pPr>
              <w:spacing w:after="0" w:line="240" w:lineRule="auto"/>
              <w:jc w:val="center"/>
              <w:rPr>
                <w:rFonts w:ascii="Arial" w:eastAsia="Times New Roman" w:hAnsi="Arial" w:cs="Arial"/>
                <w:lang w:eastAsia="es-CR"/>
              </w:rPr>
            </w:pPr>
            <w:proofErr w:type="spellStart"/>
            <w:r w:rsidRPr="003427B8">
              <w:rPr>
                <w:rFonts w:ascii="Arial" w:eastAsia="Times New Roman" w:hAnsi="Arial" w:cs="Arial"/>
                <w:lang w:eastAsia="es-CR"/>
              </w:rPr>
              <w:t>n.a</w:t>
            </w:r>
            <w:proofErr w:type="spellEnd"/>
            <w:r w:rsidRPr="003427B8">
              <w:rPr>
                <w:rFonts w:ascii="Arial" w:eastAsia="Times New Roman" w:hAnsi="Arial" w:cs="Arial"/>
                <w:lang w:eastAsia="es-CR"/>
              </w:rPr>
              <w:t>.</w:t>
            </w:r>
          </w:p>
        </w:tc>
      </w:tr>
      <w:tr w:rsidR="003427B8" w:rsidRPr="003427B8" w14:paraId="42F2E31A" w14:textId="77777777" w:rsidTr="003427B8">
        <w:trPr>
          <w:trHeight w:val="499"/>
        </w:trPr>
        <w:tc>
          <w:tcPr>
            <w:tcW w:w="1706" w:type="dxa"/>
            <w:vMerge/>
            <w:tcBorders>
              <w:top w:val="single" w:sz="4" w:space="0" w:color="auto"/>
              <w:left w:val="single" w:sz="4" w:space="0" w:color="auto"/>
              <w:right w:val="single" w:sz="4" w:space="0" w:color="auto"/>
            </w:tcBorders>
            <w:shd w:val="clear" w:color="auto" w:fill="auto"/>
            <w:vAlign w:val="center"/>
          </w:tcPr>
          <w:p w14:paraId="42F2E315" w14:textId="77777777" w:rsidR="003427B8" w:rsidRPr="003427B8" w:rsidRDefault="003427B8" w:rsidP="003427B8">
            <w:pPr>
              <w:spacing w:after="0" w:line="240" w:lineRule="auto"/>
              <w:jc w:val="center"/>
              <w:rPr>
                <w:rFonts w:ascii="Arial" w:eastAsia="Times New Roman" w:hAnsi="Arial" w:cs="Arial"/>
                <w:color w:val="000000"/>
                <w:lang w:eastAsia="es-CR"/>
              </w:rPr>
            </w:pPr>
          </w:p>
        </w:tc>
        <w:tc>
          <w:tcPr>
            <w:tcW w:w="3733" w:type="dxa"/>
            <w:tcBorders>
              <w:top w:val="single" w:sz="4" w:space="0" w:color="auto"/>
              <w:left w:val="nil"/>
              <w:bottom w:val="single" w:sz="4" w:space="0" w:color="auto"/>
              <w:right w:val="single" w:sz="4" w:space="0" w:color="auto"/>
            </w:tcBorders>
            <w:shd w:val="clear" w:color="000000" w:fill="FFFFFF"/>
            <w:vAlign w:val="center"/>
            <w:hideMark/>
          </w:tcPr>
          <w:p w14:paraId="42F2E316"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 xml:space="preserve">Informe del estado sobre carteras de activos titularizados </w:t>
            </w:r>
          </w:p>
        </w:tc>
        <w:tc>
          <w:tcPr>
            <w:tcW w:w="1251" w:type="dxa"/>
            <w:tcBorders>
              <w:top w:val="nil"/>
              <w:left w:val="nil"/>
              <w:bottom w:val="single" w:sz="4" w:space="0" w:color="auto"/>
              <w:right w:val="single" w:sz="4" w:space="0" w:color="auto"/>
            </w:tcBorders>
            <w:shd w:val="clear" w:color="auto" w:fill="auto"/>
            <w:vAlign w:val="center"/>
            <w:hideMark/>
          </w:tcPr>
          <w:p w14:paraId="42F2E317"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15-may</w:t>
            </w:r>
          </w:p>
        </w:tc>
        <w:tc>
          <w:tcPr>
            <w:tcW w:w="1155" w:type="dxa"/>
            <w:tcBorders>
              <w:top w:val="nil"/>
              <w:left w:val="nil"/>
              <w:bottom w:val="single" w:sz="4" w:space="0" w:color="auto"/>
              <w:right w:val="single" w:sz="4" w:space="0" w:color="auto"/>
            </w:tcBorders>
            <w:shd w:val="clear" w:color="auto" w:fill="auto"/>
            <w:vAlign w:val="center"/>
          </w:tcPr>
          <w:p w14:paraId="42F2E318" w14:textId="77777777" w:rsidR="003427B8" w:rsidRPr="003427B8" w:rsidRDefault="003427B8" w:rsidP="003427B8">
            <w:pPr>
              <w:spacing w:after="0" w:line="240" w:lineRule="auto"/>
              <w:jc w:val="center"/>
              <w:rPr>
                <w:rFonts w:ascii="Arial" w:eastAsia="Times New Roman" w:hAnsi="Arial" w:cs="Arial"/>
                <w:lang w:eastAsia="es-CR"/>
              </w:rPr>
            </w:pPr>
            <w:proofErr w:type="spellStart"/>
            <w:r w:rsidRPr="003427B8">
              <w:rPr>
                <w:rFonts w:ascii="Arial" w:eastAsia="Times New Roman" w:hAnsi="Arial" w:cs="Arial"/>
                <w:lang w:eastAsia="es-CR"/>
              </w:rPr>
              <w:t>n.a</w:t>
            </w:r>
            <w:proofErr w:type="spellEnd"/>
            <w:r w:rsidRPr="003427B8">
              <w:rPr>
                <w:rFonts w:ascii="Arial" w:eastAsia="Times New Roman" w:hAnsi="Arial" w:cs="Arial"/>
                <w:lang w:eastAsia="es-CR"/>
              </w:rPr>
              <w:t>.</w:t>
            </w:r>
          </w:p>
        </w:tc>
        <w:tc>
          <w:tcPr>
            <w:tcW w:w="983" w:type="dxa"/>
            <w:tcBorders>
              <w:top w:val="nil"/>
              <w:left w:val="nil"/>
              <w:bottom w:val="single" w:sz="4" w:space="0" w:color="auto"/>
              <w:right w:val="single" w:sz="4" w:space="0" w:color="auto"/>
            </w:tcBorders>
            <w:vAlign w:val="center"/>
          </w:tcPr>
          <w:p w14:paraId="42F2E319" w14:textId="77777777" w:rsidR="003427B8" w:rsidRPr="003427B8" w:rsidRDefault="003427B8" w:rsidP="003427B8">
            <w:pPr>
              <w:spacing w:after="0" w:line="240" w:lineRule="auto"/>
              <w:jc w:val="center"/>
              <w:rPr>
                <w:rFonts w:ascii="Arial" w:eastAsia="Times New Roman" w:hAnsi="Arial" w:cs="Arial"/>
                <w:lang w:eastAsia="es-CR"/>
              </w:rPr>
            </w:pPr>
            <w:proofErr w:type="spellStart"/>
            <w:r w:rsidRPr="003427B8">
              <w:rPr>
                <w:rFonts w:ascii="Arial" w:eastAsia="Times New Roman" w:hAnsi="Arial" w:cs="Arial"/>
                <w:lang w:eastAsia="es-CR"/>
              </w:rPr>
              <w:t>n.a</w:t>
            </w:r>
            <w:proofErr w:type="spellEnd"/>
            <w:r w:rsidRPr="003427B8">
              <w:rPr>
                <w:rFonts w:ascii="Arial" w:eastAsia="Times New Roman" w:hAnsi="Arial" w:cs="Arial"/>
                <w:lang w:eastAsia="es-CR"/>
              </w:rPr>
              <w:t>.</w:t>
            </w:r>
          </w:p>
        </w:tc>
      </w:tr>
      <w:tr w:rsidR="003427B8" w:rsidRPr="003427B8" w14:paraId="42F2E320" w14:textId="77777777" w:rsidTr="00244C6E">
        <w:trPr>
          <w:trHeight w:val="499"/>
        </w:trPr>
        <w:tc>
          <w:tcPr>
            <w:tcW w:w="1706" w:type="dxa"/>
            <w:vMerge/>
            <w:tcBorders>
              <w:left w:val="single" w:sz="4" w:space="0" w:color="auto"/>
              <w:right w:val="single" w:sz="4" w:space="0" w:color="auto"/>
            </w:tcBorders>
            <w:shd w:val="clear" w:color="auto" w:fill="auto"/>
            <w:vAlign w:val="center"/>
          </w:tcPr>
          <w:p w14:paraId="42F2E31B" w14:textId="77777777" w:rsidR="003427B8" w:rsidRPr="003427B8" w:rsidRDefault="003427B8" w:rsidP="003427B8">
            <w:pPr>
              <w:spacing w:after="0" w:line="240" w:lineRule="auto"/>
              <w:jc w:val="center"/>
              <w:rPr>
                <w:rFonts w:ascii="Arial" w:eastAsia="Times New Roman" w:hAnsi="Arial" w:cs="Arial"/>
                <w:color w:val="000000"/>
                <w:lang w:eastAsia="es-CR"/>
              </w:rPr>
            </w:pPr>
          </w:p>
        </w:tc>
        <w:tc>
          <w:tcPr>
            <w:tcW w:w="3733" w:type="dxa"/>
            <w:tcBorders>
              <w:top w:val="nil"/>
              <w:left w:val="nil"/>
              <w:bottom w:val="single" w:sz="4" w:space="0" w:color="auto"/>
              <w:right w:val="single" w:sz="4" w:space="0" w:color="auto"/>
            </w:tcBorders>
            <w:shd w:val="clear" w:color="000000" w:fill="FFFFFF"/>
            <w:vAlign w:val="center"/>
            <w:hideMark/>
          </w:tcPr>
          <w:p w14:paraId="42F2E31C"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 xml:space="preserve">Informe de riesgo sobre carteras titularizadas                                </w:t>
            </w:r>
          </w:p>
        </w:tc>
        <w:tc>
          <w:tcPr>
            <w:tcW w:w="1251" w:type="dxa"/>
            <w:tcBorders>
              <w:top w:val="nil"/>
              <w:left w:val="nil"/>
              <w:bottom w:val="single" w:sz="4" w:space="0" w:color="auto"/>
              <w:right w:val="single" w:sz="4" w:space="0" w:color="auto"/>
            </w:tcBorders>
            <w:shd w:val="clear" w:color="auto" w:fill="auto"/>
            <w:vAlign w:val="center"/>
            <w:hideMark/>
          </w:tcPr>
          <w:p w14:paraId="42F2E31D"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15-may</w:t>
            </w:r>
          </w:p>
        </w:tc>
        <w:tc>
          <w:tcPr>
            <w:tcW w:w="1155" w:type="dxa"/>
            <w:tcBorders>
              <w:top w:val="nil"/>
              <w:left w:val="nil"/>
              <w:bottom w:val="single" w:sz="4" w:space="0" w:color="auto"/>
              <w:right w:val="single" w:sz="4" w:space="0" w:color="auto"/>
            </w:tcBorders>
            <w:shd w:val="clear" w:color="auto" w:fill="auto"/>
            <w:noWrap/>
            <w:vAlign w:val="center"/>
          </w:tcPr>
          <w:p w14:paraId="42F2E31E" w14:textId="77777777" w:rsidR="003427B8" w:rsidRPr="003427B8" w:rsidRDefault="003427B8" w:rsidP="003427B8">
            <w:pPr>
              <w:spacing w:after="0" w:line="240" w:lineRule="auto"/>
              <w:jc w:val="center"/>
              <w:rPr>
                <w:rFonts w:ascii="Arial" w:eastAsia="Times New Roman" w:hAnsi="Arial" w:cs="Arial"/>
                <w:lang w:eastAsia="es-CR"/>
              </w:rPr>
            </w:pPr>
            <w:proofErr w:type="spellStart"/>
            <w:r w:rsidRPr="003427B8">
              <w:rPr>
                <w:rFonts w:ascii="Arial" w:eastAsia="Times New Roman" w:hAnsi="Arial" w:cs="Arial"/>
                <w:lang w:eastAsia="es-CR"/>
              </w:rPr>
              <w:t>n.a</w:t>
            </w:r>
            <w:proofErr w:type="spellEnd"/>
            <w:r w:rsidRPr="003427B8">
              <w:rPr>
                <w:rFonts w:ascii="Arial" w:eastAsia="Times New Roman" w:hAnsi="Arial" w:cs="Arial"/>
                <w:lang w:eastAsia="es-CR"/>
              </w:rPr>
              <w:t>.</w:t>
            </w:r>
          </w:p>
        </w:tc>
        <w:tc>
          <w:tcPr>
            <w:tcW w:w="983" w:type="dxa"/>
            <w:tcBorders>
              <w:top w:val="nil"/>
              <w:left w:val="nil"/>
              <w:bottom w:val="single" w:sz="4" w:space="0" w:color="auto"/>
              <w:right w:val="single" w:sz="4" w:space="0" w:color="auto"/>
            </w:tcBorders>
            <w:vAlign w:val="center"/>
          </w:tcPr>
          <w:p w14:paraId="42F2E31F" w14:textId="77777777" w:rsidR="003427B8" w:rsidRPr="003427B8" w:rsidRDefault="003427B8" w:rsidP="003427B8">
            <w:pPr>
              <w:spacing w:after="0" w:line="240" w:lineRule="auto"/>
              <w:jc w:val="center"/>
              <w:rPr>
                <w:rFonts w:ascii="Arial" w:eastAsia="Times New Roman" w:hAnsi="Arial" w:cs="Arial"/>
                <w:lang w:eastAsia="es-CR"/>
              </w:rPr>
            </w:pPr>
            <w:proofErr w:type="spellStart"/>
            <w:r w:rsidRPr="003427B8">
              <w:rPr>
                <w:rFonts w:ascii="Arial" w:eastAsia="Times New Roman" w:hAnsi="Arial" w:cs="Arial"/>
                <w:lang w:eastAsia="es-CR"/>
              </w:rPr>
              <w:t>n.a</w:t>
            </w:r>
            <w:proofErr w:type="spellEnd"/>
            <w:r w:rsidRPr="003427B8">
              <w:rPr>
                <w:rFonts w:ascii="Arial" w:eastAsia="Times New Roman" w:hAnsi="Arial" w:cs="Arial"/>
                <w:lang w:eastAsia="es-CR"/>
              </w:rPr>
              <w:t>.</w:t>
            </w:r>
          </w:p>
        </w:tc>
      </w:tr>
      <w:tr w:rsidR="003427B8" w:rsidRPr="003427B8" w14:paraId="42F2E326" w14:textId="77777777" w:rsidTr="00244C6E">
        <w:trPr>
          <w:trHeight w:val="499"/>
        </w:trPr>
        <w:tc>
          <w:tcPr>
            <w:tcW w:w="1706" w:type="dxa"/>
            <w:vMerge/>
            <w:tcBorders>
              <w:left w:val="single" w:sz="4" w:space="0" w:color="auto"/>
              <w:bottom w:val="single" w:sz="4" w:space="0" w:color="auto"/>
              <w:right w:val="single" w:sz="4" w:space="0" w:color="auto"/>
            </w:tcBorders>
            <w:shd w:val="clear" w:color="auto" w:fill="auto"/>
            <w:vAlign w:val="center"/>
          </w:tcPr>
          <w:p w14:paraId="42F2E321" w14:textId="77777777" w:rsidR="003427B8" w:rsidRPr="003427B8" w:rsidRDefault="003427B8" w:rsidP="003427B8">
            <w:pPr>
              <w:spacing w:after="0" w:line="240" w:lineRule="auto"/>
              <w:jc w:val="center"/>
              <w:rPr>
                <w:rFonts w:ascii="Arial" w:eastAsia="Times New Roman" w:hAnsi="Arial" w:cs="Arial"/>
                <w:color w:val="000000"/>
                <w:lang w:eastAsia="es-CR"/>
              </w:rPr>
            </w:pPr>
          </w:p>
        </w:tc>
        <w:tc>
          <w:tcPr>
            <w:tcW w:w="3733" w:type="dxa"/>
            <w:tcBorders>
              <w:top w:val="single" w:sz="4" w:space="0" w:color="auto"/>
              <w:left w:val="nil"/>
              <w:bottom w:val="single" w:sz="4" w:space="0" w:color="auto"/>
              <w:right w:val="single" w:sz="4" w:space="0" w:color="auto"/>
            </w:tcBorders>
            <w:shd w:val="clear" w:color="000000" w:fill="FFFFFF"/>
            <w:vAlign w:val="center"/>
            <w:hideMark/>
          </w:tcPr>
          <w:p w14:paraId="42F2E322"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 xml:space="preserve">Informe del estado sobre carteras de activos titularizados distintos a carteras de crédito                                                                        </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42F2E323"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15-may</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42F2E324" w14:textId="77777777" w:rsidR="003427B8" w:rsidRPr="003427B8" w:rsidRDefault="003427B8" w:rsidP="003427B8">
            <w:pPr>
              <w:spacing w:after="0" w:line="240" w:lineRule="auto"/>
              <w:jc w:val="center"/>
              <w:rPr>
                <w:rFonts w:ascii="Arial" w:eastAsia="Times New Roman" w:hAnsi="Arial" w:cs="Arial"/>
                <w:lang w:eastAsia="es-CR"/>
              </w:rPr>
            </w:pPr>
            <w:proofErr w:type="spellStart"/>
            <w:r w:rsidRPr="003427B8">
              <w:rPr>
                <w:rFonts w:ascii="Arial" w:eastAsia="Times New Roman" w:hAnsi="Arial" w:cs="Arial"/>
                <w:lang w:eastAsia="es-CR"/>
              </w:rPr>
              <w:t>n.a</w:t>
            </w:r>
            <w:proofErr w:type="spellEnd"/>
            <w:r w:rsidRPr="003427B8">
              <w:rPr>
                <w:rFonts w:ascii="Arial" w:eastAsia="Times New Roman" w:hAnsi="Arial" w:cs="Arial"/>
                <w:lang w:eastAsia="es-CR"/>
              </w:rPr>
              <w:t>.</w:t>
            </w:r>
          </w:p>
        </w:tc>
        <w:tc>
          <w:tcPr>
            <w:tcW w:w="983" w:type="dxa"/>
            <w:tcBorders>
              <w:top w:val="single" w:sz="4" w:space="0" w:color="auto"/>
              <w:left w:val="nil"/>
              <w:bottom w:val="single" w:sz="4" w:space="0" w:color="auto"/>
              <w:right w:val="single" w:sz="4" w:space="0" w:color="auto"/>
            </w:tcBorders>
            <w:vAlign w:val="center"/>
          </w:tcPr>
          <w:p w14:paraId="42F2E325" w14:textId="77777777" w:rsidR="003427B8" w:rsidRPr="003427B8" w:rsidRDefault="003427B8" w:rsidP="003427B8">
            <w:pPr>
              <w:spacing w:after="0" w:line="240" w:lineRule="auto"/>
              <w:jc w:val="center"/>
              <w:rPr>
                <w:rFonts w:ascii="Arial" w:eastAsia="Times New Roman" w:hAnsi="Arial" w:cs="Arial"/>
                <w:lang w:eastAsia="es-CR"/>
              </w:rPr>
            </w:pPr>
            <w:proofErr w:type="spellStart"/>
            <w:r w:rsidRPr="003427B8">
              <w:rPr>
                <w:rFonts w:ascii="Arial" w:eastAsia="Times New Roman" w:hAnsi="Arial" w:cs="Arial"/>
                <w:lang w:eastAsia="es-CR"/>
              </w:rPr>
              <w:t>n.a</w:t>
            </w:r>
            <w:proofErr w:type="spellEnd"/>
            <w:r w:rsidRPr="003427B8">
              <w:rPr>
                <w:rFonts w:ascii="Arial" w:eastAsia="Times New Roman" w:hAnsi="Arial" w:cs="Arial"/>
                <w:lang w:eastAsia="es-CR"/>
              </w:rPr>
              <w:t>.</w:t>
            </w:r>
          </w:p>
        </w:tc>
      </w:tr>
      <w:tr w:rsidR="003427B8" w:rsidRPr="003427B8" w14:paraId="42F2E32C" w14:textId="77777777" w:rsidTr="00244C6E">
        <w:trPr>
          <w:trHeight w:val="499"/>
        </w:trPr>
        <w:tc>
          <w:tcPr>
            <w:tcW w:w="1706" w:type="dxa"/>
            <w:vMerge w:val="restart"/>
            <w:tcBorders>
              <w:left w:val="single" w:sz="4" w:space="0" w:color="auto"/>
              <w:right w:val="single" w:sz="4" w:space="0" w:color="auto"/>
            </w:tcBorders>
            <w:shd w:val="clear" w:color="auto" w:fill="auto"/>
            <w:vAlign w:val="center"/>
          </w:tcPr>
          <w:p w14:paraId="42F2E327"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Puestos de Bolsa</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42F2E328"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Reporte del auxiliar de custodia</w:t>
            </w:r>
          </w:p>
        </w:tc>
        <w:tc>
          <w:tcPr>
            <w:tcW w:w="1251" w:type="dxa"/>
            <w:tcBorders>
              <w:top w:val="single" w:sz="4" w:space="0" w:color="auto"/>
              <w:left w:val="nil"/>
              <w:bottom w:val="single" w:sz="4" w:space="0" w:color="auto"/>
              <w:right w:val="single" w:sz="4" w:space="0" w:color="auto"/>
            </w:tcBorders>
            <w:shd w:val="clear" w:color="auto" w:fill="auto"/>
            <w:vAlign w:val="center"/>
          </w:tcPr>
          <w:p w14:paraId="42F2E329"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21-abr</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42F2E32A"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15-may</w:t>
            </w:r>
          </w:p>
        </w:tc>
        <w:tc>
          <w:tcPr>
            <w:tcW w:w="983" w:type="dxa"/>
            <w:tcBorders>
              <w:top w:val="single" w:sz="4" w:space="0" w:color="auto"/>
              <w:left w:val="nil"/>
              <w:bottom w:val="single" w:sz="4" w:space="0" w:color="auto"/>
              <w:right w:val="single" w:sz="4" w:space="0" w:color="auto"/>
            </w:tcBorders>
            <w:vAlign w:val="center"/>
          </w:tcPr>
          <w:p w14:paraId="42F2E32B"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13-jun</w:t>
            </w:r>
          </w:p>
        </w:tc>
      </w:tr>
      <w:tr w:rsidR="003427B8" w:rsidRPr="003427B8" w14:paraId="42F2E332" w14:textId="77777777" w:rsidTr="00244C6E">
        <w:trPr>
          <w:trHeight w:val="499"/>
        </w:trPr>
        <w:tc>
          <w:tcPr>
            <w:tcW w:w="1706" w:type="dxa"/>
            <w:vMerge/>
            <w:tcBorders>
              <w:left w:val="single" w:sz="4" w:space="0" w:color="auto"/>
              <w:right w:val="single" w:sz="4" w:space="0" w:color="auto"/>
            </w:tcBorders>
            <w:shd w:val="clear" w:color="auto" w:fill="auto"/>
            <w:vAlign w:val="center"/>
          </w:tcPr>
          <w:p w14:paraId="42F2E32D" w14:textId="77777777" w:rsidR="003427B8" w:rsidRPr="003427B8" w:rsidRDefault="003427B8" w:rsidP="003427B8">
            <w:pPr>
              <w:spacing w:after="0" w:line="240" w:lineRule="auto"/>
              <w:jc w:val="center"/>
              <w:rPr>
                <w:rFonts w:ascii="Arial" w:eastAsia="Times New Roman" w:hAnsi="Arial" w:cs="Arial"/>
                <w:color w:val="FF0000"/>
                <w:highlight w:val="yellow"/>
                <w:lang w:eastAsia="es-CR"/>
              </w:rPr>
            </w:pPr>
          </w:p>
        </w:tc>
        <w:tc>
          <w:tcPr>
            <w:tcW w:w="3733" w:type="dxa"/>
            <w:tcBorders>
              <w:top w:val="single" w:sz="4" w:space="0" w:color="auto"/>
              <w:left w:val="nil"/>
              <w:bottom w:val="single" w:sz="4" w:space="0" w:color="auto"/>
              <w:right w:val="single" w:sz="4" w:space="0" w:color="auto"/>
            </w:tcBorders>
            <w:shd w:val="clear" w:color="000000" w:fill="FFFFFF"/>
            <w:vAlign w:val="center"/>
          </w:tcPr>
          <w:p w14:paraId="42F2E32E"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Reporte de Servicios de Intermediación de Valores</w:t>
            </w:r>
          </w:p>
        </w:tc>
        <w:tc>
          <w:tcPr>
            <w:tcW w:w="1251" w:type="dxa"/>
            <w:tcBorders>
              <w:top w:val="single" w:sz="4" w:space="0" w:color="auto"/>
              <w:left w:val="nil"/>
              <w:bottom w:val="single" w:sz="4" w:space="0" w:color="auto"/>
              <w:right w:val="single" w:sz="4" w:space="0" w:color="auto"/>
            </w:tcBorders>
            <w:shd w:val="clear" w:color="auto" w:fill="auto"/>
            <w:vAlign w:val="center"/>
          </w:tcPr>
          <w:p w14:paraId="42F2E32F"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21-abr</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42F2E330" w14:textId="77777777" w:rsidR="003427B8" w:rsidRPr="003427B8" w:rsidRDefault="003427B8" w:rsidP="003427B8">
            <w:pPr>
              <w:spacing w:after="0" w:line="240" w:lineRule="auto"/>
              <w:jc w:val="center"/>
              <w:rPr>
                <w:rFonts w:ascii="Arial" w:eastAsia="Times New Roman" w:hAnsi="Arial" w:cs="Arial"/>
                <w:lang w:eastAsia="es-CR"/>
              </w:rPr>
            </w:pPr>
            <w:proofErr w:type="spellStart"/>
            <w:r w:rsidRPr="003427B8">
              <w:rPr>
                <w:rFonts w:ascii="Arial" w:eastAsia="Times New Roman" w:hAnsi="Arial" w:cs="Arial"/>
                <w:lang w:eastAsia="es-CR"/>
              </w:rPr>
              <w:t>n.a</w:t>
            </w:r>
            <w:proofErr w:type="spellEnd"/>
            <w:r w:rsidRPr="003427B8">
              <w:rPr>
                <w:rFonts w:ascii="Arial" w:eastAsia="Times New Roman" w:hAnsi="Arial" w:cs="Arial"/>
                <w:lang w:eastAsia="es-CR"/>
              </w:rPr>
              <w:t>.</w:t>
            </w:r>
          </w:p>
        </w:tc>
        <w:tc>
          <w:tcPr>
            <w:tcW w:w="983" w:type="dxa"/>
            <w:tcBorders>
              <w:top w:val="single" w:sz="4" w:space="0" w:color="auto"/>
              <w:left w:val="nil"/>
              <w:bottom w:val="single" w:sz="4" w:space="0" w:color="auto"/>
              <w:right w:val="single" w:sz="4" w:space="0" w:color="auto"/>
            </w:tcBorders>
            <w:vAlign w:val="center"/>
          </w:tcPr>
          <w:p w14:paraId="42F2E331" w14:textId="77777777" w:rsidR="003427B8" w:rsidRPr="003427B8" w:rsidRDefault="003427B8" w:rsidP="003427B8">
            <w:pPr>
              <w:spacing w:after="0" w:line="240" w:lineRule="auto"/>
              <w:jc w:val="center"/>
              <w:rPr>
                <w:rFonts w:ascii="Arial" w:eastAsia="Times New Roman" w:hAnsi="Arial" w:cs="Arial"/>
                <w:lang w:eastAsia="es-CR"/>
              </w:rPr>
            </w:pPr>
            <w:proofErr w:type="spellStart"/>
            <w:r w:rsidRPr="003427B8">
              <w:rPr>
                <w:rFonts w:ascii="Arial" w:eastAsia="Times New Roman" w:hAnsi="Arial" w:cs="Arial"/>
                <w:lang w:eastAsia="es-CR"/>
              </w:rPr>
              <w:t>n.a</w:t>
            </w:r>
            <w:proofErr w:type="spellEnd"/>
            <w:r w:rsidRPr="003427B8">
              <w:rPr>
                <w:rFonts w:ascii="Arial" w:eastAsia="Times New Roman" w:hAnsi="Arial" w:cs="Arial"/>
                <w:lang w:eastAsia="es-CR"/>
              </w:rPr>
              <w:t>.</w:t>
            </w:r>
          </w:p>
        </w:tc>
      </w:tr>
      <w:tr w:rsidR="003427B8" w:rsidRPr="003427B8" w14:paraId="42F2E33B" w14:textId="77777777" w:rsidTr="00244C6E">
        <w:trPr>
          <w:trHeight w:val="499"/>
        </w:trPr>
        <w:tc>
          <w:tcPr>
            <w:tcW w:w="1706" w:type="dxa"/>
            <w:vMerge/>
            <w:tcBorders>
              <w:left w:val="single" w:sz="4" w:space="0" w:color="auto"/>
              <w:right w:val="single" w:sz="4" w:space="0" w:color="auto"/>
            </w:tcBorders>
            <w:shd w:val="clear" w:color="auto" w:fill="auto"/>
            <w:vAlign w:val="center"/>
          </w:tcPr>
          <w:p w14:paraId="42F2E333" w14:textId="77777777" w:rsidR="003427B8" w:rsidRPr="003427B8" w:rsidRDefault="003427B8" w:rsidP="003427B8">
            <w:pPr>
              <w:spacing w:after="0" w:line="240" w:lineRule="auto"/>
              <w:jc w:val="center"/>
              <w:rPr>
                <w:rFonts w:ascii="Arial" w:eastAsia="Times New Roman" w:hAnsi="Arial" w:cs="Arial"/>
                <w:color w:val="FF0000"/>
                <w:highlight w:val="yellow"/>
                <w:lang w:eastAsia="es-CR"/>
              </w:rPr>
            </w:pPr>
          </w:p>
        </w:tc>
        <w:tc>
          <w:tcPr>
            <w:tcW w:w="3733" w:type="dxa"/>
            <w:tcBorders>
              <w:top w:val="single" w:sz="4" w:space="0" w:color="auto"/>
              <w:left w:val="nil"/>
              <w:bottom w:val="single" w:sz="4" w:space="0" w:color="auto"/>
              <w:right w:val="single" w:sz="4" w:space="0" w:color="auto"/>
            </w:tcBorders>
            <w:shd w:val="clear" w:color="000000" w:fill="FFFFFF"/>
            <w:vAlign w:val="center"/>
          </w:tcPr>
          <w:p w14:paraId="42F2E334"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Reporte diario de suficiencia patrimonial y control de límites</w:t>
            </w:r>
          </w:p>
        </w:tc>
        <w:tc>
          <w:tcPr>
            <w:tcW w:w="1251" w:type="dxa"/>
            <w:tcBorders>
              <w:top w:val="single" w:sz="4" w:space="0" w:color="auto"/>
              <w:left w:val="nil"/>
              <w:bottom w:val="single" w:sz="4" w:space="0" w:color="auto"/>
              <w:right w:val="single" w:sz="4" w:space="0" w:color="auto"/>
            </w:tcBorders>
            <w:shd w:val="clear" w:color="auto" w:fill="auto"/>
            <w:vAlign w:val="center"/>
          </w:tcPr>
          <w:p w14:paraId="42F2E335"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21-abr</w:t>
            </w:r>
          </w:p>
          <w:p w14:paraId="42F2E336"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Los cierres diarios pendientes de marzo</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42F2E337"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15-may</w:t>
            </w:r>
          </w:p>
          <w:p w14:paraId="42F2E338"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Los cierres diarios de abril</w:t>
            </w:r>
          </w:p>
        </w:tc>
        <w:tc>
          <w:tcPr>
            <w:tcW w:w="983" w:type="dxa"/>
            <w:tcBorders>
              <w:top w:val="single" w:sz="4" w:space="0" w:color="auto"/>
              <w:left w:val="nil"/>
              <w:bottom w:val="single" w:sz="4" w:space="0" w:color="auto"/>
              <w:right w:val="single" w:sz="4" w:space="0" w:color="auto"/>
            </w:tcBorders>
            <w:vAlign w:val="center"/>
          </w:tcPr>
          <w:p w14:paraId="42F2E339"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13-jun</w:t>
            </w:r>
          </w:p>
          <w:p w14:paraId="42F2E33A"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Los cierres diarios de mayo</w:t>
            </w:r>
          </w:p>
        </w:tc>
      </w:tr>
      <w:tr w:rsidR="003427B8" w:rsidRPr="003427B8" w14:paraId="42F2E341" w14:textId="77777777" w:rsidTr="00244C6E">
        <w:trPr>
          <w:trHeight w:val="499"/>
        </w:trPr>
        <w:tc>
          <w:tcPr>
            <w:tcW w:w="1706" w:type="dxa"/>
            <w:vMerge/>
            <w:tcBorders>
              <w:left w:val="single" w:sz="4" w:space="0" w:color="auto"/>
              <w:right w:val="single" w:sz="4" w:space="0" w:color="auto"/>
            </w:tcBorders>
            <w:shd w:val="clear" w:color="auto" w:fill="auto"/>
            <w:vAlign w:val="center"/>
          </w:tcPr>
          <w:p w14:paraId="42F2E33C" w14:textId="77777777" w:rsidR="003427B8" w:rsidRPr="003427B8" w:rsidRDefault="003427B8" w:rsidP="003427B8">
            <w:pPr>
              <w:spacing w:after="0" w:line="240" w:lineRule="auto"/>
              <w:jc w:val="center"/>
              <w:rPr>
                <w:rFonts w:ascii="Arial" w:eastAsia="Times New Roman" w:hAnsi="Arial" w:cs="Arial"/>
                <w:color w:val="FF0000"/>
                <w:highlight w:val="yellow"/>
                <w:lang w:eastAsia="es-CR"/>
              </w:rPr>
            </w:pPr>
          </w:p>
        </w:tc>
        <w:tc>
          <w:tcPr>
            <w:tcW w:w="3733" w:type="dxa"/>
            <w:tcBorders>
              <w:top w:val="single" w:sz="4" w:space="0" w:color="auto"/>
              <w:left w:val="nil"/>
              <w:bottom w:val="single" w:sz="4" w:space="0" w:color="auto"/>
              <w:right w:val="single" w:sz="4" w:space="0" w:color="auto"/>
            </w:tcBorders>
            <w:shd w:val="clear" w:color="000000" w:fill="FFFFFF"/>
            <w:vAlign w:val="center"/>
          </w:tcPr>
          <w:p w14:paraId="42F2E33D"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 xml:space="preserve">Estados financieros no auditados </w:t>
            </w:r>
          </w:p>
        </w:tc>
        <w:tc>
          <w:tcPr>
            <w:tcW w:w="1251" w:type="dxa"/>
            <w:tcBorders>
              <w:top w:val="single" w:sz="4" w:space="0" w:color="auto"/>
              <w:left w:val="nil"/>
              <w:bottom w:val="single" w:sz="4" w:space="0" w:color="auto"/>
              <w:right w:val="single" w:sz="4" w:space="0" w:color="auto"/>
            </w:tcBorders>
            <w:shd w:val="clear" w:color="auto" w:fill="auto"/>
            <w:vAlign w:val="center"/>
          </w:tcPr>
          <w:p w14:paraId="42F2E33E"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21-abr</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42F2E33F"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15-may</w:t>
            </w:r>
          </w:p>
        </w:tc>
        <w:tc>
          <w:tcPr>
            <w:tcW w:w="983" w:type="dxa"/>
            <w:tcBorders>
              <w:top w:val="single" w:sz="4" w:space="0" w:color="auto"/>
              <w:left w:val="nil"/>
              <w:bottom w:val="single" w:sz="4" w:space="0" w:color="auto"/>
              <w:right w:val="single" w:sz="4" w:space="0" w:color="auto"/>
            </w:tcBorders>
            <w:vAlign w:val="center"/>
          </w:tcPr>
          <w:p w14:paraId="42F2E340"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13-jun</w:t>
            </w:r>
          </w:p>
        </w:tc>
      </w:tr>
      <w:tr w:rsidR="003427B8" w:rsidRPr="003427B8" w14:paraId="42F2E347" w14:textId="77777777" w:rsidTr="00244C6E">
        <w:trPr>
          <w:trHeight w:val="499"/>
        </w:trPr>
        <w:tc>
          <w:tcPr>
            <w:tcW w:w="1706" w:type="dxa"/>
            <w:vMerge/>
            <w:tcBorders>
              <w:left w:val="single" w:sz="4" w:space="0" w:color="auto"/>
              <w:bottom w:val="single" w:sz="4" w:space="0" w:color="auto"/>
              <w:right w:val="single" w:sz="4" w:space="0" w:color="auto"/>
            </w:tcBorders>
            <w:shd w:val="clear" w:color="auto" w:fill="auto"/>
            <w:vAlign w:val="center"/>
          </w:tcPr>
          <w:p w14:paraId="42F2E342" w14:textId="77777777" w:rsidR="003427B8" w:rsidRPr="003427B8" w:rsidRDefault="003427B8" w:rsidP="003427B8">
            <w:pPr>
              <w:spacing w:after="0" w:line="240" w:lineRule="auto"/>
              <w:jc w:val="center"/>
              <w:rPr>
                <w:rFonts w:ascii="Arial" w:eastAsia="Times New Roman" w:hAnsi="Arial" w:cs="Arial"/>
                <w:color w:val="FF0000"/>
                <w:highlight w:val="yellow"/>
                <w:lang w:eastAsia="es-CR"/>
              </w:rPr>
            </w:pPr>
          </w:p>
        </w:tc>
        <w:tc>
          <w:tcPr>
            <w:tcW w:w="3733" w:type="dxa"/>
            <w:tcBorders>
              <w:top w:val="single" w:sz="4" w:space="0" w:color="auto"/>
              <w:left w:val="nil"/>
              <w:bottom w:val="single" w:sz="4" w:space="0" w:color="auto"/>
              <w:right w:val="single" w:sz="4" w:space="0" w:color="auto"/>
            </w:tcBorders>
            <w:shd w:val="clear" w:color="000000" w:fill="FFFFFF"/>
            <w:vAlign w:val="center"/>
          </w:tcPr>
          <w:p w14:paraId="42F2E343"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Reporte cartera de inversiones propias</w:t>
            </w:r>
          </w:p>
        </w:tc>
        <w:tc>
          <w:tcPr>
            <w:tcW w:w="1251" w:type="dxa"/>
            <w:tcBorders>
              <w:top w:val="single" w:sz="4" w:space="0" w:color="auto"/>
              <w:left w:val="nil"/>
              <w:bottom w:val="single" w:sz="4" w:space="0" w:color="auto"/>
              <w:right w:val="single" w:sz="4" w:space="0" w:color="auto"/>
            </w:tcBorders>
            <w:shd w:val="clear" w:color="auto" w:fill="auto"/>
            <w:vAlign w:val="center"/>
          </w:tcPr>
          <w:p w14:paraId="42F2E344"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21-abr</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42F2E345"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15-may</w:t>
            </w:r>
          </w:p>
        </w:tc>
        <w:tc>
          <w:tcPr>
            <w:tcW w:w="983" w:type="dxa"/>
            <w:tcBorders>
              <w:top w:val="single" w:sz="4" w:space="0" w:color="auto"/>
              <w:left w:val="nil"/>
              <w:bottom w:val="single" w:sz="4" w:space="0" w:color="auto"/>
              <w:right w:val="single" w:sz="4" w:space="0" w:color="auto"/>
            </w:tcBorders>
            <w:vAlign w:val="center"/>
          </w:tcPr>
          <w:p w14:paraId="42F2E346"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13-jun</w:t>
            </w:r>
          </w:p>
        </w:tc>
      </w:tr>
      <w:tr w:rsidR="003427B8" w:rsidRPr="003427B8" w14:paraId="42F2E34E" w14:textId="77777777" w:rsidTr="00244C6E">
        <w:trPr>
          <w:trHeight w:val="499"/>
        </w:trPr>
        <w:tc>
          <w:tcPr>
            <w:tcW w:w="1706" w:type="dxa"/>
            <w:vMerge w:val="restart"/>
            <w:tcBorders>
              <w:left w:val="single" w:sz="4" w:space="0" w:color="auto"/>
              <w:right w:val="single" w:sz="4" w:space="0" w:color="auto"/>
            </w:tcBorders>
            <w:shd w:val="clear" w:color="auto" w:fill="auto"/>
            <w:vAlign w:val="center"/>
          </w:tcPr>
          <w:p w14:paraId="42F2E348"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Bolsas de Valores</w:t>
            </w:r>
          </w:p>
          <w:p w14:paraId="42F2E349"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Centrales de Valores</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42F2E34A"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Reporte del auxiliar de custodia</w:t>
            </w:r>
          </w:p>
        </w:tc>
        <w:tc>
          <w:tcPr>
            <w:tcW w:w="1251" w:type="dxa"/>
            <w:tcBorders>
              <w:top w:val="single" w:sz="4" w:space="0" w:color="auto"/>
              <w:left w:val="nil"/>
              <w:bottom w:val="single" w:sz="4" w:space="0" w:color="auto"/>
              <w:right w:val="single" w:sz="4" w:space="0" w:color="auto"/>
            </w:tcBorders>
            <w:shd w:val="clear" w:color="auto" w:fill="auto"/>
            <w:vAlign w:val="center"/>
          </w:tcPr>
          <w:p w14:paraId="42F2E34B"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21-abr</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42F2E34C"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15-may</w:t>
            </w:r>
          </w:p>
        </w:tc>
        <w:tc>
          <w:tcPr>
            <w:tcW w:w="983" w:type="dxa"/>
            <w:tcBorders>
              <w:top w:val="single" w:sz="4" w:space="0" w:color="auto"/>
              <w:left w:val="nil"/>
              <w:bottom w:val="single" w:sz="4" w:space="0" w:color="auto"/>
              <w:right w:val="single" w:sz="4" w:space="0" w:color="auto"/>
            </w:tcBorders>
            <w:vAlign w:val="center"/>
          </w:tcPr>
          <w:p w14:paraId="42F2E34D"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13-jun</w:t>
            </w:r>
          </w:p>
        </w:tc>
      </w:tr>
      <w:tr w:rsidR="003427B8" w:rsidRPr="003427B8" w14:paraId="42F2E354" w14:textId="77777777" w:rsidTr="00244C6E">
        <w:trPr>
          <w:trHeight w:val="499"/>
        </w:trPr>
        <w:tc>
          <w:tcPr>
            <w:tcW w:w="1706" w:type="dxa"/>
            <w:vMerge/>
            <w:tcBorders>
              <w:left w:val="single" w:sz="4" w:space="0" w:color="auto"/>
              <w:right w:val="single" w:sz="4" w:space="0" w:color="auto"/>
            </w:tcBorders>
            <w:shd w:val="clear" w:color="auto" w:fill="auto"/>
            <w:vAlign w:val="center"/>
          </w:tcPr>
          <w:p w14:paraId="42F2E34F" w14:textId="77777777" w:rsidR="003427B8" w:rsidRPr="003427B8" w:rsidRDefault="003427B8" w:rsidP="003427B8">
            <w:pPr>
              <w:spacing w:after="0" w:line="240" w:lineRule="auto"/>
              <w:jc w:val="center"/>
              <w:rPr>
                <w:rFonts w:ascii="Arial" w:eastAsia="Times New Roman" w:hAnsi="Arial" w:cs="Arial"/>
                <w:color w:val="FF0000"/>
                <w:highlight w:val="yellow"/>
                <w:lang w:eastAsia="es-CR"/>
              </w:rPr>
            </w:pPr>
          </w:p>
        </w:tc>
        <w:tc>
          <w:tcPr>
            <w:tcW w:w="3733" w:type="dxa"/>
            <w:tcBorders>
              <w:top w:val="single" w:sz="4" w:space="0" w:color="auto"/>
              <w:left w:val="nil"/>
              <w:bottom w:val="single" w:sz="4" w:space="0" w:color="auto"/>
              <w:right w:val="single" w:sz="4" w:space="0" w:color="auto"/>
            </w:tcBorders>
            <w:shd w:val="clear" w:color="000000" w:fill="FFFFFF"/>
            <w:vAlign w:val="center"/>
          </w:tcPr>
          <w:p w14:paraId="42F2E350"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Estados financieros no auditados</w:t>
            </w:r>
          </w:p>
        </w:tc>
        <w:tc>
          <w:tcPr>
            <w:tcW w:w="1251" w:type="dxa"/>
            <w:tcBorders>
              <w:top w:val="single" w:sz="4" w:space="0" w:color="auto"/>
              <w:left w:val="nil"/>
              <w:bottom w:val="single" w:sz="4" w:space="0" w:color="auto"/>
              <w:right w:val="single" w:sz="4" w:space="0" w:color="auto"/>
            </w:tcBorders>
            <w:shd w:val="clear" w:color="auto" w:fill="auto"/>
            <w:vAlign w:val="center"/>
          </w:tcPr>
          <w:p w14:paraId="42F2E351"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21-abr</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42F2E352"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15-may</w:t>
            </w:r>
          </w:p>
        </w:tc>
        <w:tc>
          <w:tcPr>
            <w:tcW w:w="983" w:type="dxa"/>
            <w:tcBorders>
              <w:top w:val="single" w:sz="4" w:space="0" w:color="auto"/>
              <w:left w:val="nil"/>
              <w:bottom w:val="single" w:sz="4" w:space="0" w:color="auto"/>
              <w:right w:val="single" w:sz="4" w:space="0" w:color="auto"/>
            </w:tcBorders>
            <w:vAlign w:val="center"/>
          </w:tcPr>
          <w:p w14:paraId="42F2E353"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13-jun</w:t>
            </w:r>
          </w:p>
        </w:tc>
      </w:tr>
      <w:tr w:rsidR="003427B8" w:rsidRPr="003427B8" w14:paraId="42F2E35A" w14:textId="77777777" w:rsidTr="00244C6E">
        <w:trPr>
          <w:trHeight w:val="499"/>
        </w:trPr>
        <w:tc>
          <w:tcPr>
            <w:tcW w:w="1706" w:type="dxa"/>
            <w:vMerge/>
            <w:tcBorders>
              <w:left w:val="single" w:sz="4" w:space="0" w:color="auto"/>
              <w:bottom w:val="single" w:sz="4" w:space="0" w:color="auto"/>
              <w:right w:val="single" w:sz="4" w:space="0" w:color="auto"/>
            </w:tcBorders>
            <w:shd w:val="clear" w:color="auto" w:fill="auto"/>
            <w:vAlign w:val="center"/>
          </w:tcPr>
          <w:p w14:paraId="42F2E355" w14:textId="77777777" w:rsidR="003427B8" w:rsidRPr="003427B8" w:rsidRDefault="003427B8" w:rsidP="003427B8">
            <w:pPr>
              <w:spacing w:after="0" w:line="240" w:lineRule="auto"/>
              <w:jc w:val="center"/>
              <w:rPr>
                <w:rFonts w:ascii="Arial" w:eastAsia="Times New Roman" w:hAnsi="Arial" w:cs="Arial"/>
                <w:color w:val="FF0000"/>
                <w:highlight w:val="yellow"/>
                <w:lang w:eastAsia="es-CR"/>
              </w:rPr>
            </w:pPr>
          </w:p>
        </w:tc>
        <w:tc>
          <w:tcPr>
            <w:tcW w:w="3733" w:type="dxa"/>
            <w:tcBorders>
              <w:top w:val="single" w:sz="4" w:space="0" w:color="auto"/>
              <w:left w:val="nil"/>
              <w:bottom w:val="single" w:sz="4" w:space="0" w:color="auto"/>
              <w:right w:val="single" w:sz="4" w:space="0" w:color="auto"/>
            </w:tcBorders>
            <w:shd w:val="clear" w:color="000000" w:fill="FFFFFF"/>
            <w:vAlign w:val="center"/>
          </w:tcPr>
          <w:p w14:paraId="42F2E356"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Reporte de inversiones propias de bolsas de valores</w:t>
            </w:r>
          </w:p>
        </w:tc>
        <w:tc>
          <w:tcPr>
            <w:tcW w:w="1251" w:type="dxa"/>
            <w:tcBorders>
              <w:top w:val="single" w:sz="4" w:space="0" w:color="auto"/>
              <w:left w:val="nil"/>
              <w:bottom w:val="single" w:sz="4" w:space="0" w:color="auto"/>
              <w:right w:val="single" w:sz="4" w:space="0" w:color="auto"/>
            </w:tcBorders>
            <w:shd w:val="clear" w:color="auto" w:fill="auto"/>
            <w:vAlign w:val="center"/>
          </w:tcPr>
          <w:p w14:paraId="42F2E357"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21-abr</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42F2E358"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22-may</w:t>
            </w:r>
          </w:p>
        </w:tc>
        <w:tc>
          <w:tcPr>
            <w:tcW w:w="983" w:type="dxa"/>
            <w:tcBorders>
              <w:top w:val="single" w:sz="4" w:space="0" w:color="auto"/>
              <w:left w:val="nil"/>
              <w:bottom w:val="single" w:sz="4" w:space="0" w:color="auto"/>
              <w:right w:val="single" w:sz="4" w:space="0" w:color="auto"/>
            </w:tcBorders>
            <w:vAlign w:val="center"/>
          </w:tcPr>
          <w:p w14:paraId="42F2E359"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22-jun</w:t>
            </w:r>
          </w:p>
        </w:tc>
      </w:tr>
      <w:tr w:rsidR="003427B8" w:rsidRPr="003427B8" w14:paraId="42F2E360" w14:textId="77777777" w:rsidTr="00244C6E">
        <w:trPr>
          <w:trHeight w:val="499"/>
        </w:trPr>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42F2E35B" w14:textId="77777777" w:rsidR="003427B8" w:rsidRPr="003427B8" w:rsidRDefault="003427B8" w:rsidP="003427B8">
            <w:pPr>
              <w:spacing w:after="0" w:line="240" w:lineRule="auto"/>
              <w:jc w:val="center"/>
              <w:rPr>
                <w:rFonts w:ascii="Arial" w:eastAsia="Times New Roman" w:hAnsi="Arial" w:cs="Arial"/>
                <w:highlight w:val="yellow"/>
                <w:lang w:eastAsia="es-CR"/>
              </w:rPr>
            </w:pPr>
            <w:r w:rsidRPr="003427B8">
              <w:rPr>
                <w:rFonts w:ascii="Arial" w:eastAsia="Times New Roman" w:hAnsi="Arial" w:cs="Arial"/>
                <w:lang w:eastAsia="es-CR"/>
              </w:rPr>
              <w:t>Intermediarios Financieros Supervisados por SUGEF</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42F2E35C"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Reporte del auxiliar de custodia</w:t>
            </w:r>
          </w:p>
        </w:tc>
        <w:tc>
          <w:tcPr>
            <w:tcW w:w="1251" w:type="dxa"/>
            <w:tcBorders>
              <w:top w:val="single" w:sz="4" w:space="0" w:color="auto"/>
              <w:left w:val="nil"/>
              <w:bottom w:val="single" w:sz="4" w:space="0" w:color="auto"/>
              <w:right w:val="single" w:sz="4" w:space="0" w:color="auto"/>
            </w:tcBorders>
            <w:shd w:val="clear" w:color="auto" w:fill="auto"/>
            <w:vAlign w:val="center"/>
          </w:tcPr>
          <w:p w14:paraId="42F2E35D"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21-abr</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42F2E35E"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15-may</w:t>
            </w:r>
          </w:p>
        </w:tc>
        <w:tc>
          <w:tcPr>
            <w:tcW w:w="983" w:type="dxa"/>
            <w:tcBorders>
              <w:top w:val="single" w:sz="4" w:space="0" w:color="auto"/>
              <w:left w:val="nil"/>
              <w:bottom w:val="single" w:sz="4" w:space="0" w:color="auto"/>
              <w:right w:val="single" w:sz="4" w:space="0" w:color="auto"/>
            </w:tcBorders>
            <w:vAlign w:val="center"/>
          </w:tcPr>
          <w:p w14:paraId="42F2E35F"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13-jun</w:t>
            </w:r>
          </w:p>
        </w:tc>
      </w:tr>
      <w:tr w:rsidR="003427B8" w:rsidRPr="003427B8" w14:paraId="42F2E368" w14:textId="77777777" w:rsidTr="00244C6E">
        <w:trPr>
          <w:trHeight w:val="499"/>
        </w:trPr>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42F2E361" w14:textId="77777777" w:rsidR="003427B8" w:rsidRPr="003427B8" w:rsidRDefault="003427B8" w:rsidP="003427B8">
            <w:pPr>
              <w:spacing w:after="0" w:line="240" w:lineRule="auto"/>
              <w:jc w:val="center"/>
              <w:rPr>
                <w:rFonts w:ascii="Arial" w:eastAsia="Times New Roman" w:hAnsi="Arial" w:cs="Arial"/>
                <w:color w:val="000000"/>
                <w:lang w:eastAsia="es-CR"/>
              </w:rPr>
            </w:pPr>
            <w:r w:rsidRPr="003427B8">
              <w:rPr>
                <w:rFonts w:ascii="Arial" w:eastAsia="Times New Roman" w:hAnsi="Arial" w:cs="Arial"/>
                <w:color w:val="000000"/>
                <w:lang w:eastAsia="es-CR"/>
              </w:rPr>
              <w:t xml:space="preserve">Sociedades Calificadoras de Riesgo </w:t>
            </w:r>
          </w:p>
          <w:p w14:paraId="42F2E362" w14:textId="77777777" w:rsidR="003427B8" w:rsidRPr="003427B8" w:rsidRDefault="003427B8" w:rsidP="003427B8">
            <w:pPr>
              <w:spacing w:after="0" w:line="240" w:lineRule="auto"/>
              <w:jc w:val="center"/>
              <w:rPr>
                <w:rFonts w:ascii="Arial" w:eastAsia="Times New Roman" w:hAnsi="Arial" w:cs="Arial"/>
                <w:color w:val="000000"/>
                <w:lang w:eastAsia="es-CR"/>
              </w:rPr>
            </w:pPr>
            <w:r w:rsidRPr="003427B8">
              <w:rPr>
                <w:rFonts w:ascii="Arial" w:eastAsia="Times New Roman" w:hAnsi="Arial" w:cs="Arial"/>
                <w:color w:val="000000"/>
                <w:lang w:eastAsia="es-CR"/>
              </w:rPr>
              <w:t>y</w:t>
            </w:r>
          </w:p>
          <w:p w14:paraId="42F2E363" w14:textId="77777777" w:rsidR="003427B8" w:rsidRPr="003427B8" w:rsidRDefault="003427B8" w:rsidP="003427B8">
            <w:pPr>
              <w:spacing w:after="0" w:line="240" w:lineRule="auto"/>
              <w:jc w:val="center"/>
              <w:rPr>
                <w:rFonts w:ascii="Arial" w:eastAsia="Times New Roman" w:hAnsi="Arial" w:cs="Arial"/>
                <w:color w:val="000000"/>
                <w:lang w:eastAsia="es-CR"/>
              </w:rPr>
            </w:pPr>
            <w:r w:rsidRPr="003427B8">
              <w:rPr>
                <w:rFonts w:ascii="Arial" w:eastAsia="Times New Roman" w:hAnsi="Arial" w:cs="Arial"/>
                <w:color w:val="000000"/>
                <w:lang w:eastAsia="es-CR"/>
              </w:rPr>
              <w:t>Proveedores de Precios</w:t>
            </w:r>
          </w:p>
        </w:tc>
        <w:tc>
          <w:tcPr>
            <w:tcW w:w="3733" w:type="dxa"/>
            <w:tcBorders>
              <w:top w:val="single" w:sz="4" w:space="0" w:color="auto"/>
              <w:left w:val="nil"/>
              <w:bottom w:val="single" w:sz="4" w:space="0" w:color="auto"/>
              <w:right w:val="single" w:sz="4" w:space="0" w:color="auto"/>
            </w:tcBorders>
            <w:shd w:val="clear" w:color="000000" w:fill="FFFFFF"/>
            <w:vAlign w:val="center"/>
          </w:tcPr>
          <w:p w14:paraId="42F2E364" w14:textId="77777777" w:rsidR="003427B8" w:rsidRPr="003427B8" w:rsidRDefault="003427B8" w:rsidP="003427B8">
            <w:pPr>
              <w:spacing w:after="0" w:line="240" w:lineRule="auto"/>
              <w:rPr>
                <w:rFonts w:ascii="Arial" w:eastAsia="Times New Roman" w:hAnsi="Arial" w:cs="Arial"/>
                <w:bCs/>
                <w:lang w:eastAsia="es-CR"/>
              </w:rPr>
            </w:pPr>
            <w:r w:rsidRPr="003427B8">
              <w:rPr>
                <w:rFonts w:ascii="Arial" w:eastAsia="Times New Roman" w:hAnsi="Arial" w:cs="Arial"/>
                <w:bCs/>
                <w:lang w:eastAsia="es-CR"/>
              </w:rPr>
              <w:t>Estados financieros no auditados</w:t>
            </w:r>
          </w:p>
        </w:tc>
        <w:tc>
          <w:tcPr>
            <w:tcW w:w="1251" w:type="dxa"/>
            <w:tcBorders>
              <w:top w:val="single" w:sz="4" w:space="0" w:color="auto"/>
              <w:left w:val="nil"/>
              <w:bottom w:val="single" w:sz="4" w:space="0" w:color="auto"/>
              <w:right w:val="single" w:sz="4" w:space="0" w:color="auto"/>
            </w:tcBorders>
            <w:shd w:val="clear" w:color="auto" w:fill="auto"/>
            <w:vAlign w:val="center"/>
          </w:tcPr>
          <w:p w14:paraId="42F2E365"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30-abr</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42F2E366"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29-may</w:t>
            </w:r>
          </w:p>
        </w:tc>
        <w:tc>
          <w:tcPr>
            <w:tcW w:w="983" w:type="dxa"/>
            <w:tcBorders>
              <w:top w:val="single" w:sz="4" w:space="0" w:color="auto"/>
              <w:left w:val="nil"/>
              <w:bottom w:val="single" w:sz="4" w:space="0" w:color="auto"/>
              <w:right w:val="single" w:sz="4" w:space="0" w:color="auto"/>
            </w:tcBorders>
            <w:vAlign w:val="center"/>
          </w:tcPr>
          <w:p w14:paraId="42F2E367" w14:textId="77777777" w:rsidR="003427B8" w:rsidRPr="003427B8" w:rsidRDefault="003427B8" w:rsidP="003427B8">
            <w:pPr>
              <w:spacing w:after="0" w:line="240" w:lineRule="auto"/>
              <w:jc w:val="center"/>
              <w:rPr>
                <w:rFonts w:ascii="Arial" w:eastAsia="Times New Roman" w:hAnsi="Arial" w:cs="Arial"/>
                <w:lang w:eastAsia="es-CR"/>
              </w:rPr>
            </w:pPr>
            <w:r w:rsidRPr="003427B8">
              <w:rPr>
                <w:rFonts w:ascii="Arial" w:eastAsia="Times New Roman" w:hAnsi="Arial" w:cs="Arial"/>
                <w:lang w:eastAsia="es-CR"/>
              </w:rPr>
              <w:t>30-jun</w:t>
            </w:r>
          </w:p>
        </w:tc>
      </w:tr>
    </w:tbl>
    <w:p w14:paraId="42F2E369" w14:textId="77777777" w:rsidR="003427B8" w:rsidRPr="003427B8" w:rsidRDefault="003427B8" w:rsidP="003427B8">
      <w:pPr>
        <w:rPr>
          <w:rFonts w:ascii="Arial" w:eastAsia="Calibri" w:hAnsi="Arial" w:cs="Arial"/>
          <w:color w:val="000000"/>
          <w:lang w:val="es-ES" w:eastAsia="es-CR"/>
        </w:rPr>
      </w:pPr>
    </w:p>
    <w:p w14:paraId="42F2E36A" w14:textId="77777777" w:rsidR="003427B8" w:rsidRPr="003427B8" w:rsidRDefault="003427B8" w:rsidP="003427B8">
      <w:pPr>
        <w:jc w:val="both"/>
        <w:rPr>
          <w:rFonts w:ascii="Arial" w:eastAsia="Calibri" w:hAnsi="Arial" w:cs="Arial"/>
          <w:color w:val="000000"/>
          <w:lang w:val="es-ES" w:eastAsia="es-CR"/>
        </w:rPr>
      </w:pPr>
      <w:r w:rsidRPr="003427B8">
        <w:rPr>
          <w:rFonts w:ascii="Arial" w:eastAsia="Calibri" w:hAnsi="Arial" w:cs="Arial"/>
          <w:color w:val="000000"/>
          <w:lang w:val="es-ES" w:eastAsia="es-CR"/>
        </w:rPr>
        <w:t>Para los informes antes detallados, a partir de la información con fecha de corte 1ero de junio 2020 y en adelante, se reanudará el envío de dicha información de acuerdo con los plazos ordinarios establecidos en el “Cuadro de Información Periódica”, que se indica en el artículo 2 del acuerdo SGV-A-75.</w:t>
      </w:r>
    </w:p>
    <w:p w14:paraId="42F2E36B" w14:textId="77777777" w:rsidR="003427B8" w:rsidRPr="003427B8" w:rsidRDefault="003427B8" w:rsidP="003427B8">
      <w:pPr>
        <w:jc w:val="both"/>
        <w:rPr>
          <w:rFonts w:ascii="Arial" w:eastAsia="Calibri" w:hAnsi="Arial" w:cs="Arial"/>
          <w:color w:val="000000"/>
          <w:lang w:val="es-ES" w:eastAsia="es-CR"/>
        </w:rPr>
      </w:pPr>
    </w:p>
    <w:p w14:paraId="42F2E36C" w14:textId="77777777" w:rsidR="003427B8" w:rsidRPr="003427B8" w:rsidRDefault="003427B8" w:rsidP="003427B8">
      <w:pPr>
        <w:jc w:val="both"/>
        <w:rPr>
          <w:rFonts w:ascii="Arial" w:eastAsia="Calibri" w:hAnsi="Arial" w:cs="Arial"/>
          <w:color w:val="000000"/>
          <w:lang w:val="es-ES" w:eastAsia="es-CR"/>
        </w:rPr>
      </w:pPr>
    </w:p>
    <w:p w14:paraId="42F2E36D" w14:textId="77777777" w:rsidR="003427B8" w:rsidRPr="003427B8" w:rsidRDefault="003427B8" w:rsidP="003427B8">
      <w:pPr>
        <w:jc w:val="both"/>
        <w:rPr>
          <w:rFonts w:ascii="Arial" w:eastAsia="Calibri" w:hAnsi="Arial" w:cs="Arial"/>
          <w:color w:val="000000"/>
          <w:lang w:val="es-ES" w:eastAsia="es-CR"/>
        </w:rPr>
      </w:pPr>
      <w:r w:rsidRPr="003427B8">
        <w:rPr>
          <w:rFonts w:ascii="Arial" w:eastAsia="Calibri" w:hAnsi="Arial" w:cs="Arial"/>
          <w:color w:val="000000"/>
          <w:lang w:val="es-ES" w:eastAsia="es-CR"/>
        </w:rPr>
        <w:lastRenderedPageBreak/>
        <w:t xml:space="preserve">La información del Reporte Diario de los Fondos de inversión, para los días 6 al 8 de abril del 2020, deberá ser remitida a más tardar el día 13 de abril del 2020 a las 12 </w:t>
      </w:r>
      <w:proofErr w:type="spellStart"/>
      <w:r w:rsidRPr="003427B8">
        <w:rPr>
          <w:rFonts w:ascii="Arial" w:eastAsia="Calibri" w:hAnsi="Arial" w:cs="Arial"/>
          <w:color w:val="000000"/>
          <w:lang w:val="es-ES" w:eastAsia="es-CR"/>
        </w:rPr>
        <w:t>m.d</w:t>
      </w:r>
      <w:proofErr w:type="spellEnd"/>
      <w:r w:rsidRPr="003427B8">
        <w:rPr>
          <w:rFonts w:ascii="Arial" w:eastAsia="Calibri" w:hAnsi="Arial" w:cs="Arial"/>
          <w:color w:val="000000"/>
          <w:lang w:val="es-ES" w:eastAsia="es-CR"/>
        </w:rPr>
        <w:t>.”</w:t>
      </w:r>
    </w:p>
    <w:p w14:paraId="42F2E36E" w14:textId="77777777" w:rsidR="003427B8" w:rsidRPr="003427B8" w:rsidRDefault="003427B8" w:rsidP="003427B8">
      <w:pPr>
        <w:rPr>
          <w:rFonts w:ascii="Arial" w:eastAsia="Calibri" w:hAnsi="Arial" w:cs="Arial"/>
          <w:lang w:val="es-ES"/>
        </w:rPr>
      </w:pPr>
      <w:r w:rsidRPr="003427B8">
        <w:rPr>
          <w:rFonts w:ascii="Arial" w:eastAsia="Calibri" w:hAnsi="Arial" w:cs="Arial"/>
          <w:b/>
          <w:lang w:val="es-ES"/>
        </w:rPr>
        <w:t xml:space="preserve">Artículo 2.-  </w:t>
      </w:r>
      <w:r w:rsidRPr="003427B8">
        <w:rPr>
          <w:rFonts w:ascii="Arial" w:eastAsia="Calibri" w:hAnsi="Arial" w:cs="Arial"/>
          <w:lang w:val="es-ES"/>
        </w:rPr>
        <w:t>Vigencia</w:t>
      </w:r>
    </w:p>
    <w:p w14:paraId="42F2E36F" w14:textId="77777777" w:rsidR="003427B8" w:rsidRPr="003427B8" w:rsidRDefault="003427B8" w:rsidP="003427B8">
      <w:pPr>
        <w:rPr>
          <w:rFonts w:ascii="Arial" w:eastAsia="Calibri" w:hAnsi="Arial" w:cs="Arial"/>
          <w:lang w:val="es-ES"/>
        </w:rPr>
      </w:pPr>
      <w:r w:rsidRPr="003427B8">
        <w:rPr>
          <w:rFonts w:ascii="Arial" w:eastAsia="Calibri" w:hAnsi="Arial" w:cs="Arial"/>
          <w:lang w:val="es-ES"/>
        </w:rPr>
        <w:t>Rige a partir del 31 de marzo del 2020.</w:t>
      </w:r>
    </w:p>
    <w:p w14:paraId="42F2E370" w14:textId="77777777" w:rsidR="003427B8" w:rsidRPr="003427B8" w:rsidRDefault="003427B8" w:rsidP="003427B8">
      <w:pPr>
        <w:rPr>
          <w:rFonts w:ascii="Arial" w:eastAsia="Calibri" w:hAnsi="Arial" w:cs="Arial"/>
          <w:lang w:val="es-ES"/>
        </w:rPr>
      </w:pPr>
      <w:r w:rsidRPr="003427B8">
        <w:rPr>
          <w:rFonts w:ascii="Arial" w:eastAsia="Calibri" w:hAnsi="Arial" w:cs="Arial"/>
          <w:noProof/>
          <w:szCs w:val="24"/>
          <w:lang w:eastAsia="es-CR"/>
        </w:rPr>
        <w:drawing>
          <wp:inline distT="0" distB="0" distL="0" distR="0" wp14:anchorId="42F2E373" wp14:editId="42F2E374">
            <wp:extent cx="2732405" cy="32956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2405" cy="329565"/>
                    </a:xfrm>
                    <a:prstGeom prst="rect">
                      <a:avLst/>
                    </a:prstGeom>
                    <a:noFill/>
                    <a:ln>
                      <a:noFill/>
                    </a:ln>
                  </pic:spPr>
                </pic:pic>
              </a:graphicData>
            </a:graphic>
          </wp:inline>
        </w:drawing>
      </w:r>
    </w:p>
    <w:p w14:paraId="42F2E371" w14:textId="77777777" w:rsidR="003427B8" w:rsidRPr="003427B8" w:rsidRDefault="003427B8" w:rsidP="003427B8">
      <w:pPr>
        <w:rPr>
          <w:rFonts w:ascii="Arial" w:eastAsia="Calibri" w:hAnsi="Arial" w:cs="Times New Roman"/>
          <w:lang w:val="es-ES"/>
        </w:rPr>
      </w:pPr>
    </w:p>
    <w:p w14:paraId="42F2E372" w14:textId="77777777" w:rsidR="00154FFB" w:rsidRDefault="00154FFB"/>
    <w:sectPr w:rsidR="00154FFB" w:rsidSect="00F00C27">
      <w:headerReference w:type="default" r:id="rId12"/>
      <w:head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2E377" w14:textId="77777777" w:rsidR="003427B8" w:rsidRDefault="003427B8" w:rsidP="003427B8">
      <w:pPr>
        <w:spacing w:after="0" w:line="240" w:lineRule="auto"/>
      </w:pPr>
      <w:r>
        <w:separator/>
      </w:r>
    </w:p>
  </w:endnote>
  <w:endnote w:type="continuationSeparator" w:id="0">
    <w:p w14:paraId="42F2E378" w14:textId="77777777" w:rsidR="003427B8" w:rsidRDefault="003427B8" w:rsidP="0034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2E375" w14:textId="77777777" w:rsidR="003427B8" w:rsidRDefault="003427B8" w:rsidP="003427B8">
      <w:pPr>
        <w:spacing w:after="0" w:line="240" w:lineRule="auto"/>
      </w:pPr>
      <w:r>
        <w:separator/>
      </w:r>
    </w:p>
  </w:footnote>
  <w:footnote w:type="continuationSeparator" w:id="0">
    <w:p w14:paraId="42F2E376" w14:textId="77777777" w:rsidR="003427B8" w:rsidRDefault="003427B8" w:rsidP="003427B8">
      <w:pPr>
        <w:spacing w:after="0" w:line="240" w:lineRule="auto"/>
      </w:pPr>
      <w:r>
        <w:continuationSeparator/>
      </w:r>
    </w:p>
  </w:footnote>
  <w:footnote w:id="1">
    <w:p w14:paraId="42F2E380" w14:textId="65F23C79" w:rsidR="003427B8" w:rsidRPr="003427B8" w:rsidRDefault="003427B8" w:rsidP="003427B8">
      <w:pPr>
        <w:spacing w:after="0" w:line="240" w:lineRule="auto"/>
        <w:ind w:right="-193"/>
        <w:jc w:val="both"/>
        <w:rPr>
          <w:rFonts w:ascii="Arial" w:eastAsia="Times New Roman" w:hAnsi="Arial" w:cs="Arial"/>
          <w:b/>
          <w:lang w:val="es-ES" w:eastAsia="es-ES"/>
        </w:rPr>
      </w:pPr>
      <w:r>
        <w:rPr>
          <w:rStyle w:val="FootnoteReference"/>
        </w:rPr>
        <w:footnoteRef/>
      </w:r>
      <w:r>
        <w:t xml:space="preserve"> </w:t>
      </w:r>
      <w:r w:rsidRPr="003427B8">
        <w:rPr>
          <w:rFonts w:ascii="Arial" w:eastAsia="Times New Roman" w:hAnsi="Arial" w:cs="Arial"/>
          <w:lang w:val="es-ES" w:eastAsia="es-ES"/>
        </w:rPr>
        <w:t>Superintendencia General de Valores.  Despacho de la Superintendente.  A las quince horas del treinta y uno de marzo del dos mil veinte.</w:t>
      </w:r>
      <w:r w:rsidR="00CC35CE">
        <w:rPr>
          <w:rFonts w:ascii="Arial" w:eastAsia="Times New Roman" w:hAnsi="Arial" w:cs="Arial"/>
          <w:lang w:val="es-ES" w:eastAsia="es-ES"/>
        </w:rPr>
        <w:t xml:space="preserve"> Publicado en el Diario Oficial La Gaceta No. 80 del 14 de abril del 2020.</w:t>
      </w:r>
    </w:p>
    <w:p w14:paraId="42F2E381" w14:textId="77777777" w:rsidR="003427B8" w:rsidRPr="003427B8" w:rsidRDefault="003427B8">
      <w:pPr>
        <w:pStyle w:val="FootnoteText"/>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2E379" w14:textId="77777777" w:rsidR="003427B8" w:rsidRPr="00363C4C" w:rsidRDefault="003427B8" w:rsidP="003427B8">
    <w:pPr>
      <w:pStyle w:val="Header"/>
      <w:jc w:val="right"/>
      <w:rPr>
        <w:lang w:val="es-CR"/>
      </w:rPr>
    </w:pPr>
    <w:r w:rsidRPr="00E72720">
      <w:rPr>
        <w:rFonts w:ascii="Calibri" w:hAnsi="Calibri" w:cs="Arial"/>
        <w:i/>
        <w:noProof/>
        <w:sz w:val="20"/>
        <w:szCs w:val="20"/>
        <w:lang w:val="es-CR" w:eastAsia="es-CR"/>
      </w:rPr>
      <w:drawing>
        <wp:inline distT="0" distB="0" distL="0" distR="0" wp14:anchorId="42F2E37C" wp14:editId="42F2E37D">
          <wp:extent cx="1581150" cy="390525"/>
          <wp:effectExtent l="0" t="0" r="0" b="9525"/>
          <wp:docPr id="2" name="Picture 2"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42F2E37A" w14:textId="77777777" w:rsidR="003427B8" w:rsidRDefault="003427B8">
    <w:pPr>
      <w:pStyle w:val="Header"/>
    </w:pPr>
    <w:r>
      <w:rPr>
        <w:noProof/>
        <w:lang w:val="es-CR" w:eastAsia="es-CR"/>
      </w:rPr>
      <mc:AlternateContent>
        <mc:Choice Requires="wps">
          <w:drawing>
            <wp:anchor distT="4294967293" distB="4294967293" distL="114300" distR="114300" simplePos="0" relativeHeight="251659264" behindDoc="0" locked="0" layoutInCell="1" allowOverlap="1" wp14:anchorId="42F2E37E" wp14:editId="42F2E37F">
              <wp:simplePos x="0" y="0"/>
              <wp:positionH relativeFrom="margin">
                <wp:posOffset>59055</wp:posOffset>
              </wp:positionH>
              <wp:positionV relativeFrom="paragraph">
                <wp:posOffset>6985</wp:posOffset>
              </wp:positionV>
              <wp:extent cx="5610225" cy="9525"/>
              <wp:effectExtent l="0" t="0" r="28575" b="285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0225" cy="9525"/>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22D91" id="Straight Connector 11"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4.65pt,.55pt" to="446.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" strokecolor="#0070c0" strokeweight="1.5pt">
              <w10:wrap anchorx="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2E37B" w14:textId="77777777" w:rsidR="00F00C27" w:rsidRDefault="00CC35CE" w:rsidP="003427B8">
    <w:pPr>
      <w:pStyle w:val="Header"/>
      <w:tabs>
        <w:tab w:val="right" w:pos="9214"/>
      </w:tabs>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0C"/>
    <w:multiLevelType w:val="hybridMultilevel"/>
    <w:tmpl w:val="F9E8F3D2"/>
    <w:lvl w:ilvl="0" w:tplc="763C4328">
      <w:start w:val="1"/>
      <w:numFmt w:val="decimal"/>
      <w:pStyle w:val="Numeracin"/>
      <w:lvlText w:val="%1."/>
      <w:lvlJc w:val="left"/>
      <w:pPr>
        <w:ind w:left="643" w:hanging="360"/>
      </w:pPr>
      <w:rPr>
        <w:rFonts w:ascii="Arial" w:hAnsi="Arial" w:cs="Arial" w:hint="default"/>
        <w:b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B8"/>
    <w:rsid w:val="00154FFB"/>
    <w:rsid w:val="003427B8"/>
    <w:rsid w:val="00CC35C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2E2A3"/>
  <w15:chartTrackingRefBased/>
  <w15:docId w15:val="{A1CD5FFC-33FA-4E3F-986D-CD1C3409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eracin">
    <w:name w:val="Numeración"/>
    <w:basedOn w:val="Normal"/>
    <w:qFormat/>
    <w:rsid w:val="003427B8"/>
    <w:pPr>
      <w:numPr>
        <w:numId w:val="1"/>
      </w:numPr>
      <w:spacing w:before="120" w:after="0" w:line="240" w:lineRule="auto"/>
      <w:jc w:val="both"/>
    </w:pPr>
    <w:rPr>
      <w:rFonts w:ascii="Times New Roman" w:eastAsia="Times New Roman" w:hAnsi="Times New Roman" w:cs="Times New Roman"/>
      <w:szCs w:val="24"/>
      <w:lang w:val="es-ES" w:eastAsia="es-ES"/>
    </w:rPr>
  </w:style>
  <w:style w:type="paragraph" w:styleId="Header">
    <w:name w:val="header"/>
    <w:basedOn w:val="Normal"/>
    <w:link w:val="HeaderChar"/>
    <w:uiPriority w:val="99"/>
    <w:unhideWhenUsed/>
    <w:rsid w:val="003427B8"/>
    <w:pPr>
      <w:tabs>
        <w:tab w:val="center" w:pos="4419"/>
        <w:tab w:val="right" w:pos="8838"/>
      </w:tabs>
      <w:spacing w:after="0" w:line="240" w:lineRule="auto"/>
    </w:pPr>
    <w:rPr>
      <w:rFonts w:ascii="Arial" w:hAnsi="Arial"/>
      <w:lang w:val="es-ES"/>
    </w:rPr>
  </w:style>
  <w:style w:type="character" w:customStyle="1" w:styleId="HeaderChar">
    <w:name w:val="Header Char"/>
    <w:basedOn w:val="DefaultParagraphFont"/>
    <w:link w:val="Header"/>
    <w:uiPriority w:val="99"/>
    <w:rsid w:val="003427B8"/>
    <w:rPr>
      <w:rFonts w:ascii="Arial" w:hAnsi="Arial"/>
      <w:lang w:val="es-ES"/>
    </w:rPr>
  </w:style>
  <w:style w:type="paragraph" w:styleId="Footer">
    <w:name w:val="footer"/>
    <w:basedOn w:val="Normal"/>
    <w:link w:val="FooterChar"/>
    <w:uiPriority w:val="99"/>
    <w:unhideWhenUsed/>
    <w:rsid w:val="003427B8"/>
    <w:pPr>
      <w:tabs>
        <w:tab w:val="center" w:pos="4419"/>
        <w:tab w:val="right" w:pos="8838"/>
      </w:tabs>
      <w:spacing w:after="0" w:line="240" w:lineRule="auto"/>
    </w:pPr>
    <w:rPr>
      <w:rFonts w:ascii="Arial" w:hAnsi="Arial"/>
      <w:lang w:val="es-ES"/>
    </w:rPr>
  </w:style>
  <w:style w:type="character" w:customStyle="1" w:styleId="FooterChar">
    <w:name w:val="Footer Char"/>
    <w:basedOn w:val="DefaultParagraphFont"/>
    <w:link w:val="Footer"/>
    <w:uiPriority w:val="99"/>
    <w:rsid w:val="003427B8"/>
    <w:rPr>
      <w:rFonts w:ascii="Arial" w:hAnsi="Arial"/>
      <w:lang w:val="es-ES"/>
    </w:rPr>
  </w:style>
  <w:style w:type="paragraph" w:styleId="FootnoteText">
    <w:name w:val="footnote text"/>
    <w:basedOn w:val="Normal"/>
    <w:link w:val="FootnoteTextChar"/>
    <w:uiPriority w:val="99"/>
    <w:semiHidden/>
    <w:unhideWhenUsed/>
    <w:rsid w:val="003427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7B8"/>
    <w:rPr>
      <w:sz w:val="20"/>
      <w:szCs w:val="20"/>
    </w:rPr>
  </w:style>
  <w:style w:type="character" w:styleId="FootnoteReference">
    <w:name w:val="footnote reference"/>
    <w:basedOn w:val="DefaultParagraphFont"/>
    <w:uiPriority w:val="99"/>
    <w:semiHidden/>
    <w:unhideWhenUsed/>
    <w:rsid w:val="003427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D83A5-69C5-470E-83B2-616DFACF25C1}"/>
</file>

<file path=customXml/itemProps2.xml><?xml version="1.0" encoding="utf-8"?>
<ds:datastoreItem xmlns:ds="http://schemas.openxmlformats.org/officeDocument/2006/customXml" ds:itemID="{E42BAF4C-1ACC-4F76-89AB-C9306DD9D820}"/>
</file>

<file path=customXml/itemProps3.xml><?xml version="1.0" encoding="utf-8"?>
<ds:datastoreItem xmlns:ds="http://schemas.openxmlformats.org/officeDocument/2006/customXml" ds:itemID="{20A8F80A-55FE-4380-9283-8D195A667CDD}"/>
</file>

<file path=customXml/itemProps4.xml><?xml version="1.0" encoding="utf-8"?>
<ds:datastoreItem xmlns:ds="http://schemas.openxmlformats.org/officeDocument/2006/customXml" ds:itemID="{F4A61B00-2AEE-4BB8-B08B-2DEDE149C63C}"/>
</file>

<file path=docProps/app.xml><?xml version="1.0" encoding="utf-8"?>
<Properties xmlns="http://schemas.openxmlformats.org/officeDocument/2006/extended-properties" xmlns:vt="http://schemas.openxmlformats.org/officeDocument/2006/docPropsVTypes">
  <Template>Normal.dotm</Template>
  <TotalTime>8</TotalTime>
  <Pages>5</Pages>
  <Words>1446</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PORRAS PATRICIA</dc:creator>
  <cp:keywords/>
  <dc:description/>
  <cp:lastModifiedBy>FERNANDEZ PORRAS PATRICIA</cp:lastModifiedBy>
  <cp:revision>2</cp:revision>
  <dcterms:created xsi:type="dcterms:W3CDTF">2020-03-31T23:25:00Z</dcterms:created>
  <dcterms:modified xsi:type="dcterms:W3CDTF">2020-04-14T22:15:00Z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