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Override PartName="/word/glossary/fontTable.xml" ContentType="application/vnd.openxmlformats-officedocument.wordprocessingml.fontTable+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008" w:rsidRDefault="002F7008" w:rsidP="002F7008">
      <w:pPr>
        <w:widowControl w:val="0"/>
        <w:jc w:val="both"/>
        <w:rPr>
          <w:rFonts w:cs="Arial"/>
          <w:b/>
        </w:rPr>
      </w:pPr>
    </w:p>
    <w:p w:rsidR="00D6678B" w:rsidRPr="00A2645B" w:rsidRDefault="00BC7F80" w:rsidP="007A797F">
      <w:pPr>
        <w:spacing w:after="0" w:line="276" w:lineRule="auto"/>
        <w:contextualSpacing/>
        <w:jc w:val="both"/>
        <w:rPr>
          <w:rFonts w:cs="Arial"/>
          <w:b/>
          <w:sz w:val="24"/>
          <w:szCs w:val="24"/>
          <w:lang w:val="es-CR"/>
        </w:rPr>
      </w:pPr>
      <w:r w:rsidRPr="00A2645B">
        <w:rPr>
          <w:rFonts w:cs="Arial"/>
          <w:b/>
          <w:sz w:val="24"/>
          <w:szCs w:val="24"/>
          <w:lang w:val="es-CR"/>
        </w:rPr>
        <w:t>SGV-A-</w:t>
      </w:r>
      <w:r w:rsidR="002F7008" w:rsidRPr="00A2645B">
        <w:rPr>
          <w:rFonts w:cs="Arial"/>
          <w:b/>
          <w:sz w:val="24"/>
          <w:szCs w:val="24"/>
          <w:lang w:val="es-CR"/>
        </w:rPr>
        <w:t>241</w:t>
      </w:r>
      <w:r w:rsidR="00D6678B" w:rsidRPr="00A2645B">
        <w:rPr>
          <w:rFonts w:cs="Arial"/>
          <w:b/>
          <w:sz w:val="24"/>
          <w:szCs w:val="24"/>
          <w:lang w:val="es-CR"/>
        </w:rPr>
        <w:t>.  MODIFICACIÓN AL ACUERDO “SGV-A-198 ACUERDO PARA LA</w:t>
      </w:r>
      <w:r w:rsidR="00A2645B">
        <w:rPr>
          <w:rFonts w:cs="Arial"/>
          <w:b/>
          <w:sz w:val="24"/>
          <w:szCs w:val="24"/>
          <w:lang w:val="es-CR"/>
        </w:rPr>
        <w:t xml:space="preserve"> </w:t>
      </w:r>
      <w:r w:rsidR="00D6678B" w:rsidRPr="00A2645B">
        <w:rPr>
          <w:rFonts w:cs="Arial"/>
          <w:b/>
          <w:sz w:val="24"/>
          <w:szCs w:val="24"/>
          <w:lang w:val="es-CR"/>
        </w:rPr>
        <w:t>IMPLANTACIÓN DEL REGLAMENTO DE CUSTODIA”</w:t>
      </w:r>
      <w:r w:rsidR="00E7324F" w:rsidRPr="00A2645B">
        <w:rPr>
          <w:rStyle w:val="FootnoteReference"/>
          <w:rFonts w:cs="Arial"/>
          <w:b/>
          <w:sz w:val="24"/>
          <w:szCs w:val="24"/>
          <w:lang w:val="es-CR"/>
        </w:rPr>
        <w:footnoteReference w:id="1"/>
      </w:r>
    </w:p>
    <w:p w:rsidR="00D6678B" w:rsidRPr="00FF4CAF" w:rsidRDefault="00D6678B" w:rsidP="007A797F">
      <w:pPr>
        <w:widowControl w:val="0"/>
        <w:spacing w:after="0" w:line="276" w:lineRule="auto"/>
        <w:contextualSpacing/>
        <w:jc w:val="both"/>
        <w:rPr>
          <w:rFonts w:eastAsia="Times New Roman" w:cs="Arial"/>
          <w:lang w:val="es-CR"/>
        </w:rPr>
      </w:pPr>
    </w:p>
    <w:p w:rsidR="003D4EB0" w:rsidRPr="00FF4CAF" w:rsidRDefault="003D4EB0" w:rsidP="007A797F">
      <w:pPr>
        <w:spacing w:after="0" w:line="276" w:lineRule="auto"/>
        <w:contextualSpacing/>
        <w:rPr>
          <w:rFonts w:cs="Arial"/>
          <w:b/>
          <w:lang w:val="es-CR"/>
        </w:rPr>
      </w:pPr>
      <w:r w:rsidRPr="00FF4CAF">
        <w:rPr>
          <w:rFonts w:cs="Arial"/>
          <w:b/>
          <w:lang w:val="es-CR"/>
        </w:rPr>
        <w:t>Considerando que:</w:t>
      </w:r>
    </w:p>
    <w:p w:rsidR="003D4EB0" w:rsidRPr="00FF4CAF" w:rsidRDefault="003D4EB0" w:rsidP="007A797F">
      <w:pPr>
        <w:spacing w:after="0" w:line="276" w:lineRule="auto"/>
        <w:contextualSpacing/>
        <w:rPr>
          <w:rFonts w:cs="Arial"/>
          <w:b/>
          <w:lang w:val="es-CR"/>
        </w:rPr>
      </w:pPr>
    </w:p>
    <w:p w:rsidR="00BC7F80" w:rsidRDefault="00BC7F80" w:rsidP="007A797F">
      <w:pPr>
        <w:numPr>
          <w:ilvl w:val="0"/>
          <w:numId w:val="1"/>
        </w:numPr>
        <w:tabs>
          <w:tab w:val="clear" w:pos="720"/>
          <w:tab w:val="num" w:pos="567"/>
        </w:tabs>
        <w:spacing w:after="0" w:line="276" w:lineRule="auto"/>
        <w:ind w:left="567" w:hanging="567"/>
        <w:contextualSpacing/>
        <w:jc w:val="both"/>
        <w:rPr>
          <w:rFonts w:cs="Arial"/>
        </w:rPr>
      </w:pPr>
      <w:r w:rsidRPr="00FF4CAF">
        <w:rPr>
          <w:rFonts w:cs="Arial"/>
        </w:rPr>
        <w:t>De conformidad con el artículo 8 de la Ley Reguladora del Mercado de Valores,  le corresponde al Superintendente realizar todas las acciones necesarias para el efectivo cumplimiento de las funciones de regulación, supervisión y fiscalización que competen a la Superintendencia General de Valores.</w:t>
      </w:r>
    </w:p>
    <w:p w:rsidR="00BC7F80" w:rsidRDefault="00BC7F80" w:rsidP="007A797F">
      <w:pPr>
        <w:spacing w:after="0" w:line="276" w:lineRule="auto"/>
        <w:ind w:left="567"/>
        <w:contextualSpacing/>
        <w:jc w:val="both"/>
        <w:rPr>
          <w:rFonts w:cs="Arial"/>
        </w:rPr>
      </w:pPr>
    </w:p>
    <w:p w:rsidR="00BC7F80" w:rsidRPr="00BC7F80" w:rsidRDefault="00BC7F80" w:rsidP="007A797F">
      <w:pPr>
        <w:numPr>
          <w:ilvl w:val="0"/>
          <w:numId w:val="1"/>
        </w:numPr>
        <w:tabs>
          <w:tab w:val="clear" w:pos="720"/>
          <w:tab w:val="num" w:pos="567"/>
        </w:tabs>
        <w:spacing w:after="0" w:line="276" w:lineRule="auto"/>
        <w:ind w:left="567" w:hanging="567"/>
        <w:contextualSpacing/>
        <w:jc w:val="both"/>
        <w:rPr>
          <w:rFonts w:cs="Arial"/>
        </w:rPr>
      </w:pPr>
      <w:r w:rsidRPr="00BC7F80">
        <w:rPr>
          <w:rFonts w:cs="Arial"/>
        </w:rPr>
        <w:t>En la Sesión 1150-2015, celebrada el 23 de febrero del 2015, el Consejo Nacional de Supervisión del Sistema Financiero aprobó una reforma integral al Reglamento de Custodia.</w:t>
      </w:r>
    </w:p>
    <w:p w:rsidR="00BC7F80" w:rsidRPr="008B7FC3" w:rsidRDefault="00BC7F80" w:rsidP="007A797F">
      <w:pPr>
        <w:tabs>
          <w:tab w:val="left" w:pos="540"/>
          <w:tab w:val="left" w:pos="567"/>
        </w:tabs>
        <w:spacing w:after="0" w:line="276" w:lineRule="auto"/>
        <w:ind w:left="567" w:hanging="567"/>
        <w:jc w:val="both"/>
        <w:rPr>
          <w:rFonts w:cs="Arial"/>
          <w:lang w:val="es-CR"/>
        </w:rPr>
      </w:pPr>
    </w:p>
    <w:p w:rsidR="00BC7F80" w:rsidRDefault="00BC7F80" w:rsidP="007A797F">
      <w:pPr>
        <w:numPr>
          <w:ilvl w:val="0"/>
          <w:numId w:val="1"/>
        </w:numPr>
        <w:tabs>
          <w:tab w:val="clear" w:pos="720"/>
          <w:tab w:val="num" w:pos="567"/>
        </w:tabs>
        <w:spacing w:after="0" w:line="276" w:lineRule="auto"/>
        <w:ind w:left="567" w:hanging="567"/>
        <w:contextualSpacing/>
        <w:jc w:val="both"/>
        <w:rPr>
          <w:rFonts w:cs="Arial"/>
        </w:rPr>
      </w:pPr>
      <w:r w:rsidRPr="00BC7F80">
        <w:rPr>
          <w:rFonts w:cs="Arial"/>
        </w:rPr>
        <w:t>En el Reglamento de Custodia se establecen una serie de requerimientos que buscan definir los lineamientos que deben cumplir las entidades de custodia. La implantación de estos requerimientos dependen de la emisión de un acuerdo del Superintendente.</w:t>
      </w:r>
    </w:p>
    <w:p w:rsidR="00941532" w:rsidRDefault="00941532" w:rsidP="007A797F">
      <w:pPr>
        <w:pStyle w:val="ListParagraph"/>
        <w:spacing w:after="0" w:line="276" w:lineRule="auto"/>
        <w:rPr>
          <w:rFonts w:cs="Arial"/>
        </w:rPr>
      </w:pPr>
    </w:p>
    <w:p w:rsidR="00235115" w:rsidRDefault="00941532" w:rsidP="007A797F">
      <w:pPr>
        <w:numPr>
          <w:ilvl w:val="0"/>
          <w:numId w:val="1"/>
        </w:numPr>
        <w:tabs>
          <w:tab w:val="clear" w:pos="720"/>
          <w:tab w:val="num" w:pos="567"/>
        </w:tabs>
        <w:spacing w:after="0" w:line="276" w:lineRule="auto"/>
        <w:ind w:left="567" w:hanging="567"/>
        <w:contextualSpacing/>
        <w:jc w:val="both"/>
        <w:rPr>
          <w:rFonts w:cs="Arial"/>
        </w:rPr>
      </w:pPr>
      <w:r>
        <w:rPr>
          <w:rFonts w:cs="Arial"/>
        </w:rPr>
        <w:t xml:space="preserve">La Ley No. </w:t>
      </w:r>
      <w:r w:rsidR="00235115">
        <w:rPr>
          <w:rFonts w:cs="Arial"/>
        </w:rPr>
        <w:t xml:space="preserve">9607 reforma </w:t>
      </w:r>
      <w:r w:rsidR="002D21B9">
        <w:rPr>
          <w:rFonts w:cs="Arial"/>
        </w:rPr>
        <w:t>el Artículo 183 de</w:t>
      </w:r>
      <w:r w:rsidR="00235115">
        <w:rPr>
          <w:rFonts w:cs="Arial"/>
        </w:rPr>
        <w:t xml:space="preserve"> la Ley No.7732</w:t>
      </w:r>
      <w:r w:rsidR="002D21B9">
        <w:rPr>
          <w:rFonts w:cs="Arial"/>
        </w:rPr>
        <w:t xml:space="preserve"> Ley Reguladora del Mercado de Valores, el cual establece que el titular podrá designar beneficiarios en caso de muerte, y que cuando esta ocurra, los beneficiarios, con solo comprobar el fallecimiento del titular, asumirán de pleno derecho y sin necesidad de trámites judiciales o administrativos su propiedad.</w:t>
      </w:r>
    </w:p>
    <w:p w:rsidR="00235115" w:rsidRDefault="00235115" w:rsidP="007A797F">
      <w:pPr>
        <w:pStyle w:val="ListParagraph"/>
        <w:spacing w:after="0" w:line="276" w:lineRule="auto"/>
        <w:rPr>
          <w:rFonts w:cs="Arial"/>
        </w:rPr>
      </w:pPr>
    </w:p>
    <w:p w:rsidR="00941532" w:rsidRDefault="00E2313C" w:rsidP="007A797F">
      <w:pPr>
        <w:numPr>
          <w:ilvl w:val="0"/>
          <w:numId w:val="1"/>
        </w:numPr>
        <w:tabs>
          <w:tab w:val="clear" w:pos="720"/>
          <w:tab w:val="num" w:pos="567"/>
        </w:tabs>
        <w:spacing w:after="0" w:line="276" w:lineRule="auto"/>
        <w:ind w:left="567" w:hanging="567"/>
        <w:contextualSpacing/>
        <w:jc w:val="both"/>
        <w:rPr>
          <w:rFonts w:cs="Arial"/>
        </w:rPr>
      </w:pPr>
      <w:r>
        <w:rPr>
          <w:rFonts w:cs="Arial"/>
        </w:rPr>
        <w:t>La Ley No.9246 Ley de Garantías Mobiliarias introduce el acuerdo de control como mecanismo para constituir garantías sobre activos f</w:t>
      </w:r>
      <w:r w:rsidR="00941532">
        <w:rPr>
          <w:rFonts w:cs="Arial"/>
        </w:rPr>
        <w:t>inancieros (efectivo y valores).</w:t>
      </w:r>
    </w:p>
    <w:p w:rsidR="00EC2B60" w:rsidRDefault="00EC2B60" w:rsidP="007A797F">
      <w:pPr>
        <w:pStyle w:val="ListParagraph"/>
        <w:spacing w:after="0" w:line="276" w:lineRule="auto"/>
        <w:rPr>
          <w:rFonts w:cs="Arial"/>
        </w:rPr>
      </w:pPr>
    </w:p>
    <w:p w:rsidR="00EC2B60" w:rsidRDefault="00EC2B60" w:rsidP="007A797F">
      <w:pPr>
        <w:numPr>
          <w:ilvl w:val="0"/>
          <w:numId w:val="1"/>
        </w:numPr>
        <w:tabs>
          <w:tab w:val="clear" w:pos="720"/>
          <w:tab w:val="num" w:pos="567"/>
        </w:tabs>
        <w:spacing w:after="0" w:line="276" w:lineRule="auto"/>
        <w:ind w:left="567" w:hanging="567"/>
        <w:contextualSpacing/>
        <w:jc w:val="both"/>
        <w:rPr>
          <w:rFonts w:cs="Arial"/>
        </w:rPr>
      </w:pPr>
      <w:r>
        <w:rPr>
          <w:rFonts w:cs="Arial"/>
        </w:rPr>
        <w:t>El Reglamento sobre Oferta Pública de Valores aprobado por el Consejo Nacional de Supervisión del Sistema Financiero, mediante Artículo 11 del Acta de la Sesión 571-2006, celebrada el 20 de abril del 2006 y publicado en el Diario Oficial La Gaceta No. 88 del 9 de mayo del 2006, en su Artículo 7 excluye del concepto de Oferta Pública, la oferta de planes de acciones o de opciones de compra de acciones que se dirija exclusivamente a los trabajadores de la empresa que las emite, siempre y cuando el trabajador cuente con acceso a información periódica sobre el desempeño de la empresa para la toma de decisiones de inversión.</w:t>
      </w:r>
    </w:p>
    <w:p w:rsidR="005835F5" w:rsidRDefault="005835F5" w:rsidP="005835F5">
      <w:pPr>
        <w:pStyle w:val="ListParagraph"/>
        <w:rPr>
          <w:rFonts w:cs="Arial"/>
        </w:rPr>
      </w:pPr>
    </w:p>
    <w:p w:rsidR="00352FE4" w:rsidRPr="00352FE4" w:rsidRDefault="005835F5" w:rsidP="00352FE4">
      <w:pPr>
        <w:numPr>
          <w:ilvl w:val="0"/>
          <w:numId w:val="1"/>
        </w:numPr>
        <w:tabs>
          <w:tab w:val="clear" w:pos="720"/>
          <w:tab w:val="num" w:pos="567"/>
        </w:tabs>
        <w:autoSpaceDE w:val="0"/>
        <w:autoSpaceDN w:val="0"/>
        <w:adjustRightInd w:val="0"/>
        <w:spacing w:after="0" w:line="276" w:lineRule="auto"/>
        <w:ind w:left="567" w:hanging="567"/>
        <w:contextualSpacing/>
        <w:jc w:val="both"/>
        <w:rPr>
          <w:rFonts w:cs="Arial"/>
        </w:rPr>
      </w:pPr>
      <w:r w:rsidRPr="00352FE4">
        <w:rPr>
          <w:rFonts w:cs="Arial"/>
        </w:rPr>
        <w:t>La Ley 9839 Entrega del Fondo de Capitalización Laboral</w:t>
      </w:r>
      <w:r w:rsidR="00352FE4" w:rsidRPr="00352FE4">
        <w:rPr>
          <w:rFonts w:cs="Arial"/>
        </w:rPr>
        <w:t xml:space="preserve"> a los trabajadores afectados por la Crisis Económica, en su Transitorio I establece que durante la vigencia del Decreto Ejecutivo N.° 42227-MP-S, por medio del cual el Poder </w:t>
      </w:r>
      <w:r w:rsidR="00352FE4" w:rsidRPr="00352FE4">
        <w:rPr>
          <w:rFonts w:cs="Arial"/>
        </w:rPr>
        <w:lastRenderedPageBreak/>
        <w:t>Ejecutivo declara estado de emergencia nacional en todo el territorio de la República de Costa Rica, debido a la situación de emergencia sanitaria provocada por la enfermedad COVID-19, y en caso de que sea necesario para atender necesidades extraordinarias de liquidez del Fondo de Capitalización Laboral, las operadoras de pensiones complementarias podrán realizar traspasos no onerosos de instrumentos financieros, con cambio de titularidad, entre fondos de una misma entidad y entre operadoras, a precios de</w:t>
      </w:r>
      <w:r w:rsidR="00352FE4">
        <w:rPr>
          <w:rFonts w:cs="Arial"/>
        </w:rPr>
        <w:t xml:space="preserve"> </w:t>
      </w:r>
      <w:r w:rsidR="00352FE4" w:rsidRPr="00352FE4">
        <w:rPr>
          <w:rFonts w:cs="Arial"/>
        </w:rPr>
        <w:t xml:space="preserve">mercado </w:t>
      </w:r>
      <w:r w:rsidR="00352FE4">
        <w:rPr>
          <w:rFonts w:cs="Arial"/>
        </w:rPr>
        <w:t xml:space="preserve">sin que pueda </w:t>
      </w:r>
      <w:r w:rsidR="00352FE4" w:rsidRPr="00352FE4">
        <w:rPr>
          <w:rFonts w:cs="Arial"/>
        </w:rPr>
        <w:t>contemplar comisiones, tasas u otro tipo de costos</w:t>
      </w:r>
      <w:r w:rsidR="00352FE4">
        <w:rPr>
          <w:rFonts w:cs="Arial"/>
        </w:rPr>
        <w:t>.</w:t>
      </w:r>
    </w:p>
    <w:p w:rsidR="00941532" w:rsidRPr="00941532" w:rsidRDefault="00941532" w:rsidP="007A797F">
      <w:pPr>
        <w:spacing w:after="0" w:line="276" w:lineRule="auto"/>
        <w:contextualSpacing/>
        <w:jc w:val="both"/>
        <w:rPr>
          <w:rFonts w:cs="Arial"/>
        </w:rPr>
      </w:pPr>
    </w:p>
    <w:p w:rsidR="00941532" w:rsidRDefault="00941532" w:rsidP="007A797F">
      <w:pPr>
        <w:numPr>
          <w:ilvl w:val="0"/>
          <w:numId w:val="1"/>
        </w:numPr>
        <w:tabs>
          <w:tab w:val="clear" w:pos="720"/>
          <w:tab w:val="num" w:pos="567"/>
        </w:tabs>
        <w:spacing w:after="0" w:line="276" w:lineRule="auto"/>
        <w:ind w:left="567" w:hanging="567"/>
        <w:contextualSpacing/>
        <w:jc w:val="both"/>
        <w:rPr>
          <w:rFonts w:cs="Arial"/>
        </w:rPr>
      </w:pPr>
      <w:r>
        <w:rPr>
          <w:rFonts w:cs="Arial"/>
        </w:rPr>
        <w:t xml:space="preserve">Para que las entidades de custodia puedan incorporar </w:t>
      </w:r>
      <w:r w:rsidR="00EC2B60">
        <w:rPr>
          <w:rFonts w:cs="Arial"/>
        </w:rPr>
        <w:t>en sus procesos operativos  las disposiciones regulatorias indicadas en los incisos anteriores</w:t>
      </w:r>
      <w:r>
        <w:rPr>
          <w:rFonts w:cs="Arial"/>
        </w:rPr>
        <w:t>, se hace neces</w:t>
      </w:r>
      <w:r w:rsidR="00EC2B60">
        <w:rPr>
          <w:rFonts w:cs="Arial"/>
        </w:rPr>
        <w:t>ario normar tres</w:t>
      </w:r>
      <w:r>
        <w:rPr>
          <w:rFonts w:cs="Arial"/>
        </w:rPr>
        <w:t xml:space="preserve"> nuevos tipos de traspaso no oneroso con cambio de titularidad.</w:t>
      </w:r>
    </w:p>
    <w:p w:rsidR="00E2313C" w:rsidRPr="00FF4CAF" w:rsidRDefault="00E2313C" w:rsidP="007A797F">
      <w:pPr>
        <w:pStyle w:val="BodyText"/>
        <w:spacing w:line="276" w:lineRule="auto"/>
        <w:contextualSpacing/>
        <w:rPr>
          <w:rFonts w:ascii="Arial" w:hAnsi="Arial" w:cs="Arial"/>
          <w:sz w:val="22"/>
          <w:szCs w:val="22"/>
          <w:lang w:val="es-ES"/>
        </w:rPr>
      </w:pPr>
    </w:p>
    <w:p w:rsidR="003D4EB0" w:rsidRPr="00FF4CAF" w:rsidRDefault="00FE2BB3" w:rsidP="007A797F">
      <w:pPr>
        <w:pStyle w:val="Numeracin"/>
        <w:numPr>
          <w:ilvl w:val="0"/>
          <w:numId w:val="0"/>
        </w:numPr>
        <w:tabs>
          <w:tab w:val="left" w:pos="567"/>
        </w:tabs>
        <w:spacing w:before="0" w:line="276" w:lineRule="auto"/>
        <w:contextualSpacing/>
        <w:rPr>
          <w:rFonts w:ascii="Arial" w:hAnsi="Arial" w:cs="Arial"/>
          <w:b/>
          <w:szCs w:val="22"/>
        </w:rPr>
      </w:pPr>
      <w:r>
        <w:rPr>
          <w:rFonts w:ascii="Arial" w:hAnsi="Arial" w:cs="Arial"/>
          <w:b/>
          <w:szCs w:val="22"/>
        </w:rPr>
        <w:t>D</w:t>
      </w:r>
      <w:r w:rsidR="003D4EB0" w:rsidRPr="00FF4CAF">
        <w:rPr>
          <w:rFonts w:ascii="Arial" w:hAnsi="Arial" w:cs="Arial"/>
          <w:b/>
          <w:szCs w:val="22"/>
        </w:rPr>
        <w:t>ispone el presente acuerdo:</w:t>
      </w:r>
    </w:p>
    <w:p w:rsidR="003D4EB0" w:rsidRPr="00FF4CAF" w:rsidRDefault="003D4EB0" w:rsidP="007A797F">
      <w:pPr>
        <w:spacing w:after="0" w:line="276" w:lineRule="auto"/>
        <w:contextualSpacing/>
        <w:jc w:val="center"/>
        <w:rPr>
          <w:rFonts w:cs="Arial"/>
          <w:b/>
        </w:rPr>
      </w:pPr>
    </w:p>
    <w:p w:rsidR="003D4EB0" w:rsidRPr="00FF4CAF" w:rsidRDefault="00BC7F80" w:rsidP="007A797F">
      <w:pPr>
        <w:spacing w:after="0" w:line="276" w:lineRule="auto"/>
        <w:contextualSpacing/>
        <w:jc w:val="center"/>
        <w:rPr>
          <w:rFonts w:cs="Arial"/>
          <w:b/>
          <w:lang w:val="es-CR"/>
        </w:rPr>
      </w:pPr>
      <w:r>
        <w:rPr>
          <w:rFonts w:cs="Arial"/>
          <w:b/>
          <w:lang w:val="es-CR"/>
        </w:rPr>
        <w:t>SGV-A-</w:t>
      </w:r>
      <w:r w:rsidR="002F7008" w:rsidRPr="002F7008">
        <w:rPr>
          <w:rFonts w:cs="Arial"/>
          <w:b/>
          <w:lang w:val="es-CR"/>
        </w:rPr>
        <w:t>241</w:t>
      </w:r>
      <w:r w:rsidR="00D6678B" w:rsidRPr="002F7008">
        <w:rPr>
          <w:rFonts w:cs="Arial"/>
          <w:b/>
          <w:lang w:val="es-CR"/>
        </w:rPr>
        <w:t>.</w:t>
      </w:r>
      <w:r w:rsidR="00D6678B" w:rsidRPr="00FF4CAF">
        <w:rPr>
          <w:rFonts w:cs="Arial"/>
          <w:b/>
          <w:lang w:val="es-CR"/>
        </w:rPr>
        <w:t xml:space="preserve"> MODIFICACIÓN AL ACUERDO “SGV-A-198 ACUERDO PARA LA</w:t>
      </w:r>
    </w:p>
    <w:p w:rsidR="003D4EB0" w:rsidRPr="00FF4CAF" w:rsidRDefault="00D6678B" w:rsidP="007A797F">
      <w:pPr>
        <w:spacing w:after="0" w:line="276" w:lineRule="auto"/>
        <w:contextualSpacing/>
        <w:jc w:val="center"/>
        <w:rPr>
          <w:rFonts w:cs="Arial"/>
          <w:b/>
          <w:lang w:val="es-CR"/>
        </w:rPr>
      </w:pPr>
      <w:r w:rsidRPr="00FF4CAF">
        <w:rPr>
          <w:rFonts w:cs="Arial"/>
          <w:b/>
          <w:lang w:val="es-CR"/>
        </w:rPr>
        <w:t>IMPLANTACIÓN DEL REGLAMENTO DE CUSTODIA”</w:t>
      </w:r>
    </w:p>
    <w:p w:rsidR="003D4EB0" w:rsidRPr="00FF4CAF" w:rsidRDefault="003D4EB0" w:rsidP="007A797F">
      <w:pPr>
        <w:pStyle w:val="BodyText"/>
        <w:spacing w:line="276" w:lineRule="auto"/>
        <w:ind w:left="360"/>
        <w:contextualSpacing/>
        <w:rPr>
          <w:rFonts w:ascii="Arial" w:hAnsi="Arial" w:cs="Arial"/>
          <w:sz w:val="22"/>
          <w:szCs w:val="22"/>
        </w:rPr>
      </w:pPr>
    </w:p>
    <w:p w:rsidR="003D4EB0" w:rsidRPr="00FF4CAF" w:rsidRDefault="003D4EB0" w:rsidP="007A797F">
      <w:pPr>
        <w:pStyle w:val="BodyText"/>
        <w:spacing w:line="276" w:lineRule="auto"/>
        <w:contextualSpacing/>
        <w:jc w:val="left"/>
        <w:rPr>
          <w:rFonts w:ascii="Arial" w:hAnsi="Arial" w:cs="Arial"/>
          <w:b/>
          <w:sz w:val="22"/>
          <w:szCs w:val="22"/>
        </w:rPr>
      </w:pPr>
      <w:r w:rsidRPr="00FF4CAF">
        <w:rPr>
          <w:rFonts w:ascii="Arial" w:hAnsi="Arial" w:cs="Arial"/>
          <w:b/>
          <w:sz w:val="22"/>
          <w:szCs w:val="22"/>
        </w:rPr>
        <w:t>Artículo 1. Modificaciones</w:t>
      </w:r>
    </w:p>
    <w:p w:rsidR="003D4EB0" w:rsidRPr="00FF4CAF" w:rsidRDefault="003D4EB0" w:rsidP="007A797F">
      <w:pPr>
        <w:pStyle w:val="BodyText"/>
        <w:spacing w:line="276" w:lineRule="auto"/>
        <w:contextualSpacing/>
        <w:rPr>
          <w:rFonts w:ascii="Arial" w:hAnsi="Arial" w:cs="Arial"/>
          <w:sz w:val="22"/>
          <w:szCs w:val="22"/>
        </w:rPr>
      </w:pPr>
    </w:p>
    <w:p w:rsidR="003D4EB0" w:rsidRPr="00FF4CAF" w:rsidRDefault="00BC7F80" w:rsidP="007A797F">
      <w:pPr>
        <w:pStyle w:val="BodyText"/>
        <w:spacing w:line="276" w:lineRule="auto"/>
        <w:contextualSpacing/>
        <w:rPr>
          <w:rFonts w:ascii="Arial" w:hAnsi="Arial" w:cs="Arial"/>
          <w:sz w:val="22"/>
          <w:szCs w:val="22"/>
        </w:rPr>
      </w:pPr>
      <w:r>
        <w:rPr>
          <w:rFonts w:ascii="Arial" w:hAnsi="Arial" w:cs="Arial"/>
          <w:sz w:val="22"/>
          <w:szCs w:val="22"/>
        </w:rPr>
        <w:t xml:space="preserve">Se modifica el Artículo 10 </w:t>
      </w:r>
      <w:r w:rsidR="003D4EB0" w:rsidRPr="00FF4CAF">
        <w:rPr>
          <w:rFonts w:ascii="Arial" w:hAnsi="Arial" w:cs="Arial"/>
          <w:sz w:val="22"/>
          <w:szCs w:val="22"/>
        </w:rPr>
        <w:t>para</w:t>
      </w:r>
      <w:r>
        <w:rPr>
          <w:rFonts w:ascii="Arial" w:hAnsi="Arial" w:cs="Arial"/>
          <w:sz w:val="22"/>
          <w:szCs w:val="22"/>
        </w:rPr>
        <w:t xml:space="preserve"> incorporar dos tipos de traspasos no onerosos con cambio de titularidad, de manera que en adelante se lea de</w:t>
      </w:r>
      <w:r w:rsidR="003D4EB0" w:rsidRPr="00FF4CAF">
        <w:rPr>
          <w:rFonts w:ascii="Arial" w:hAnsi="Arial" w:cs="Arial"/>
          <w:sz w:val="22"/>
          <w:szCs w:val="22"/>
        </w:rPr>
        <w:t xml:space="preserve"> la siguiente forma:</w:t>
      </w:r>
    </w:p>
    <w:p w:rsidR="003D4EB0" w:rsidRPr="00FF4CAF" w:rsidRDefault="003D4EB0" w:rsidP="007A797F">
      <w:pPr>
        <w:pStyle w:val="BodyText"/>
        <w:spacing w:line="276" w:lineRule="auto"/>
        <w:contextualSpacing/>
        <w:rPr>
          <w:rFonts w:ascii="Arial" w:hAnsi="Arial" w:cs="Arial"/>
          <w:sz w:val="22"/>
          <w:szCs w:val="22"/>
        </w:rPr>
      </w:pPr>
    </w:p>
    <w:p w:rsidR="003D4EB0" w:rsidRDefault="00BC7F80" w:rsidP="007A797F">
      <w:pPr>
        <w:pStyle w:val="BodyText"/>
        <w:spacing w:line="276" w:lineRule="auto"/>
        <w:contextualSpacing/>
        <w:rPr>
          <w:rFonts w:ascii="Arial" w:hAnsi="Arial" w:cs="Arial"/>
          <w:bCs/>
          <w:i/>
          <w:sz w:val="22"/>
          <w:szCs w:val="22"/>
        </w:rPr>
      </w:pPr>
      <w:r>
        <w:rPr>
          <w:rFonts w:ascii="Arial" w:hAnsi="Arial" w:cs="Arial"/>
          <w:bCs/>
          <w:i/>
          <w:sz w:val="22"/>
          <w:szCs w:val="22"/>
        </w:rPr>
        <w:t>“Artículo 10. Traspasos no onerosos</w:t>
      </w:r>
    </w:p>
    <w:p w:rsidR="00BC7F80" w:rsidRDefault="00BC7F80" w:rsidP="007A797F">
      <w:pPr>
        <w:pStyle w:val="BodyText"/>
        <w:spacing w:line="276" w:lineRule="auto"/>
        <w:contextualSpacing/>
        <w:rPr>
          <w:rFonts w:ascii="Arial" w:hAnsi="Arial" w:cs="Arial"/>
          <w:bCs/>
          <w:i/>
          <w:sz w:val="22"/>
          <w:szCs w:val="22"/>
        </w:rPr>
      </w:pPr>
    </w:p>
    <w:p w:rsidR="00BC7F80" w:rsidRPr="008B7FC3" w:rsidRDefault="00BC7F80" w:rsidP="007A797F">
      <w:pPr>
        <w:spacing w:after="0" w:line="276" w:lineRule="auto"/>
        <w:jc w:val="both"/>
        <w:rPr>
          <w:rFonts w:cs="Arial"/>
          <w:color w:val="000000"/>
          <w:lang w:val="es-CR"/>
        </w:rPr>
      </w:pPr>
      <w:r w:rsidRPr="008B7FC3">
        <w:rPr>
          <w:rFonts w:cs="Arial"/>
          <w:color w:val="000000"/>
          <w:lang w:val="es-CR"/>
        </w:rPr>
        <w:t>Para efectos de lo dispuesto en el Reglamento, se autoriza únicamente  la realización de los siguientes tipos de traspasos de valores, los cuales deben ser comunicados a la Superintendencia General de Valores:</w:t>
      </w:r>
    </w:p>
    <w:p w:rsidR="00BC7F80" w:rsidRPr="008B7FC3" w:rsidRDefault="00BC7F80" w:rsidP="007A797F">
      <w:pPr>
        <w:tabs>
          <w:tab w:val="left" w:pos="567"/>
        </w:tabs>
        <w:spacing w:after="0" w:line="276" w:lineRule="auto"/>
        <w:jc w:val="both"/>
        <w:rPr>
          <w:rFonts w:cs="Arial"/>
          <w:b/>
          <w:bCs/>
          <w:color w:val="000000"/>
          <w:lang w:val="es-CR"/>
        </w:rPr>
      </w:pPr>
    </w:p>
    <w:p w:rsidR="00BC7F80" w:rsidRDefault="00BC7F80" w:rsidP="007A797F">
      <w:pPr>
        <w:numPr>
          <w:ilvl w:val="0"/>
          <w:numId w:val="11"/>
        </w:numPr>
        <w:tabs>
          <w:tab w:val="left" w:pos="567"/>
        </w:tabs>
        <w:spacing w:after="0" w:line="276" w:lineRule="auto"/>
        <w:ind w:left="567" w:hanging="567"/>
        <w:jc w:val="both"/>
        <w:rPr>
          <w:rFonts w:cs="Arial"/>
          <w:b/>
          <w:bCs/>
          <w:color w:val="000000"/>
          <w:lang w:val="es-CR"/>
        </w:rPr>
      </w:pPr>
      <w:r w:rsidRPr="008B7FC3">
        <w:rPr>
          <w:rFonts w:cs="Arial"/>
          <w:b/>
          <w:bCs/>
          <w:color w:val="000000"/>
          <w:lang w:val="es-CR"/>
        </w:rPr>
        <w:t xml:space="preserve">Traspasos no onerosos: </w:t>
      </w:r>
    </w:p>
    <w:p w:rsidR="00F770DE" w:rsidRDefault="00F770DE" w:rsidP="007A797F">
      <w:pPr>
        <w:tabs>
          <w:tab w:val="left" w:pos="567"/>
        </w:tabs>
        <w:spacing w:after="0" w:line="276" w:lineRule="auto"/>
        <w:ind w:left="567"/>
        <w:jc w:val="both"/>
        <w:rPr>
          <w:rFonts w:cs="Arial"/>
          <w:b/>
          <w:bCs/>
          <w:color w:val="000000"/>
          <w:lang w:val="es-CR"/>
        </w:rPr>
      </w:pPr>
    </w:p>
    <w:p w:rsidR="00F770DE" w:rsidRPr="00F770DE" w:rsidRDefault="00F770DE" w:rsidP="007A797F">
      <w:pPr>
        <w:spacing w:after="0" w:line="276" w:lineRule="auto"/>
        <w:jc w:val="both"/>
        <w:rPr>
          <w:rFonts w:cs="Arial"/>
          <w:bCs/>
          <w:color w:val="000000"/>
          <w:lang w:val="es-CR"/>
        </w:rPr>
      </w:pPr>
      <w:r w:rsidRPr="00F770DE">
        <w:rPr>
          <w:rFonts w:cs="Arial"/>
          <w:bCs/>
          <w:color w:val="000000"/>
          <w:lang w:val="es-CR"/>
        </w:rPr>
        <w:t>(…)</w:t>
      </w:r>
    </w:p>
    <w:p w:rsidR="00F770DE" w:rsidRPr="008B7FC3" w:rsidRDefault="00F770DE" w:rsidP="007A797F">
      <w:pPr>
        <w:tabs>
          <w:tab w:val="left" w:pos="567"/>
        </w:tabs>
        <w:spacing w:after="0" w:line="276" w:lineRule="auto"/>
        <w:ind w:left="567"/>
        <w:jc w:val="both"/>
        <w:rPr>
          <w:rFonts w:cs="Arial"/>
          <w:b/>
          <w:bCs/>
          <w:color w:val="000000"/>
          <w:lang w:val="es-CR"/>
        </w:rPr>
      </w:pPr>
    </w:p>
    <w:p w:rsidR="00BC7F80" w:rsidRPr="00F770DE" w:rsidRDefault="00BC7F80" w:rsidP="007A797F">
      <w:pPr>
        <w:pStyle w:val="ListParagraph"/>
        <w:numPr>
          <w:ilvl w:val="0"/>
          <w:numId w:val="13"/>
        </w:numPr>
        <w:spacing w:after="0" w:line="276" w:lineRule="auto"/>
        <w:ind w:left="567" w:hanging="425"/>
        <w:jc w:val="both"/>
        <w:rPr>
          <w:rFonts w:cs="Arial"/>
          <w:color w:val="000000"/>
          <w:lang w:val="es-CR"/>
        </w:rPr>
      </w:pPr>
      <w:r w:rsidRPr="00F770DE">
        <w:rPr>
          <w:rFonts w:cs="Arial"/>
          <w:i/>
          <w:iCs/>
          <w:color w:val="000000"/>
          <w:lang w:val="es-CR"/>
        </w:rPr>
        <w:t>Traspaso con cambio de titularidad</w:t>
      </w:r>
      <w:r w:rsidRPr="00F770DE">
        <w:rPr>
          <w:rFonts w:cs="Arial"/>
          <w:color w:val="000000"/>
          <w:lang w:val="es-CR"/>
        </w:rPr>
        <w:t xml:space="preserve"> hacia otro custodio o en el mismo custodio, para los cuales se debe contar con la documentación legal necesaria que fundamente el  origen del traspaso.  Tales traspasos son los siguientes:</w:t>
      </w:r>
    </w:p>
    <w:p w:rsidR="00F770DE" w:rsidRDefault="00F770DE" w:rsidP="007A797F">
      <w:pPr>
        <w:spacing w:after="0" w:line="276" w:lineRule="auto"/>
        <w:jc w:val="both"/>
        <w:rPr>
          <w:rFonts w:cs="Arial"/>
          <w:color w:val="000000"/>
          <w:lang w:val="es-CR"/>
        </w:rPr>
      </w:pPr>
    </w:p>
    <w:p w:rsidR="00BC7F80" w:rsidRPr="008B7FC3" w:rsidRDefault="00BC7F80" w:rsidP="007A797F">
      <w:pPr>
        <w:spacing w:after="0" w:line="276" w:lineRule="auto"/>
        <w:jc w:val="both"/>
        <w:rPr>
          <w:rFonts w:cs="Arial"/>
          <w:color w:val="000000"/>
          <w:lang w:val="es-CR"/>
        </w:rPr>
      </w:pPr>
      <w:r>
        <w:rPr>
          <w:rFonts w:cs="Arial"/>
          <w:color w:val="000000"/>
          <w:lang w:val="es-CR"/>
        </w:rPr>
        <w:t>(…)</w:t>
      </w:r>
    </w:p>
    <w:p w:rsidR="00BC7F80" w:rsidRPr="00BC7F80" w:rsidRDefault="00BC7F80" w:rsidP="007A797F">
      <w:pPr>
        <w:pStyle w:val="ListParagraph"/>
        <w:numPr>
          <w:ilvl w:val="0"/>
          <w:numId w:val="12"/>
        </w:numPr>
        <w:spacing w:after="0" w:line="276" w:lineRule="auto"/>
        <w:ind w:hanging="513"/>
        <w:jc w:val="both"/>
        <w:rPr>
          <w:rFonts w:cs="Arial"/>
          <w:color w:val="000000"/>
          <w:lang w:val="es-CR"/>
        </w:rPr>
      </w:pPr>
      <w:r w:rsidRPr="00BC7F80">
        <w:rPr>
          <w:rFonts w:cs="Arial"/>
          <w:color w:val="000000"/>
          <w:lang w:val="es-CR"/>
        </w:rPr>
        <w:t>Fallecimiento del inversionista titular de la cuenta:</w:t>
      </w:r>
    </w:p>
    <w:p w:rsidR="00F770DE" w:rsidRDefault="00F770DE" w:rsidP="007A797F">
      <w:pPr>
        <w:pStyle w:val="ListParagraph"/>
        <w:spacing w:after="0" w:line="276" w:lineRule="auto"/>
        <w:rPr>
          <w:rFonts w:cs="Arial"/>
          <w:color w:val="000000"/>
          <w:lang w:val="es-CR"/>
        </w:rPr>
      </w:pPr>
    </w:p>
    <w:p w:rsidR="00BC7F80" w:rsidRPr="00A54F3F" w:rsidRDefault="00BC7F80" w:rsidP="007A797F">
      <w:pPr>
        <w:pStyle w:val="ListParagraph"/>
        <w:spacing w:after="0" w:line="276" w:lineRule="auto"/>
        <w:ind w:left="0"/>
        <w:rPr>
          <w:rFonts w:cs="Arial"/>
          <w:color w:val="000000"/>
          <w:lang w:val="es-CR"/>
        </w:rPr>
      </w:pPr>
      <w:r w:rsidRPr="00A54F3F">
        <w:rPr>
          <w:rFonts w:cs="Arial"/>
          <w:color w:val="000000"/>
          <w:lang w:val="es-CR"/>
        </w:rPr>
        <w:t>(…)</w:t>
      </w:r>
    </w:p>
    <w:p w:rsidR="00BC7F80" w:rsidRDefault="00BC7F80" w:rsidP="007A797F">
      <w:pPr>
        <w:numPr>
          <w:ilvl w:val="0"/>
          <w:numId w:val="7"/>
        </w:numPr>
        <w:spacing w:after="0" w:line="276" w:lineRule="auto"/>
        <w:ind w:left="1701" w:hanging="567"/>
        <w:jc w:val="both"/>
        <w:rPr>
          <w:rFonts w:cs="Arial"/>
          <w:color w:val="000000"/>
          <w:lang w:val="es-CR"/>
        </w:rPr>
      </w:pPr>
      <w:r w:rsidRPr="00A54F3F">
        <w:rPr>
          <w:rFonts w:cs="Arial"/>
          <w:color w:val="000000"/>
          <w:lang w:val="es-CR"/>
        </w:rPr>
        <w:t xml:space="preserve">Por nombramiento de beneficiarios según lo dispuesto en el Artículo 183 de la Ley Reguladora del Mercado de Valores: Formulario donde el titular designó a los beneficiarios debidamente firmado, copia de la cédula de identidad del beneficiario y copia certificada por Notario </w:t>
      </w:r>
      <w:r w:rsidRPr="00A54F3F">
        <w:rPr>
          <w:rFonts w:cs="Arial"/>
          <w:color w:val="000000"/>
          <w:lang w:val="es-CR"/>
        </w:rPr>
        <w:lastRenderedPageBreak/>
        <w:t>Público del acta de defunción del titular</w:t>
      </w:r>
      <w:r w:rsidR="002B3B6E">
        <w:rPr>
          <w:rFonts w:cs="Arial"/>
          <w:color w:val="000000"/>
          <w:lang w:val="es-CR"/>
        </w:rPr>
        <w:t xml:space="preserve"> o certificación expedida por el Registro Civil en la que se haga constar la defunción</w:t>
      </w:r>
      <w:r w:rsidRPr="00A54F3F">
        <w:rPr>
          <w:rFonts w:cs="Arial"/>
          <w:color w:val="000000"/>
          <w:lang w:val="es-CR"/>
        </w:rPr>
        <w:t>.</w:t>
      </w:r>
    </w:p>
    <w:p w:rsidR="005407C9" w:rsidRDefault="005407C9" w:rsidP="005407C9">
      <w:pPr>
        <w:spacing w:after="0" w:line="276" w:lineRule="auto"/>
        <w:ind w:left="1701"/>
        <w:jc w:val="both"/>
        <w:rPr>
          <w:rFonts w:cs="Arial"/>
          <w:color w:val="000000"/>
          <w:lang w:val="es-CR"/>
        </w:rPr>
      </w:pPr>
    </w:p>
    <w:p w:rsidR="005407C9" w:rsidRPr="00A54F3F" w:rsidRDefault="005407C9" w:rsidP="005407C9">
      <w:pPr>
        <w:pStyle w:val="ListParagraph"/>
        <w:spacing w:after="0" w:line="276" w:lineRule="auto"/>
        <w:ind w:left="0"/>
        <w:rPr>
          <w:rFonts w:cs="Arial"/>
          <w:color w:val="000000"/>
          <w:lang w:val="es-CR"/>
        </w:rPr>
      </w:pPr>
      <w:r w:rsidRPr="00A54F3F">
        <w:rPr>
          <w:rFonts w:cs="Arial"/>
          <w:color w:val="000000"/>
          <w:lang w:val="es-CR"/>
        </w:rPr>
        <w:t>(…)</w:t>
      </w:r>
    </w:p>
    <w:p w:rsidR="005407C9" w:rsidRPr="00A54F3F" w:rsidRDefault="005407C9" w:rsidP="005407C9">
      <w:pPr>
        <w:spacing w:after="0" w:line="276" w:lineRule="auto"/>
        <w:ind w:left="1701"/>
        <w:jc w:val="both"/>
        <w:rPr>
          <w:rFonts w:cs="Arial"/>
          <w:color w:val="000000"/>
          <w:lang w:val="es-CR"/>
        </w:rPr>
      </w:pPr>
    </w:p>
    <w:p w:rsidR="005407C9" w:rsidRPr="008B7FC3" w:rsidRDefault="005407C9" w:rsidP="005407C9">
      <w:pPr>
        <w:numPr>
          <w:ilvl w:val="0"/>
          <w:numId w:val="16"/>
        </w:numPr>
        <w:spacing w:after="0" w:line="240" w:lineRule="auto"/>
        <w:jc w:val="both"/>
        <w:rPr>
          <w:rFonts w:cs="Arial"/>
          <w:color w:val="000000"/>
          <w:lang w:val="es-CR"/>
        </w:rPr>
      </w:pPr>
      <w:r w:rsidRPr="008B7FC3">
        <w:rPr>
          <w:rFonts w:cs="Arial"/>
          <w:color w:val="000000"/>
          <w:lang w:val="es-CR"/>
        </w:rPr>
        <w:t>Traspasos de valores de fondos de pensión o de capitalización laboral, de conformidad con las instrucciones que al respecto emita la Superintendencia de Pensiones, originados por:</w:t>
      </w:r>
    </w:p>
    <w:p w:rsidR="00FA2354" w:rsidRDefault="00FA2354" w:rsidP="00FA2354">
      <w:pPr>
        <w:spacing w:after="0" w:line="276" w:lineRule="auto"/>
        <w:jc w:val="both"/>
        <w:rPr>
          <w:rFonts w:cs="Arial"/>
          <w:color w:val="000000"/>
          <w:lang w:val="es-CR"/>
        </w:rPr>
      </w:pPr>
    </w:p>
    <w:p w:rsidR="00FA2354" w:rsidRDefault="00FA2354" w:rsidP="00FA2354">
      <w:pPr>
        <w:spacing w:after="0" w:line="276" w:lineRule="auto"/>
        <w:jc w:val="both"/>
        <w:rPr>
          <w:rFonts w:cs="Arial"/>
          <w:color w:val="000000"/>
          <w:lang w:val="es-CR"/>
        </w:rPr>
      </w:pPr>
      <w:r>
        <w:rPr>
          <w:rFonts w:cs="Arial"/>
          <w:color w:val="000000"/>
          <w:lang w:val="es-CR"/>
        </w:rPr>
        <w:t>(…)</w:t>
      </w:r>
    </w:p>
    <w:p w:rsidR="00D3511B" w:rsidRDefault="00FA2354" w:rsidP="00FA2354">
      <w:pPr>
        <w:numPr>
          <w:ilvl w:val="0"/>
          <w:numId w:val="7"/>
        </w:numPr>
        <w:spacing w:after="0" w:line="276" w:lineRule="auto"/>
        <w:ind w:left="1701" w:hanging="567"/>
        <w:jc w:val="both"/>
        <w:rPr>
          <w:rFonts w:cs="Arial"/>
          <w:color w:val="000000"/>
          <w:lang w:val="es-CR"/>
        </w:rPr>
      </w:pPr>
      <w:r>
        <w:rPr>
          <w:rFonts w:cs="Arial"/>
          <w:color w:val="000000"/>
          <w:lang w:val="es-CR"/>
        </w:rPr>
        <w:t>Atención de</w:t>
      </w:r>
      <w:r w:rsidRPr="00FA2354">
        <w:rPr>
          <w:rFonts w:cs="Arial"/>
          <w:color w:val="000000"/>
          <w:lang w:val="es-CR"/>
        </w:rPr>
        <w:t xml:space="preserve"> necesidades extraordinarias de liquidez del Fondo de Capitalización Laboral durante la vigencia del Decreto Ejecutivo N.° 42227-MP-S, por medio del cual el Poder Ejecutivo declara estado de emergencia nacional en todo el territorio de la República de Costa Rica, debido a la situación de emergencia</w:t>
      </w:r>
      <w:r>
        <w:rPr>
          <w:rFonts w:cs="Arial"/>
          <w:color w:val="000000"/>
          <w:lang w:val="es-CR"/>
        </w:rPr>
        <w:t xml:space="preserve"> </w:t>
      </w:r>
      <w:r w:rsidRPr="00FA2354">
        <w:rPr>
          <w:rFonts w:cs="Arial"/>
          <w:color w:val="000000"/>
          <w:lang w:val="es-CR"/>
        </w:rPr>
        <w:t>sanitaria provocada por la enfermedad COVID-19</w:t>
      </w:r>
      <w:r w:rsidR="00D3511B">
        <w:rPr>
          <w:rFonts w:cs="Arial"/>
          <w:color w:val="000000"/>
          <w:lang w:val="es-CR"/>
        </w:rPr>
        <w:t>.</w:t>
      </w:r>
    </w:p>
    <w:p w:rsidR="00D3511B" w:rsidRDefault="00D3511B" w:rsidP="00D3511B">
      <w:pPr>
        <w:spacing w:after="0" w:line="276" w:lineRule="auto"/>
        <w:jc w:val="both"/>
        <w:rPr>
          <w:rFonts w:cs="Arial"/>
          <w:color w:val="000000"/>
          <w:lang w:val="es-CR"/>
        </w:rPr>
      </w:pPr>
    </w:p>
    <w:p w:rsidR="00FA2354" w:rsidRPr="00FA2354" w:rsidRDefault="00D3511B" w:rsidP="00D3511B">
      <w:pPr>
        <w:spacing w:after="0" w:line="276" w:lineRule="auto"/>
        <w:jc w:val="both"/>
        <w:rPr>
          <w:rFonts w:cs="Arial"/>
          <w:color w:val="000000"/>
          <w:lang w:val="es-CR"/>
        </w:rPr>
      </w:pPr>
      <w:r>
        <w:rPr>
          <w:rFonts w:cs="Arial"/>
          <w:color w:val="000000"/>
          <w:lang w:val="es-CR"/>
        </w:rPr>
        <w:t>Todos estos traspasos que autorice la Superintendencia de Pensiones deberán ser reportados por la entidad de custodia ante la Superintendencia General de Valores de conformidad con lo dispuesto en el Acuerdo SGV-A-75 Suministro de información periódica.</w:t>
      </w:r>
      <w:r w:rsidR="00FA2354">
        <w:rPr>
          <w:rFonts w:cs="Arial"/>
          <w:color w:val="000000"/>
          <w:lang w:val="es-CR"/>
        </w:rPr>
        <w:t xml:space="preserve"> </w:t>
      </w:r>
    </w:p>
    <w:p w:rsidR="005407C9" w:rsidRDefault="005407C9" w:rsidP="007A797F">
      <w:pPr>
        <w:spacing w:after="0" w:line="276" w:lineRule="auto"/>
        <w:jc w:val="both"/>
        <w:rPr>
          <w:rFonts w:cs="Arial"/>
          <w:color w:val="000000"/>
          <w:lang w:val="es-CR"/>
        </w:rPr>
      </w:pPr>
    </w:p>
    <w:p w:rsidR="00FA2354" w:rsidRDefault="00FA2354" w:rsidP="00FA2354">
      <w:pPr>
        <w:spacing w:after="0" w:line="276" w:lineRule="auto"/>
        <w:jc w:val="both"/>
        <w:rPr>
          <w:rFonts w:cs="Arial"/>
          <w:color w:val="000000"/>
          <w:lang w:val="es-CR"/>
        </w:rPr>
      </w:pPr>
      <w:r>
        <w:rPr>
          <w:rFonts w:cs="Arial"/>
          <w:color w:val="000000"/>
          <w:lang w:val="es-CR"/>
        </w:rPr>
        <w:t>(…)</w:t>
      </w:r>
    </w:p>
    <w:p w:rsidR="00FA2354" w:rsidRDefault="00FA2354" w:rsidP="007A797F">
      <w:pPr>
        <w:spacing w:after="0" w:line="276" w:lineRule="auto"/>
        <w:jc w:val="both"/>
        <w:rPr>
          <w:rFonts w:cs="Arial"/>
          <w:color w:val="000000"/>
          <w:lang w:val="es-CR"/>
        </w:rPr>
      </w:pPr>
    </w:p>
    <w:p w:rsidR="002019D9" w:rsidRDefault="00245C3D" w:rsidP="007A797F">
      <w:pPr>
        <w:spacing w:after="0" w:line="276" w:lineRule="auto"/>
        <w:ind w:left="1134" w:hanging="567"/>
        <w:jc w:val="both"/>
        <w:rPr>
          <w:rFonts w:cs="Arial"/>
          <w:color w:val="000000"/>
          <w:lang w:val="es-CR"/>
        </w:rPr>
      </w:pPr>
      <w:r w:rsidRPr="00A54F3F">
        <w:rPr>
          <w:rFonts w:cs="Arial"/>
          <w:color w:val="000000"/>
          <w:lang w:val="es-CR"/>
        </w:rPr>
        <w:t xml:space="preserve">ix. </w:t>
      </w:r>
      <w:r w:rsidRPr="00A54F3F">
        <w:rPr>
          <w:rFonts w:cs="Arial"/>
          <w:color w:val="000000"/>
          <w:lang w:val="es-CR"/>
        </w:rPr>
        <w:tab/>
      </w:r>
      <w:r w:rsidR="00FE2BB3" w:rsidRPr="00FE2BB3">
        <w:rPr>
          <w:rFonts w:cs="Arial"/>
          <w:color w:val="000000"/>
          <w:lang w:val="es-CR"/>
        </w:rPr>
        <w:t>Traspasos de valores en garantías mediante acuerdos de control que impliquen cambio instrumental de titularidad: Se debe contar con una copia certificada notarialmente del contrato del acuerdo de control suscrito entre las partes, donde se indique claramente el otorgamiento del control y cómo se gestionarán los valores objeto de garantía, inclusive antes de la finalización del contrato.  En el caso que el acuerdo de control se mantenga sobre la cuenta en titularidad del sujeto pasivo, la acreditación del otorgamiento del control se realizará únicamente en los casos de ejecución de traspasos de valores en ejercicio de este acuerdo</w:t>
      </w:r>
      <w:r w:rsidR="008E1C9A">
        <w:rPr>
          <w:rFonts w:cs="Arial"/>
          <w:color w:val="000000"/>
          <w:lang w:val="es-CR"/>
        </w:rPr>
        <w:t>.</w:t>
      </w:r>
      <w:r w:rsidRPr="008B7FC3">
        <w:rPr>
          <w:rFonts w:cs="Arial"/>
          <w:color w:val="000000"/>
          <w:lang w:val="es-CR"/>
        </w:rPr>
        <w:t xml:space="preserve">  </w:t>
      </w:r>
    </w:p>
    <w:p w:rsidR="00245C3D" w:rsidRDefault="00245C3D" w:rsidP="007A797F">
      <w:pPr>
        <w:spacing w:after="0" w:line="276" w:lineRule="auto"/>
        <w:jc w:val="both"/>
        <w:rPr>
          <w:rFonts w:cs="Arial"/>
          <w:color w:val="000000"/>
          <w:lang w:val="es-CR"/>
        </w:rPr>
      </w:pPr>
    </w:p>
    <w:p w:rsidR="00BC7F80" w:rsidRPr="00675FF0" w:rsidRDefault="00BC7F80" w:rsidP="007A797F">
      <w:pPr>
        <w:pStyle w:val="ListParagraph"/>
        <w:numPr>
          <w:ilvl w:val="0"/>
          <w:numId w:val="11"/>
        </w:numPr>
        <w:tabs>
          <w:tab w:val="left" w:pos="567"/>
        </w:tabs>
        <w:spacing w:after="0" w:line="276" w:lineRule="auto"/>
        <w:ind w:left="567" w:hanging="567"/>
        <w:jc w:val="both"/>
        <w:rPr>
          <w:rFonts w:cs="Arial"/>
          <w:b/>
          <w:bCs/>
          <w:color w:val="000000"/>
          <w:lang w:val="es-CR"/>
        </w:rPr>
      </w:pPr>
      <w:r w:rsidRPr="00675FF0">
        <w:rPr>
          <w:rFonts w:cs="Arial"/>
          <w:b/>
          <w:bCs/>
          <w:color w:val="000000"/>
          <w:lang w:val="es-CR"/>
        </w:rPr>
        <w:t>Traspasos onerosos diferentes de la compra venta y el reporto:</w:t>
      </w:r>
    </w:p>
    <w:p w:rsidR="00BC7F80" w:rsidRDefault="00BC7F80" w:rsidP="007A797F">
      <w:pPr>
        <w:pStyle w:val="ListParagraph"/>
        <w:tabs>
          <w:tab w:val="left" w:pos="567"/>
        </w:tabs>
        <w:spacing w:after="0" w:line="276" w:lineRule="auto"/>
        <w:jc w:val="both"/>
        <w:rPr>
          <w:rFonts w:cs="Arial"/>
          <w:b/>
          <w:bCs/>
          <w:color w:val="000000"/>
          <w:lang w:val="es-CR"/>
        </w:rPr>
      </w:pPr>
    </w:p>
    <w:p w:rsidR="00675FF0" w:rsidRPr="00A54F3F" w:rsidRDefault="00675FF0" w:rsidP="007A797F">
      <w:pPr>
        <w:pStyle w:val="ListParagraph"/>
        <w:tabs>
          <w:tab w:val="left" w:pos="567"/>
        </w:tabs>
        <w:spacing w:after="0" w:line="276" w:lineRule="auto"/>
        <w:ind w:left="0"/>
        <w:jc w:val="both"/>
        <w:rPr>
          <w:rFonts w:cs="Arial"/>
          <w:bCs/>
          <w:color w:val="000000"/>
          <w:lang w:val="es-CR"/>
        </w:rPr>
      </w:pPr>
      <w:r w:rsidRPr="00A54F3F">
        <w:rPr>
          <w:rFonts w:cs="Arial"/>
          <w:bCs/>
          <w:color w:val="000000"/>
          <w:lang w:val="es-CR"/>
        </w:rPr>
        <w:t>(…)</w:t>
      </w:r>
    </w:p>
    <w:p w:rsidR="00675FF0" w:rsidRPr="00A54F3F" w:rsidRDefault="00675FF0" w:rsidP="007A797F">
      <w:pPr>
        <w:pStyle w:val="ListParagraph"/>
        <w:spacing w:after="0" w:line="276" w:lineRule="auto"/>
        <w:jc w:val="both"/>
        <w:rPr>
          <w:rFonts w:cs="Arial"/>
          <w:color w:val="000000"/>
          <w:lang w:val="es-CR"/>
        </w:rPr>
      </w:pPr>
    </w:p>
    <w:p w:rsidR="00BC7F80" w:rsidRPr="00A54F3F" w:rsidRDefault="00BC7F80" w:rsidP="007A797F">
      <w:pPr>
        <w:pStyle w:val="ListParagraph"/>
        <w:numPr>
          <w:ilvl w:val="0"/>
          <w:numId w:val="14"/>
        </w:numPr>
        <w:spacing w:after="0" w:line="276" w:lineRule="auto"/>
        <w:ind w:left="567" w:hanging="425"/>
        <w:jc w:val="both"/>
        <w:rPr>
          <w:rFonts w:cs="Arial"/>
          <w:color w:val="000000"/>
          <w:lang w:val="es-CR"/>
        </w:rPr>
      </w:pPr>
      <w:r w:rsidRPr="00A54F3F">
        <w:rPr>
          <w:rFonts w:cs="Arial"/>
          <w:color w:val="000000"/>
          <w:lang w:val="es-CR"/>
        </w:rPr>
        <w:t>Planes de acciones o de opciones de compra de acciones que se dirija exclusivamente a los trabajadores de la empresa que las emite: Se debe contar con certificación notari</w:t>
      </w:r>
      <w:r w:rsidR="00675FF0" w:rsidRPr="00A54F3F">
        <w:rPr>
          <w:rFonts w:cs="Arial"/>
          <w:color w:val="000000"/>
          <w:lang w:val="es-CR"/>
        </w:rPr>
        <w:t>al del acta de asamblea extraor</w:t>
      </w:r>
      <w:r w:rsidRPr="00A54F3F">
        <w:rPr>
          <w:rFonts w:cs="Arial"/>
          <w:color w:val="000000"/>
          <w:lang w:val="es-CR"/>
        </w:rPr>
        <w:t>d</w:t>
      </w:r>
      <w:r w:rsidR="00675FF0" w:rsidRPr="00A54F3F">
        <w:rPr>
          <w:rFonts w:cs="Arial"/>
          <w:color w:val="000000"/>
          <w:lang w:val="es-CR"/>
        </w:rPr>
        <w:t>i</w:t>
      </w:r>
      <w:r w:rsidRPr="00A54F3F">
        <w:rPr>
          <w:rFonts w:cs="Arial"/>
          <w:color w:val="000000"/>
          <w:lang w:val="es-CR"/>
        </w:rPr>
        <w:t xml:space="preserve">naria de accionistas o del acta de junta directiva, </w:t>
      </w:r>
      <w:r w:rsidR="002B3B6E">
        <w:rPr>
          <w:rFonts w:cs="Arial"/>
          <w:color w:val="000000"/>
          <w:lang w:val="es-CR"/>
        </w:rPr>
        <w:t xml:space="preserve">en </w:t>
      </w:r>
      <w:r w:rsidRPr="00A54F3F">
        <w:rPr>
          <w:rFonts w:cs="Arial"/>
          <w:color w:val="000000"/>
          <w:lang w:val="es-CR"/>
        </w:rPr>
        <w:t>la cual se toma el acuerdo y en donde se indique la lista de trabaj</w:t>
      </w:r>
      <w:r w:rsidR="00675FF0" w:rsidRPr="00A54F3F">
        <w:rPr>
          <w:rFonts w:cs="Arial"/>
          <w:color w:val="000000"/>
          <w:lang w:val="es-CR"/>
        </w:rPr>
        <w:t>a</w:t>
      </w:r>
      <w:r w:rsidRPr="00A54F3F">
        <w:rPr>
          <w:rFonts w:cs="Arial"/>
          <w:color w:val="000000"/>
          <w:lang w:val="es-CR"/>
        </w:rPr>
        <w:t>dores a los que se les otorgará el beneficio o incentivo y la ca</w:t>
      </w:r>
      <w:r w:rsidR="00675FF0" w:rsidRPr="00A54F3F">
        <w:rPr>
          <w:rFonts w:cs="Arial"/>
          <w:color w:val="000000"/>
          <w:lang w:val="es-CR"/>
        </w:rPr>
        <w:t>n</w:t>
      </w:r>
      <w:r w:rsidRPr="00A54F3F">
        <w:rPr>
          <w:rFonts w:cs="Arial"/>
          <w:color w:val="000000"/>
          <w:lang w:val="es-CR"/>
        </w:rPr>
        <w:t>tidad de acciones por trabajador.</w:t>
      </w:r>
    </w:p>
    <w:p w:rsidR="00BC7F80" w:rsidRDefault="00675FF0" w:rsidP="007A797F">
      <w:pPr>
        <w:spacing w:after="0" w:line="276" w:lineRule="auto"/>
        <w:jc w:val="both"/>
        <w:rPr>
          <w:rFonts w:cs="Arial"/>
          <w:color w:val="000000"/>
          <w:lang w:val="es-CR"/>
        </w:rPr>
      </w:pPr>
      <w:r w:rsidRPr="00A54F3F">
        <w:rPr>
          <w:rFonts w:cs="Arial"/>
          <w:color w:val="000000"/>
          <w:lang w:val="es-CR"/>
        </w:rPr>
        <w:t>(…)</w:t>
      </w:r>
    </w:p>
    <w:p w:rsidR="003D4EB0" w:rsidRDefault="003D4EB0" w:rsidP="007A797F">
      <w:pPr>
        <w:pStyle w:val="BodyText"/>
        <w:spacing w:line="276" w:lineRule="auto"/>
        <w:contextualSpacing/>
        <w:rPr>
          <w:rFonts w:ascii="Arial" w:hAnsi="Arial" w:cs="Arial"/>
          <w:sz w:val="22"/>
          <w:szCs w:val="22"/>
          <w:lang w:val="es-ES"/>
        </w:rPr>
      </w:pPr>
    </w:p>
    <w:p w:rsidR="00A2645B" w:rsidRDefault="00A2645B" w:rsidP="007A797F">
      <w:pPr>
        <w:pStyle w:val="BodyText"/>
        <w:spacing w:line="276" w:lineRule="auto"/>
        <w:contextualSpacing/>
        <w:rPr>
          <w:rFonts w:ascii="Arial" w:hAnsi="Arial" w:cs="Arial"/>
          <w:sz w:val="22"/>
          <w:szCs w:val="22"/>
          <w:lang w:val="es-ES"/>
        </w:rPr>
      </w:pPr>
    </w:p>
    <w:p w:rsidR="005A3353" w:rsidRPr="005A3353" w:rsidRDefault="005A3353" w:rsidP="007A797F">
      <w:pPr>
        <w:pStyle w:val="BodyText"/>
        <w:spacing w:line="276" w:lineRule="auto"/>
        <w:contextualSpacing/>
        <w:rPr>
          <w:rFonts w:ascii="Arial" w:hAnsi="Arial" w:cs="Arial"/>
          <w:b/>
          <w:sz w:val="22"/>
          <w:szCs w:val="22"/>
          <w:lang w:val="es-ES"/>
        </w:rPr>
      </w:pPr>
      <w:r w:rsidRPr="005A3353">
        <w:rPr>
          <w:rFonts w:ascii="Arial" w:hAnsi="Arial" w:cs="Arial"/>
          <w:b/>
          <w:sz w:val="22"/>
          <w:szCs w:val="22"/>
          <w:lang w:val="es-ES"/>
        </w:rPr>
        <w:lastRenderedPageBreak/>
        <w:t>Artículo 3. Adiciones</w:t>
      </w:r>
    </w:p>
    <w:p w:rsidR="005A3353" w:rsidRDefault="005A3353" w:rsidP="007A797F">
      <w:pPr>
        <w:pStyle w:val="BodyText"/>
        <w:spacing w:line="276" w:lineRule="auto"/>
        <w:contextualSpacing/>
        <w:rPr>
          <w:rFonts w:ascii="Arial" w:hAnsi="Arial" w:cs="Arial"/>
          <w:sz w:val="22"/>
          <w:szCs w:val="22"/>
          <w:lang w:val="es-ES"/>
        </w:rPr>
      </w:pPr>
    </w:p>
    <w:p w:rsidR="005A3353" w:rsidRPr="00FF4CAF" w:rsidRDefault="005A3353" w:rsidP="007A797F">
      <w:pPr>
        <w:pStyle w:val="BodyText"/>
        <w:spacing w:line="276" w:lineRule="auto"/>
        <w:contextualSpacing/>
        <w:rPr>
          <w:rFonts w:ascii="Arial" w:hAnsi="Arial" w:cs="Arial"/>
          <w:sz w:val="22"/>
          <w:szCs w:val="22"/>
        </w:rPr>
      </w:pPr>
      <w:r w:rsidRPr="00FF4CAF">
        <w:rPr>
          <w:rFonts w:ascii="Arial" w:hAnsi="Arial" w:cs="Arial"/>
          <w:sz w:val="22"/>
          <w:szCs w:val="22"/>
        </w:rPr>
        <w:t>Se adiciona el Transitorio V</w:t>
      </w:r>
      <w:r>
        <w:rPr>
          <w:rFonts w:ascii="Arial" w:hAnsi="Arial" w:cs="Arial"/>
          <w:sz w:val="22"/>
          <w:szCs w:val="22"/>
        </w:rPr>
        <w:t>I</w:t>
      </w:r>
      <w:r w:rsidRPr="00FF4CAF">
        <w:rPr>
          <w:rFonts w:ascii="Arial" w:hAnsi="Arial" w:cs="Arial"/>
          <w:sz w:val="22"/>
          <w:szCs w:val="22"/>
        </w:rPr>
        <w:t xml:space="preserve"> para que se lea de la siguiente forma:</w:t>
      </w:r>
    </w:p>
    <w:p w:rsidR="005A3353" w:rsidRPr="005A3353" w:rsidRDefault="005A3353" w:rsidP="007A797F">
      <w:pPr>
        <w:pStyle w:val="BodyText"/>
        <w:spacing w:line="276" w:lineRule="auto"/>
        <w:contextualSpacing/>
        <w:rPr>
          <w:rFonts w:ascii="Arial" w:hAnsi="Arial" w:cs="Arial"/>
          <w:sz w:val="22"/>
          <w:szCs w:val="22"/>
        </w:rPr>
      </w:pPr>
    </w:p>
    <w:p w:rsidR="005A3353" w:rsidRDefault="005A3353" w:rsidP="007A797F">
      <w:pPr>
        <w:pStyle w:val="BodyText"/>
        <w:spacing w:line="276" w:lineRule="auto"/>
        <w:contextualSpacing/>
        <w:rPr>
          <w:rFonts w:ascii="Arial" w:hAnsi="Arial" w:cs="Arial"/>
          <w:sz w:val="22"/>
          <w:szCs w:val="22"/>
          <w:lang w:val="es-ES"/>
        </w:rPr>
      </w:pPr>
      <w:r>
        <w:rPr>
          <w:rFonts w:ascii="Arial" w:hAnsi="Arial" w:cs="Arial"/>
          <w:sz w:val="22"/>
          <w:szCs w:val="22"/>
          <w:lang w:val="es-ES"/>
        </w:rPr>
        <w:t>“Transitorio VI</w:t>
      </w:r>
    </w:p>
    <w:p w:rsidR="005A3353" w:rsidRDefault="005A3353" w:rsidP="007A797F">
      <w:pPr>
        <w:pStyle w:val="BodyText"/>
        <w:spacing w:line="276" w:lineRule="auto"/>
        <w:contextualSpacing/>
        <w:rPr>
          <w:rFonts w:ascii="Arial" w:hAnsi="Arial" w:cs="Arial"/>
          <w:sz w:val="22"/>
          <w:szCs w:val="22"/>
          <w:lang w:val="es-ES"/>
        </w:rPr>
      </w:pPr>
      <w:r>
        <w:rPr>
          <w:rFonts w:ascii="Arial" w:hAnsi="Arial" w:cs="Arial"/>
          <w:sz w:val="22"/>
          <w:szCs w:val="22"/>
          <w:lang w:val="es-ES"/>
        </w:rPr>
        <w:t>Las entidades responsables del registro contable de los valores representados por medio de anotaciones electrónicas en cuenta, tendrán 30 días naturales, a partir de la entrada en vigencia del presente Acuerdo, para incluir en los sistemas de información los nuevos motivo</w:t>
      </w:r>
      <w:bookmarkStart w:id="0" w:name="_GoBack"/>
      <w:bookmarkEnd w:id="0"/>
      <w:r>
        <w:rPr>
          <w:rFonts w:ascii="Arial" w:hAnsi="Arial" w:cs="Arial"/>
          <w:sz w:val="22"/>
          <w:szCs w:val="22"/>
          <w:lang w:val="es-ES"/>
        </w:rPr>
        <w:t>s para la realización de traspasos no one</w:t>
      </w:r>
      <w:r w:rsidR="009B516B">
        <w:rPr>
          <w:rFonts w:ascii="Arial" w:hAnsi="Arial" w:cs="Arial"/>
          <w:sz w:val="22"/>
          <w:szCs w:val="22"/>
          <w:lang w:val="es-ES"/>
        </w:rPr>
        <w:t xml:space="preserve">rosos </w:t>
      </w:r>
      <w:r w:rsidR="002B3B6E">
        <w:rPr>
          <w:rFonts w:ascii="Arial" w:hAnsi="Arial" w:cs="Arial"/>
          <w:sz w:val="22"/>
          <w:szCs w:val="22"/>
          <w:lang w:val="es-ES"/>
        </w:rPr>
        <w:t xml:space="preserve">y onerosos </w:t>
      </w:r>
      <w:r w:rsidR="009B516B">
        <w:rPr>
          <w:rFonts w:ascii="Arial" w:hAnsi="Arial" w:cs="Arial"/>
          <w:sz w:val="22"/>
          <w:szCs w:val="22"/>
          <w:lang w:val="es-ES"/>
        </w:rPr>
        <w:t>con cambio de titularidad</w:t>
      </w:r>
      <w:r>
        <w:rPr>
          <w:rFonts w:ascii="Arial" w:hAnsi="Arial" w:cs="Arial"/>
          <w:sz w:val="22"/>
          <w:szCs w:val="22"/>
          <w:lang w:val="es-ES"/>
        </w:rPr>
        <w:t xml:space="preserve"> introducidos por esta norma, de tal manera que las entidades de custodia puedan proceder con la e</w:t>
      </w:r>
      <w:r w:rsidR="009B516B">
        <w:rPr>
          <w:rFonts w:ascii="Arial" w:hAnsi="Arial" w:cs="Arial"/>
          <w:sz w:val="22"/>
          <w:szCs w:val="22"/>
          <w:lang w:val="es-ES"/>
        </w:rPr>
        <w:t>jecución de los traspasos cuando sea requerido</w:t>
      </w:r>
      <w:r>
        <w:rPr>
          <w:rFonts w:ascii="Arial" w:hAnsi="Arial" w:cs="Arial"/>
          <w:sz w:val="22"/>
          <w:szCs w:val="22"/>
          <w:lang w:val="es-ES"/>
        </w:rPr>
        <w:t xml:space="preserve">.” </w:t>
      </w:r>
    </w:p>
    <w:p w:rsidR="005A3353" w:rsidRPr="00FF4CAF" w:rsidRDefault="005A3353" w:rsidP="007A797F">
      <w:pPr>
        <w:pStyle w:val="BodyText"/>
        <w:spacing w:line="276" w:lineRule="auto"/>
        <w:contextualSpacing/>
        <w:rPr>
          <w:rFonts w:ascii="Arial" w:hAnsi="Arial" w:cs="Arial"/>
          <w:sz w:val="22"/>
          <w:szCs w:val="22"/>
          <w:lang w:val="es-ES"/>
        </w:rPr>
      </w:pPr>
    </w:p>
    <w:p w:rsidR="003D4EB0" w:rsidRPr="00FF4CAF" w:rsidRDefault="005A3353" w:rsidP="007A797F">
      <w:pPr>
        <w:pStyle w:val="BodyText"/>
        <w:spacing w:line="276" w:lineRule="auto"/>
        <w:contextualSpacing/>
        <w:jc w:val="left"/>
        <w:rPr>
          <w:rFonts w:ascii="Arial" w:hAnsi="Arial" w:cs="Arial"/>
          <w:b/>
          <w:sz w:val="22"/>
          <w:szCs w:val="22"/>
        </w:rPr>
      </w:pPr>
      <w:r>
        <w:rPr>
          <w:rFonts w:ascii="Arial" w:hAnsi="Arial" w:cs="Arial"/>
          <w:b/>
          <w:sz w:val="22"/>
          <w:szCs w:val="22"/>
        </w:rPr>
        <w:t>Artículo 3</w:t>
      </w:r>
      <w:r w:rsidR="003D4EB0" w:rsidRPr="00FF4CAF">
        <w:rPr>
          <w:rFonts w:ascii="Arial" w:hAnsi="Arial" w:cs="Arial"/>
          <w:b/>
          <w:sz w:val="22"/>
          <w:szCs w:val="22"/>
        </w:rPr>
        <w:t>. Vigencia</w:t>
      </w:r>
    </w:p>
    <w:p w:rsidR="003D4EB0" w:rsidRPr="00FF4CAF" w:rsidRDefault="003D4EB0" w:rsidP="007A797F">
      <w:pPr>
        <w:pStyle w:val="BodyText"/>
        <w:spacing w:line="276" w:lineRule="auto"/>
        <w:contextualSpacing/>
        <w:rPr>
          <w:rFonts w:ascii="Arial" w:hAnsi="Arial" w:cs="Arial"/>
          <w:sz w:val="22"/>
          <w:szCs w:val="22"/>
        </w:rPr>
      </w:pPr>
    </w:p>
    <w:p w:rsidR="003D4EB0" w:rsidRPr="00FF4CAF" w:rsidRDefault="00675FF0" w:rsidP="007A797F">
      <w:pPr>
        <w:pStyle w:val="BodyText"/>
        <w:spacing w:line="276" w:lineRule="auto"/>
        <w:contextualSpacing/>
        <w:rPr>
          <w:rFonts w:ascii="Arial" w:hAnsi="Arial" w:cs="Arial"/>
          <w:sz w:val="22"/>
          <w:szCs w:val="22"/>
        </w:rPr>
      </w:pPr>
      <w:r>
        <w:rPr>
          <w:rFonts w:ascii="Arial" w:hAnsi="Arial" w:cs="Arial"/>
          <w:sz w:val="22"/>
          <w:szCs w:val="22"/>
        </w:rPr>
        <w:t>Rige a partir de</w:t>
      </w:r>
      <w:r w:rsidR="000A3E22">
        <w:rPr>
          <w:rFonts w:ascii="Arial" w:hAnsi="Arial" w:cs="Arial"/>
          <w:sz w:val="22"/>
          <w:szCs w:val="22"/>
        </w:rPr>
        <w:t>l</w:t>
      </w:r>
      <w:r w:rsidR="00F663D0">
        <w:rPr>
          <w:rFonts w:ascii="Arial" w:hAnsi="Arial" w:cs="Arial"/>
          <w:sz w:val="22"/>
          <w:szCs w:val="22"/>
        </w:rPr>
        <w:t xml:space="preserve"> </w:t>
      </w:r>
      <w:r w:rsidR="000A3E22">
        <w:rPr>
          <w:rFonts w:ascii="Arial" w:hAnsi="Arial" w:cs="Arial"/>
          <w:sz w:val="22"/>
          <w:szCs w:val="22"/>
        </w:rPr>
        <w:t>15 de junio de 2020</w:t>
      </w:r>
      <w:r w:rsidR="003D4EB0" w:rsidRPr="00FF4CAF">
        <w:rPr>
          <w:rFonts w:ascii="Arial" w:hAnsi="Arial" w:cs="Arial"/>
          <w:sz w:val="22"/>
          <w:szCs w:val="22"/>
        </w:rPr>
        <w:t>.</w:t>
      </w:r>
    </w:p>
    <w:p w:rsidR="003D4EB0" w:rsidRPr="00FF4CAF" w:rsidRDefault="003D4EB0" w:rsidP="007A797F">
      <w:pPr>
        <w:pStyle w:val="BodyText"/>
        <w:spacing w:line="276" w:lineRule="auto"/>
        <w:contextualSpacing/>
        <w:rPr>
          <w:rFonts w:ascii="Arial" w:hAnsi="Arial" w:cs="Arial"/>
          <w:sz w:val="22"/>
          <w:szCs w:val="22"/>
        </w:rPr>
      </w:pPr>
    </w:p>
    <w:p w:rsidR="003D4EB0" w:rsidRPr="00FF4CAF" w:rsidRDefault="003D4EB0" w:rsidP="007A797F">
      <w:pPr>
        <w:pStyle w:val="BodyText"/>
        <w:spacing w:line="276" w:lineRule="auto"/>
        <w:contextualSpacing/>
        <w:rPr>
          <w:rFonts w:ascii="Arial" w:hAnsi="Arial" w:cs="Arial"/>
          <w:sz w:val="22"/>
          <w:szCs w:val="22"/>
        </w:rPr>
      </w:pPr>
      <w:r w:rsidRPr="00FF4CAF">
        <w:rPr>
          <w:rFonts w:ascii="Arial" w:eastAsia="Calibri" w:hAnsi="Arial" w:cs="Arial"/>
          <w:noProof/>
          <w:sz w:val="22"/>
          <w:szCs w:val="22"/>
          <w:lang w:eastAsia="es-CR"/>
        </w:rPr>
        <w:drawing>
          <wp:inline distT="0" distB="0" distL="0" distR="0" wp14:anchorId="2A0D4BBD" wp14:editId="2A0D4BBE">
            <wp:extent cx="2732405" cy="32956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5" cy="329565"/>
                    </a:xfrm>
                    <a:prstGeom prst="rect">
                      <a:avLst/>
                    </a:prstGeom>
                    <a:noFill/>
                    <a:ln>
                      <a:noFill/>
                    </a:ln>
                  </pic:spPr>
                </pic:pic>
              </a:graphicData>
            </a:graphic>
          </wp:inline>
        </w:drawing>
      </w:r>
    </w:p>
    <w:p w:rsidR="003D4EB0" w:rsidRPr="00FF4CAF" w:rsidRDefault="003D4EB0" w:rsidP="007A797F">
      <w:pPr>
        <w:spacing w:after="0" w:line="276" w:lineRule="auto"/>
        <w:rPr>
          <w:rFonts w:cs="Arial"/>
        </w:rPr>
      </w:pPr>
    </w:p>
    <w:sectPr w:rsidR="003D4EB0" w:rsidRPr="00FF4CAF" w:rsidSect="00A2645B">
      <w:headerReference w:type="default" r:id="rId9"/>
      <w:footerReference w:type="default" r:id="rId10"/>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B66" w:rsidRDefault="001D3B66" w:rsidP="00E7324F">
      <w:pPr>
        <w:spacing w:after="0" w:line="240" w:lineRule="auto"/>
      </w:pPr>
      <w:r>
        <w:separator/>
      </w:r>
    </w:p>
  </w:endnote>
  <w:endnote w:type="continuationSeparator" w:id="0">
    <w:p w:rsidR="001D3B66" w:rsidRDefault="001D3B66" w:rsidP="00E7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B81" w:rsidRPr="00DB7129" w:rsidRDefault="00691B81" w:rsidP="00691B81">
    <w:pPr>
      <w:pStyle w:val="Footer"/>
      <w:rPr>
        <w:rFonts w:cs="Arial"/>
        <w:color w:val="1B75BB"/>
      </w:rPr>
    </w:pPr>
    <w:r w:rsidRPr="00DB7129">
      <w:rPr>
        <w:rFonts w:cs="Arial"/>
        <w:color w:val="1B75BB"/>
      </w:rPr>
      <w:t xml:space="preserve">| </w:t>
    </w:r>
    <w:r w:rsidRPr="00DB7129">
      <w:rPr>
        <w:rFonts w:cs="Arial"/>
        <w:color w:val="1B75BB"/>
      </w:rPr>
      <w:fldChar w:fldCharType="begin"/>
    </w:r>
    <w:r w:rsidRPr="00DB7129">
      <w:rPr>
        <w:rFonts w:cs="Arial"/>
        <w:color w:val="1B75BB"/>
      </w:rPr>
      <w:instrText xml:space="preserve"> PAGE   \* MERGEFORMAT </w:instrText>
    </w:r>
    <w:r w:rsidRPr="00DB7129">
      <w:rPr>
        <w:rFonts w:cs="Arial"/>
        <w:color w:val="1B75BB"/>
      </w:rPr>
      <w:fldChar w:fldCharType="separate"/>
    </w:r>
    <w:r w:rsidR="009C7F98">
      <w:rPr>
        <w:rFonts w:cs="Arial"/>
        <w:noProof/>
        <w:color w:val="1B75BB"/>
      </w:rPr>
      <w:t>4</w:t>
    </w:r>
    <w:r w:rsidRPr="00DB7129">
      <w:rPr>
        <w:rFonts w:cs="Arial"/>
        <w:noProof/>
        <w:color w:val="1B75BB"/>
      </w:rPr>
      <w:fldChar w:fldCharType="end"/>
    </w:r>
  </w:p>
  <w:p w:rsidR="00691B81" w:rsidRDefault="00691B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B66" w:rsidRDefault="001D3B66" w:rsidP="00E7324F">
      <w:pPr>
        <w:spacing w:after="0" w:line="240" w:lineRule="auto"/>
      </w:pPr>
      <w:r>
        <w:separator/>
      </w:r>
    </w:p>
  </w:footnote>
  <w:footnote w:type="continuationSeparator" w:id="0">
    <w:p w:rsidR="001D3B66" w:rsidRDefault="001D3B66" w:rsidP="00E7324F">
      <w:pPr>
        <w:spacing w:after="0" w:line="240" w:lineRule="auto"/>
      </w:pPr>
      <w:r>
        <w:continuationSeparator/>
      </w:r>
    </w:p>
  </w:footnote>
  <w:footnote w:id="1">
    <w:p w:rsidR="00E7324F" w:rsidRPr="00D7779C" w:rsidRDefault="00E7324F" w:rsidP="00E7324F">
      <w:pPr>
        <w:widowControl w:val="0"/>
        <w:spacing w:after="0" w:line="240" w:lineRule="auto"/>
        <w:contextualSpacing/>
        <w:jc w:val="both"/>
        <w:rPr>
          <w:rFonts w:eastAsia="Times New Roman" w:cs="Arial"/>
        </w:rPr>
      </w:pPr>
      <w:r>
        <w:rPr>
          <w:rStyle w:val="FootnoteReference"/>
        </w:rPr>
        <w:footnoteRef/>
      </w:r>
      <w:r>
        <w:t xml:space="preserve"> </w:t>
      </w:r>
      <w:r w:rsidRPr="00CC7D61">
        <w:rPr>
          <w:rFonts w:eastAsia="Times New Roman" w:cs="Arial"/>
        </w:rPr>
        <w:t>Superintendencia General de Valores.  Despacho del Superintendente</w:t>
      </w:r>
      <w:r w:rsidR="00BC7F80">
        <w:rPr>
          <w:rFonts w:eastAsia="Times New Roman" w:cs="Arial"/>
        </w:rPr>
        <w:t>.</w:t>
      </w:r>
      <w:r w:rsidRPr="00CC7D61">
        <w:rPr>
          <w:rFonts w:eastAsia="Times New Roman" w:cs="Arial"/>
        </w:rPr>
        <w:t xml:space="preserve"> A las </w:t>
      </w:r>
      <w:r w:rsidR="002F7008">
        <w:rPr>
          <w:rFonts w:eastAsia="Times New Roman" w:cs="Arial"/>
        </w:rPr>
        <w:t>diez</w:t>
      </w:r>
      <w:r w:rsidRPr="00CC7D61">
        <w:rPr>
          <w:rFonts w:eastAsia="Times New Roman" w:cs="Arial"/>
        </w:rPr>
        <w:t xml:space="preserve"> horas del </w:t>
      </w:r>
      <w:r w:rsidR="002F7008">
        <w:rPr>
          <w:rFonts w:eastAsia="Times New Roman" w:cs="Arial"/>
        </w:rPr>
        <w:t>dos</w:t>
      </w:r>
      <w:r w:rsidRPr="00CC7D61">
        <w:rPr>
          <w:rFonts w:eastAsia="Times New Roman" w:cs="Arial"/>
        </w:rPr>
        <w:t xml:space="preserve"> de </w:t>
      </w:r>
      <w:r w:rsidR="000A3E22">
        <w:rPr>
          <w:rFonts w:eastAsia="Times New Roman" w:cs="Arial"/>
        </w:rPr>
        <w:t>junio</w:t>
      </w:r>
      <w:r w:rsidRPr="00CC7D61">
        <w:rPr>
          <w:rFonts w:eastAsia="Times New Roman" w:cs="Arial"/>
        </w:rPr>
        <w:t xml:space="preserve"> del dos mil </w:t>
      </w:r>
      <w:r w:rsidR="00BC7F80">
        <w:rPr>
          <w:rFonts w:eastAsia="Times New Roman" w:cs="Arial"/>
        </w:rPr>
        <w:t>veinte</w:t>
      </w:r>
      <w:r w:rsidRPr="00CC7D61">
        <w:rPr>
          <w:rFonts w:eastAsia="Times New Roman" w:cs="Arial"/>
        </w:rPr>
        <w:t>.</w:t>
      </w:r>
      <w:r w:rsidR="00DB5C42">
        <w:rPr>
          <w:rFonts w:eastAsia="Times New Roman" w:cs="Arial"/>
        </w:rPr>
        <w:t xml:space="preserve"> </w:t>
      </w:r>
    </w:p>
    <w:p w:rsidR="00E7324F" w:rsidRPr="00E7324F" w:rsidRDefault="00E7324F">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A2645B" w:rsidRPr="00A2645B" w:rsidRDefault="00A2645B" w:rsidP="00A2645B">
        <w:pPr>
          <w:pStyle w:val="Header"/>
          <w:jc w:val="right"/>
          <w:rPr>
            <w:rFonts w:eastAsia="Times New Roman" w:cs="Arial"/>
            <w:i/>
            <w:sz w:val="20"/>
            <w:szCs w:val="20"/>
            <w:lang w:eastAsia="es-ES"/>
          </w:rPr>
        </w:pPr>
        <w:r w:rsidRPr="00A2645B">
          <w:rPr>
            <w:rFonts w:ascii="Calibri" w:eastAsia="Times New Roman" w:hAnsi="Calibri" w:cs="Arial"/>
            <w:i/>
            <w:noProof/>
            <w:sz w:val="20"/>
            <w:szCs w:val="20"/>
            <w:lang w:val="es-CR" w:eastAsia="es-CR"/>
          </w:rPr>
          <w:drawing>
            <wp:inline distT="0" distB="0" distL="0" distR="0" wp14:anchorId="5E49AC16" wp14:editId="4B5BBC0E">
              <wp:extent cx="1581150" cy="390525"/>
              <wp:effectExtent l="0" t="0" r="0" b="9525"/>
              <wp:docPr id="5" name="Picture 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rsidR="002F7008" w:rsidRDefault="00A2645B" w:rsidP="00A2645B">
        <w:pPr>
          <w:tabs>
            <w:tab w:val="center" w:pos="4252"/>
            <w:tab w:val="right" w:pos="8504"/>
          </w:tabs>
          <w:spacing w:after="0" w:line="240" w:lineRule="auto"/>
          <w:jc w:val="right"/>
        </w:pPr>
        <w:r w:rsidRPr="00A2645B">
          <w:rPr>
            <w:rFonts w:ascii="Times New Roman" w:eastAsia="Arial Unicode MS" w:hAnsi="Times New Roman" w:cs="Times New Roman"/>
            <w:noProof/>
            <w:szCs w:val="24"/>
            <w:lang w:val="es-CR" w:eastAsia="es-CR"/>
          </w:rPr>
          <mc:AlternateContent>
            <mc:Choice Requires="wps">
              <w:drawing>
                <wp:anchor distT="4294967292" distB="4294967292" distL="114300" distR="114300" simplePos="0" relativeHeight="251661312" behindDoc="0" locked="0" layoutInCell="1" allowOverlap="1" wp14:anchorId="194A4CCA" wp14:editId="5270A3D8">
                  <wp:simplePos x="0" y="0"/>
                  <wp:positionH relativeFrom="margin">
                    <wp:align>right</wp:align>
                  </wp:positionH>
                  <wp:positionV relativeFrom="paragraph">
                    <wp:posOffset>66675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9C6DF" id="Straight Connector 4" o:spid="_x0000_s1026" style="position:absolute;flip:y;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8.7pt,5.25pt" to="80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" strokecolor="#1b75bb" strokeweight="1.5pt">
                  <w10:wrap anchorx="margin"/>
                </v:line>
              </w:pict>
            </mc:Fallback>
          </mc:AlternateContent>
        </w:r>
      </w:p>
    </w:sdtContent>
  </w:sdt>
  <w:p w:rsidR="002F7008" w:rsidRDefault="002F70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44E"/>
    <w:multiLevelType w:val="hybridMultilevel"/>
    <w:tmpl w:val="C29207AE"/>
    <w:lvl w:ilvl="0" w:tplc="332C692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EE57E0"/>
    <w:multiLevelType w:val="hybridMultilevel"/>
    <w:tmpl w:val="FE800A66"/>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442405"/>
    <w:multiLevelType w:val="hybridMultilevel"/>
    <w:tmpl w:val="2E0611C8"/>
    <w:lvl w:ilvl="0" w:tplc="140A0001">
      <w:start w:val="1"/>
      <w:numFmt w:val="bullet"/>
      <w:lvlText w:val=""/>
      <w:lvlJc w:val="left"/>
      <w:pPr>
        <w:ind w:left="1636" w:hanging="360"/>
      </w:pPr>
      <w:rPr>
        <w:rFonts w:ascii="Symbol" w:hAnsi="Symbol" w:hint="default"/>
      </w:rPr>
    </w:lvl>
    <w:lvl w:ilvl="1" w:tplc="140A0003">
      <w:start w:val="1"/>
      <w:numFmt w:val="bullet"/>
      <w:lvlText w:val="o"/>
      <w:lvlJc w:val="left"/>
      <w:pPr>
        <w:ind w:left="2356" w:hanging="360"/>
      </w:pPr>
      <w:rPr>
        <w:rFonts w:ascii="Courier New" w:hAnsi="Courier New" w:cs="Courier New" w:hint="default"/>
      </w:rPr>
    </w:lvl>
    <w:lvl w:ilvl="2" w:tplc="140A0005" w:tentative="1">
      <w:start w:val="1"/>
      <w:numFmt w:val="bullet"/>
      <w:lvlText w:val=""/>
      <w:lvlJc w:val="left"/>
      <w:pPr>
        <w:ind w:left="3076" w:hanging="360"/>
      </w:pPr>
      <w:rPr>
        <w:rFonts w:ascii="Wingdings" w:hAnsi="Wingdings" w:hint="default"/>
      </w:rPr>
    </w:lvl>
    <w:lvl w:ilvl="3" w:tplc="140A0001" w:tentative="1">
      <w:start w:val="1"/>
      <w:numFmt w:val="bullet"/>
      <w:lvlText w:val=""/>
      <w:lvlJc w:val="left"/>
      <w:pPr>
        <w:ind w:left="3796" w:hanging="360"/>
      </w:pPr>
      <w:rPr>
        <w:rFonts w:ascii="Symbol" w:hAnsi="Symbol" w:hint="default"/>
      </w:rPr>
    </w:lvl>
    <w:lvl w:ilvl="4" w:tplc="140A0003" w:tentative="1">
      <w:start w:val="1"/>
      <w:numFmt w:val="bullet"/>
      <w:lvlText w:val="o"/>
      <w:lvlJc w:val="left"/>
      <w:pPr>
        <w:ind w:left="4516" w:hanging="360"/>
      </w:pPr>
      <w:rPr>
        <w:rFonts w:ascii="Courier New" w:hAnsi="Courier New" w:cs="Courier New" w:hint="default"/>
      </w:rPr>
    </w:lvl>
    <w:lvl w:ilvl="5" w:tplc="140A0005" w:tentative="1">
      <w:start w:val="1"/>
      <w:numFmt w:val="bullet"/>
      <w:lvlText w:val=""/>
      <w:lvlJc w:val="left"/>
      <w:pPr>
        <w:ind w:left="5236" w:hanging="360"/>
      </w:pPr>
      <w:rPr>
        <w:rFonts w:ascii="Wingdings" w:hAnsi="Wingdings" w:hint="default"/>
      </w:rPr>
    </w:lvl>
    <w:lvl w:ilvl="6" w:tplc="140A0001" w:tentative="1">
      <w:start w:val="1"/>
      <w:numFmt w:val="bullet"/>
      <w:lvlText w:val=""/>
      <w:lvlJc w:val="left"/>
      <w:pPr>
        <w:ind w:left="5956" w:hanging="360"/>
      </w:pPr>
      <w:rPr>
        <w:rFonts w:ascii="Symbol" w:hAnsi="Symbol" w:hint="default"/>
      </w:rPr>
    </w:lvl>
    <w:lvl w:ilvl="7" w:tplc="140A0003" w:tentative="1">
      <w:start w:val="1"/>
      <w:numFmt w:val="bullet"/>
      <w:lvlText w:val="o"/>
      <w:lvlJc w:val="left"/>
      <w:pPr>
        <w:ind w:left="6676" w:hanging="360"/>
      </w:pPr>
      <w:rPr>
        <w:rFonts w:ascii="Courier New" w:hAnsi="Courier New" w:cs="Courier New" w:hint="default"/>
      </w:rPr>
    </w:lvl>
    <w:lvl w:ilvl="8" w:tplc="140A0005" w:tentative="1">
      <w:start w:val="1"/>
      <w:numFmt w:val="bullet"/>
      <w:lvlText w:val=""/>
      <w:lvlJc w:val="left"/>
      <w:pPr>
        <w:ind w:left="7396" w:hanging="360"/>
      </w:pPr>
      <w:rPr>
        <w:rFonts w:ascii="Wingdings" w:hAnsi="Wingdings" w:hint="default"/>
      </w:rPr>
    </w:lvl>
  </w:abstractNum>
  <w:abstractNum w:abstractNumId="4" w15:restartNumberingAfterBreak="0">
    <w:nsid w:val="1F14766D"/>
    <w:multiLevelType w:val="hybridMultilevel"/>
    <w:tmpl w:val="A64AE5DC"/>
    <w:lvl w:ilvl="0" w:tplc="F3D601A0">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3897DFC"/>
    <w:multiLevelType w:val="hybridMultilevel"/>
    <w:tmpl w:val="1346DB1C"/>
    <w:lvl w:ilvl="0" w:tplc="98C40438">
      <w:start w:val="8"/>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8737329"/>
    <w:multiLevelType w:val="hybridMultilevel"/>
    <w:tmpl w:val="09488A58"/>
    <w:lvl w:ilvl="0" w:tplc="CF94D528">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992F2D"/>
    <w:multiLevelType w:val="hybridMultilevel"/>
    <w:tmpl w:val="B8123400"/>
    <w:lvl w:ilvl="0" w:tplc="140A0017">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FF17D31"/>
    <w:multiLevelType w:val="hybridMultilevel"/>
    <w:tmpl w:val="DA06C6C6"/>
    <w:lvl w:ilvl="0" w:tplc="201E7BE0">
      <w:start w:val="2"/>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2357916"/>
    <w:multiLevelType w:val="hybridMultilevel"/>
    <w:tmpl w:val="2898BA9A"/>
    <w:lvl w:ilvl="0" w:tplc="6DAA9C8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05E3D52"/>
    <w:multiLevelType w:val="hybridMultilevel"/>
    <w:tmpl w:val="7294F7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63975ABD"/>
    <w:multiLevelType w:val="hybridMultilevel"/>
    <w:tmpl w:val="C05ACDB0"/>
    <w:lvl w:ilvl="0" w:tplc="9F7A7D56">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84D3288"/>
    <w:multiLevelType w:val="hybridMultilevel"/>
    <w:tmpl w:val="816A349A"/>
    <w:lvl w:ilvl="0" w:tplc="369EAD5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CBC338B"/>
    <w:multiLevelType w:val="hybridMultilevel"/>
    <w:tmpl w:val="C0760CB6"/>
    <w:lvl w:ilvl="0" w:tplc="9910950E">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D134A02"/>
    <w:multiLevelType w:val="hybridMultilevel"/>
    <w:tmpl w:val="085E7D38"/>
    <w:lvl w:ilvl="0" w:tplc="36A8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95FC9"/>
    <w:multiLevelType w:val="singleLevel"/>
    <w:tmpl w:val="04090013"/>
    <w:lvl w:ilvl="0">
      <w:start w:val="1"/>
      <w:numFmt w:val="upperRoman"/>
      <w:lvlText w:val="%1."/>
      <w:lvlJc w:val="left"/>
      <w:pPr>
        <w:tabs>
          <w:tab w:val="num" w:pos="720"/>
        </w:tabs>
        <w:ind w:left="720" w:hanging="720"/>
      </w:pPr>
    </w:lvl>
  </w:abstractNum>
  <w:num w:numId="1">
    <w:abstractNumId w:val="15"/>
  </w:num>
  <w:num w:numId="2">
    <w:abstractNumId w:val="0"/>
  </w:num>
  <w:num w:numId="3">
    <w:abstractNumId w:val="1"/>
  </w:num>
  <w:num w:numId="4">
    <w:abstractNumId w:val="2"/>
  </w:num>
  <w:num w:numId="5">
    <w:abstractNumId w:val="4"/>
  </w:num>
  <w:num w:numId="6">
    <w:abstractNumId w:val="6"/>
  </w:num>
  <w:num w:numId="7">
    <w:abstractNumId w:val="3"/>
  </w:num>
  <w:num w:numId="8">
    <w:abstractNumId w:val="10"/>
  </w:num>
  <w:num w:numId="9">
    <w:abstractNumId w:val="12"/>
  </w:num>
  <w:num w:numId="10">
    <w:abstractNumId w:val="9"/>
  </w:num>
  <w:num w:numId="11">
    <w:abstractNumId w:val="14"/>
  </w:num>
  <w:num w:numId="12">
    <w:abstractNumId w:val="11"/>
  </w:num>
  <w:num w:numId="13">
    <w:abstractNumId w:val="8"/>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EB0"/>
    <w:rsid w:val="00034106"/>
    <w:rsid w:val="00057D2E"/>
    <w:rsid w:val="000A3E22"/>
    <w:rsid w:val="001857BA"/>
    <w:rsid w:val="001D3B66"/>
    <w:rsid w:val="002019D9"/>
    <w:rsid w:val="00235115"/>
    <w:rsid w:val="00245C3D"/>
    <w:rsid w:val="002B3B6E"/>
    <w:rsid w:val="002D21B9"/>
    <w:rsid w:val="002F7008"/>
    <w:rsid w:val="00352FE4"/>
    <w:rsid w:val="003D3CAC"/>
    <w:rsid w:val="003D4EB0"/>
    <w:rsid w:val="00413618"/>
    <w:rsid w:val="00501656"/>
    <w:rsid w:val="005407C9"/>
    <w:rsid w:val="00540C50"/>
    <w:rsid w:val="005835F5"/>
    <w:rsid w:val="005A3353"/>
    <w:rsid w:val="006264BE"/>
    <w:rsid w:val="006354D1"/>
    <w:rsid w:val="00675FF0"/>
    <w:rsid w:val="00691B81"/>
    <w:rsid w:val="007A797F"/>
    <w:rsid w:val="007C7029"/>
    <w:rsid w:val="00813C64"/>
    <w:rsid w:val="008B7FD3"/>
    <w:rsid w:val="008E1C9A"/>
    <w:rsid w:val="00941532"/>
    <w:rsid w:val="00997ED4"/>
    <w:rsid w:val="009B516B"/>
    <w:rsid w:val="009C7F98"/>
    <w:rsid w:val="00A2645B"/>
    <w:rsid w:val="00A32443"/>
    <w:rsid w:val="00A3267A"/>
    <w:rsid w:val="00A54F3F"/>
    <w:rsid w:val="00A85C75"/>
    <w:rsid w:val="00AB35B4"/>
    <w:rsid w:val="00BC7F80"/>
    <w:rsid w:val="00C707B8"/>
    <w:rsid w:val="00C73197"/>
    <w:rsid w:val="00D3511B"/>
    <w:rsid w:val="00D50369"/>
    <w:rsid w:val="00D6678B"/>
    <w:rsid w:val="00DB5C42"/>
    <w:rsid w:val="00E2313C"/>
    <w:rsid w:val="00E42434"/>
    <w:rsid w:val="00E50A4A"/>
    <w:rsid w:val="00E7324F"/>
    <w:rsid w:val="00E8781E"/>
    <w:rsid w:val="00EC2B60"/>
    <w:rsid w:val="00F1489D"/>
    <w:rsid w:val="00F663D0"/>
    <w:rsid w:val="00F770DE"/>
    <w:rsid w:val="00FA2354"/>
    <w:rsid w:val="00FE2BB3"/>
    <w:rsid w:val="00FF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E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D4EB0"/>
    <w:pPr>
      <w:spacing w:after="0" w:line="240" w:lineRule="auto"/>
      <w:jc w:val="both"/>
    </w:pPr>
    <w:rPr>
      <w:rFonts w:ascii="Times New Roman" w:eastAsia="Times New Roman" w:hAnsi="Times New Roman" w:cs="Times New Roman"/>
      <w:sz w:val="24"/>
      <w:szCs w:val="20"/>
      <w:lang w:val="es-CR"/>
    </w:rPr>
  </w:style>
  <w:style w:type="character" w:customStyle="1" w:styleId="BodyTextChar">
    <w:name w:val="Body Text Char"/>
    <w:basedOn w:val="DefaultParagraphFont"/>
    <w:link w:val="BodyText"/>
    <w:rsid w:val="003D4EB0"/>
    <w:rPr>
      <w:rFonts w:ascii="Times New Roman" w:eastAsia="Times New Roman" w:hAnsi="Times New Roman" w:cs="Times New Roman"/>
      <w:sz w:val="24"/>
      <w:szCs w:val="20"/>
      <w:lang w:val="es-CR"/>
    </w:rPr>
  </w:style>
  <w:style w:type="paragraph" w:styleId="ListParagraph">
    <w:name w:val="List Paragraph"/>
    <w:basedOn w:val="Normal"/>
    <w:link w:val="ListParagraphChar"/>
    <w:uiPriority w:val="34"/>
    <w:qFormat/>
    <w:rsid w:val="003D4EB0"/>
    <w:pPr>
      <w:ind w:left="720"/>
      <w:contextualSpacing/>
    </w:pPr>
  </w:style>
  <w:style w:type="paragraph" w:customStyle="1" w:styleId="Numeracin">
    <w:name w:val="Numeración"/>
    <w:basedOn w:val="Normal"/>
    <w:link w:val="NumeracinChar"/>
    <w:qFormat/>
    <w:rsid w:val="003D4EB0"/>
    <w:pPr>
      <w:numPr>
        <w:numId w:val="2"/>
      </w:numPr>
      <w:spacing w:before="120" w:after="0" w:line="240" w:lineRule="auto"/>
      <w:jc w:val="both"/>
    </w:pPr>
    <w:rPr>
      <w:rFonts w:ascii="Times New Roman" w:eastAsia="Times New Roman" w:hAnsi="Times New Roman" w:cs="Times New Roman"/>
      <w:szCs w:val="24"/>
      <w:lang w:eastAsia="es-ES"/>
    </w:rPr>
  </w:style>
  <w:style w:type="character" w:customStyle="1" w:styleId="NumeracinChar">
    <w:name w:val="Numeración Char"/>
    <w:link w:val="Numeracin"/>
    <w:rsid w:val="003D4EB0"/>
    <w:rPr>
      <w:rFonts w:ascii="Times New Roman" w:eastAsia="Times New Roman" w:hAnsi="Times New Roman" w:cs="Times New Roman"/>
      <w:szCs w:val="24"/>
      <w:lang w:eastAsia="es-ES"/>
    </w:rPr>
  </w:style>
  <w:style w:type="paragraph" w:styleId="FootnoteText">
    <w:name w:val="footnote text"/>
    <w:basedOn w:val="Normal"/>
    <w:link w:val="FootnoteTextChar"/>
    <w:uiPriority w:val="99"/>
    <w:semiHidden/>
    <w:unhideWhenUsed/>
    <w:rsid w:val="00E73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324F"/>
    <w:rPr>
      <w:sz w:val="20"/>
      <w:szCs w:val="20"/>
    </w:rPr>
  </w:style>
  <w:style w:type="character" w:styleId="FootnoteReference">
    <w:name w:val="footnote reference"/>
    <w:basedOn w:val="DefaultParagraphFont"/>
    <w:uiPriority w:val="99"/>
    <w:semiHidden/>
    <w:unhideWhenUsed/>
    <w:rsid w:val="00E7324F"/>
    <w:rPr>
      <w:vertAlign w:val="superscript"/>
    </w:rPr>
  </w:style>
  <w:style w:type="paragraph" w:styleId="Header">
    <w:name w:val="header"/>
    <w:basedOn w:val="Normal"/>
    <w:link w:val="HeaderChar"/>
    <w:uiPriority w:val="99"/>
    <w:unhideWhenUsed/>
    <w:rsid w:val="00E7324F"/>
    <w:pPr>
      <w:tabs>
        <w:tab w:val="center" w:pos="4419"/>
        <w:tab w:val="right" w:pos="8838"/>
      </w:tabs>
      <w:spacing w:after="0" w:line="240" w:lineRule="auto"/>
    </w:pPr>
  </w:style>
  <w:style w:type="character" w:customStyle="1" w:styleId="HeaderChar">
    <w:name w:val="Header Char"/>
    <w:basedOn w:val="DefaultParagraphFont"/>
    <w:link w:val="Header"/>
    <w:uiPriority w:val="99"/>
    <w:rsid w:val="00E7324F"/>
  </w:style>
  <w:style w:type="paragraph" w:styleId="Footer">
    <w:name w:val="footer"/>
    <w:basedOn w:val="Normal"/>
    <w:link w:val="FooterChar"/>
    <w:uiPriority w:val="99"/>
    <w:unhideWhenUsed/>
    <w:rsid w:val="00E7324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7324F"/>
  </w:style>
  <w:style w:type="paragraph" w:customStyle="1" w:styleId="CharChar1CarCar">
    <w:name w:val="Char Char1 Car Car"/>
    <w:basedOn w:val="Normal"/>
    <w:rsid w:val="00BC7F80"/>
    <w:pPr>
      <w:spacing w:line="240" w:lineRule="exact"/>
    </w:pPr>
    <w:rPr>
      <w:rFonts w:eastAsia="MS Mincho" w:cs="Times New Roman"/>
      <w:sz w:val="20"/>
      <w:szCs w:val="20"/>
    </w:rPr>
  </w:style>
  <w:style w:type="character" w:customStyle="1" w:styleId="ListParagraphChar">
    <w:name w:val="List Paragraph Char"/>
    <w:link w:val="ListParagraph"/>
    <w:uiPriority w:val="34"/>
    <w:rsid w:val="00BC7F80"/>
  </w:style>
  <w:style w:type="paragraph" w:styleId="BalloonText">
    <w:name w:val="Balloon Text"/>
    <w:basedOn w:val="Normal"/>
    <w:link w:val="BalloonTextChar"/>
    <w:uiPriority w:val="99"/>
    <w:semiHidden/>
    <w:unhideWhenUsed/>
    <w:rsid w:val="00813C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C81"/>
    <w:rsid w:val="001F5C8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73E75884FB4A1DBFF2E3D2C941E30F">
    <w:name w:val="6A73E75884FB4A1DBFF2E3D2C941E30F"/>
    <w:rsid w:val="001F5C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documentManagement>
</p:properties>
</file>

<file path=customXml/itemProps1.xml><?xml version="1.0" encoding="utf-8"?>
<ds:datastoreItem xmlns:ds="http://schemas.openxmlformats.org/officeDocument/2006/customXml" ds:itemID="{D6429488-6E5B-45EB-8EF6-E95D1EE6F981}"/>
</file>

<file path=customXml/itemProps2.xml><?xml version="1.0" encoding="utf-8"?>
<ds:datastoreItem xmlns:ds="http://schemas.openxmlformats.org/officeDocument/2006/customXml" ds:itemID="{6D735303-28A7-4C82-844D-797B448C4302}"/>
</file>

<file path=customXml/itemProps3.xml><?xml version="1.0" encoding="utf-8"?>
<ds:datastoreItem xmlns:ds="http://schemas.openxmlformats.org/officeDocument/2006/customXml" ds:itemID="{0F6F5639-801B-4F76-AD3C-CA48951948AE}"/>
</file>

<file path=customXml/itemProps4.xml><?xml version="1.0" encoding="utf-8"?>
<ds:datastoreItem xmlns:ds="http://schemas.openxmlformats.org/officeDocument/2006/customXml" ds:itemID="{E2CAE31A-5DE6-43FF-A07D-15C9D1D28571}"/>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5929</Characters>
  <Application>Microsoft Office Word</Application>
  <DocSecurity>0</DocSecurity>
  <Lines>49</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la Superintendente aprobado el 2 de junio del 2020</dc:title>
  <dc:subject/>
  <dc:creator/>
  <cp:keywords/>
  <dc:description/>
  <cp:lastModifiedBy/>
  <cp:revision>1</cp:revision>
  <dcterms:created xsi:type="dcterms:W3CDTF">2020-06-02T15:26:00Z</dcterms:created>
  <dcterms:modified xsi:type="dcterms:W3CDTF">2020-06-02T23:02:00Z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