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36442" w14:textId="77777777" w:rsidR="006640CB" w:rsidRPr="00570E8C" w:rsidRDefault="00230A72" w:rsidP="006640CB">
      <w:pPr>
        <w:spacing w:after="0" w:line="240" w:lineRule="auto"/>
        <w:ind w:right="-193"/>
        <w:jc w:val="both"/>
        <w:rPr>
          <w:rFonts w:ascii="Arial" w:eastAsia="Times New Roman" w:hAnsi="Arial" w:cs="Arial"/>
          <w:b/>
          <w:lang w:val="es-ES" w:eastAsia="es-ES"/>
        </w:rPr>
      </w:pPr>
      <w:r w:rsidRPr="00230A72">
        <w:rPr>
          <w:rFonts w:ascii="Arial" w:eastAsia="Times New Roman" w:hAnsi="Arial" w:cs="Arial"/>
          <w:b/>
          <w:bCs/>
          <w:iCs/>
          <w:noProof/>
          <w:lang w:val="es-ES_tradnl" w:eastAsia="es-ES"/>
        </w:rPr>
        <w:t>SGV-A-243</w:t>
      </w:r>
      <w:r w:rsidRPr="00230A72">
        <w:rPr>
          <w:rFonts w:ascii="Arial" w:eastAsia="Times New Roman" w:hAnsi="Arial" w:cs="Arial"/>
          <w:iCs/>
          <w:noProof/>
          <w:lang w:val="es-ES_tradnl" w:eastAsia="es-ES"/>
        </w:rPr>
        <w:t xml:space="preserve">. </w:t>
      </w:r>
      <w:r w:rsidR="006640CB" w:rsidRPr="00570E8C">
        <w:rPr>
          <w:rFonts w:ascii="Arial" w:eastAsia="Times New Roman" w:hAnsi="Arial" w:cs="Arial"/>
          <w:b/>
          <w:lang w:val="es-ES" w:eastAsia="es-ES"/>
        </w:rPr>
        <w:t>MODIFICACIÓN AL ACUERDO SGV-A-75 “SUMINISTRO DE INFORMACIÓN PERIÓDICA”</w:t>
      </w:r>
      <w:r w:rsidR="006640CB">
        <w:rPr>
          <w:rStyle w:val="Refdenotaalpie"/>
          <w:rFonts w:ascii="Arial" w:eastAsia="Times New Roman" w:hAnsi="Arial" w:cs="Arial"/>
          <w:b/>
          <w:lang w:val="es-ES" w:eastAsia="es-ES"/>
        </w:rPr>
        <w:footnoteReference w:id="1"/>
      </w:r>
    </w:p>
    <w:p w14:paraId="35EC38B9" w14:textId="77777777" w:rsidR="006640CB" w:rsidRPr="006640CB" w:rsidRDefault="006640CB" w:rsidP="00570E8C">
      <w:pPr>
        <w:spacing w:after="0" w:line="240" w:lineRule="auto"/>
        <w:ind w:right="-193"/>
        <w:jc w:val="both"/>
        <w:rPr>
          <w:rFonts w:ascii="Arial" w:eastAsia="Times New Roman" w:hAnsi="Arial" w:cs="Arial"/>
          <w:iCs/>
          <w:noProof/>
          <w:lang w:val="es-ES" w:eastAsia="es-ES"/>
        </w:rPr>
      </w:pPr>
    </w:p>
    <w:p w14:paraId="4248D970" w14:textId="77777777" w:rsidR="00570E8C" w:rsidRPr="00570E8C" w:rsidRDefault="00570E8C" w:rsidP="00570E8C">
      <w:pPr>
        <w:spacing w:after="0" w:line="276" w:lineRule="auto"/>
        <w:ind w:right="-193"/>
        <w:jc w:val="both"/>
        <w:rPr>
          <w:rFonts w:ascii="Arial" w:eastAsia="Times New Roman" w:hAnsi="Arial" w:cs="Arial"/>
          <w:b/>
          <w:bCs/>
          <w:lang w:eastAsia="es-ES"/>
        </w:rPr>
      </w:pPr>
      <w:r w:rsidRPr="00570E8C">
        <w:rPr>
          <w:rFonts w:ascii="Arial" w:eastAsia="Times New Roman" w:hAnsi="Arial" w:cs="Arial"/>
          <w:b/>
          <w:bCs/>
          <w:lang w:eastAsia="es-ES"/>
        </w:rPr>
        <w:t>Considerando que:</w:t>
      </w:r>
    </w:p>
    <w:p w14:paraId="7FCA7B6B" w14:textId="77777777" w:rsidR="00570E8C" w:rsidRPr="00570E8C" w:rsidRDefault="00570E8C" w:rsidP="00570E8C">
      <w:pPr>
        <w:spacing w:after="0" w:line="276" w:lineRule="auto"/>
        <w:ind w:right="-193"/>
        <w:jc w:val="both"/>
        <w:rPr>
          <w:rFonts w:ascii="Arial" w:eastAsia="Times New Roman" w:hAnsi="Arial" w:cs="Arial"/>
          <w:b/>
          <w:bCs/>
          <w:lang w:eastAsia="es-ES"/>
        </w:rPr>
      </w:pPr>
    </w:p>
    <w:p w14:paraId="15EDC0FE" w14:textId="77777777" w:rsidR="00570E8C" w:rsidRPr="00570E8C" w:rsidRDefault="00570E8C" w:rsidP="00570E8C">
      <w:pPr>
        <w:numPr>
          <w:ilvl w:val="0"/>
          <w:numId w:val="1"/>
        </w:numPr>
        <w:tabs>
          <w:tab w:val="left" w:pos="567"/>
        </w:tabs>
        <w:spacing w:after="0" w:line="240" w:lineRule="auto"/>
        <w:ind w:left="567" w:right="-193" w:hanging="567"/>
        <w:jc w:val="both"/>
        <w:rPr>
          <w:rFonts w:ascii="Arial" w:eastAsia="Times New Roman" w:hAnsi="Arial" w:cs="Arial"/>
          <w:lang w:val="es-ES" w:eastAsia="es-ES"/>
        </w:rPr>
      </w:pPr>
      <w:r w:rsidRPr="00570E8C">
        <w:rPr>
          <w:rFonts w:ascii="Arial" w:eastAsia="Times New Roman" w:hAnsi="Arial" w:cs="Arial"/>
          <w:lang w:val="es-ES" w:eastAsia="es-ES"/>
        </w:rPr>
        <w:t xml:space="preserve">El Artículo 8 inciso l) de la Ley Reguladora del Mercado de Valores, Ley 7732 faculta al Superintendente a exigir a los sujetos fiscalizados toda la información razonablemente necesaria, en las condiciones y periodicidad que la Superintendencia determine, para cumplir adecuadamente con sus funciones supervisoras del mercado de valores, según lo disponga el reglamento. </w:t>
      </w:r>
    </w:p>
    <w:p w14:paraId="5D119355" w14:textId="77777777" w:rsidR="00570E8C" w:rsidRPr="00570E8C" w:rsidRDefault="00570E8C" w:rsidP="00570E8C">
      <w:pPr>
        <w:tabs>
          <w:tab w:val="left" w:pos="567"/>
        </w:tabs>
        <w:spacing w:after="0" w:line="240" w:lineRule="auto"/>
        <w:ind w:left="567" w:right="-193"/>
        <w:jc w:val="both"/>
        <w:rPr>
          <w:rFonts w:ascii="Arial" w:eastAsia="Times New Roman" w:hAnsi="Arial" w:cs="Arial"/>
          <w:lang w:val="es-ES" w:eastAsia="es-ES"/>
        </w:rPr>
      </w:pPr>
    </w:p>
    <w:p w14:paraId="064E1387" w14:textId="77777777" w:rsidR="00570E8C" w:rsidRPr="00570E8C" w:rsidRDefault="00570E8C" w:rsidP="00570E8C">
      <w:pPr>
        <w:numPr>
          <w:ilvl w:val="0"/>
          <w:numId w:val="1"/>
        </w:numPr>
        <w:tabs>
          <w:tab w:val="left" w:pos="567"/>
        </w:tabs>
        <w:spacing w:after="0" w:line="240" w:lineRule="auto"/>
        <w:ind w:left="567" w:right="-193" w:hanging="567"/>
        <w:jc w:val="both"/>
        <w:rPr>
          <w:rFonts w:ascii="Arial" w:eastAsia="Calibri" w:hAnsi="Arial" w:cs="Times New Roman"/>
          <w:lang w:val="es-ES"/>
        </w:rPr>
      </w:pPr>
      <w:r w:rsidRPr="00570E8C">
        <w:rPr>
          <w:rFonts w:ascii="Arial" w:eastAsia="Calibri" w:hAnsi="Arial" w:cs="Times New Roman"/>
          <w:lang w:val="es-ES"/>
        </w:rPr>
        <w:t>Mediante los artículos 6 y 5 de las actas de las sesiones 1442-2018 y 1443-2018, ambas celebradas el 11 de setiembre de 2018, el Consejo Nacional de Supervisión del Sistema Financiero aprobó el Reglamento de Información Financiera, que dispone los plazos para la presentación de la información financiera, y en donde se disponible que para las entidades supervisadas por SUGEVAL, la información se debe presentar de conformidad con el Reglamento sobre el suministro de información periódica, hechos relevantes y otras obligaciones de información y su Acuerdo respectivo.</w:t>
      </w:r>
    </w:p>
    <w:p w14:paraId="7C4FC7E1" w14:textId="77777777" w:rsidR="00570E8C" w:rsidRPr="00570E8C" w:rsidRDefault="00570E8C" w:rsidP="00570E8C">
      <w:pPr>
        <w:ind w:left="720"/>
        <w:contextualSpacing/>
        <w:rPr>
          <w:rFonts w:ascii="Arial" w:eastAsia="Calibri" w:hAnsi="Arial" w:cs="Times New Roman"/>
          <w:lang w:val="es-ES"/>
        </w:rPr>
      </w:pPr>
    </w:p>
    <w:p w14:paraId="1BB3F887" w14:textId="77777777" w:rsidR="00570E8C" w:rsidRPr="00570E8C" w:rsidRDefault="00570E8C" w:rsidP="00570E8C">
      <w:pPr>
        <w:numPr>
          <w:ilvl w:val="0"/>
          <w:numId w:val="1"/>
        </w:numPr>
        <w:tabs>
          <w:tab w:val="left" w:pos="567"/>
        </w:tabs>
        <w:spacing w:after="0" w:line="240" w:lineRule="auto"/>
        <w:ind w:left="567" w:right="-193" w:hanging="567"/>
        <w:jc w:val="both"/>
        <w:rPr>
          <w:rFonts w:ascii="Arial" w:eastAsia="Calibri" w:hAnsi="Arial" w:cs="Times New Roman"/>
          <w:lang w:val="es-ES"/>
        </w:rPr>
      </w:pPr>
      <w:r w:rsidRPr="00570E8C">
        <w:rPr>
          <w:rFonts w:ascii="Arial" w:eastAsia="Calibri" w:hAnsi="Arial" w:cs="Times New Roman"/>
          <w:lang w:val="es-ES"/>
        </w:rPr>
        <w:t>Mediante el Artículo 13 del Acta de la Sesión 81-99, celebrada el 18 de marzo de 1999, el Consejo Nacional de Supervisión del Sistema Financiero aprobó el Reglamento sobre el Suministro de Información Periódica, Hechos Relevantes y otras Obligaciones de Información con lineamientos sobre los deberes de comunicación de los diferentes participantes en el mercado de valores.</w:t>
      </w:r>
    </w:p>
    <w:p w14:paraId="62521B32" w14:textId="77777777" w:rsidR="00570E8C" w:rsidRPr="00570E8C" w:rsidRDefault="00570E8C" w:rsidP="00570E8C">
      <w:pPr>
        <w:tabs>
          <w:tab w:val="left" w:pos="567"/>
        </w:tabs>
        <w:spacing w:after="0" w:line="240" w:lineRule="auto"/>
        <w:ind w:left="567" w:right="-193"/>
        <w:jc w:val="both"/>
        <w:rPr>
          <w:rFonts w:ascii="Arial" w:eastAsia="Calibri" w:hAnsi="Arial" w:cs="Times New Roman"/>
          <w:lang w:val="es-ES"/>
        </w:rPr>
      </w:pPr>
    </w:p>
    <w:p w14:paraId="02EA4A4C" w14:textId="77777777" w:rsidR="00570E8C" w:rsidRPr="00570E8C" w:rsidRDefault="00570E8C" w:rsidP="00570E8C">
      <w:pPr>
        <w:numPr>
          <w:ilvl w:val="0"/>
          <w:numId w:val="1"/>
        </w:numPr>
        <w:tabs>
          <w:tab w:val="left" w:pos="567"/>
        </w:tabs>
        <w:spacing w:after="0" w:line="240" w:lineRule="auto"/>
        <w:ind w:left="567" w:right="-193" w:hanging="567"/>
        <w:jc w:val="both"/>
        <w:rPr>
          <w:rFonts w:ascii="Arial" w:eastAsia="Times New Roman" w:hAnsi="Arial" w:cs="Arial"/>
          <w:lang w:val="es-ES" w:eastAsia="es-ES"/>
        </w:rPr>
      </w:pPr>
      <w:r w:rsidRPr="00570E8C">
        <w:rPr>
          <w:rFonts w:ascii="Arial" w:eastAsia="Times New Roman" w:hAnsi="Arial" w:cs="Arial"/>
          <w:lang w:val="es-ES" w:eastAsia="es-ES"/>
        </w:rPr>
        <w:t>Este Reglamento confiere al Superintendente la potestad para definir el contenido, la periodicidad y los medios de suministro de la información periódica que debe remitirse a la Superintendencia General de Valores, por lo que emitió el SGV-A-75, Acuerdo sobre el Suministro de Información Periódica con fecha 24 de abril del 2003, y se ha retomado durante los últimos años para actualizar los deberes de información de las entidades</w:t>
      </w:r>
    </w:p>
    <w:p w14:paraId="7131061F" w14:textId="77777777" w:rsidR="00570E8C" w:rsidRPr="00570E8C" w:rsidRDefault="00570E8C" w:rsidP="00570E8C">
      <w:pPr>
        <w:tabs>
          <w:tab w:val="left" w:pos="567"/>
        </w:tabs>
        <w:spacing w:after="0" w:line="240" w:lineRule="auto"/>
        <w:ind w:left="567" w:right="-193"/>
        <w:jc w:val="both"/>
        <w:rPr>
          <w:rFonts w:ascii="Arial" w:eastAsia="Times New Roman" w:hAnsi="Arial" w:cs="Arial"/>
          <w:lang w:val="es-ES" w:eastAsia="es-ES"/>
        </w:rPr>
      </w:pPr>
    </w:p>
    <w:p w14:paraId="00C4BC2B" w14:textId="77777777" w:rsidR="00570E8C" w:rsidRPr="00570E8C" w:rsidRDefault="00570E8C" w:rsidP="00570E8C">
      <w:pPr>
        <w:numPr>
          <w:ilvl w:val="0"/>
          <w:numId w:val="1"/>
        </w:numPr>
        <w:tabs>
          <w:tab w:val="left" w:pos="567"/>
        </w:tabs>
        <w:spacing w:after="0" w:line="240" w:lineRule="auto"/>
        <w:ind w:left="567" w:right="-193" w:hanging="567"/>
        <w:jc w:val="both"/>
        <w:rPr>
          <w:rFonts w:ascii="Arial" w:eastAsia="Times New Roman" w:hAnsi="Arial" w:cs="Arial"/>
          <w:lang w:val="es-ES" w:eastAsia="es-ES"/>
        </w:rPr>
      </w:pPr>
      <w:r w:rsidRPr="00570E8C">
        <w:rPr>
          <w:rFonts w:ascii="Arial" w:eastAsia="Times New Roman" w:hAnsi="Arial" w:cs="Arial"/>
          <w:lang w:val="es-ES" w:eastAsia="es-ES"/>
        </w:rPr>
        <w:t>El artículo 180 de la Ley Reguladora del Mercado de Valores, Ley 7732, autoriza la utilización de medios electrónicos o magnéticos de transmisión y almacenamiento de datos, para solicitar información a las entidades supervisadas y para mantener sus archivos, actas y demás documentos. La información así mantenida tiene valor probatorio equivalente al de los documentos para todos los efectos legales.</w:t>
      </w:r>
    </w:p>
    <w:p w14:paraId="16736D34" w14:textId="77777777" w:rsidR="00570E8C" w:rsidRPr="00570E8C" w:rsidRDefault="00570E8C" w:rsidP="00570E8C">
      <w:pPr>
        <w:tabs>
          <w:tab w:val="left" w:pos="567"/>
        </w:tabs>
        <w:spacing w:after="0" w:line="240" w:lineRule="auto"/>
        <w:ind w:right="-193"/>
        <w:jc w:val="both"/>
        <w:rPr>
          <w:rFonts w:ascii="Arial" w:eastAsia="Times New Roman" w:hAnsi="Arial" w:cs="Arial"/>
          <w:lang w:val="es-ES" w:eastAsia="es-ES"/>
        </w:rPr>
      </w:pPr>
    </w:p>
    <w:p w14:paraId="6531247A" w14:textId="77777777" w:rsidR="00570E8C" w:rsidRPr="00570E8C" w:rsidRDefault="00570E8C" w:rsidP="00570E8C">
      <w:pPr>
        <w:numPr>
          <w:ilvl w:val="0"/>
          <w:numId w:val="1"/>
        </w:numPr>
        <w:tabs>
          <w:tab w:val="left" w:pos="567"/>
        </w:tabs>
        <w:spacing w:after="0" w:line="240" w:lineRule="auto"/>
        <w:ind w:left="567" w:right="-193" w:hanging="567"/>
        <w:jc w:val="both"/>
        <w:rPr>
          <w:rFonts w:ascii="Arial" w:eastAsia="Times New Roman" w:hAnsi="Arial" w:cs="Arial"/>
          <w:lang w:val="es-ES" w:eastAsia="es-ES"/>
        </w:rPr>
      </w:pPr>
      <w:r w:rsidRPr="00570E8C">
        <w:rPr>
          <w:rFonts w:ascii="Arial" w:eastAsia="Times New Roman" w:hAnsi="Arial" w:cs="Arial"/>
          <w:lang w:val="es-ES" w:eastAsia="es-ES"/>
        </w:rPr>
        <w:t xml:space="preserve">La Ley de Protección al Ciudadano del Exceso de Requisitos y Trámites Administrativos, N° 8220, ordena simplificar los trámites y requisitos establecidos por la Administración Pública frente a los administrados, a efecto de evitar duplicidades y garantizar el derecho de petición y el libre acceso a los departamentos públicos de forma oportuna y expedita. El desarrollo de sistemas de información automatizados permite coadyuvar en la consecución de estos fines. El artículo 14 del Reglamento General de Auditores Externos, indica que “Los grupos o conglomerados financieros </w:t>
      </w:r>
      <w:r w:rsidRPr="00570E8C">
        <w:rPr>
          <w:rFonts w:ascii="Arial" w:eastAsia="Times New Roman" w:hAnsi="Arial" w:cs="Arial"/>
          <w:lang w:val="es-ES" w:eastAsia="es-ES"/>
        </w:rPr>
        <w:lastRenderedPageBreak/>
        <w:t>y las entidades supervisadas deben comunicar anualmente el nombre de la firma de auditoría externa o auditor externo independiente contratado para realizar la auditoría mediante un oficio a la Superintendencia respectiva. “De la misma forma se requiere la actualización de los socios encargados para efectos de la información auditada.</w:t>
      </w:r>
    </w:p>
    <w:p w14:paraId="295157B1" w14:textId="77777777" w:rsidR="00570E8C" w:rsidRPr="00570E8C" w:rsidRDefault="00570E8C" w:rsidP="00570E8C">
      <w:pPr>
        <w:rPr>
          <w:rFonts w:ascii="Arial" w:eastAsia="Times New Roman" w:hAnsi="Arial" w:cs="Arial"/>
          <w:lang w:val="es-ES" w:eastAsia="es-ES"/>
        </w:rPr>
      </w:pPr>
    </w:p>
    <w:p w14:paraId="309DEABB" w14:textId="77777777" w:rsidR="00570E8C" w:rsidRPr="00570E8C" w:rsidRDefault="00570E8C" w:rsidP="00570E8C">
      <w:pPr>
        <w:numPr>
          <w:ilvl w:val="0"/>
          <w:numId w:val="1"/>
        </w:numPr>
        <w:tabs>
          <w:tab w:val="left" w:pos="567"/>
        </w:tabs>
        <w:spacing w:after="0" w:line="240" w:lineRule="auto"/>
        <w:ind w:left="567" w:right="-193" w:hanging="567"/>
        <w:jc w:val="both"/>
        <w:rPr>
          <w:rFonts w:ascii="Arial" w:eastAsia="Calibri" w:hAnsi="Arial" w:cs="Arial"/>
          <w:lang w:val="es-ES"/>
        </w:rPr>
      </w:pPr>
      <w:r w:rsidRPr="00570E8C">
        <w:rPr>
          <w:rFonts w:ascii="Arial" w:eastAsia="Calibri" w:hAnsi="Arial" w:cs="Arial"/>
          <w:lang w:val="es-ES"/>
        </w:rPr>
        <w:t xml:space="preserve">De conformidad con el artículo 1 de la Ley de Certificados, Firmas Digitales y Documentos Electrónicos, Ley 8454, la firma digital se “aplicará a toda clase de </w:t>
      </w:r>
      <w:r w:rsidRPr="00570E8C">
        <w:rPr>
          <w:rFonts w:ascii="Arial" w:eastAsia="Times New Roman" w:hAnsi="Arial" w:cs="Arial"/>
          <w:lang w:val="es-ES" w:eastAsia="es-ES"/>
        </w:rPr>
        <w:t>transacciones</w:t>
      </w:r>
      <w:r w:rsidRPr="00570E8C">
        <w:rPr>
          <w:rFonts w:ascii="Arial" w:eastAsia="Calibri" w:hAnsi="Arial" w:cs="Arial"/>
          <w:lang w:val="es-ES"/>
        </w:rPr>
        <w:t xml:space="preserve"> y actos jurídicos, públicos o privados, salvo disposición legal en contrario, o que la naturaleza o los requisitos particulares del acto o negocio concretos resulten incompatibles…”; adicionalmente, en el artículo 9 de dicha Ley dispone que “Los documentos y las comunicaciones suscritos mediante firma digital, tendrán el mismo valor y la eficacia probatoria de su equivalente firmado en manuscrito. En cualquier norma jurídica que se exija la presencia de una firma, se reconocerá de igual manera tanto la digital como la manuscrita…”</w:t>
      </w:r>
    </w:p>
    <w:p w14:paraId="3542E213" w14:textId="77777777" w:rsidR="00570E8C" w:rsidRPr="00570E8C" w:rsidRDefault="00570E8C" w:rsidP="00570E8C">
      <w:pPr>
        <w:ind w:left="720"/>
        <w:contextualSpacing/>
        <w:rPr>
          <w:rFonts w:ascii="Arial" w:eastAsia="Calibri" w:hAnsi="Arial" w:cs="Arial"/>
          <w:lang w:val="es-ES"/>
        </w:rPr>
      </w:pPr>
    </w:p>
    <w:p w14:paraId="61E7BA15" w14:textId="77777777" w:rsidR="00570E8C" w:rsidRPr="00570E8C" w:rsidRDefault="00570E8C" w:rsidP="00570E8C">
      <w:pPr>
        <w:numPr>
          <w:ilvl w:val="0"/>
          <w:numId w:val="1"/>
        </w:numPr>
        <w:tabs>
          <w:tab w:val="left" w:pos="567"/>
        </w:tabs>
        <w:spacing w:after="0" w:line="240" w:lineRule="auto"/>
        <w:ind w:left="567" w:right="-193" w:hanging="567"/>
        <w:jc w:val="both"/>
        <w:rPr>
          <w:rFonts w:ascii="Arial" w:eastAsia="Calibri" w:hAnsi="Arial" w:cs="Arial"/>
          <w:lang w:val="es-ES"/>
        </w:rPr>
      </w:pPr>
      <w:r w:rsidRPr="00570E8C">
        <w:rPr>
          <w:rFonts w:ascii="Arial" w:eastAsia="Calibri" w:hAnsi="Arial" w:cs="Arial"/>
          <w:lang w:val="es-ES"/>
        </w:rPr>
        <w:t>El Consejo Nacional de Supervisión del Sistema Financiero, en los artículos 8 y 6, de las actas de las sesiones 1602-2020 y 1604-2020, celebradas el 31 de agosto y 7 de setiembre de 2020, aprobó la  modificación al artículo 33 del Reglamento de Información Financiera, relacionado con los estados financieros anuales auditados separados y consolidados, el dictamen del auditor externo, las notas y las comunicaciones del auditor externo, los cuales deberán remitirse por parte de la entidad supervisada por medios electrónicos de conformidad con el procedimiento para el uso de firma digital por parte de un contador público emitido por el Colegio de Contadores Públicos de Costa Rica.</w:t>
      </w:r>
    </w:p>
    <w:p w14:paraId="11DAA6E7" w14:textId="77777777" w:rsidR="00570E8C" w:rsidRPr="00570E8C" w:rsidRDefault="00570E8C" w:rsidP="00570E8C">
      <w:pPr>
        <w:spacing w:before="120" w:after="0" w:line="240" w:lineRule="auto"/>
        <w:jc w:val="both"/>
        <w:rPr>
          <w:rFonts w:ascii="Arial" w:eastAsia="Calibri" w:hAnsi="Arial" w:cs="Arial"/>
          <w:lang w:val="es-ES"/>
        </w:rPr>
      </w:pPr>
    </w:p>
    <w:p w14:paraId="0C419548" w14:textId="77777777" w:rsidR="00570E8C" w:rsidRPr="00570E8C" w:rsidRDefault="00570E8C" w:rsidP="00570E8C">
      <w:pPr>
        <w:numPr>
          <w:ilvl w:val="0"/>
          <w:numId w:val="1"/>
        </w:numPr>
        <w:tabs>
          <w:tab w:val="left" w:pos="567"/>
        </w:tabs>
        <w:spacing w:after="0" w:line="240" w:lineRule="auto"/>
        <w:ind w:left="567" w:right="-193" w:hanging="567"/>
        <w:jc w:val="both"/>
        <w:rPr>
          <w:rFonts w:ascii="Arial" w:eastAsia="Calibri" w:hAnsi="Arial" w:cs="Arial"/>
          <w:lang w:val="es-ES"/>
        </w:rPr>
      </w:pPr>
      <w:r w:rsidRPr="00570E8C">
        <w:rPr>
          <w:rFonts w:ascii="Arial" w:eastAsia="Calibri" w:hAnsi="Arial" w:cs="Arial"/>
          <w:lang w:val="es-ES"/>
        </w:rPr>
        <w:t>La Junta Directiva del Colegio de Contadores Públicos de Costa Rica de conformidad con las facultades que le confiere el artículo 14 de la Ley de Regulación de la Profesión de Contadores Públicos y Creación del Colegio de Contadores Públicos de Costa Rica, Ley 1038, del 19 de agosto de 1947, acordó en sesión ordinaria 14 de la Junta Directiva, del miércoles 16 de agosto de 2018, Acuerdo 298-2018, aprobar y emitir el: “Procedimiento para el uso de la firma digital en un documento emitido por un Contador Público Autorizado (CPA)”, con el objetivo el aprovechar las ventajas que el marco jurídico de firma digital presenta, a saber la Ley 8454 Ley de Certificados, Firmas Digitales y Documentos Electrónicos, Ley 8279 Sistema Nacional para la Calidad, Reglamento a la Ley de Certificados, Firmas Digitales y Documentos Electrónicos y el Reglamento de Estructura Interna y Funcionamiento del ente Costarricense de Acreditación; para la emisión de los documentos que le corresponde emitir al Contador Público en el ejercicio de su profesión, así como, cumplir con las obligaciones de sello y timbre contempladas en la Ley 1038, publicada el 22 de agosto de 1947, sobre la Creación del Colegio de Contadores Públicos de la Profesión de Contador Público, la Ley 6663 del 22 de setiembre de 1982, y la Ley sobre la Creación del Timbre del Colegio de Contadores Públicos de Costa Rica, Ley 6663 del 22 de setiembre de 1982, y sus reglamentos.</w:t>
      </w:r>
    </w:p>
    <w:p w14:paraId="4B08A8D2" w14:textId="77777777" w:rsidR="00570E8C" w:rsidRPr="00570E8C" w:rsidRDefault="00570E8C" w:rsidP="00570E8C">
      <w:pPr>
        <w:tabs>
          <w:tab w:val="left" w:pos="567"/>
        </w:tabs>
        <w:spacing w:after="0" w:line="240" w:lineRule="auto"/>
        <w:ind w:left="567" w:right="-193"/>
        <w:jc w:val="both"/>
        <w:rPr>
          <w:rFonts w:ascii="Arial" w:eastAsia="Calibri" w:hAnsi="Arial" w:cs="Arial"/>
          <w:lang w:val="es-ES"/>
        </w:rPr>
      </w:pPr>
    </w:p>
    <w:p w14:paraId="26416CF0" w14:textId="77777777" w:rsidR="00570E8C" w:rsidRPr="00570E8C" w:rsidRDefault="00570E8C" w:rsidP="00570E8C">
      <w:pPr>
        <w:numPr>
          <w:ilvl w:val="0"/>
          <w:numId w:val="1"/>
        </w:numPr>
        <w:tabs>
          <w:tab w:val="left" w:pos="567"/>
        </w:tabs>
        <w:spacing w:after="0" w:line="240" w:lineRule="auto"/>
        <w:ind w:left="567" w:right="-193" w:hanging="567"/>
        <w:jc w:val="both"/>
        <w:rPr>
          <w:rFonts w:ascii="Arial" w:eastAsia="Calibri" w:hAnsi="Arial" w:cs="Arial"/>
          <w:lang w:val="es-ES"/>
        </w:rPr>
      </w:pPr>
      <w:r w:rsidRPr="00570E8C">
        <w:rPr>
          <w:rFonts w:ascii="Arial" w:eastAsia="Calibri" w:hAnsi="Arial" w:cs="Arial"/>
          <w:lang w:val="es-ES"/>
        </w:rPr>
        <w:t xml:space="preserve">Los cambios al Reglamento General sobre Sociedades Administradoras y Fondos de Inversión, en el artículo 41, modificado por el Consejo Nacional de Supervisión del Sistema Financiero según el artículo 10, del acta de la sesión 1582-2020, celebrada el 15 de junio de 2020. Publicado en el Diario Oficial la Gaceta No. 146 del 19 de junio </w:t>
      </w:r>
      <w:r w:rsidRPr="00570E8C">
        <w:rPr>
          <w:rFonts w:ascii="Arial" w:eastAsia="Calibri" w:hAnsi="Arial" w:cs="Arial"/>
          <w:lang w:val="es-ES"/>
        </w:rPr>
        <w:lastRenderedPageBreak/>
        <w:t xml:space="preserve">del 2020;  por lo que se incorpora el catálogo  de cuentas de orden a los fondos de inversión, para facilitar el registro  de segregación de carteras, cuando una parte de los activos del fondo se encuentra en condiciones especiales (suspensión de cotización indefinida, suspensión de pagos o imposibilidad de su valoración), de manera que se dé continuidad a la operación del resto del fondo y se identifiquen los inversionistas específicos que participaron de la cartera al momento de la segregación, para responder al principio de trato equitativo que se describe el numeral 77 de la Ley 7732. </w:t>
      </w:r>
    </w:p>
    <w:p w14:paraId="36FCF533" w14:textId="77777777" w:rsidR="00570E8C" w:rsidRPr="00570E8C" w:rsidRDefault="00570E8C" w:rsidP="00570E8C">
      <w:pPr>
        <w:tabs>
          <w:tab w:val="left" w:pos="567"/>
          <w:tab w:val="left" w:pos="2092"/>
        </w:tabs>
        <w:spacing w:after="0" w:line="240" w:lineRule="auto"/>
        <w:ind w:right="-193"/>
        <w:jc w:val="both"/>
        <w:rPr>
          <w:rFonts w:ascii="Arial" w:eastAsia="Calibri" w:hAnsi="Arial" w:cs="Arial"/>
          <w:lang w:val="es-ES"/>
        </w:rPr>
      </w:pPr>
    </w:p>
    <w:p w14:paraId="21578058" w14:textId="77777777" w:rsidR="00570E8C" w:rsidRPr="00570E8C" w:rsidRDefault="00570E8C" w:rsidP="00570E8C">
      <w:pPr>
        <w:numPr>
          <w:ilvl w:val="0"/>
          <w:numId w:val="1"/>
        </w:numPr>
        <w:tabs>
          <w:tab w:val="left" w:pos="567"/>
        </w:tabs>
        <w:spacing w:after="0" w:line="240" w:lineRule="auto"/>
        <w:ind w:left="567" w:right="-193" w:hanging="567"/>
        <w:jc w:val="both"/>
        <w:rPr>
          <w:rFonts w:ascii="Arial" w:eastAsia="Calibri" w:hAnsi="Arial" w:cs="Arial"/>
          <w:lang w:val="es-ES"/>
        </w:rPr>
      </w:pPr>
      <w:r w:rsidRPr="00570E8C">
        <w:rPr>
          <w:rFonts w:ascii="Arial" w:eastAsia="Calibri" w:hAnsi="Arial" w:cs="Arial"/>
          <w:lang w:val="es-ES"/>
        </w:rPr>
        <w:t xml:space="preserve">En la Sesión 1150-2015 celebrada el 23 de febrero del 2015, el Consejo Nacional de Supervisión del Sistema Financiero aprobó una reforma integral al Reglamento de Custodia. En este Reglamento se establecen una serie de requerimientos que buscan definir los lineamientos que deben cumplir las entidades de custodia. Entre estos se identifican lineamientos sobre la remisión de información a la Superintendencia sobre los traspasos de valores, los cuales se consideró necesario revisar, con el fin de especificar el alcance de la información a remitir, dada las últimas ampliaciones de los motivos autorizados para la realización de traslados de valores. Se amplía también el requerimiento de información a todos los traspasos onerosos. </w:t>
      </w:r>
    </w:p>
    <w:p w14:paraId="34E36924" w14:textId="77777777" w:rsidR="00570E8C" w:rsidRPr="00570E8C" w:rsidRDefault="00570E8C" w:rsidP="00570E8C">
      <w:pPr>
        <w:tabs>
          <w:tab w:val="left" w:pos="567"/>
        </w:tabs>
        <w:spacing w:after="0" w:line="240" w:lineRule="auto"/>
        <w:ind w:left="567" w:right="-193"/>
        <w:jc w:val="both"/>
        <w:rPr>
          <w:rFonts w:ascii="Arial" w:eastAsia="Calibri" w:hAnsi="Arial" w:cs="Arial"/>
          <w:lang w:val="es-ES"/>
        </w:rPr>
      </w:pPr>
    </w:p>
    <w:p w14:paraId="13455443" w14:textId="77777777" w:rsidR="00570E8C" w:rsidRPr="00570E8C" w:rsidRDefault="00570E8C" w:rsidP="00570E8C">
      <w:pPr>
        <w:numPr>
          <w:ilvl w:val="0"/>
          <w:numId w:val="1"/>
        </w:numPr>
        <w:tabs>
          <w:tab w:val="left" w:pos="567"/>
        </w:tabs>
        <w:spacing w:after="0" w:line="240" w:lineRule="auto"/>
        <w:ind w:left="567" w:right="-193" w:hanging="567"/>
        <w:jc w:val="both"/>
        <w:rPr>
          <w:rFonts w:ascii="Arial" w:eastAsia="Calibri" w:hAnsi="Arial" w:cs="Arial"/>
          <w:lang w:val="es-ES"/>
        </w:rPr>
      </w:pPr>
      <w:r w:rsidRPr="00570E8C">
        <w:rPr>
          <w:rFonts w:ascii="Arial" w:eastAsia="Calibri" w:hAnsi="Arial" w:cs="Arial"/>
          <w:lang w:val="es-ES"/>
        </w:rPr>
        <w:t xml:space="preserve">Los Puestos de Bolsa ofrecen diferentes servicios al público inversionista, según lo </w:t>
      </w:r>
      <w:r w:rsidRPr="00570E8C">
        <w:rPr>
          <w:rFonts w:ascii="Arial" w:eastAsia="Times New Roman" w:hAnsi="Arial" w:cs="Arial"/>
          <w:szCs w:val="24"/>
          <w:lang w:val="es-ES" w:eastAsia="es-CR"/>
        </w:rPr>
        <w:t>establecido</w:t>
      </w:r>
      <w:r w:rsidRPr="00570E8C">
        <w:rPr>
          <w:rFonts w:ascii="Arial" w:eastAsia="Calibri" w:hAnsi="Arial" w:cs="Arial"/>
          <w:lang w:val="es-ES"/>
        </w:rPr>
        <w:t xml:space="preserve"> en el Reglamento de Intermediación y Actividades Complementarias, sobre los cuales se hace necesario requerir información en forma agregada de los servicios y actividades significativas que estos prestan, se adiciona aclaración a lo requerido en el Anexo 62, con el propósito de generar un mejor conocimiento de su modelo de operación, y así fortalecer los procesos de supervisión basada en riesgos.</w:t>
      </w:r>
    </w:p>
    <w:p w14:paraId="65BE3B12" w14:textId="77777777" w:rsidR="00570E8C" w:rsidRPr="00570E8C" w:rsidRDefault="00570E8C" w:rsidP="00570E8C">
      <w:pPr>
        <w:tabs>
          <w:tab w:val="left" w:pos="567"/>
        </w:tabs>
        <w:spacing w:after="0" w:line="240" w:lineRule="auto"/>
        <w:ind w:left="567" w:right="-193"/>
        <w:jc w:val="both"/>
        <w:rPr>
          <w:rFonts w:ascii="Arial" w:eastAsia="Calibri" w:hAnsi="Arial" w:cs="Arial"/>
          <w:lang w:val="es-ES"/>
        </w:rPr>
      </w:pPr>
    </w:p>
    <w:p w14:paraId="4DED0C3D" w14:textId="77777777" w:rsidR="00570E8C" w:rsidRPr="00570E8C" w:rsidRDefault="00570E8C" w:rsidP="00570E8C">
      <w:pPr>
        <w:numPr>
          <w:ilvl w:val="0"/>
          <w:numId w:val="1"/>
        </w:numPr>
        <w:tabs>
          <w:tab w:val="left" w:pos="567"/>
        </w:tabs>
        <w:spacing w:after="0" w:line="240" w:lineRule="auto"/>
        <w:ind w:left="567" w:right="-193" w:hanging="567"/>
        <w:jc w:val="both"/>
        <w:rPr>
          <w:rFonts w:ascii="Arial" w:eastAsia="Calibri" w:hAnsi="Arial" w:cs="Arial"/>
          <w:lang w:val="es-ES"/>
        </w:rPr>
      </w:pPr>
      <w:r w:rsidRPr="00570E8C">
        <w:rPr>
          <w:rFonts w:ascii="Arial" w:eastAsia="Calibri" w:hAnsi="Arial" w:cs="Arial"/>
          <w:lang w:val="es-ES"/>
        </w:rPr>
        <w:t>El presente Acuerdo fue sometido al trámite de consulta, de conformidad con el artículo 361 de la Ley General de Administración Pública.</w:t>
      </w:r>
    </w:p>
    <w:p w14:paraId="19FB4CD0" w14:textId="77777777" w:rsidR="00570E8C" w:rsidRPr="00570E8C" w:rsidRDefault="00570E8C" w:rsidP="00230A72">
      <w:pPr>
        <w:ind w:left="567"/>
        <w:rPr>
          <w:rFonts w:ascii="Arial" w:eastAsia="Calibri" w:hAnsi="Arial" w:cs="Arial"/>
          <w:color w:val="000000"/>
          <w:sz w:val="20"/>
          <w:szCs w:val="20"/>
          <w:lang w:val="es-ES" w:eastAsia="es-CR"/>
        </w:rPr>
      </w:pPr>
    </w:p>
    <w:p w14:paraId="58BE9A6F" w14:textId="77777777" w:rsidR="00570E8C" w:rsidRPr="00570E8C" w:rsidRDefault="00570E8C" w:rsidP="00570E8C">
      <w:pPr>
        <w:jc w:val="both"/>
        <w:rPr>
          <w:rFonts w:ascii="Arial" w:eastAsia="Calibri" w:hAnsi="Arial" w:cs="Arial"/>
          <w:lang w:val="es-ES"/>
        </w:rPr>
      </w:pPr>
      <w:r w:rsidRPr="00570E8C">
        <w:rPr>
          <w:rFonts w:ascii="Arial" w:eastAsia="Calibri" w:hAnsi="Arial" w:cs="Arial"/>
          <w:lang w:val="es-ES"/>
        </w:rPr>
        <w:t>Por tanto, dispone el presente acuerdo:</w:t>
      </w:r>
    </w:p>
    <w:p w14:paraId="23376A1F" w14:textId="77777777" w:rsidR="00570E8C" w:rsidRPr="00570E8C" w:rsidRDefault="00570E8C" w:rsidP="00570E8C">
      <w:pPr>
        <w:spacing w:after="0" w:line="240" w:lineRule="auto"/>
        <w:ind w:right="-193"/>
        <w:jc w:val="center"/>
        <w:rPr>
          <w:rFonts w:ascii="Arial" w:eastAsia="Times New Roman" w:hAnsi="Arial" w:cs="Arial"/>
          <w:b/>
          <w:lang w:val="es-ES" w:eastAsia="es-ES"/>
        </w:rPr>
      </w:pPr>
    </w:p>
    <w:p w14:paraId="1FEED9EA" w14:textId="77777777" w:rsidR="00570E8C" w:rsidRPr="00570E8C" w:rsidRDefault="00965449" w:rsidP="00570E8C">
      <w:pPr>
        <w:spacing w:after="0" w:line="240" w:lineRule="auto"/>
        <w:ind w:right="-193"/>
        <w:jc w:val="center"/>
        <w:rPr>
          <w:rFonts w:ascii="Arial" w:eastAsia="Times New Roman" w:hAnsi="Arial" w:cs="Arial"/>
          <w:b/>
          <w:lang w:val="es-ES" w:eastAsia="es-ES"/>
        </w:rPr>
      </w:pPr>
      <w:r w:rsidRPr="00965449">
        <w:rPr>
          <w:rFonts w:ascii="Arial" w:eastAsia="Times New Roman" w:hAnsi="Arial" w:cs="Arial"/>
          <w:b/>
          <w:lang w:val="es-ES" w:eastAsia="es-ES"/>
        </w:rPr>
        <w:t>SGV-A-243</w:t>
      </w:r>
      <w:r w:rsidR="00570E8C" w:rsidRPr="00570E8C">
        <w:rPr>
          <w:rFonts w:ascii="Arial" w:eastAsia="Times New Roman" w:hAnsi="Arial" w:cs="Arial"/>
          <w:b/>
          <w:lang w:val="es-ES" w:eastAsia="es-ES"/>
        </w:rPr>
        <w:t>.  MODIFICACIÓN AL ACUERDO SGV-A-75 “SUMINISTRO DE INFORMACIÓN PERIÓDICA”</w:t>
      </w:r>
    </w:p>
    <w:p w14:paraId="292AB7C2" w14:textId="77777777" w:rsidR="00570E8C" w:rsidRPr="00570E8C" w:rsidRDefault="00570E8C" w:rsidP="00570E8C">
      <w:pPr>
        <w:rPr>
          <w:rFonts w:ascii="Arial" w:eastAsia="Calibri" w:hAnsi="Arial" w:cs="Arial"/>
          <w:color w:val="000000"/>
          <w:sz w:val="20"/>
          <w:szCs w:val="20"/>
          <w:lang w:val="es-ES" w:eastAsia="es-CR"/>
        </w:rPr>
      </w:pPr>
    </w:p>
    <w:p w14:paraId="66D84778" w14:textId="77777777" w:rsidR="00570E8C" w:rsidRPr="00570E8C" w:rsidRDefault="00570E8C" w:rsidP="00570E8C">
      <w:pPr>
        <w:jc w:val="both"/>
        <w:rPr>
          <w:rFonts w:ascii="Arial" w:eastAsia="Calibri" w:hAnsi="Arial" w:cs="Arial"/>
          <w:b/>
          <w:color w:val="000000"/>
          <w:lang w:val="es-ES" w:eastAsia="es-CR"/>
        </w:rPr>
      </w:pPr>
      <w:r w:rsidRPr="00570E8C">
        <w:rPr>
          <w:rFonts w:ascii="Arial" w:eastAsia="Calibri" w:hAnsi="Arial" w:cs="Arial"/>
          <w:b/>
          <w:color w:val="000000"/>
          <w:lang w:val="es-ES" w:eastAsia="es-CR"/>
        </w:rPr>
        <w:t>Artículo 1.-</w:t>
      </w:r>
      <w:r w:rsidRPr="00570E8C">
        <w:rPr>
          <w:rFonts w:ascii="Arial" w:eastAsia="Calibri" w:hAnsi="Arial" w:cs="Arial"/>
          <w:b/>
          <w:color w:val="000000"/>
          <w:lang w:val="es-ES" w:eastAsia="es-CR"/>
        </w:rPr>
        <w:tab/>
        <w:t>Adiciones.</w:t>
      </w:r>
    </w:p>
    <w:p w14:paraId="123AB710" w14:textId="77777777" w:rsidR="00570E8C" w:rsidRPr="00570E8C" w:rsidRDefault="00570E8C" w:rsidP="00570E8C">
      <w:pPr>
        <w:jc w:val="both"/>
        <w:rPr>
          <w:rFonts w:ascii="Arial" w:eastAsia="Calibri" w:hAnsi="Arial" w:cs="Arial"/>
          <w:color w:val="000000"/>
          <w:lang w:val="es-ES" w:eastAsia="es-CR"/>
        </w:rPr>
      </w:pPr>
      <w:r w:rsidRPr="00570E8C">
        <w:rPr>
          <w:rFonts w:ascii="Arial" w:eastAsia="Calibri" w:hAnsi="Arial" w:cs="Arial"/>
          <w:color w:val="000000"/>
          <w:lang w:val="es-ES" w:eastAsia="es-CR"/>
        </w:rPr>
        <w:t xml:space="preserve">Incorporar el catálogo de cuentas de orden, al conjunto de información contable de fondos de inversión, en atención a lo dispuesto en artículo 41 del Reglamento General sobre Sociedades Administradoras y Fondos de Inversión. </w:t>
      </w:r>
    </w:p>
    <w:tbl>
      <w:tblPr>
        <w:tblW w:w="9634" w:type="dxa"/>
        <w:tblCellMar>
          <w:left w:w="70" w:type="dxa"/>
          <w:right w:w="70" w:type="dxa"/>
        </w:tblCellMar>
        <w:tblLook w:val="04A0" w:firstRow="1" w:lastRow="0" w:firstColumn="1" w:lastColumn="0" w:noHBand="0" w:noVBand="1"/>
      </w:tblPr>
      <w:tblGrid>
        <w:gridCol w:w="1284"/>
        <w:gridCol w:w="1479"/>
        <w:gridCol w:w="6871"/>
      </w:tblGrid>
      <w:tr w:rsidR="00570E8C" w:rsidRPr="00570E8C" w14:paraId="17DEE3A1" w14:textId="77777777" w:rsidTr="00581266">
        <w:trPr>
          <w:trHeight w:val="450"/>
          <w:tblHeader/>
        </w:trPr>
        <w:tc>
          <w:tcPr>
            <w:tcW w:w="1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DACF0" w14:textId="77777777" w:rsidR="00570E8C" w:rsidRPr="00570E8C" w:rsidRDefault="00570E8C" w:rsidP="00570E8C">
            <w:pPr>
              <w:spacing w:after="0" w:line="240" w:lineRule="auto"/>
              <w:jc w:val="center"/>
              <w:rPr>
                <w:rFonts w:ascii="Arial" w:eastAsia="Times New Roman" w:hAnsi="Arial" w:cs="Arial"/>
                <w:b/>
                <w:bCs/>
                <w:sz w:val="20"/>
                <w:szCs w:val="20"/>
                <w:lang w:eastAsia="es-CR"/>
              </w:rPr>
            </w:pPr>
            <w:r w:rsidRPr="00570E8C">
              <w:rPr>
                <w:rFonts w:ascii="Arial" w:eastAsia="Times New Roman" w:hAnsi="Arial" w:cs="Arial"/>
                <w:b/>
                <w:bCs/>
                <w:sz w:val="20"/>
                <w:szCs w:val="20"/>
                <w:lang w:eastAsia="es-CR"/>
              </w:rPr>
              <w:t>Catálogo</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14:paraId="63306201" w14:textId="77777777" w:rsidR="00570E8C" w:rsidRPr="00570E8C" w:rsidRDefault="00570E8C" w:rsidP="00570E8C">
            <w:pPr>
              <w:spacing w:after="0" w:line="240" w:lineRule="auto"/>
              <w:jc w:val="center"/>
              <w:rPr>
                <w:rFonts w:ascii="Arial" w:eastAsia="Times New Roman" w:hAnsi="Arial" w:cs="Arial"/>
                <w:b/>
                <w:bCs/>
                <w:sz w:val="20"/>
                <w:szCs w:val="20"/>
                <w:lang w:eastAsia="es-CR"/>
              </w:rPr>
            </w:pPr>
            <w:r w:rsidRPr="00570E8C">
              <w:rPr>
                <w:rFonts w:ascii="Arial" w:eastAsia="Times New Roman" w:hAnsi="Arial" w:cs="Arial"/>
                <w:b/>
                <w:bCs/>
                <w:sz w:val="20"/>
                <w:szCs w:val="20"/>
                <w:lang w:eastAsia="es-CR"/>
              </w:rPr>
              <w:t>Cuenta</w:t>
            </w:r>
          </w:p>
        </w:tc>
        <w:tc>
          <w:tcPr>
            <w:tcW w:w="6871" w:type="dxa"/>
            <w:tcBorders>
              <w:top w:val="single" w:sz="4" w:space="0" w:color="auto"/>
              <w:left w:val="nil"/>
              <w:bottom w:val="single" w:sz="4" w:space="0" w:color="auto"/>
              <w:right w:val="single" w:sz="4" w:space="0" w:color="auto"/>
            </w:tcBorders>
            <w:shd w:val="clear" w:color="auto" w:fill="auto"/>
            <w:vAlign w:val="center"/>
            <w:hideMark/>
          </w:tcPr>
          <w:p w14:paraId="522CB314" w14:textId="77777777" w:rsidR="00570E8C" w:rsidRPr="00570E8C" w:rsidRDefault="00570E8C" w:rsidP="00570E8C">
            <w:pPr>
              <w:spacing w:after="0" w:line="240" w:lineRule="auto"/>
              <w:jc w:val="center"/>
              <w:rPr>
                <w:rFonts w:ascii="Arial" w:eastAsia="Times New Roman" w:hAnsi="Arial" w:cs="Arial"/>
                <w:b/>
                <w:bCs/>
                <w:sz w:val="20"/>
                <w:szCs w:val="20"/>
                <w:lang w:eastAsia="es-CR"/>
              </w:rPr>
            </w:pPr>
            <w:r w:rsidRPr="00570E8C">
              <w:rPr>
                <w:rFonts w:ascii="Arial" w:eastAsia="Times New Roman" w:hAnsi="Arial" w:cs="Arial"/>
                <w:b/>
                <w:bCs/>
                <w:sz w:val="20"/>
                <w:szCs w:val="20"/>
                <w:lang w:eastAsia="es-CR"/>
              </w:rPr>
              <w:t>Nombre</w:t>
            </w:r>
          </w:p>
        </w:tc>
      </w:tr>
      <w:tr w:rsidR="00570E8C" w:rsidRPr="00570E8C" w14:paraId="19DBAC16" w14:textId="77777777" w:rsidTr="00581266">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5CCF5767"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CO_FONDOS</w:t>
            </w:r>
          </w:p>
        </w:tc>
        <w:tc>
          <w:tcPr>
            <w:tcW w:w="1479" w:type="dxa"/>
            <w:tcBorders>
              <w:top w:val="nil"/>
              <w:left w:val="nil"/>
              <w:bottom w:val="single" w:sz="4" w:space="0" w:color="auto"/>
              <w:right w:val="single" w:sz="4" w:space="0" w:color="auto"/>
            </w:tcBorders>
            <w:shd w:val="clear" w:color="auto" w:fill="auto"/>
            <w:noWrap/>
            <w:vAlign w:val="bottom"/>
            <w:hideMark/>
          </w:tcPr>
          <w:p w14:paraId="1958E1F0"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 xml:space="preserve">920000000000   </w:t>
            </w:r>
          </w:p>
        </w:tc>
        <w:tc>
          <w:tcPr>
            <w:tcW w:w="6871" w:type="dxa"/>
            <w:tcBorders>
              <w:top w:val="nil"/>
              <w:left w:val="nil"/>
              <w:bottom w:val="single" w:sz="4" w:space="0" w:color="auto"/>
              <w:right w:val="single" w:sz="4" w:space="0" w:color="auto"/>
            </w:tcBorders>
            <w:shd w:val="clear" w:color="auto" w:fill="auto"/>
            <w:noWrap/>
            <w:vAlign w:val="bottom"/>
            <w:hideMark/>
          </w:tcPr>
          <w:p w14:paraId="01E06DA9" w14:textId="77777777" w:rsidR="00570E8C" w:rsidRPr="00570E8C" w:rsidRDefault="00570E8C" w:rsidP="00570E8C">
            <w:pPr>
              <w:spacing w:after="0" w:line="240" w:lineRule="auto"/>
              <w:rPr>
                <w:rFonts w:ascii="Arial" w:eastAsia="Times New Roman" w:hAnsi="Arial" w:cs="Arial"/>
                <w:color w:val="000000"/>
                <w:sz w:val="20"/>
                <w:szCs w:val="20"/>
                <w:lang w:eastAsia="es-CR"/>
              </w:rPr>
            </w:pPr>
            <w:r w:rsidRPr="00570E8C">
              <w:rPr>
                <w:rFonts w:ascii="Arial" w:eastAsia="Times New Roman" w:hAnsi="Arial" w:cs="Arial"/>
                <w:color w:val="000000"/>
                <w:sz w:val="20"/>
                <w:szCs w:val="20"/>
                <w:lang w:eastAsia="es-CR"/>
              </w:rPr>
              <w:t>Cuentas de Orden de Valores Segregados</w:t>
            </w:r>
          </w:p>
        </w:tc>
      </w:tr>
      <w:tr w:rsidR="00570E8C" w:rsidRPr="00570E8C" w14:paraId="642EAA56" w14:textId="77777777" w:rsidTr="00581266">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1B658A9C"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CO_FONDOS</w:t>
            </w:r>
          </w:p>
        </w:tc>
        <w:tc>
          <w:tcPr>
            <w:tcW w:w="1479" w:type="dxa"/>
            <w:tcBorders>
              <w:top w:val="nil"/>
              <w:left w:val="nil"/>
              <w:bottom w:val="single" w:sz="4" w:space="0" w:color="auto"/>
              <w:right w:val="single" w:sz="4" w:space="0" w:color="auto"/>
            </w:tcBorders>
            <w:shd w:val="clear" w:color="auto" w:fill="auto"/>
            <w:noWrap/>
            <w:vAlign w:val="bottom"/>
            <w:hideMark/>
          </w:tcPr>
          <w:p w14:paraId="21833926" w14:textId="77777777" w:rsidR="00570E8C" w:rsidRPr="00570E8C" w:rsidRDefault="00570E8C" w:rsidP="00570E8C">
            <w:pPr>
              <w:spacing w:after="0" w:line="240" w:lineRule="auto"/>
              <w:rPr>
                <w:rFonts w:ascii="Calibri" w:eastAsia="Times New Roman" w:hAnsi="Calibri" w:cs="Calibri"/>
                <w:b/>
                <w:bCs/>
                <w:lang w:eastAsia="es-CR"/>
              </w:rPr>
            </w:pPr>
            <w:r w:rsidRPr="00570E8C">
              <w:rPr>
                <w:rFonts w:ascii="Calibri" w:eastAsia="Times New Roman" w:hAnsi="Calibri" w:cs="Calibri"/>
                <w:b/>
                <w:bCs/>
                <w:lang w:eastAsia="es-CR"/>
              </w:rPr>
              <w:t xml:space="preserve">921000000000   </w:t>
            </w:r>
          </w:p>
        </w:tc>
        <w:tc>
          <w:tcPr>
            <w:tcW w:w="6871" w:type="dxa"/>
            <w:tcBorders>
              <w:top w:val="nil"/>
              <w:left w:val="nil"/>
              <w:bottom w:val="single" w:sz="4" w:space="0" w:color="auto"/>
              <w:right w:val="single" w:sz="4" w:space="0" w:color="auto"/>
            </w:tcBorders>
            <w:shd w:val="clear" w:color="auto" w:fill="auto"/>
            <w:noWrap/>
            <w:vAlign w:val="bottom"/>
            <w:hideMark/>
          </w:tcPr>
          <w:p w14:paraId="42341C4E" w14:textId="77777777" w:rsidR="00570E8C" w:rsidRPr="00570E8C" w:rsidRDefault="00570E8C" w:rsidP="00570E8C">
            <w:pPr>
              <w:spacing w:after="0" w:line="240" w:lineRule="auto"/>
              <w:rPr>
                <w:rFonts w:ascii="Arial" w:eastAsia="Times New Roman" w:hAnsi="Arial" w:cs="Arial"/>
                <w:b/>
                <w:bCs/>
                <w:color w:val="000000"/>
                <w:sz w:val="20"/>
                <w:szCs w:val="20"/>
                <w:lang w:eastAsia="es-CR"/>
              </w:rPr>
            </w:pPr>
            <w:r w:rsidRPr="00570E8C">
              <w:rPr>
                <w:rFonts w:ascii="Arial" w:eastAsia="Times New Roman" w:hAnsi="Arial" w:cs="Arial"/>
                <w:b/>
                <w:bCs/>
                <w:color w:val="000000"/>
                <w:sz w:val="20"/>
                <w:szCs w:val="20"/>
                <w:lang w:eastAsia="es-CR"/>
              </w:rPr>
              <w:t xml:space="preserve">Activos de Valores Segregados </w:t>
            </w:r>
          </w:p>
        </w:tc>
      </w:tr>
      <w:tr w:rsidR="00570E8C" w:rsidRPr="00570E8C" w14:paraId="32A11802" w14:textId="77777777" w:rsidTr="00581266">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6D498273"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CO_FONDOS</w:t>
            </w:r>
          </w:p>
        </w:tc>
        <w:tc>
          <w:tcPr>
            <w:tcW w:w="1479" w:type="dxa"/>
            <w:tcBorders>
              <w:top w:val="nil"/>
              <w:left w:val="nil"/>
              <w:bottom w:val="single" w:sz="4" w:space="0" w:color="auto"/>
              <w:right w:val="single" w:sz="4" w:space="0" w:color="auto"/>
            </w:tcBorders>
            <w:shd w:val="clear" w:color="auto" w:fill="auto"/>
            <w:noWrap/>
            <w:vAlign w:val="bottom"/>
            <w:hideMark/>
          </w:tcPr>
          <w:p w14:paraId="381E747B"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 xml:space="preserve">921100000000   </w:t>
            </w:r>
          </w:p>
        </w:tc>
        <w:tc>
          <w:tcPr>
            <w:tcW w:w="6871" w:type="dxa"/>
            <w:tcBorders>
              <w:top w:val="nil"/>
              <w:left w:val="nil"/>
              <w:bottom w:val="single" w:sz="4" w:space="0" w:color="auto"/>
              <w:right w:val="single" w:sz="4" w:space="0" w:color="auto"/>
            </w:tcBorders>
            <w:shd w:val="clear" w:color="auto" w:fill="auto"/>
            <w:noWrap/>
            <w:vAlign w:val="bottom"/>
            <w:hideMark/>
          </w:tcPr>
          <w:p w14:paraId="03677285" w14:textId="77777777" w:rsidR="00570E8C" w:rsidRPr="00570E8C" w:rsidRDefault="00570E8C" w:rsidP="00570E8C">
            <w:pPr>
              <w:spacing w:after="0" w:line="240" w:lineRule="auto"/>
              <w:rPr>
                <w:rFonts w:ascii="Arial" w:eastAsia="Times New Roman" w:hAnsi="Arial" w:cs="Arial"/>
                <w:color w:val="000000"/>
                <w:sz w:val="20"/>
                <w:szCs w:val="20"/>
                <w:lang w:eastAsia="es-CR"/>
              </w:rPr>
            </w:pPr>
            <w:r w:rsidRPr="00570E8C">
              <w:rPr>
                <w:rFonts w:ascii="Arial" w:eastAsia="Times New Roman" w:hAnsi="Arial" w:cs="Arial"/>
                <w:color w:val="000000"/>
                <w:sz w:val="20"/>
                <w:szCs w:val="20"/>
                <w:lang w:eastAsia="es-CR"/>
              </w:rPr>
              <w:t>Inversiones en Instrumentos Financieros</w:t>
            </w:r>
          </w:p>
        </w:tc>
      </w:tr>
      <w:tr w:rsidR="00570E8C" w:rsidRPr="00570E8C" w14:paraId="60D6BDA6" w14:textId="77777777" w:rsidTr="00581266">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6922C756"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CO_FONDOS</w:t>
            </w:r>
          </w:p>
        </w:tc>
        <w:tc>
          <w:tcPr>
            <w:tcW w:w="1479" w:type="dxa"/>
            <w:tcBorders>
              <w:top w:val="nil"/>
              <w:left w:val="nil"/>
              <w:bottom w:val="single" w:sz="4" w:space="0" w:color="auto"/>
              <w:right w:val="single" w:sz="4" w:space="0" w:color="auto"/>
            </w:tcBorders>
            <w:shd w:val="clear" w:color="auto" w:fill="auto"/>
            <w:noWrap/>
            <w:vAlign w:val="bottom"/>
            <w:hideMark/>
          </w:tcPr>
          <w:p w14:paraId="76461A70"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 xml:space="preserve">921110000000   </w:t>
            </w:r>
          </w:p>
        </w:tc>
        <w:tc>
          <w:tcPr>
            <w:tcW w:w="6871" w:type="dxa"/>
            <w:tcBorders>
              <w:top w:val="nil"/>
              <w:left w:val="nil"/>
              <w:bottom w:val="single" w:sz="4" w:space="0" w:color="auto"/>
              <w:right w:val="single" w:sz="4" w:space="0" w:color="auto"/>
            </w:tcBorders>
            <w:shd w:val="clear" w:color="auto" w:fill="auto"/>
            <w:noWrap/>
            <w:vAlign w:val="bottom"/>
            <w:hideMark/>
          </w:tcPr>
          <w:p w14:paraId="7A711F9D" w14:textId="77777777" w:rsidR="00570E8C" w:rsidRPr="00570E8C" w:rsidRDefault="00570E8C" w:rsidP="00570E8C">
            <w:pPr>
              <w:spacing w:after="0" w:line="240" w:lineRule="auto"/>
              <w:rPr>
                <w:rFonts w:ascii="Arial" w:eastAsia="Times New Roman" w:hAnsi="Arial" w:cs="Arial"/>
                <w:color w:val="000000"/>
                <w:sz w:val="20"/>
                <w:szCs w:val="20"/>
                <w:lang w:eastAsia="es-CR"/>
              </w:rPr>
            </w:pPr>
            <w:r w:rsidRPr="00570E8C">
              <w:rPr>
                <w:rFonts w:ascii="Arial" w:eastAsia="Times New Roman" w:hAnsi="Arial" w:cs="Arial"/>
                <w:color w:val="000000"/>
                <w:sz w:val="20"/>
                <w:szCs w:val="20"/>
                <w:lang w:eastAsia="es-CR"/>
              </w:rPr>
              <w:t>Inversiones al Valor Razonable con cambios en Otro Resultado Integral</w:t>
            </w:r>
          </w:p>
        </w:tc>
      </w:tr>
      <w:tr w:rsidR="00570E8C" w:rsidRPr="00570E8C" w14:paraId="62ECEFB5" w14:textId="77777777" w:rsidTr="00581266">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29366DA3"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CO_FONDOS</w:t>
            </w:r>
          </w:p>
        </w:tc>
        <w:tc>
          <w:tcPr>
            <w:tcW w:w="1479" w:type="dxa"/>
            <w:tcBorders>
              <w:top w:val="nil"/>
              <w:left w:val="nil"/>
              <w:bottom w:val="single" w:sz="4" w:space="0" w:color="auto"/>
              <w:right w:val="single" w:sz="4" w:space="0" w:color="auto"/>
            </w:tcBorders>
            <w:shd w:val="clear" w:color="auto" w:fill="auto"/>
            <w:noWrap/>
            <w:vAlign w:val="bottom"/>
            <w:hideMark/>
          </w:tcPr>
          <w:p w14:paraId="2818C202"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 xml:space="preserve">921111000000   </w:t>
            </w:r>
          </w:p>
        </w:tc>
        <w:tc>
          <w:tcPr>
            <w:tcW w:w="6871" w:type="dxa"/>
            <w:tcBorders>
              <w:top w:val="nil"/>
              <w:left w:val="nil"/>
              <w:bottom w:val="single" w:sz="4" w:space="0" w:color="auto"/>
              <w:right w:val="single" w:sz="4" w:space="0" w:color="auto"/>
            </w:tcBorders>
            <w:shd w:val="clear" w:color="auto" w:fill="auto"/>
            <w:noWrap/>
            <w:vAlign w:val="bottom"/>
            <w:hideMark/>
          </w:tcPr>
          <w:p w14:paraId="58D79E9E" w14:textId="77777777" w:rsidR="00570E8C" w:rsidRPr="00570E8C" w:rsidRDefault="00570E8C" w:rsidP="00570E8C">
            <w:pPr>
              <w:spacing w:after="0" w:line="240" w:lineRule="auto"/>
              <w:rPr>
                <w:rFonts w:ascii="Arial" w:eastAsia="Times New Roman" w:hAnsi="Arial" w:cs="Arial"/>
                <w:color w:val="000000"/>
                <w:sz w:val="20"/>
                <w:szCs w:val="20"/>
                <w:lang w:eastAsia="es-CR"/>
              </w:rPr>
            </w:pPr>
            <w:r w:rsidRPr="00570E8C">
              <w:rPr>
                <w:rFonts w:ascii="Arial" w:eastAsia="Times New Roman" w:hAnsi="Arial" w:cs="Arial"/>
                <w:color w:val="000000"/>
                <w:sz w:val="20"/>
                <w:szCs w:val="20"/>
                <w:lang w:eastAsia="es-CR"/>
              </w:rPr>
              <w:t>Valor de adquisición de instrumentos financieros</w:t>
            </w:r>
          </w:p>
        </w:tc>
      </w:tr>
      <w:tr w:rsidR="00570E8C" w:rsidRPr="00570E8C" w14:paraId="10114BAE" w14:textId="77777777" w:rsidTr="00581266">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36B4EA91"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lastRenderedPageBreak/>
              <w:t>CO_FONDOS</w:t>
            </w:r>
          </w:p>
        </w:tc>
        <w:tc>
          <w:tcPr>
            <w:tcW w:w="1479" w:type="dxa"/>
            <w:tcBorders>
              <w:top w:val="nil"/>
              <w:left w:val="nil"/>
              <w:bottom w:val="single" w:sz="4" w:space="0" w:color="auto"/>
              <w:right w:val="single" w:sz="4" w:space="0" w:color="auto"/>
            </w:tcBorders>
            <w:shd w:val="clear" w:color="auto" w:fill="auto"/>
            <w:noWrap/>
            <w:vAlign w:val="bottom"/>
            <w:hideMark/>
          </w:tcPr>
          <w:p w14:paraId="55978129"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 xml:space="preserve">921112000000   </w:t>
            </w:r>
          </w:p>
        </w:tc>
        <w:tc>
          <w:tcPr>
            <w:tcW w:w="6871" w:type="dxa"/>
            <w:tcBorders>
              <w:top w:val="nil"/>
              <w:left w:val="nil"/>
              <w:bottom w:val="single" w:sz="4" w:space="0" w:color="auto"/>
              <w:right w:val="single" w:sz="4" w:space="0" w:color="auto"/>
            </w:tcBorders>
            <w:shd w:val="clear" w:color="auto" w:fill="auto"/>
            <w:noWrap/>
            <w:vAlign w:val="bottom"/>
            <w:hideMark/>
          </w:tcPr>
          <w:p w14:paraId="3042DC7C" w14:textId="77777777" w:rsidR="00570E8C" w:rsidRPr="00570E8C" w:rsidRDefault="00570E8C" w:rsidP="00570E8C">
            <w:pPr>
              <w:spacing w:after="0" w:line="240" w:lineRule="auto"/>
              <w:rPr>
                <w:rFonts w:ascii="Arial" w:eastAsia="Times New Roman" w:hAnsi="Arial" w:cs="Arial"/>
                <w:color w:val="000000"/>
                <w:sz w:val="20"/>
                <w:szCs w:val="20"/>
                <w:lang w:eastAsia="es-CR"/>
              </w:rPr>
            </w:pPr>
            <w:r w:rsidRPr="00570E8C">
              <w:rPr>
                <w:rFonts w:ascii="Arial" w:eastAsia="Times New Roman" w:hAnsi="Arial" w:cs="Arial"/>
                <w:color w:val="000000"/>
                <w:sz w:val="20"/>
                <w:szCs w:val="20"/>
                <w:lang w:eastAsia="es-CR"/>
              </w:rPr>
              <w:t>(Amortización prima sobre instrumentos financieros)</w:t>
            </w:r>
          </w:p>
        </w:tc>
      </w:tr>
      <w:tr w:rsidR="00570E8C" w:rsidRPr="00570E8C" w14:paraId="0E66261F" w14:textId="77777777" w:rsidTr="00581266">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02910265"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CO_FONDOS</w:t>
            </w:r>
          </w:p>
        </w:tc>
        <w:tc>
          <w:tcPr>
            <w:tcW w:w="1479" w:type="dxa"/>
            <w:tcBorders>
              <w:top w:val="nil"/>
              <w:left w:val="nil"/>
              <w:bottom w:val="single" w:sz="4" w:space="0" w:color="auto"/>
              <w:right w:val="single" w:sz="4" w:space="0" w:color="auto"/>
            </w:tcBorders>
            <w:shd w:val="clear" w:color="auto" w:fill="auto"/>
            <w:noWrap/>
            <w:vAlign w:val="bottom"/>
            <w:hideMark/>
          </w:tcPr>
          <w:p w14:paraId="1015884E"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 xml:space="preserve">921113000000   </w:t>
            </w:r>
          </w:p>
        </w:tc>
        <w:tc>
          <w:tcPr>
            <w:tcW w:w="6871" w:type="dxa"/>
            <w:tcBorders>
              <w:top w:val="nil"/>
              <w:left w:val="nil"/>
              <w:bottom w:val="single" w:sz="4" w:space="0" w:color="auto"/>
              <w:right w:val="single" w:sz="4" w:space="0" w:color="auto"/>
            </w:tcBorders>
            <w:shd w:val="clear" w:color="auto" w:fill="auto"/>
            <w:noWrap/>
            <w:vAlign w:val="bottom"/>
            <w:hideMark/>
          </w:tcPr>
          <w:p w14:paraId="251AC0E0" w14:textId="77777777" w:rsidR="00570E8C" w:rsidRPr="00570E8C" w:rsidRDefault="00570E8C" w:rsidP="00570E8C">
            <w:pPr>
              <w:spacing w:after="0" w:line="240" w:lineRule="auto"/>
              <w:rPr>
                <w:rFonts w:ascii="Arial" w:eastAsia="Times New Roman" w:hAnsi="Arial" w:cs="Arial"/>
                <w:color w:val="000000"/>
                <w:sz w:val="20"/>
                <w:szCs w:val="20"/>
                <w:lang w:eastAsia="es-CR"/>
              </w:rPr>
            </w:pPr>
            <w:r w:rsidRPr="00570E8C">
              <w:rPr>
                <w:rFonts w:ascii="Arial" w:eastAsia="Times New Roman" w:hAnsi="Arial" w:cs="Arial"/>
                <w:color w:val="000000"/>
                <w:sz w:val="20"/>
                <w:szCs w:val="20"/>
                <w:lang w:eastAsia="es-CR"/>
              </w:rPr>
              <w:t>Amortización descuento sobre instrumentos financieros</w:t>
            </w:r>
          </w:p>
        </w:tc>
      </w:tr>
      <w:tr w:rsidR="00570E8C" w:rsidRPr="00570E8C" w14:paraId="64CA6261" w14:textId="77777777" w:rsidTr="00581266">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7FD13771"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CO_FONDOS</w:t>
            </w:r>
          </w:p>
        </w:tc>
        <w:tc>
          <w:tcPr>
            <w:tcW w:w="1479" w:type="dxa"/>
            <w:tcBorders>
              <w:top w:val="nil"/>
              <w:left w:val="nil"/>
              <w:bottom w:val="single" w:sz="4" w:space="0" w:color="auto"/>
              <w:right w:val="single" w:sz="4" w:space="0" w:color="auto"/>
            </w:tcBorders>
            <w:shd w:val="clear" w:color="auto" w:fill="auto"/>
            <w:noWrap/>
            <w:vAlign w:val="bottom"/>
            <w:hideMark/>
          </w:tcPr>
          <w:p w14:paraId="1848F57F"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 xml:space="preserve">921114000000   </w:t>
            </w:r>
          </w:p>
        </w:tc>
        <w:tc>
          <w:tcPr>
            <w:tcW w:w="6871" w:type="dxa"/>
            <w:tcBorders>
              <w:top w:val="nil"/>
              <w:left w:val="nil"/>
              <w:bottom w:val="single" w:sz="4" w:space="0" w:color="auto"/>
              <w:right w:val="single" w:sz="4" w:space="0" w:color="auto"/>
            </w:tcBorders>
            <w:shd w:val="clear" w:color="auto" w:fill="auto"/>
            <w:noWrap/>
            <w:vAlign w:val="bottom"/>
            <w:hideMark/>
          </w:tcPr>
          <w:p w14:paraId="41FEBDF6" w14:textId="77777777" w:rsidR="00570E8C" w:rsidRPr="00570E8C" w:rsidRDefault="00570E8C" w:rsidP="00570E8C">
            <w:pPr>
              <w:spacing w:after="0" w:line="240" w:lineRule="auto"/>
              <w:rPr>
                <w:rFonts w:ascii="Arial" w:eastAsia="Times New Roman" w:hAnsi="Arial" w:cs="Arial"/>
                <w:color w:val="000000"/>
                <w:sz w:val="20"/>
                <w:szCs w:val="20"/>
                <w:lang w:eastAsia="es-CR"/>
              </w:rPr>
            </w:pPr>
            <w:r w:rsidRPr="00570E8C">
              <w:rPr>
                <w:rFonts w:ascii="Arial" w:eastAsia="Times New Roman" w:hAnsi="Arial" w:cs="Arial"/>
                <w:color w:val="000000"/>
                <w:sz w:val="20"/>
                <w:szCs w:val="20"/>
                <w:lang w:eastAsia="es-CR"/>
              </w:rPr>
              <w:t>Ajuste por valuación de instrumentos financieros</w:t>
            </w:r>
          </w:p>
        </w:tc>
      </w:tr>
      <w:tr w:rsidR="00570E8C" w:rsidRPr="00570E8C" w14:paraId="2F9A92AB" w14:textId="77777777" w:rsidTr="00581266">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432CFF2D"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CO_FONDOS</w:t>
            </w:r>
          </w:p>
        </w:tc>
        <w:tc>
          <w:tcPr>
            <w:tcW w:w="1479" w:type="dxa"/>
            <w:tcBorders>
              <w:top w:val="nil"/>
              <w:left w:val="nil"/>
              <w:bottom w:val="single" w:sz="4" w:space="0" w:color="auto"/>
              <w:right w:val="single" w:sz="4" w:space="0" w:color="auto"/>
            </w:tcBorders>
            <w:shd w:val="clear" w:color="auto" w:fill="auto"/>
            <w:noWrap/>
            <w:vAlign w:val="bottom"/>
            <w:hideMark/>
          </w:tcPr>
          <w:p w14:paraId="30463651"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 xml:space="preserve">921120000000   </w:t>
            </w:r>
          </w:p>
        </w:tc>
        <w:tc>
          <w:tcPr>
            <w:tcW w:w="6871" w:type="dxa"/>
            <w:tcBorders>
              <w:top w:val="nil"/>
              <w:left w:val="nil"/>
              <w:bottom w:val="single" w:sz="4" w:space="0" w:color="auto"/>
              <w:right w:val="single" w:sz="4" w:space="0" w:color="auto"/>
            </w:tcBorders>
            <w:shd w:val="clear" w:color="auto" w:fill="auto"/>
            <w:noWrap/>
            <w:vAlign w:val="bottom"/>
            <w:hideMark/>
          </w:tcPr>
          <w:p w14:paraId="109E9A85" w14:textId="77777777" w:rsidR="00570E8C" w:rsidRPr="00570E8C" w:rsidRDefault="00570E8C" w:rsidP="00570E8C">
            <w:pPr>
              <w:spacing w:after="0" w:line="240" w:lineRule="auto"/>
              <w:rPr>
                <w:rFonts w:ascii="Arial" w:eastAsia="Times New Roman" w:hAnsi="Arial" w:cs="Arial"/>
                <w:color w:val="000000"/>
                <w:sz w:val="20"/>
                <w:szCs w:val="20"/>
                <w:lang w:eastAsia="es-CR"/>
              </w:rPr>
            </w:pPr>
            <w:r w:rsidRPr="00570E8C">
              <w:rPr>
                <w:rFonts w:ascii="Arial" w:eastAsia="Times New Roman" w:hAnsi="Arial" w:cs="Arial"/>
                <w:color w:val="000000"/>
                <w:sz w:val="20"/>
                <w:szCs w:val="20"/>
                <w:lang w:eastAsia="es-CR"/>
              </w:rPr>
              <w:t>Inversiones al Valor Razonable con cambios en Resultados</w:t>
            </w:r>
          </w:p>
        </w:tc>
      </w:tr>
      <w:tr w:rsidR="00570E8C" w:rsidRPr="00570E8C" w14:paraId="327105E5" w14:textId="77777777" w:rsidTr="00581266">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57F9865B"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CO_FONDOS</w:t>
            </w:r>
          </w:p>
        </w:tc>
        <w:tc>
          <w:tcPr>
            <w:tcW w:w="1479" w:type="dxa"/>
            <w:tcBorders>
              <w:top w:val="nil"/>
              <w:left w:val="nil"/>
              <w:bottom w:val="single" w:sz="4" w:space="0" w:color="auto"/>
              <w:right w:val="single" w:sz="4" w:space="0" w:color="auto"/>
            </w:tcBorders>
            <w:shd w:val="clear" w:color="auto" w:fill="auto"/>
            <w:noWrap/>
            <w:vAlign w:val="bottom"/>
            <w:hideMark/>
          </w:tcPr>
          <w:p w14:paraId="1AA441E7"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 xml:space="preserve">921121000000   </w:t>
            </w:r>
          </w:p>
        </w:tc>
        <w:tc>
          <w:tcPr>
            <w:tcW w:w="6871" w:type="dxa"/>
            <w:tcBorders>
              <w:top w:val="nil"/>
              <w:left w:val="nil"/>
              <w:bottom w:val="single" w:sz="4" w:space="0" w:color="auto"/>
              <w:right w:val="single" w:sz="4" w:space="0" w:color="auto"/>
            </w:tcBorders>
            <w:shd w:val="clear" w:color="auto" w:fill="auto"/>
            <w:noWrap/>
            <w:vAlign w:val="bottom"/>
            <w:hideMark/>
          </w:tcPr>
          <w:p w14:paraId="2A810386" w14:textId="77777777" w:rsidR="00570E8C" w:rsidRPr="00570E8C" w:rsidRDefault="00570E8C" w:rsidP="00570E8C">
            <w:pPr>
              <w:spacing w:after="0" w:line="240" w:lineRule="auto"/>
              <w:rPr>
                <w:rFonts w:ascii="Arial" w:eastAsia="Times New Roman" w:hAnsi="Arial" w:cs="Arial"/>
                <w:color w:val="000000"/>
                <w:sz w:val="20"/>
                <w:szCs w:val="20"/>
                <w:lang w:eastAsia="es-CR"/>
              </w:rPr>
            </w:pPr>
            <w:r w:rsidRPr="00570E8C">
              <w:rPr>
                <w:rFonts w:ascii="Arial" w:eastAsia="Times New Roman" w:hAnsi="Arial" w:cs="Arial"/>
                <w:color w:val="000000"/>
                <w:sz w:val="20"/>
                <w:szCs w:val="20"/>
                <w:lang w:eastAsia="es-CR"/>
              </w:rPr>
              <w:t>Valor de adquisición de instrumentos financieros</w:t>
            </w:r>
          </w:p>
        </w:tc>
      </w:tr>
      <w:tr w:rsidR="00570E8C" w:rsidRPr="00570E8C" w14:paraId="54168820" w14:textId="77777777" w:rsidTr="00581266">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34FBF058"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CO_FONDOS</w:t>
            </w:r>
          </w:p>
        </w:tc>
        <w:tc>
          <w:tcPr>
            <w:tcW w:w="1479" w:type="dxa"/>
            <w:tcBorders>
              <w:top w:val="nil"/>
              <w:left w:val="nil"/>
              <w:bottom w:val="single" w:sz="4" w:space="0" w:color="auto"/>
              <w:right w:val="single" w:sz="4" w:space="0" w:color="auto"/>
            </w:tcBorders>
            <w:shd w:val="clear" w:color="auto" w:fill="auto"/>
            <w:noWrap/>
            <w:vAlign w:val="bottom"/>
            <w:hideMark/>
          </w:tcPr>
          <w:p w14:paraId="404024C1"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 xml:space="preserve">921122000000   </w:t>
            </w:r>
          </w:p>
        </w:tc>
        <w:tc>
          <w:tcPr>
            <w:tcW w:w="6871" w:type="dxa"/>
            <w:tcBorders>
              <w:top w:val="nil"/>
              <w:left w:val="nil"/>
              <w:bottom w:val="single" w:sz="4" w:space="0" w:color="auto"/>
              <w:right w:val="single" w:sz="4" w:space="0" w:color="auto"/>
            </w:tcBorders>
            <w:shd w:val="clear" w:color="auto" w:fill="auto"/>
            <w:noWrap/>
            <w:vAlign w:val="bottom"/>
            <w:hideMark/>
          </w:tcPr>
          <w:p w14:paraId="77CED035" w14:textId="77777777" w:rsidR="00570E8C" w:rsidRPr="00570E8C" w:rsidRDefault="00570E8C" w:rsidP="00570E8C">
            <w:pPr>
              <w:spacing w:after="0" w:line="240" w:lineRule="auto"/>
              <w:rPr>
                <w:rFonts w:ascii="Arial" w:eastAsia="Times New Roman" w:hAnsi="Arial" w:cs="Arial"/>
                <w:color w:val="000000"/>
                <w:sz w:val="20"/>
                <w:szCs w:val="20"/>
                <w:lang w:eastAsia="es-CR"/>
              </w:rPr>
            </w:pPr>
            <w:r w:rsidRPr="00570E8C">
              <w:rPr>
                <w:rFonts w:ascii="Arial" w:eastAsia="Times New Roman" w:hAnsi="Arial" w:cs="Arial"/>
                <w:color w:val="000000"/>
                <w:sz w:val="20"/>
                <w:szCs w:val="20"/>
                <w:lang w:eastAsia="es-CR"/>
              </w:rPr>
              <w:t>(Amortización prima sobre instrumentos financieros)</w:t>
            </w:r>
          </w:p>
        </w:tc>
      </w:tr>
      <w:tr w:rsidR="00570E8C" w:rsidRPr="00570E8C" w14:paraId="03DAB1CE" w14:textId="77777777" w:rsidTr="00581266">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7F710BAA"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CO_FONDOS</w:t>
            </w:r>
          </w:p>
        </w:tc>
        <w:tc>
          <w:tcPr>
            <w:tcW w:w="1479" w:type="dxa"/>
            <w:tcBorders>
              <w:top w:val="nil"/>
              <w:left w:val="nil"/>
              <w:bottom w:val="single" w:sz="4" w:space="0" w:color="auto"/>
              <w:right w:val="single" w:sz="4" w:space="0" w:color="auto"/>
            </w:tcBorders>
            <w:shd w:val="clear" w:color="auto" w:fill="auto"/>
            <w:noWrap/>
            <w:vAlign w:val="bottom"/>
            <w:hideMark/>
          </w:tcPr>
          <w:p w14:paraId="2ED96302"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 xml:space="preserve">921123000000   </w:t>
            </w:r>
          </w:p>
        </w:tc>
        <w:tc>
          <w:tcPr>
            <w:tcW w:w="6871" w:type="dxa"/>
            <w:tcBorders>
              <w:top w:val="nil"/>
              <w:left w:val="nil"/>
              <w:bottom w:val="single" w:sz="4" w:space="0" w:color="auto"/>
              <w:right w:val="single" w:sz="4" w:space="0" w:color="auto"/>
            </w:tcBorders>
            <w:shd w:val="clear" w:color="auto" w:fill="auto"/>
            <w:noWrap/>
            <w:vAlign w:val="bottom"/>
            <w:hideMark/>
          </w:tcPr>
          <w:p w14:paraId="64B80D14" w14:textId="77777777" w:rsidR="00570E8C" w:rsidRPr="00570E8C" w:rsidRDefault="00570E8C" w:rsidP="00570E8C">
            <w:pPr>
              <w:spacing w:after="0" w:line="240" w:lineRule="auto"/>
              <w:rPr>
                <w:rFonts w:ascii="Arial" w:eastAsia="Times New Roman" w:hAnsi="Arial" w:cs="Arial"/>
                <w:color w:val="000000"/>
                <w:sz w:val="20"/>
                <w:szCs w:val="20"/>
                <w:lang w:eastAsia="es-CR"/>
              </w:rPr>
            </w:pPr>
            <w:r w:rsidRPr="00570E8C">
              <w:rPr>
                <w:rFonts w:ascii="Arial" w:eastAsia="Times New Roman" w:hAnsi="Arial" w:cs="Arial"/>
                <w:color w:val="000000"/>
                <w:sz w:val="20"/>
                <w:szCs w:val="20"/>
                <w:lang w:eastAsia="es-CR"/>
              </w:rPr>
              <w:t>Amortización descuento sobre instrumentos financieros</w:t>
            </w:r>
          </w:p>
        </w:tc>
      </w:tr>
      <w:tr w:rsidR="00570E8C" w:rsidRPr="00570E8C" w14:paraId="033250E8" w14:textId="77777777" w:rsidTr="00581266">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77E3D0C6"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CO_FONDOS</w:t>
            </w:r>
          </w:p>
        </w:tc>
        <w:tc>
          <w:tcPr>
            <w:tcW w:w="1479" w:type="dxa"/>
            <w:tcBorders>
              <w:top w:val="nil"/>
              <w:left w:val="nil"/>
              <w:bottom w:val="single" w:sz="4" w:space="0" w:color="auto"/>
              <w:right w:val="single" w:sz="4" w:space="0" w:color="auto"/>
            </w:tcBorders>
            <w:shd w:val="clear" w:color="auto" w:fill="auto"/>
            <w:noWrap/>
            <w:vAlign w:val="bottom"/>
            <w:hideMark/>
          </w:tcPr>
          <w:p w14:paraId="79CD2AD2"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 xml:space="preserve">921124000000   </w:t>
            </w:r>
          </w:p>
        </w:tc>
        <w:tc>
          <w:tcPr>
            <w:tcW w:w="6871" w:type="dxa"/>
            <w:tcBorders>
              <w:top w:val="nil"/>
              <w:left w:val="nil"/>
              <w:bottom w:val="single" w:sz="4" w:space="0" w:color="auto"/>
              <w:right w:val="single" w:sz="4" w:space="0" w:color="auto"/>
            </w:tcBorders>
            <w:shd w:val="clear" w:color="auto" w:fill="auto"/>
            <w:noWrap/>
            <w:vAlign w:val="bottom"/>
            <w:hideMark/>
          </w:tcPr>
          <w:p w14:paraId="4EF0B3E6" w14:textId="77777777" w:rsidR="00570E8C" w:rsidRPr="00570E8C" w:rsidRDefault="00570E8C" w:rsidP="00570E8C">
            <w:pPr>
              <w:spacing w:after="0" w:line="240" w:lineRule="auto"/>
              <w:rPr>
                <w:rFonts w:ascii="Arial" w:eastAsia="Times New Roman" w:hAnsi="Arial" w:cs="Arial"/>
                <w:color w:val="000000"/>
                <w:sz w:val="20"/>
                <w:szCs w:val="20"/>
                <w:lang w:eastAsia="es-CR"/>
              </w:rPr>
            </w:pPr>
            <w:r w:rsidRPr="00570E8C">
              <w:rPr>
                <w:rFonts w:ascii="Arial" w:eastAsia="Times New Roman" w:hAnsi="Arial" w:cs="Arial"/>
                <w:color w:val="000000"/>
                <w:sz w:val="20"/>
                <w:szCs w:val="20"/>
                <w:lang w:eastAsia="es-CR"/>
              </w:rPr>
              <w:t>Ajuste por valuación de instrumentos financieros</w:t>
            </w:r>
          </w:p>
        </w:tc>
      </w:tr>
      <w:tr w:rsidR="00570E8C" w:rsidRPr="00570E8C" w14:paraId="21BD738E" w14:textId="77777777" w:rsidTr="00581266">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3C56794C"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CO_FONDOS</w:t>
            </w:r>
          </w:p>
        </w:tc>
        <w:tc>
          <w:tcPr>
            <w:tcW w:w="1479" w:type="dxa"/>
            <w:tcBorders>
              <w:top w:val="nil"/>
              <w:left w:val="nil"/>
              <w:bottom w:val="single" w:sz="4" w:space="0" w:color="auto"/>
              <w:right w:val="single" w:sz="4" w:space="0" w:color="auto"/>
            </w:tcBorders>
            <w:shd w:val="clear" w:color="auto" w:fill="auto"/>
            <w:noWrap/>
            <w:vAlign w:val="bottom"/>
            <w:hideMark/>
          </w:tcPr>
          <w:p w14:paraId="5C78281C"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 xml:space="preserve">921130000000   </w:t>
            </w:r>
          </w:p>
        </w:tc>
        <w:tc>
          <w:tcPr>
            <w:tcW w:w="6871" w:type="dxa"/>
            <w:tcBorders>
              <w:top w:val="nil"/>
              <w:left w:val="nil"/>
              <w:bottom w:val="single" w:sz="4" w:space="0" w:color="auto"/>
              <w:right w:val="single" w:sz="4" w:space="0" w:color="auto"/>
            </w:tcBorders>
            <w:shd w:val="clear" w:color="auto" w:fill="auto"/>
            <w:noWrap/>
            <w:vAlign w:val="bottom"/>
            <w:hideMark/>
          </w:tcPr>
          <w:p w14:paraId="08A7A04E" w14:textId="77777777" w:rsidR="00570E8C" w:rsidRPr="00570E8C" w:rsidRDefault="00570E8C" w:rsidP="00570E8C">
            <w:pPr>
              <w:spacing w:after="0" w:line="240" w:lineRule="auto"/>
              <w:rPr>
                <w:rFonts w:ascii="Arial" w:eastAsia="Times New Roman" w:hAnsi="Arial" w:cs="Arial"/>
                <w:color w:val="000000"/>
                <w:sz w:val="20"/>
                <w:szCs w:val="20"/>
                <w:lang w:eastAsia="es-CR"/>
              </w:rPr>
            </w:pPr>
            <w:r w:rsidRPr="00570E8C">
              <w:rPr>
                <w:rFonts w:ascii="Arial" w:eastAsia="Times New Roman" w:hAnsi="Arial" w:cs="Arial"/>
                <w:color w:val="000000"/>
                <w:sz w:val="20"/>
                <w:szCs w:val="20"/>
                <w:lang w:eastAsia="es-CR"/>
              </w:rPr>
              <w:t>Inversiones al Costo Amortizado - Colones</w:t>
            </w:r>
          </w:p>
        </w:tc>
      </w:tr>
      <w:tr w:rsidR="00570E8C" w:rsidRPr="00570E8C" w14:paraId="2FBF0C71" w14:textId="77777777" w:rsidTr="00581266">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7C06D04B"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CO_FONDOS</w:t>
            </w:r>
          </w:p>
        </w:tc>
        <w:tc>
          <w:tcPr>
            <w:tcW w:w="1479" w:type="dxa"/>
            <w:tcBorders>
              <w:top w:val="nil"/>
              <w:left w:val="nil"/>
              <w:bottom w:val="single" w:sz="4" w:space="0" w:color="auto"/>
              <w:right w:val="single" w:sz="4" w:space="0" w:color="auto"/>
            </w:tcBorders>
            <w:shd w:val="clear" w:color="auto" w:fill="auto"/>
            <w:noWrap/>
            <w:vAlign w:val="bottom"/>
            <w:hideMark/>
          </w:tcPr>
          <w:p w14:paraId="2C71D8EA"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 xml:space="preserve">921131000000   </w:t>
            </w:r>
          </w:p>
        </w:tc>
        <w:tc>
          <w:tcPr>
            <w:tcW w:w="6871" w:type="dxa"/>
            <w:tcBorders>
              <w:top w:val="nil"/>
              <w:left w:val="nil"/>
              <w:bottom w:val="single" w:sz="4" w:space="0" w:color="auto"/>
              <w:right w:val="single" w:sz="4" w:space="0" w:color="auto"/>
            </w:tcBorders>
            <w:shd w:val="clear" w:color="auto" w:fill="auto"/>
            <w:noWrap/>
            <w:vAlign w:val="bottom"/>
            <w:hideMark/>
          </w:tcPr>
          <w:p w14:paraId="269B52AA" w14:textId="77777777" w:rsidR="00570E8C" w:rsidRPr="00570E8C" w:rsidRDefault="00570E8C" w:rsidP="00570E8C">
            <w:pPr>
              <w:spacing w:after="0" w:line="240" w:lineRule="auto"/>
              <w:rPr>
                <w:rFonts w:ascii="Arial" w:eastAsia="Times New Roman" w:hAnsi="Arial" w:cs="Arial"/>
                <w:color w:val="000000"/>
                <w:sz w:val="20"/>
                <w:szCs w:val="20"/>
                <w:lang w:eastAsia="es-CR"/>
              </w:rPr>
            </w:pPr>
            <w:r w:rsidRPr="00570E8C">
              <w:rPr>
                <w:rFonts w:ascii="Arial" w:eastAsia="Times New Roman" w:hAnsi="Arial" w:cs="Arial"/>
                <w:color w:val="000000"/>
                <w:sz w:val="20"/>
                <w:szCs w:val="20"/>
                <w:lang w:eastAsia="es-CR"/>
              </w:rPr>
              <w:t>Valor de adquisición de instrumentos financieros</w:t>
            </w:r>
          </w:p>
        </w:tc>
      </w:tr>
      <w:tr w:rsidR="00570E8C" w:rsidRPr="00570E8C" w14:paraId="6A03601B" w14:textId="77777777" w:rsidTr="00581266">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4F4D05DE"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CO_FONDOS</w:t>
            </w:r>
          </w:p>
        </w:tc>
        <w:tc>
          <w:tcPr>
            <w:tcW w:w="1479" w:type="dxa"/>
            <w:tcBorders>
              <w:top w:val="nil"/>
              <w:left w:val="nil"/>
              <w:bottom w:val="single" w:sz="4" w:space="0" w:color="auto"/>
              <w:right w:val="single" w:sz="4" w:space="0" w:color="auto"/>
            </w:tcBorders>
            <w:shd w:val="clear" w:color="auto" w:fill="auto"/>
            <w:noWrap/>
            <w:vAlign w:val="bottom"/>
            <w:hideMark/>
          </w:tcPr>
          <w:p w14:paraId="58E7060A"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 xml:space="preserve">921132000000   </w:t>
            </w:r>
          </w:p>
        </w:tc>
        <w:tc>
          <w:tcPr>
            <w:tcW w:w="6871" w:type="dxa"/>
            <w:tcBorders>
              <w:top w:val="nil"/>
              <w:left w:val="nil"/>
              <w:bottom w:val="single" w:sz="4" w:space="0" w:color="auto"/>
              <w:right w:val="single" w:sz="4" w:space="0" w:color="auto"/>
            </w:tcBorders>
            <w:shd w:val="clear" w:color="auto" w:fill="auto"/>
            <w:noWrap/>
            <w:vAlign w:val="bottom"/>
            <w:hideMark/>
          </w:tcPr>
          <w:p w14:paraId="31DF9928" w14:textId="77777777" w:rsidR="00570E8C" w:rsidRPr="00570E8C" w:rsidRDefault="00570E8C" w:rsidP="00570E8C">
            <w:pPr>
              <w:spacing w:after="0" w:line="240" w:lineRule="auto"/>
              <w:rPr>
                <w:rFonts w:ascii="Arial" w:eastAsia="Times New Roman" w:hAnsi="Arial" w:cs="Arial"/>
                <w:color w:val="000000"/>
                <w:sz w:val="20"/>
                <w:szCs w:val="20"/>
                <w:lang w:eastAsia="es-CR"/>
              </w:rPr>
            </w:pPr>
            <w:r w:rsidRPr="00570E8C">
              <w:rPr>
                <w:rFonts w:ascii="Arial" w:eastAsia="Times New Roman" w:hAnsi="Arial" w:cs="Arial"/>
                <w:color w:val="000000"/>
                <w:sz w:val="20"/>
                <w:szCs w:val="20"/>
                <w:lang w:eastAsia="es-CR"/>
              </w:rPr>
              <w:t>(Amortización prima sobre instrumentos financieros)</w:t>
            </w:r>
          </w:p>
        </w:tc>
      </w:tr>
      <w:tr w:rsidR="00570E8C" w:rsidRPr="00570E8C" w14:paraId="3C4CE9F2" w14:textId="77777777" w:rsidTr="00581266">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1E8ADE14"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CO_FONDOS</w:t>
            </w:r>
          </w:p>
        </w:tc>
        <w:tc>
          <w:tcPr>
            <w:tcW w:w="1479" w:type="dxa"/>
            <w:tcBorders>
              <w:top w:val="nil"/>
              <w:left w:val="nil"/>
              <w:bottom w:val="single" w:sz="4" w:space="0" w:color="auto"/>
              <w:right w:val="single" w:sz="4" w:space="0" w:color="auto"/>
            </w:tcBorders>
            <w:shd w:val="clear" w:color="auto" w:fill="auto"/>
            <w:noWrap/>
            <w:vAlign w:val="bottom"/>
            <w:hideMark/>
          </w:tcPr>
          <w:p w14:paraId="507658D1"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 xml:space="preserve">921133000000   </w:t>
            </w:r>
          </w:p>
        </w:tc>
        <w:tc>
          <w:tcPr>
            <w:tcW w:w="6871" w:type="dxa"/>
            <w:tcBorders>
              <w:top w:val="nil"/>
              <w:left w:val="nil"/>
              <w:bottom w:val="single" w:sz="4" w:space="0" w:color="auto"/>
              <w:right w:val="single" w:sz="4" w:space="0" w:color="auto"/>
            </w:tcBorders>
            <w:shd w:val="clear" w:color="auto" w:fill="auto"/>
            <w:noWrap/>
            <w:vAlign w:val="bottom"/>
            <w:hideMark/>
          </w:tcPr>
          <w:p w14:paraId="673A2290" w14:textId="77777777" w:rsidR="00570E8C" w:rsidRPr="00570E8C" w:rsidRDefault="00570E8C" w:rsidP="00570E8C">
            <w:pPr>
              <w:spacing w:after="0" w:line="240" w:lineRule="auto"/>
              <w:rPr>
                <w:rFonts w:ascii="Arial" w:eastAsia="Times New Roman" w:hAnsi="Arial" w:cs="Arial"/>
                <w:color w:val="000000"/>
                <w:sz w:val="20"/>
                <w:szCs w:val="20"/>
                <w:lang w:eastAsia="es-CR"/>
              </w:rPr>
            </w:pPr>
            <w:r w:rsidRPr="00570E8C">
              <w:rPr>
                <w:rFonts w:ascii="Arial" w:eastAsia="Times New Roman" w:hAnsi="Arial" w:cs="Arial"/>
                <w:color w:val="000000"/>
                <w:sz w:val="20"/>
                <w:szCs w:val="20"/>
                <w:lang w:eastAsia="es-CR"/>
              </w:rPr>
              <w:t>Amortización descuento sobre instrumentos financieros</w:t>
            </w:r>
          </w:p>
        </w:tc>
      </w:tr>
      <w:tr w:rsidR="00570E8C" w:rsidRPr="00570E8C" w14:paraId="2D46D2F5" w14:textId="77777777" w:rsidTr="00581266">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6DB7B783"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CO_FONDOS</w:t>
            </w:r>
          </w:p>
        </w:tc>
        <w:tc>
          <w:tcPr>
            <w:tcW w:w="1479" w:type="dxa"/>
            <w:tcBorders>
              <w:top w:val="nil"/>
              <w:left w:val="nil"/>
              <w:bottom w:val="single" w:sz="4" w:space="0" w:color="auto"/>
              <w:right w:val="single" w:sz="4" w:space="0" w:color="auto"/>
            </w:tcBorders>
            <w:shd w:val="clear" w:color="auto" w:fill="auto"/>
            <w:noWrap/>
            <w:vAlign w:val="bottom"/>
            <w:hideMark/>
          </w:tcPr>
          <w:p w14:paraId="3C080B2F"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 xml:space="preserve">921134000000   </w:t>
            </w:r>
          </w:p>
        </w:tc>
        <w:tc>
          <w:tcPr>
            <w:tcW w:w="6871" w:type="dxa"/>
            <w:tcBorders>
              <w:top w:val="nil"/>
              <w:left w:val="nil"/>
              <w:bottom w:val="single" w:sz="4" w:space="0" w:color="auto"/>
              <w:right w:val="single" w:sz="4" w:space="0" w:color="auto"/>
            </w:tcBorders>
            <w:shd w:val="clear" w:color="auto" w:fill="auto"/>
            <w:noWrap/>
            <w:vAlign w:val="bottom"/>
            <w:hideMark/>
          </w:tcPr>
          <w:p w14:paraId="1BA1E7D0" w14:textId="77777777" w:rsidR="00570E8C" w:rsidRPr="00570E8C" w:rsidRDefault="00570E8C" w:rsidP="00570E8C">
            <w:pPr>
              <w:spacing w:after="0" w:line="240" w:lineRule="auto"/>
              <w:rPr>
                <w:rFonts w:ascii="Arial" w:eastAsia="Times New Roman" w:hAnsi="Arial" w:cs="Arial"/>
                <w:color w:val="000000"/>
                <w:sz w:val="20"/>
                <w:szCs w:val="20"/>
                <w:lang w:eastAsia="es-CR"/>
              </w:rPr>
            </w:pPr>
            <w:r w:rsidRPr="00570E8C">
              <w:rPr>
                <w:rFonts w:ascii="Arial" w:eastAsia="Times New Roman" w:hAnsi="Arial" w:cs="Arial"/>
                <w:color w:val="000000"/>
                <w:sz w:val="20"/>
                <w:szCs w:val="20"/>
                <w:lang w:eastAsia="es-CR"/>
              </w:rPr>
              <w:t>(Estimación por deterioro para inversiones clasificadas al costo amortizado)</w:t>
            </w:r>
          </w:p>
        </w:tc>
      </w:tr>
      <w:tr w:rsidR="00570E8C" w:rsidRPr="00570E8C" w14:paraId="5D6D63C5" w14:textId="77777777" w:rsidTr="00581266">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1117C3EB"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CO_FONDOS</w:t>
            </w:r>
          </w:p>
        </w:tc>
        <w:tc>
          <w:tcPr>
            <w:tcW w:w="1479" w:type="dxa"/>
            <w:tcBorders>
              <w:top w:val="nil"/>
              <w:left w:val="nil"/>
              <w:bottom w:val="single" w:sz="4" w:space="0" w:color="auto"/>
              <w:right w:val="single" w:sz="4" w:space="0" w:color="auto"/>
            </w:tcBorders>
            <w:shd w:val="clear" w:color="auto" w:fill="auto"/>
            <w:noWrap/>
            <w:vAlign w:val="bottom"/>
            <w:hideMark/>
          </w:tcPr>
          <w:p w14:paraId="57C3C9B7"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 xml:space="preserve">921200000000   </w:t>
            </w:r>
          </w:p>
        </w:tc>
        <w:tc>
          <w:tcPr>
            <w:tcW w:w="6871" w:type="dxa"/>
            <w:tcBorders>
              <w:top w:val="nil"/>
              <w:left w:val="nil"/>
              <w:bottom w:val="single" w:sz="4" w:space="0" w:color="auto"/>
              <w:right w:val="single" w:sz="4" w:space="0" w:color="auto"/>
            </w:tcBorders>
            <w:shd w:val="clear" w:color="auto" w:fill="auto"/>
            <w:noWrap/>
            <w:vAlign w:val="bottom"/>
            <w:hideMark/>
          </w:tcPr>
          <w:p w14:paraId="0D1E45EE" w14:textId="77777777" w:rsidR="00570E8C" w:rsidRPr="00570E8C" w:rsidRDefault="00570E8C" w:rsidP="00570E8C">
            <w:pPr>
              <w:spacing w:after="0" w:line="240" w:lineRule="auto"/>
              <w:rPr>
                <w:rFonts w:ascii="Arial" w:eastAsia="Times New Roman" w:hAnsi="Arial" w:cs="Arial"/>
                <w:color w:val="000000"/>
                <w:sz w:val="20"/>
                <w:szCs w:val="20"/>
                <w:lang w:eastAsia="es-CR"/>
              </w:rPr>
            </w:pPr>
            <w:r w:rsidRPr="00570E8C">
              <w:rPr>
                <w:rFonts w:ascii="Arial" w:eastAsia="Times New Roman" w:hAnsi="Arial" w:cs="Arial"/>
                <w:color w:val="000000"/>
                <w:sz w:val="20"/>
                <w:szCs w:val="20"/>
                <w:lang w:eastAsia="es-CR"/>
              </w:rPr>
              <w:t>Cuentas por cobrar</w:t>
            </w:r>
          </w:p>
        </w:tc>
      </w:tr>
      <w:tr w:rsidR="00570E8C" w:rsidRPr="00570E8C" w14:paraId="68B116A7" w14:textId="77777777" w:rsidTr="00581266">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48997221"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CO_FONDOS</w:t>
            </w:r>
          </w:p>
        </w:tc>
        <w:tc>
          <w:tcPr>
            <w:tcW w:w="1479" w:type="dxa"/>
            <w:tcBorders>
              <w:top w:val="nil"/>
              <w:left w:val="nil"/>
              <w:bottom w:val="single" w:sz="4" w:space="0" w:color="auto"/>
              <w:right w:val="single" w:sz="4" w:space="0" w:color="auto"/>
            </w:tcBorders>
            <w:shd w:val="clear" w:color="auto" w:fill="auto"/>
            <w:noWrap/>
            <w:vAlign w:val="bottom"/>
            <w:hideMark/>
          </w:tcPr>
          <w:p w14:paraId="41BC359A"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 xml:space="preserve">921210000000   </w:t>
            </w:r>
          </w:p>
        </w:tc>
        <w:tc>
          <w:tcPr>
            <w:tcW w:w="6871" w:type="dxa"/>
            <w:tcBorders>
              <w:top w:val="nil"/>
              <w:left w:val="nil"/>
              <w:bottom w:val="single" w:sz="4" w:space="0" w:color="auto"/>
              <w:right w:val="single" w:sz="4" w:space="0" w:color="auto"/>
            </w:tcBorders>
            <w:shd w:val="clear" w:color="auto" w:fill="auto"/>
            <w:noWrap/>
            <w:vAlign w:val="bottom"/>
            <w:hideMark/>
          </w:tcPr>
          <w:p w14:paraId="6C613813" w14:textId="77777777" w:rsidR="00570E8C" w:rsidRPr="00570E8C" w:rsidRDefault="00570E8C" w:rsidP="00570E8C">
            <w:pPr>
              <w:spacing w:after="0" w:line="240" w:lineRule="auto"/>
              <w:rPr>
                <w:rFonts w:ascii="Arial" w:eastAsia="Times New Roman" w:hAnsi="Arial" w:cs="Arial"/>
                <w:color w:val="000000"/>
                <w:sz w:val="20"/>
                <w:szCs w:val="20"/>
                <w:lang w:eastAsia="es-CR"/>
              </w:rPr>
            </w:pPr>
            <w:r w:rsidRPr="00570E8C">
              <w:rPr>
                <w:rFonts w:ascii="Arial" w:eastAsia="Times New Roman" w:hAnsi="Arial" w:cs="Arial"/>
                <w:color w:val="000000"/>
                <w:sz w:val="20"/>
                <w:szCs w:val="20"/>
                <w:lang w:eastAsia="es-CR"/>
              </w:rPr>
              <w:t>Impuestos Diferidos (Diferencias temporarias imponibles)</w:t>
            </w:r>
          </w:p>
        </w:tc>
      </w:tr>
      <w:tr w:rsidR="00570E8C" w:rsidRPr="00570E8C" w14:paraId="7F74A9B4" w14:textId="77777777" w:rsidTr="00581266">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6CBEF848"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CO_FONDOS</w:t>
            </w:r>
          </w:p>
        </w:tc>
        <w:tc>
          <w:tcPr>
            <w:tcW w:w="1479" w:type="dxa"/>
            <w:tcBorders>
              <w:top w:val="nil"/>
              <w:left w:val="nil"/>
              <w:bottom w:val="single" w:sz="4" w:space="0" w:color="auto"/>
              <w:right w:val="single" w:sz="4" w:space="0" w:color="auto"/>
            </w:tcBorders>
            <w:shd w:val="clear" w:color="auto" w:fill="auto"/>
            <w:noWrap/>
            <w:vAlign w:val="bottom"/>
            <w:hideMark/>
          </w:tcPr>
          <w:p w14:paraId="7547C668"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 xml:space="preserve">921220000000   </w:t>
            </w:r>
          </w:p>
        </w:tc>
        <w:tc>
          <w:tcPr>
            <w:tcW w:w="6871" w:type="dxa"/>
            <w:tcBorders>
              <w:top w:val="nil"/>
              <w:left w:val="nil"/>
              <w:bottom w:val="single" w:sz="4" w:space="0" w:color="auto"/>
              <w:right w:val="single" w:sz="4" w:space="0" w:color="auto"/>
            </w:tcBorders>
            <w:shd w:val="clear" w:color="auto" w:fill="auto"/>
            <w:noWrap/>
            <w:vAlign w:val="bottom"/>
            <w:hideMark/>
          </w:tcPr>
          <w:p w14:paraId="5D93857B" w14:textId="77777777" w:rsidR="00570E8C" w:rsidRPr="00570E8C" w:rsidRDefault="00570E8C" w:rsidP="00570E8C">
            <w:pPr>
              <w:spacing w:after="0" w:line="240" w:lineRule="auto"/>
              <w:rPr>
                <w:rFonts w:ascii="Arial" w:eastAsia="Times New Roman" w:hAnsi="Arial" w:cs="Arial"/>
                <w:color w:val="000000"/>
                <w:sz w:val="20"/>
                <w:szCs w:val="20"/>
                <w:lang w:eastAsia="es-CR"/>
              </w:rPr>
            </w:pPr>
            <w:r w:rsidRPr="00570E8C">
              <w:rPr>
                <w:rFonts w:ascii="Arial" w:eastAsia="Times New Roman" w:hAnsi="Arial" w:cs="Arial"/>
                <w:color w:val="000000"/>
                <w:sz w:val="20"/>
                <w:szCs w:val="20"/>
                <w:lang w:eastAsia="es-CR"/>
              </w:rPr>
              <w:t>Otras Cuentas por Cobrar</w:t>
            </w:r>
          </w:p>
        </w:tc>
      </w:tr>
      <w:tr w:rsidR="00570E8C" w:rsidRPr="00570E8C" w14:paraId="104D1A95" w14:textId="77777777" w:rsidTr="00581266">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399F5F6B"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CO_FONDOS</w:t>
            </w:r>
          </w:p>
        </w:tc>
        <w:tc>
          <w:tcPr>
            <w:tcW w:w="1479" w:type="dxa"/>
            <w:tcBorders>
              <w:top w:val="nil"/>
              <w:left w:val="nil"/>
              <w:bottom w:val="single" w:sz="4" w:space="0" w:color="auto"/>
              <w:right w:val="single" w:sz="4" w:space="0" w:color="auto"/>
            </w:tcBorders>
            <w:shd w:val="clear" w:color="auto" w:fill="auto"/>
            <w:noWrap/>
            <w:vAlign w:val="bottom"/>
            <w:hideMark/>
          </w:tcPr>
          <w:p w14:paraId="321C5D9E"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 xml:space="preserve">921300000000   </w:t>
            </w:r>
          </w:p>
        </w:tc>
        <w:tc>
          <w:tcPr>
            <w:tcW w:w="6871" w:type="dxa"/>
            <w:tcBorders>
              <w:top w:val="nil"/>
              <w:left w:val="nil"/>
              <w:bottom w:val="single" w:sz="4" w:space="0" w:color="auto"/>
              <w:right w:val="single" w:sz="4" w:space="0" w:color="auto"/>
            </w:tcBorders>
            <w:shd w:val="clear" w:color="auto" w:fill="auto"/>
            <w:noWrap/>
            <w:vAlign w:val="bottom"/>
            <w:hideMark/>
          </w:tcPr>
          <w:p w14:paraId="054056C3" w14:textId="77777777" w:rsidR="00570E8C" w:rsidRPr="00570E8C" w:rsidRDefault="00570E8C" w:rsidP="00570E8C">
            <w:pPr>
              <w:spacing w:after="0" w:line="240" w:lineRule="auto"/>
              <w:rPr>
                <w:rFonts w:ascii="Arial" w:eastAsia="Times New Roman" w:hAnsi="Arial" w:cs="Arial"/>
                <w:color w:val="000000"/>
                <w:sz w:val="20"/>
                <w:szCs w:val="20"/>
                <w:lang w:eastAsia="es-CR"/>
              </w:rPr>
            </w:pPr>
            <w:r w:rsidRPr="00570E8C">
              <w:rPr>
                <w:rFonts w:ascii="Arial" w:eastAsia="Times New Roman" w:hAnsi="Arial" w:cs="Arial"/>
                <w:color w:val="000000"/>
                <w:sz w:val="20"/>
                <w:szCs w:val="20"/>
                <w:lang w:eastAsia="es-CR"/>
              </w:rPr>
              <w:t>Intereses por Cobrar</w:t>
            </w:r>
          </w:p>
        </w:tc>
      </w:tr>
      <w:tr w:rsidR="00570E8C" w:rsidRPr="00570E8C" w14:paraId="160CA636" w14:textId="77777777" w:rsidTr="00581266">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79019241"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CO_FONDOS</w:t>
            </w:r>
          </w:p>
        </w:tc>
        <w:tc>
          <w:tcPr>
            <w:tcW w:w="1479" w:type="dxa"/>
            <w:tcBorders>
              <w:top w:val="nil"/>
              <w:left w:val="nil"/>
              <w:bottom w:val="single" w:sz="4" w:space="0" w:color="auto"/>
              <w:right w:val="single" w:sz="4" w:space="0" w:color="auto"/>
            </w:tcBorders>
            <w:shd w:val="clear" w:color="auto" w:fill="auto"/>
            <w:noWrap/>
            <w:vAlign w:val="bottom"/>
            <w:hideMark/>
          </w:tcPr>
          <w:p w14:paraId="4C54B66F"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 xml:space="preserve">921310000000   </w:t>
            </w:r>
          </w:p>
        </w:tc>
        <w:tc>
          <w:tcPr>
            <w:tcW w:w="6871" w:type="dxa"/>
            <w:tcBorders>
              <w:top w:val="nil"/>
              <w:left w:val="nil"/>
              <w:bottom w:val="single" w:sz="4" w:space="0" w:color="auto"/>
              <w:right w:val="single" w:sz="4" w:space="0" w:color="auto"/>
            </w:tcBorders>
            <w:shd w:val="clear" w:color="auto" w:fill="auto"/>
            <w:noWrap/>
            <w:vAlign w:val="bottom"/>
            <w:hideMark/>
          </w:tcPr>
          <w:p w14:paraId="68E78CAD" w14:textId="77777777" w:rsidR="00570E8C" w:rsidRPr="00570E8C" w:rsidRDefault="00570E8C" w:rsidP="00570E8C">
            <w:pPr>
              <w:spacing w:after="0" w:line="240" w:lineRule="auto"/>
              <w:rPr>
                <w:rFonts w:ascii="Arial" w:eastAsia="Times New Roman" w:hAnsi="Arial" w:cs="Arial"/>
                <w:color w:val="000000"/>
                <w:sz w:val="20"/>
                <w:szCs w:val="20"/>
                <w:lang w:eastAsia="es-CR"/>
              </w:rPr>
            </w:pPr>
            <w:r w:rsidRPr="00570E8C">
              <w:rPr>
                <w:rFonts w:ascii="Arial" w:eastAsia="Times New Roman" w:hAnsi="Arial" w:cs="Arial"/>
                <w:color w:val="000000"/>
                <w:sz w:val="20"/>
                <w:szCs w:val="20"/>
                <w:lang w:eastAsia="es-CR"/>
              </w:rPr>
              <w:t>Intereses de títulos de renta fija cuenta deudora</w:t>
            </w:r>
          </w:p>
        </w:tc>
      </w:tr>
      <w:tr w:rsidR="00570E8C" w:rsidRPr="00570E8C" w14:paraId="1BA17ABB" w14:textId="77777777" w:rsidTr="00581266">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7E512587"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CO_FONDOS</w:t>
            </w:r>
          </w:p>
        </w:tc>
        <w:tc>
          <w:tcPr>
            <w:tcW w:w="1479" w:type="dxa"/>
            <w:tcBorders>
              <w:top w:val="nil"/>
              <w:left w:val="nil"/>
              <w:bottom w:val="single" w:sz="4" w:space="0" w:color="auto"/>
              <w:right w:val="single" w:sz="4" w:space="0" w:color="auto"/>
            </w:tcBorders>
            <w:shd w:val="clear" w:color="auto" w:fill="auto"/>
            <w:noWrap/>
            <w:vAlign w:val="bottom"/>
            <w:hideMark/>
          </w:tcPr>
          <w:p w14:paraId="0A19A9ED"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 xml:space="preserve">921330000000   </w:t>
            </w:r>
          </w:p>
        </w:tc>
        <w:tc>
          <w:tcPr>
            <w:tcW w:w="6871" w:type="dxa"/>
            <w:tcBorders>
              <w:top w:val="nil"/>
              <w:left w:val="nil"/>
              <w:bottom w:val="single" w:sz="4" w:space="0" w:color="auto"/>
              <w:right w:val="single" w:sz="4" w:space="0" w:color="auto"/>
            </w:tcBorders>
            <w:shd w:val="clear" w:color="auto" w:fill="auto"/>
            <w:noWrap/>
            <w:vAlign w:val="bottom"/>
            <w:hideMark/>
          </w:tcPr>
          <w:p w14:paraId="1598A292" w14:textId="77777777" w:rsidR="00570E8C" w:rsidRPr="00570E8C" w:rsidRDefault="00570E8C" w:rsidP="00570E8C">
            <w:pPr>
              <w:spacing w:after="0" w:line="240" w:lineRule="auto"/>
              <w:rPr>
                <w:rFonts w:ascii="Arial" w:eastAsia="Times New Roman" w:hAnsi="Arial" w:cs="Arial"/>
                <w:color w:val="000000"/>
                <w:sz w:val="20"/>
                <w:szCs w:val="20"/>
                <w:lang w:eastAsia="es-CR"/>
              </w:rPr>
            </w:pPr>
            <w:r w:rsidRPr="00570E8C">
              <w:rPr>
                <w:rFonts w:ascii="Arial" w:eastAsia="Times New Roman" w:hAnsi="Arial" w:cs="Arial"/>
                <w:color w:val="000000"/>
                <w:sz w:val="20"/>
                <w:szCs w:val="20"/>
                <w:lang w:eastAsia="es-CR"/>
              </w:rPr>
              <w:t>Otros Intereses por Cobrar</w:t>
            </w:r>
          </w:p>
        </w:tc>
      </w:tr>
      <w:tr w:rsidR="00570E8C" w:rsidRPr="00570E8C" w14:paraId="4D7FC5AF" w14:textId="77777777" w:rsidTr="00581266">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1CEE1A8C"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CO_FONDOS</w:t>
            </w:r>
          </w:p>
        </w:tc>
        <w:tc>
          <w:tcPr>
            <w:tcW w:w="1479" w:type="dxa"/>
            <w:tcBorders>
              <w:top w:val="nil"/>
              <w:left w:val="nil"/>
              <w:bottom w:val="single" w:sz="4" w:space="0" w:color="auto"/>
              <w:right w:val="single" w:sz="4" w:space="0" w:color="auto"/>
            </w:tcBorders>
            <w:shd w:val="clear" w:color="auto" w:fill="auto"/>
            <w:noWrap/>
            <w:vAlign w:val="bottom"/>
            <w:hideMark/>
          </w:tcPr>
          <w:p w14:paraId="757D32B1"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 xml:space="preserve">921400000000   </w:t>
            </w:r>
          </w:p>
        </w:tc>
        <w:tc>
          <w:tcPr>
            <w:tcW w:w="6871" w:type="dxa"/>
            <w:tcBorders>
              <w:top w:val="nil"/>
              <w:left w:val="nil"/>
              <w:bottom w:val="single" w:sz="4" w:space="0" w:color="auto"/>
              <w:right w:val="single" w:sz="4" w:space="0" w:color="auto"/>
            </w:tcBorders>
            <w:shd w:val="clear" w:color="auto" w:fill="auto"/>
            <w:noWrap/>
            <w:vAlign w:val="bottom"/>
            <w:hideMark/>
          </w:tcPr>
          <w:p w14:paraId="5F0E953A" w14:textId="77777777" w:rsidR="00570E8C" w:rsidRPr="00570E8C" w:rsidRDefault="00570E8C" w:rsidP="00570E8C">
            <w:pPr>
              <w:spacing w:after="0" w:line="240" w:lineRule="auto"/>
              <w:rPr>
                <w:rFonts w:ascii="Arial" w:eastAsia="Times New Roman" w:hAnsi="Arial" w:cs="Arial"/>
                <w:color w:val="000000"/>
                <w:sz w:val="20"/>
                <w:szCs w:val="20"/>
                <w:lang w:eastAsia="es-CR"/>
              </w:rPr>
            </w:pPr>
            <w:r w:rsidRPr="00570E8C">
              <w:rPr>
                <w:rFonts w:ascii="Arial" w:eastAsia="Times New Roman" w:hAnsi="Arial" w:cs="Arial"/>
                <w:color w:val="000000"/>
                <w:sz w:val="20"/>
                <w:szCs w:val="20"/>
                <w:lang w:eastAsia="es-CR"/>
              </w:rPr>
              <w:t>Otros Activos</w:t>
            </w:r>
          </w:p>
        </w:tc>
      </w:tr>
      <w:tr w:rsidR="00570E8C" w:rsidRPr="00570E8C" w14:paraId="757BCDDA" w14:textId="77777777" w:rsidTr="00581266">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39CFAED4"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CO_FONDOS</w:t>
            </w:r>
          </w:p>
        </w:tc>
        <w:tc>
          <w:tcPr>
            <w:tcW w:w="1479" w:type="dxa"/>
            <w:tcBorders>
              <w:top w:val="nil"/>
              <w:left w:val="nil"/>
              <w:bottom w:val="single" w:sz="4" w:space="0" w:color="auto"/>
              <w:right w:val="single" w:sz="4" w:space="0" w:color="auto"/>
            </w:tcBorders>
            <w:shd w:val="clear" w:color="auto" w:fill="auto"/>
            <w:noWrap/>
            <w:vAlign w:val="bottom"/>
            <w:hideMark/>
          </w:tcPr>
          <w:p w14:paraId="6F72D633" w14:textId="77777777" w:rsidR="00570E8C" w:rsidRPr="00570E8C" w:rsidRDefault="00570E8C" w:rsidP="00570E8C">
            <w:pPr>
              <w:spacing w:after="0" w:line="240" w:lineRule="auto"/>
              <w:rPr>
                <w:rFonts w:ascii="Calibri" w:eastAsia="Times New Roman" w:hAnsi="Calibri" w:cs="Calibri"/>
                <w:b/>
                <w:bCs/>
                <w:lang w:eastAsia="es-CR"/>
              </w:rPr>
            </w:pPr>
            <w:r w:rsidRPr="00570E8C">
              <w:rPr>
                <w:rFonts w:ascii="Calibri" w:eastAsia="Times New Roman" w:hAnsi="Calibri" w:cs="Calibri"/>
                <w:b/>
                <w:bCs/>
                <w:lang w:eastAsia="es-CR"/>
              </w:rPr>
              <w:t xml:space="preserve">922000000000   </w:t>
            </w:r>
          </w:p>
        </w:tc>
        <w:tc>
          <w:tcPr>
            <w:tcW w:w="6871" w:type="dxa"/>
            <w:tcBorders>
              <w:top w:val="nil"/>
              <w:left w:val="nil"/>
              <w:bottom w:val="single" w:sz="4" w:space="0" w:color="auto"/>
              <w:right w:val="single" w:sz="4" w:space="0" w:color="auto"/>
            </w:tcBorders>
            <w:shd w:val="clear" w:color="auto" w:fill="auto"/>
            <w:noWrap/>
            <w:vAlign w:val="bottom"/>
            <w:hideMark/>
          </w:tcPr>
          <w:p w14:paraId="239064E8" w14:textId="77777777" w:rsidR="00570E8C" w:rsidRPr="00570E8C" w:rsidRDefault="00570E8C" w:rsidP="00570E8C">
            <w:pPr>
              <w:spacing w:after="0" w:line="240" w:lineRule="auto"/>
              <w:rPr>
                <w:rFonts w:ascii="Arial" w:eastAsia="Times New Roman" w:hAnsi="Arial" w:cs="Arial"/>
                <w:b/>
                <w:bCs/>
                <w:color w:val="000000"/>
                <w:sz w:val="20"/>
                <w:szCs w:val="20"/>
                <w:lang w:eastAsia="es-CR"/>
              </w:rPr>
            </w:pPr>
            <w:r w:rsidRPr="00570E8C">
              <w:rPr>
                <w:rFonts w:ascii="Arial" w:eastAsia="Times New Roman" w:hAnsi="Arial" w:cs="Arial"/>
                <w:b/>
                <w:bCs/>
                <w:color w:val="000000"/>
                <w:sz w:val="20"/>
                <w:szCs w:val="20"/>
                <w:lang w:eastAsia="es-CR"/>
              </w:rPr>
              <w:t xml:space="preserve">Pasivos de Valores Segregados </w:t>
            </w:r>
          </w:p>
        </w:tc>
      </w:tr>
      <w:tr w:rsidR="00570E8C" w:rsidRPr="00570E8C" w14:paraId="78C51831" w14:textId="77777777" w:rsidTr="00581266">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29951F87"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CO_FONDOS</w:t>
            </w:r>
          </w:p>
        </w:tc>
        <w:tc>
          <w:tcPr>
            <w:tcW w:w="1479" w:type="dxa"/>
            <w:tcBorders>
              <w:top w:val="nil"/>
              <w:left w:val="nil"/>
              <w:bottom w:val="single" w:sz="4" w:space="0" w:color="auto"/>
              <w:right w:val="single" w:sz="4" w:space="0" w:color="auto"/>
            </w:tcBorders>
            <w:shd w:val="clear" w:color="auto" w:fill="auto"/>
            <w:noWrap/>
            <w:vAlign w:val="bottom"/>
            <w:hideMark/>
          </w:tcPr>
          <w:p w14:paraId="58E75748"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 xml:space="preserve">922100000000   </w:t>
            </w:r>
          </w:p>
        </w:tc>
        <w:tc>
          <w:tcPr>
            <w:tcW w:w="6871" w:type="dxa"/>
            <w:tcBorders>
              <w:top w:val="nil"/>
              <w:left w:val="nil"/>
              <w:bottom w:val="single" w:sz="4" w:space="0" w:color="auto"/>
              <w:right w:val="single" w:sz="4" w:space="0" w:color="auto"/>
            </w:tcBorders>
            <w:shd w:val="clear" w:color="auto" w:fill="auto"/>
            <w:noWrap/>
            <w:vAlign w:val="bottom"/>
            <w:hideMark/>
          </w:tcPr>
          <w:p w14:paraId="3E0C4BCF" w14:textId="77777777" w:rsidR="00570E8C" w:rsidRPr="00570E8C" w:rsidRDefault="00570E8C" w:rsidP="00570E8C">
            <w:pPr>
              <w:spacing w:after="0" w:line="240" w:lineRule="auto"/>
              <w:rPr>
                <w:rFonts w:ascii="Arial" w:eastAsia="Times New Roman" w:hAnsi="Arial" w:cs="Arial"/>
                <w:color w:val="000000"/>
                <w:sz w:val="20"/>
                <w:szCs w:val="20"/>
                <w:lang w:eastAsia="es-CR"/>
              </w:rPr>
            </w:pPr>
            <w:r w:rsidRPr="00570E8C">
              <w:rPr>
                <w:rFonts w:ascii="Arial" w:eastAsia="Times New Roman" w:hAnsi="Arial" w:cs="Arial"/>
                <w:color w:val="000000"/>
                <w:sz w:val="20"/>
                <w:szCs w:val="20"/>
                <w:lang w:eastAsia="es-CR"/>
              </w:rPr>
              <w:t>Cuentas por pagar</w:t>
            </w:r>
          </w:p>
        </w:tc>
      </w:tr>
      <w:tr w:rsidR="00570E8C" w:rsidRPr="00570E8C" w14:paraId="39963C15" w14:textId="77777777" w:rsidTr="00581266">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3C3E0165"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CO_FONDOS</w:t>
            </w:r>
          </w:p>
        </w:tc>
        <w:tc>
          <w:tcPr>
            <w:tcW w:w="1479" w:type="dxa"/>
            <w:tcBorders>
              <w:top w:val="nil"/>
              <w:left w:val="nil"/>
              <w:bottom w:val="single" w:sz="4" w:space="0" w:color="auto"/>
              <w:right w:val="single" w:sz="4" w:space="0" w:color="auto"/>
            </w:tcBorders>
            <w:shd w:val="clear" w:color="auto" w:fill="auto"/>
            <w:noWrap/>
            <w:vAlign w:val="bottom"/>
            <w:hideMark/>
          </w:tcPr>
          <w:p w14:paraId="31C84141"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 xml:space="preserve">922110000000   </w:t>
            </w:r>
          </w:p>
        </w:tc>
        <w:tc>
          <w:tcPr>
            <w:tcW w:w="6871" w:type="dxa"/>
            <w:tcBorders>
              <w:top w:val="nil"/>
              <w:left w:val="nil"/>
              <w:bottom w:val="single" w:sz="4" w:space="0" w:color="auto"/>
              <w:right w:val="single" w:sz="4" w:space="0" w:color="auto"/>
            </w:tcBorders>
            <w:shd w:val="clear" w:color="auto" w:fill="auto"/>
            <w:noWrap/>
            <w:vAlign w:val="bottom"/>
            <w:hideMark/>
          </w:tcPr>
          <w:p w14:paraId="6A7C31FA" w14:textId="77777777" w:rsidR="00570E8C" w:rsidRPr="00570E8C" w:rsidRDefault="00570E8C" w:rsidP="00570E8C">
            <w:pPr>
              <w:spacing w:after="0" w:line="240" w:lineRule="auto"/>
              <w:rPr>
                <w:rFonts w:ascii="Arial" w:eastAsia="Times New Roman" w:hAnsi="Arial" w:cs="Arial"/>
                <w:color w:val="000000"/>
                <w:sz w:val="20"/>
                <w:szCs w:val="20"/>
                <w:lang w:eastAsia="es-CR"/>
              </w:rPr>
            </w:pPr>
            <w:r w:rsidRPr="00570E8C">
              <w:rPr>
                <w:rFonts w:ascii="Arial" w:eastAsia="Times New Roman" w:hAnsi="Arial" w:cs="Arial"/>
                <w:color w:val="000000"/>
                <w:sz w:val="20"/>
                <w:szCs w:val="20"/>
                <w:lang w:eastAsia="es-CR"/>
              </w:rPr>
              <w:t>Impuestos Diferidos (Diferencias temporarias imponibles)</w:t>
            </w:r>
          </w:p>
        </w:tc>
      </w:tr>
      <w:tr w:rsidR="00570E8C" w:rsidRPr="00570E8C" w14:paraId="6E87147B" w14:textId="77777777" w:rsidTr="00581266">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538BB98F"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CO_FONDOS</w:t>
            </w:r>
          </w:p>
        </w:tc>
        <w:tc>
          <w:tcPr>
            <w:tcW w:w="1479" w:type="dxa"/>
            <w:tcBorders>
              <w:top w:val="nil"/>
              <w:left w:val="nil"/>
              <w:bottom w:val="single" w:sz="4" w:space="0" w:color="auto"/>
              <w:right w:val="single" w:sz="4" w:space="0" w:color="auto"/>
            </w:tcBorders>
            <w:shd w:val="clear" w:color="auto" w:fill="auto"/>
            <w:noWrap/>
            <w:vAlign w:val="bottom"/>
            <w:hideMark/>
          </w:tcPr>
          <w:p w14:paraId="325A8B2D"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 xml:space="preserve">922120000000   </w:t>
            </w:r>
          </w:p>
        </w:tc>
        <w:tc>
          <w:tcPr>
            <w:tcW w:w="6871" w:type="dxa"/>
            <w:tcBorders>
              <w:top w:val="nil"/>
              <w:left w:val="nil"/>
              <w:bottom w:val="single" w:sz="4" w:space="0" w:color="auto"/>
              <w:right w:val="single" w:sz="4" w:space="0" w:color="auto"/>
            </w:tcBorders>
            <w:shd w:val="clear" w:color="auto" w:fill="auto"/>
            <w:noWrap/>
            <w:vAlign w:val="bottom"/>
            <w:hideMark/>
          </w:tcPr>
          <w:p w14:paraId="569A0A39" w14:textId="77777777" w:rsidR="00570E8C" w:rsidRPr="00570E8C" w:rsidRDefault="00570E8C" w:rsidP="00570E8C">
            <w:pPr>
              <w:spacing w:after="0" w:line="240" w:lineRule="auto"/>
              <w:rPr>
                <w:rFonts w:ascii="Arial" w:eastAsia="Times New Roman" w:hAnsi="Arial" w:cs="Arial"/>
                <w:color w:val="000000"/>
                <w:sz w:val="20"/>
                <w:szCs w:val="20"/>
                <w:lang w:eastAsia="es-CR"/>
              </w:rPr>
            </w:pPr>
            <w:r w:rsidRPr="00570E8C">
              <w:rPr>
                <w:rFonts w:ascii="Arial" w:eastAsia="Times New Roman" w:hAnsi="Arial" w:cs="Arial"/>
                <w:color w:val="000000"/>
                <w:sz w:val="20"/>
                <w:szCs w:val="20"/>
                <w:lang w:eastAsia="es-CR"/>
              </w:rPr>
              <w:t>Otras Cuentas por Pagar</w:t>
            </w:r>
          </w:p>
        </w:tc>
      </w:tr>
      <w:tr w:rsidR="00570E8C" w:rsidRPr="00570E8C" w14:paraId="388F75A1" w14:textId="77777777" w:rsidTr="00581266">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4F29A27A"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CO_FONDOS</w:t>
            </w:r>
          </w:p>
        </w:tc>
        <w:tc>
          <w:tcPr>
            <w:tcW w:w="1479" w:type="dxa"/>
            <w:tcBorders>
              <w:top w:val="nil"/>
              <w:left w:val="nil"/>
              <w:bottom w:val="single" w:sz="4" w:space="0" w:color="auto"/>
              <w:right w:val="single" w:sz="4" w:space="0" w:color="auto"/>
            </w:tcBorders>
            <w:shd w:val="clear" w:color="auto" w:fill="auto"/>
            <w:noWrap/>
            <w:vAlign w:val="bottom"/>
            <w:hideMark/>
          </w:tcPr>
          <w:p w14:paraId="0B4AFC76" w14:textId="77777777" w:rsidR="00570E8C" w:rsidRPr="00570E8C" w:rsidRDefault="00570E8C" w:rsidP="00570E8C">
            <w:pPr>
              <w:spacing w:after="0" w:line="240" w:lineRule="auto"/>
              <w:rPr>
                <w:rFonts w:ascii="Calibri" w:eastAsia="Times New Roman" w:hAnsi="Calibri" w:cs="Calibri"/>
                <w:b/>
                <w:bCs/>
                <w:lang w:eastAsia="es-CR"/>
              </w:rPr>
            </w:pPr>
            <w:r w:rsidRPr="00570E8C">
              <w:rPr>
                <w:rFonts w:ascii="Calibri" w:eastAsia="Times New Roman" w:hAnsi="Calibri" w:cs="Calibri"/>
                <w:b/>
                <w:bCs/>
                <w:lang w:eastAsia="es-CR"/>
              </w:rPr>
              <w:t xml:space="preserve">923000000000   </w:t>
            </w:r>
          </w:p>
        </w:tc>
        <w:tc>
          <w:tcPr>
            <w:tcW w:w="6871" w:type="dxa"/>
            <w:tcBorders>
              <w:top w:val="nil"/>
              <w:left w:val="nil"/>
              <w:bottom w:val="single" w:sz="4" w:space="0" w:color="auto"/>
              <w:right w:val="single" w:sz="4" w:space="0" w:color="auto"/>
            </w:tcBorders>
            <w:shd w:val="clear" w:color="auto" w:fill="auto"/>
            <w:noWrap/>
            <w:vAlign w:val="bottom"/>
            <w:hideMark/>
          </w:tcPr>
          <w:p w14:paraId="56C4020C" w14:textId="77777777" w:rsidR="00570E8C" w:rsidRPr="00570E8C" w:rsidRDefault="00570E8C" w:rsidP="00570E8C">
            <w:pPr>
              <w:spacing w:after="0" w:line="240" w:lineRule="auto"/>
              <w:rPr>
                <w:rFonts w:ascii="Arial" w:eastAsia="Times New Roman" w:hAnsi="Arial" w:cs="Arial"/>
                <w:b/>
                <w:bCs/>
                <w:color w:val="000000"/>
                <w:sz w:val="20"/>
                <w:szCs w:val="20"/>
                <w:lang w:eastAsia="es-CR"/>
              </w:rPr>
            </w:pPr>
            <w:r w:rsidRPr="00570E8C">
              <w:rPr>
                <w:rFonts w:ascii="Arial" w:eastAsia="Times New Roman" w:hAnsi="Arial" w:cs="Arial"/>
                <w:b/>
                <w:bCs/>
                <w:color w:val="000000"/>
                <w:sz w:val="20"/>
                <w:szCs w:val="20"/>
                <w:lang w:eastAsia="es-CR"/>
              </w:rPr>
              <w:t xml:space="preserve">Patrimonio de Valores Segregados </w:t>
            </w:r>
          </w:p>
        </w:tc>
      </w:tr>
      <w:tr w:rsidR="00570E8C" w:rsidRPr="00570E8C" w14:paraId="4CA9D8BD" w14:textId="77777777" w:rsidTr="00581266">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72A07136"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CO_FONDOS</w:t>
            </w:r>
          </w:p>
        </w:tc>
        <w:tc>
          <w:tcPr>
            <w:tcW w:w="1479" w:type="dxa"/>
            <w:tcBorders>
              <w:top w:val="nil"/>
              <w:left w:val="nil"/>
              <w:bottom w:val="single" w:sz="4" w:space="0" w:color="auto"/>
              <w:right w:val="single" w:sz="4" w:space="0" w:color="auto"/>
            </w:tcBorders>
            <w:shd w:val="clear" w:color="auto" w:fill="auto"/>
            <w:noWrap/>
            <w:vAlign w:val="bottom"/>
            <w:hideMark/>
          </w:tcPr>
          <w:p w14:paraId="102408A6"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 xml:space="preserve">923100000000   </w:t>
            </w:r>
          </w:p>
        </w:tc>
        <w:tc>
          <w:tcPr>
            <w:tcW w:w="6871" w:type="dxa"/>
            <w:tcBorders>
              <w:top w:val="nil"/>
              <w:left w:val="nil"/>
              <w:bottom w:val="single" w:sz="4" w:space="0" w:color="auto"/>
              <w:right w:val="single" w:sz="4" w:space="0" w:color="auto"/>
            </w:tcBorders>
            <w:shd w:val="clear" w:color="auto" w:fill="auto"/>
            <w:noWrap/>
            <w:vAlign w:val="bottom"/>
            <w:hideMark/>
          </w:tcPr>
          <w:p w14:paraId="516C8EA9" w14:textId="77777777" w:rsidR="00570E8C" w:rsidRPr="00570E8C" w:rsidRDefault="00570E8C" w:rsidP="00570E8C">
            <w:pPr>
              <w:spacing w:after="0" w:line="240" w:lineRule="auto"/>
              <w:rPr>
                <w:rFonts w:ascii="Arial" w:eastAsia="Times New Roman" w:hAnsi="Arial" w:cs="Arial"/>
                <w:color w:val="000000"/>
                <w:sz w:val="20"/>
                <w:szCs w:val="20"/>
                <w:lang w:eastAsia="es-CR"/>
              </w:rPr>
            </w:pPr>
            <w:r w:rsidRPr="00570E8C">
              <w:rPr>
                <w:rFonts w:ascii="Arial" w:eastAsia="Times New Roman" w:hAnsi="Arial" w:cs="Arial"/>
                <w:color w:val="000000"/>
                <w:sz w:val="20"/>
                <w:szCs w:val="20"/>
                <w:lang w:eastAsia="es-CR"/>
              </w:rPr>
              <w:t>Participaciones</w:t>
            </w:r>
          </w:p>
        </w:tc>
      </w:tr>
      <w:tr w:rsidR="00570E8C" w:rsidRPr="00570E8C" w14:paraId="184B4996" w14:textId="77777777" w:rsidTr="00581266">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tcPr>
          <w:p w14:paraId="2AECA15B"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CO_FONDOS</w:t>
            </w:r>
          </w:p>
        </w:tc>
        <w:tc>
          <w:tcPr>
            <w:tcW w:w="1479" w:type="dxa"/>
            <w:tcBorders>
              <w:top w:val="nil"/>
              <w:left w:val="nil"/>
              <w:bottom w:val="single" w:sz="4" w:space="0" w:color="auto"/>
              <w:right w:val="single" w:sz="4" w:space="0" w:color="auto"/>
            </w:tcBorders>
            <w:shd w:val="clear" w:color="auto" w:fill="auto"/>
            <w:noWrap/>
            <w:vAlign w:val="bottom"/>
          </w:tcPr>
          <w:p w14:paraId="52F6D99A"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 xml:space="preserve">923200000000   </w:t>
            </w:r>
          </w:p>
        </w:tc>
        <w:tc>
          <w:tcPr>
            <w:tcW w:w="6871" w:type="dxa"/>
            <w:tcBorders>
              <w:top w:val="nil"/>
              <w:left w:val="nil"/>
              <w:bottom w:val="single" w:sz="4" w:space="0" w:color="auto"/>
              <w:right w:val="single" w:sz="4" w:space="0" w:color="auto"/>
            </w:tcBorders>
            <w:shd w:val="clear" w:color="auto" w:fill="auto"/>
            <w:noWrap/>
            <w:vAlign w:val="bottom"/>
          </w:tcPr>
          <w:p w14:paraId="6306D5F7" w14:textId="77777777" w:rsidR="00570E8C" w:rsidRPr="00570E8C" w:rsidRDefault="00570E8C" w:rsidP="00570E8C">
            <w:pPr>
              <w:spacing w:after="0" w:line="240" w:lineRule="auto"/>
              <w:rPr>
                <w:rFonts w:ascii="Arial" w:eastAsia="Times New Roman" w:hAnsi="Arial" w:cs="Arial"/>
                <w:color w:val="000000"/>
                <w:sz w:val="20"/>
                <w:szCs w:val="20"/>
                <w:lang w:eastAsia="es-CR"/>
              </w:rPr>
            </w:pPr>
            <w:r w:rsidRPr="00570E8C">
              <w:rPr>
                <w:rFonts w:ascii="Arial" w:eastAsia="Times New Roman" w:hAnsi="Arial" w:cs="Arial"/>
                <w:color w:val="000000"/>
                <w:sz w:val="20"/>
                <w:szCs w:val="20"/>
                <w:lang w:eastAsia="es-CR"/>
              </w:rPr>
              <w:t>Capital Pagado en Exceso</w:t>
            </w:r>
          </w:p>
        </w:tc>
      </w:tr>
      <w:tr w:rsidR="00570E8C" w:rsidRPr="00570E8C" w14:paraId="558ACD22" w14:textId="77777777" w:rsidTr="00581266">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1B52C5B4"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CO_FONDOS</w:t>
            </w:r>
          </w:p>
        </w:tc>
        <w:tc>
          <w:tcPr>
            <w:tcW w:w="1479" w:type="dxa"/>
            <w:tcBorders>
              <w:top w:val="nil"/>
              <w:left w:val="nil"/>
              <w:bottom w:val="single" w:sz="4" w:space="0" w:color="auto"/>
              <w:right w:val="single" w:sz="4" w:space="0" w:color="auto"/>
            </w:tcBorders>
            <w:shd w:val="clear" w:color="auto" w:fill="auto"/>
            <w:noWrap/>
            <w:vAlign w:val="bottom"/>
            <w:hideMark/>
          </w:tcPr>
          <w:p w14:paraId="5177456F"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 xml:space="preserve">923300000000   </w:t>
            </w:r>
          </w:p>
        </w:tc>
        <w:tc>
          <w:tcPr>
            <w:tcW w:w="6871" w:type="dxa"/>
            <w:tcBorders>
              <w:top w:val="nil"/>
              <w:left w:val="nil"/>
              <w:bottom w:val="single" w:sz="4" w:space="0" w:color="auto"/>
              <w:right w:val="single" w:sz="4" w:space="0" w:color="auto"/>
            </w:tcBorders>
            <w:shd w:val="clear" w:color="auto" w:fill="auto"/>
            <w:noWrap/>
            <w:vAlign w:val="bottom"/>
            <w:hideMark/>
          </w:tcPr>
          <w:p w14:paraId="67AF9242" w14:textId="77777777" w:rsidR="00570E8C" w:rsidRPr="00570E8C" w:rsidRDefault="00570E8C" w:rsidP="00570E8C">
            <w:pPr>
              <w:spacing w:after="0" w:line="240" w:lineRule="auto"/>
              <w:rPr>
                <w:rFonts w:ascii="Arial" w:eastAsia="Times New Roman" w:hAnsi="Arial" w:cs="Arial"/>
                <w:color w:val="000000"/>
                <w:sz w:val="20"/>
                <w:szCs w:val="20"/>
                <w:lang w:eastAsia="es-CR"/>
              </w:rPr>
            </w:pPr>
            <w:r w:rsidRPr="00570E8C">
              <w:rPr>
                <w:rFonts w:ascii="Arial" w:eastAsia="Times New Roman" w:hAnsi="Arial" w:cs="Arial"/>
                <w:color w:val="000000"/>
                <w:sz w:val="20"/>
                <w:szCs w:val="20"/>
                <w:lang w:eastAsia="es-CR"/>
              </w:rPr>
              <w:t>Ajustes por deterioro y valuación de inversiones con cambios en otro resultado integral</w:t>
            </w:r>
          </w:p>
        </w:tc>
      </w:tr>
      <w:tr w:rsidR="00570E8C" w:rsidRPr="00570E8C" w14:paraId="1E424287" w14:textId="77777777" w:rsidTr="00581266">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48EC856A"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CO_FONDOS</w:t>
            </w:r>
          </w:p>
        </w:tc>
        <w:tc>
          <w:tcPr>
            <w:tcW w:w="1479" w:type="dxa"/>
            <w:tcBorders>
              <w:top w:val="nil"/>
              <w:left w:val="nil"/>
              <w:bottom w:val="single" w:sz="4" w:space="0" w:color="auto"/>
              <w:right w:val="single" w:sz="4" w:space="0" w:color="auto"/>
            </w:tcBorders>
            <w:shd w:val="clear" w:color="auto" w:fill="auto"/>
            <w:noWrap/>
            <w:vAlign w:val="bottom"/>
            <w:hideMark/>
          </w:tcPr>
          <w:p w14:paraId="34C71B36"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 xml:space="preserve">923310000000   </w:t>
            </w:r>
          </w:p>
        </w:tc>
        <w:tc>
          <w:tcPr>
            <w:tcW w:w="6871" w:type="dxa"/>
            <w:tcBorders>
              <w:top w:val="nil"/>
              <w:left w:val="nil"/>
              <w:bottom w:val="single" w:sz="4" w:space="0" w:color="auto"/>
              <w:right w:val="single" w:sz="4" w:space="0" w:color="auto"/>
            </w:tcBorders>
            <w:shd w:val="clear" w:color="auto" w:fill="auto"/>
            <w:noWrap/>
            <w:vAlign w:val="bottom"/>
            <w:hideMark/>
          </w:tcPr>
          <w:p w14:paraId="556BA914" w14:textId="77777777" w:rsidR="00570E8C" w:rsidRPr="00570E8C" w:rsidRDefault="00570E8C" w:rsidP="00570E8C">
            <w:pPr>
              <w:spacing w:after="0" w:line="240" w:lineRule="auto"/>
              <w:rPr>
                <w:rFonts w:ascii="Arial" w:eastAsia="Times New Roman" w:hAnsi="Arial" w:cs="Arial"/>
                <w:color w:val="000000"/>
                <w:sz w:val="20"/>
                <w:szCs w:val="20"/>
                <w:lang w:eastAsia="es-CR"/>
              </w:rPr>
            </w:pPr>
            <w:r w:rsidRPr="00570E8C">
              <w:rPr>
                <w:rFonts w:ascii="Arial" w:eastAsia="Times New Roman" w:hAnsi="Arial" w:cs="Arial"/>
                <w:color w:val="000000"/>
                <w:sz w:val="20"/>
                <w:szCs w:val="20"/>
                <w:lang w:eastAsia="es-CR"/>
              </w:rPr>
              <w:t>Ajustes por valuación de inversiones con cambios en otro resultado integral</w:t>
            </w:r>
          </w:p>
        </w:tc>
      </w:tr>
      <w:tr w:rsidR="00570E8C" w:rsidRPr="00570E8C" w14:paraId="5B578283" w14:textId="77777777" w:rsidTr="00581266">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6EFEFBD9"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CO_FONDOS</w:t>
            </w:r>
          </w:p>
        </w:tc>
        <w:tc>
          <w:tcPr>
            <w:tcW w:w="1479" w:type="dxa"/>
            <w:tcBorders>
              <w:top w:val="nil"/>
              <w:left w:val="nil"/>
              <w:bottom w:val="single" w:sz="4" w:space="0" w:color="auto"/>
              <w:right w:val="single" w:sz="4" w:space="0" w:color="auto"/>
            </w:tcBorders>
            <w:shd w:val="clear" w:color="auto" w:fill="auto"/>
            <w:noWrap/>
            <w:vAlign w:val="bottom"/>
            <w:hideMark/>
          </w:tcPr>
          <w:p w14:paraId="4710A69F"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 xml:space="preserve">923320000000   </w:t>
            </w:r>
          </w:p>
        </w:tc>
        <w:tc>
          <w:tcPr>
            <w:tcW w:w="6871" w:type="dxa"/>
            <w:tcBorders>
              <w:top w:val="nil"/>
              <w:left w:val="nil"/>
              <w:bottom w:val="single" w:sz="4" w:space="0" w:color="auto"/>
              <w:right w:val="single" w:sz="4" w:space="0" w:color="auto"/>
            </w:tcBorders>
            <w:shd w:val="clear" w:color="auto" w:fill="auto"/>
            <w:noWrap/>
            <w:vAlign w:val="bottom"/>
            <w:hideMark/>
          </w:tcPr>
          <w:p w14:paraId="64D50617" w14:textId="77777777" w:rsidR="00570E8C" w:rsidRPr="00570E8C" w:rsidRDefault="00570E8C" w:rsidP="00570E8C">
            <w:pPr>
              <w:spacing w:after="0" w:line="240" w:lineRule="auto"/>
              <w:rPr>
                <w:rFonts w:ascii="Arial" w:eastAsia="Times New Roman" w:hAnsi="Arial" w:cs="Arial"/>
                <w:color w:val="000000"/>
                <w:sz w:val="20"/>
                <w:szCs w:val="20"/>
                <w:lang w:eastAsia="es-CR"/>
              </w:rPr>
            </w:pPr>
            <w:r w:rsidRPr="00570E8C">
              <w:rPr>
                <w:rFonts w:ascii="Arial" w:eastAsia="Times New Roman" w:hAnsi="Arial" w:cs="Arial"/>
                <w:color w:val="000000"/>
                <w:sz w:val="20"/>
                <w:szCs w:val="20"/>
                <w:lang w:eastAsia="es-CR"/>
              </w:rPr>
              <w:t>Ajustes por deterioro de inversiones con cambios en otro resultado integral</w:t>
            </w:r>
          </w:p>
        </w:tc>
      </w:tr>
      <w:tr w:rsidR="00570E8C" w:rsidRPr="00570E8C" w14:paraId="53E6917A" w14:textId="77777777" w:rsidTr="00581266">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4736B37B"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CO_FONDOS</w:t>
            </w:r>
          </w:p>
        </w:tc>
        <w:tc>
          <w:tcPr>
            <w:tcW w:w="1479" w:type="dxa"/>
            <w:tcBorders>
              <w:top w:val="nil"/>
              <w:left w:val="nil"/>
              <w:bottom w:val="single" w:sz="4" w:space="0" w:color="auto"/>
              <w:right w:val="single" w:sz="4" w:space="0" w:color="auto"/>
            </w:tcBorders>
            <w:shd w:val="clear" w:color="auto" w:fill="auto"/>
            <w:noWrap/>
            <w:vAlign w:val="bottom"/>
            <w:hideMark/>
          </w:tcPr>
          <w:p w14:paraId="189051FF" w14:textId="77777777" w:rsidR="00570E8C" w:rsidRPr="00570E8C" w:rsidRDefault="00570E8C" w:rsidP="00570E8C">
            <w:pPr>
              <w:spacing w:after="0" w:line="240" w:lineRule="auto"/>
              <w:jc w:val="right"/>
              <w:rPr>
                <w:rFonts w:ascii="Calibri" w:eastAsia="Times New Roman" w:hAnsi="Calibri" w:cs="Calibri"/>
                <w:lang w:eastAsia="es-CR"/>
              </w:rPr>
            </w:pPr>
            <w:r w:rsidRPr="00570E8C">
              <w:rPr>
                <w:rFonts w:ascii="Calibri" w:eastAsia="Times New Roman" w:hAnsi="Calibri" w:cs="Calibri"/>
                <w:lang w:eastAsia="es-CR"/>
              </w:rPr>
              <w:t>924000000000</w:t>
            </w:r>
          </w:p>
        </w:tc>
        <w:tc>
          <w:tcPr>
            <w:tcW w:w="6871" w:type="dxa"/>
            <w:tcBorders>
              <w:top w:val="nil"/>
              <w:left w:val="nil"/>
              <w:bottom w:val="single" w:sz="4" w:space="0" w:color="auto"/>
              <w:right w:val="single" w:sz="4" w:space="0" w:color="auto"/>
            </w:tcBorders>
            <w:shd w:val="clear" w:color="auto" w:fill="auto"/>
            <w:noWrap/>
            <w:vAlign w:val="bottom"/>
            <w:hideMark/>
          </w:tcPr>
          <w:p w14:paraId="73A67515" w14:textId="77777777" w:rsidR="00570E8C" w:rsidRPr="00570E8C" w:rsidRDefault="00570E8C" w:rsidP="00570E8C">
            <w:pPr>
              <w:spacing w:after="0" w:line="240" w:lineRule="auto"/>
              <w:rPr>
                <w:rFonts w:ascii="Arial" w:eastAsia="Times New Roman" w:hAnsi="Arial" w:cs="Arial"/>
                <w:b/>
                <w:bCs/>
                <w:sz w:val="20"/>
                <w:szCs w:val="20"/>
                <w:lang w:eastAsia="es-CR"/>
              </w:rPr>
            </w:pPr>
            <w:r w:rsidRPr="00570E8C">
              <w:rPr>
                <w:rFonts w:ascii="Arial" w:eastAsia="Times New Roman" w:hAnsi="Arial" w:cs="Arial"/>
                <w:b/>
                <w:bCs/>
                <w:sz w:val="20"/>
                <w:szCs w:val="20"/>
                <w:lang w:eastAsia="es-CR"/>
              </w:rPr>
              <w:t>Gastos por Activos Segregados</w:t>
            </w:r>
          </w:p>
        </w:tc>
      </w:tr>
      <w:tr w:rsidR="00570E8C" w:rsidRPr="00570E8C" w14:paraId="4F6B11D5" w14:textId="77777777" w:rsidTr="00581266">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4F67D00F"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CO_FONDOS</w:t>
            </w:r>
          </w:p>
        </w:tc>
        <w:tc>
          <w:tcPr>
            <w:tcW w:w="1479" w:type="dxa"/>
            <w:tcBorders>
              <w:top w:val="nil"/>
              <w:left w:val="nil"/>
              <w:bottom w:val="single" w:sz="4" w:space="0" w:color="auto"/>
              <w:right w:val="single" w:sz="4" w:space="0" w:color="auto"/>
            </w:tcBorders>
            <w:shd w:val="clear" w:color="auto" w:fill="auto"/>
            <w:noWrap/>
            <w:vAlign w:val="bottom"/>
            <w:hideMark/>
          </w:tcPr>
          <w:p w14:paraId="5CA5A803" w14:textId="77777777" w:rsidR="00570E8C" w:rsidRPr="00570E8C" w:rsidRDefault="00570E8C" w:rsidP="00570E8C">
            <w:pPr>
              <w:spacing w:after="0" w:line="240" w:lineRule="auto"/>
              <w:jc w:val="right"/>
              <w:rPr>
                <w:rFonts w:ascii="Calibri" w:eastAsia="Times New Roman" w:hAnsi="Calibri" w:cs="Calibri"/>
                <w:lang w:eastAsia="es-CR"/>
              </w:rPr>
            </w:pPr>
            <w:r w:rsidRPr="00570E8C">
              <w:rPr>
                <w:rFonts w:ascii="Calibri" w:eastAsia="Times New Roman" w:hAnsi="Calibri" w:cs="Calibri"/>
                <w:lang w:eastAsia="es-CR"/>
              </w:rPr>
              <w:t>924100000000</w:t>
            </w:r>
          </w:p>
        </w:tc>
        <w:tc>
          <w:tcPr>
            <w:tcW w:w="6871" w:type="dxa"/>
            <w:tcBorders>
              <w:top w:val="nil"/>
              <w:left w:val="nil"/>
              <w:bottom w:val="single" w:sz="4" w:space="0" w:color="auto"/>
              <w:right w:val="single" w:sz="4" w:space="0" w:color="auto"/>
            </w:tcBorders>
            <w:shd w:val="clear" w:color="auto" w:fill="auto"/>
            <w:noWrap/>
            <w:vAlign w:val="bottom"/>
            <w:hideMark/>
          </w:tcPr>
          <w:p w14:paraId="5A2B6FC0" w14:textId="77777777" w:rsidR="00570E8C" w:rsidRPr="00570E8C" w:rsidRDefault="00570E8C" w:rsidP="00570E8C">
            <w:pPr>
              <w:spacing w:after="0" w:line="240" w:lineRule="auto"/>
              <w:rPr>
                <w:rFonts w:ascii="Arial" w:eastAsia="Times New Roman" w:hAnsi="Arial" w:cs="Arial"/>
                <w:color w:val="000000"/>
                <w:sz w:val="20"/>
                <w:szCs w:val="20"/>
                <w:lang w:eastAsia="es-CR"/>
              </w:rPr>
            </w:pPr>
            <w:r w:rsidRPr="00570E8C">
              <w:rPr>
                <w:rFonts w:ascii="Arial" w:eastAsia="Times New Roman" w:hAnsi="Arial" w:cs="Arial"/>
                <w:color w:val="000000"/>
                <w:sz w:val="20"/>
                <w:szCs w:val="20"/>
                <w:lang w:eastAsia="es-CR"/>
              </w:rPr>
              <w:t>Variación estimada por incobrables y deterioro de instrumentos y partidas de activos</w:t>
            </w:r>
          </w:p>
        </w:tc>
      </w:tr>
      <w:tr w:rsidR="00570E8C" w:rsidRPr="00570E8C" w14:paraId="109DEDD9" w14:textId="77777777" w:rsidTr="00581266">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59980699"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CO_FONDOS</w:t>
            </w:r>
          </w:p>
        </w:tc>
        <w:tc>
          <w:tcPr>
            <w:tcW w:w="1479" w:type="dxa"/>
            <w:tcBorders>
              <w:top w:val="nil"/>
              <w:left w:val="nil"/>
              <w:bottom w:val="single" w:sz="4" w:space="0" w:color="auto"/>
              <w:right w:val="single" w:sz="4" w:space="0" w:color="auto"/>
            </w:tcBorders>
            <w:shd w:val="clear" w:color="auto" w:fill="auto"/>
            <w:noWrap/>
            <w:vAlign w:val="bottom"/>
            <w:hideMark/>
          </w:tcPr>
          <w:p w14:paraId="3841FCD7" w14:textId="77777777" w:rsidR="00570E8C" w:rsidRPr="00570E8C" w:rsidRDefault="00570E8C" w:rsidP="00570E8C">
            <w:pPr>
              <w:spacing w:after="0" w:line="240" w:lineRule="auto"/>
              <w:jc w:val="right"/>
              <w:rPr>
                <w:rFonts w:ascii="Calibri" w:eastAsia="Times New Roman" w:hAnsi="Calibri" w:cs="Calibri"/>
                <w:lang w:eastAsia="es-CR"/>
              </w:rPr>
            </w:pPr>
            <w:r w:rsidRPr="00570E8C">
              <w:rPr>
                <w:rFonts w:ascii="Calibri" w:eastAsia="Times New Roman" w:hAnsi="Calibri" w:cs="Calibri"/>
                <w:lang w:eastAsia="es-CR"/>
              </w:rPr>
              <w:t>924110000000</w:t>
            </w:r>
          </w:p>
        </w:tc>
        <w:tc>
          <w:tcPr>
            <w:tcW w:w="6871" w:type="dxa"/>
            <w:tcBorders>
              <w:top w:val="nil"/>
              <w:left w:val="nil"/>
              <w:bottom w:val="single" w:sz="4" w:space="0" w:color="auto"/>
              <w:right w:val="single" w:sz="4" w:space="0" w:color="auto"/>
            </w:tcBorders>
            <w:shd w:val="clear" w:color="auto" w:fill="auto"/>
            <w:noWrap/>
            <w:vAlign w:val="bottom"/>
            <w:hideMark/>
          </w:tcPr>
          <w:p w14:paraId="568D951A" w14:textId="77777777" w:rsidR="00570E8C" w:rsidRPr="00570E8C" w:rsidRDefault="00570E8C" w:rsidP="00570E8C">
            <w:pPr>
              <w:spacing w:after="0" w:line="240" w:lineRule="auto"/>
              <w:rPr>
                <w:rFonts w:ascii="Arial" w:eastAsia="Times New Roman" w:hAnsi="Arial" w:cs="Arial"/>
                <w:color w:val="000000"/>
                <w:sz w:val="20"/>
                <w:szCs w:val="20"/>
                <w:lang w:eastAsia="es-CR"/>
              </w:rPr>
            </w:pPr>
            <w:r w:rsidRPr="00570E8C">
              <w:rPr>
                <w:rFonts w:ascii="Arial" w:eastAsia="Times New Roman" w:hAnsi="Arial" w:cs="Arial"/>
                <w:color w:val="000000"/>
                <w:sz w:val="20"/>
                <w:szCs w:val="20"/>
                <w:lang w:eastAsia="es-CR"/>
              </w:rPr>
              <w:t>Gastos por estimación de incobrables y deterioro de activos</w:t>
            </w:r>
          </w:p>
        </w:tc>
      </w:tr>
      <w:tr w:rsidR="00570E8C" w:rsidRPr="00570E8C" w14:paraId="6BCE0F15" w14:textId="77777777" w:rsidTr="00581266">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15BA6AC9"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CO_FONDOS</w:t>
            </w:r>
          </w:p>
        </w:tc>
        <w:tc>
          <w:tcPr>
            <w:tcW w:w="1479" w:type="dxa"/>
            <w:tcBorders>
              <w:top w:val="nil"/>
              <w:left w:val="nil"/>
              <w:bottom w:val="single" w:sz="4" w:space="0" w:color="auto"/>
              <w:right w:val="single" w:sz="4" w:space="0" w:color="auto"/>
            </w:tcBorders>
            <w:shd w:val="clear" w:color="auto" w:fill="auto"/>
            <w:noWrap/>
            <w:vAlign w:val="bottom"/>
            <w:hideMark/>
          </w:tcPr>
          <w:p w14:paraId="2B9F6967" w14:textId="77777777" w:rsidR="00570E8C" w:rsidRPr="00570E8C" w:rsidRDefault="00570E8C" w:rsidP="00570E8C">
            <w:pPr>
              <w:spacing w:after="0" w:line="240" w:lineRule="auto"/>
              <w:jc w:val="right"/>
              <w:rPr>
                <w:rFonts w:ascii="Calibri" w:eastAsia="Times New Roman" w:hAnsi="Calibri" w:cs="Calibri"/>
                <w:lang w:eastAsia="es-CR"/>
              </w:rPr>
            </w:pPr>
            <w:r w:rsidRPr="00570E8C">
              <w:rPr>
                <w:rFonts w:ascii="Calibri" w:eastAsia="Times New Roman" w:hAnsi="Calibri" w:cs="Calibri"/>
                <w:lang w:eastAsia="es-CR"/>
              </w:rPr>
              <w:t>924120000000</w:t>
            </w:r>
          </w:p>
        </w:tc>
        <w:tc>
          <w:tcPr>
            <w:tcW w:w="6871" w:type="dxa"/>
            <w:tcBorders>
              <w:top w:val="nil"/>
              <w:left w:val="nil"/>
              <w:bottom w:val="single" w:sz="4" w:space="0" w:color="auto"/>
              <w:right w:val="single" w:sz="4" w:space="0" w:color="auto"/>
            </w:tcBorders>
            <w:shd w:val="clear" w:color="auto" w:fill="auto"/>
            <w:noWrap/>
            <w:vAlign w:val="bottom"/>
            <w:hideMark/>
          </w:tcPr>
          <w:p w14:paraId="1D9B59BB" w14:textId="77777777" w:rsidR="00570E8C" w:rsidRPr="00570E8C" w:rsidRDefault="00570E8C" w:rsidP="00570E8C">
            <w:pPr>
              <w:spacing w:after="0" w:line="240" w:lineRule="auto"/>
              <w:rPr>
                <w:rFonts w:ascii="Arial" w:eastAsia="Times New Roman" w:hAnsi="Arial" w:cs="Arial"/>
                <w:color w:val="000000"/>
                <w:sz w:val="20"/>
                <w:szCs w:val="20"/>
                <w:lang w:eastAsia="es-CR"/>
              </w:rPr>
            </w:pPr>
            <w:r w:rsidRPr="00570E8C">
              <w:rPr>
                <w:rFonts w:ascii="Arial" w:eastAsia="Times New Roman" w:hAnsi="Arial" w:cs="Arial"/>
                <w:color w:val="000000"/>
                <w:sz w:val="20"/>
                <w:szCs w:val="20"/>
                <w:lang w:eastAsia="es-CR"/>
              </w:rPr>
              <w:t>(Exceso de estimación por incobrables y deterioro de activos)</w:t>
            </w:r>
          </w:p>
        </w:tc>
      </w:tr>
      <w:tr w:rsidR="00570E8C" w:rsidRPr="00570E8C" w14:paraId="0EE84DA3" w14:textId="77777777" w:rsidTr="00581266">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5B2582A7"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CO_FONDOS</w:t>
            </w:r>
          </w:p>
        </w:tc>
        <w:tc>
          <w:tcPr>
            <w:tcW w:w="1479" w:type="dxa"/>
            <w:tcBorders>
              <w:top w:val="nil"/>
              <w:left w:val="nil"/>
              <w:bottom w:val="single" w:sz="4" w:space="0" w:color="auto"/>
              <w:right w:val="single" w:sz="4" w:space="0" w:color="auto"/>
            </w:tcBorders>
            <w:shd w:val="clear" w:color="auto" w:fill="auto"/>
            <w:noWrap/>
            <w:vAlign w:val="bottom"/>
            <w:hideMark/>
          </w:tcPr>
          <w:p w14:paraId="49121B68" w14:textId="77777777" w:rsidR="00570E8C" w:rsidRPr="00570E8C" w:rsidRDefault="00570E8C" w:rsidP="00570E8C">
            <w:pPr>
              <w:spacing w:after="0" w:line="240" w:lineRule="auto"/>
              <w:jc w:val="right"/>
              <w:rPr>
                <w:rFonts w:ascii="Calibri" w:eastAsia="Times New Roman" w:hAnsi="Calibri" w:cs="Calibri"/>
                <w:lang w:eastAsia="es-CR"/>
              </w:rPr>
            </w:pPr>
            <w:r w:rsidRPr="00570E8C">
              <w:rPr>
                <w:rFonts w:ascii="Calibri" w:eastAsia="Times New Roman" w:hAnsi="Calibri" w:cs="Calibri"/>
                <w:lang w:eastAsia="es-CR"/>
              </w:rPr>
              <w:t>924200000000</w:t>
            </w:r>
          </w:p>
        </w:tc>
        <w:tc>
          <w:tcPr>
            <w:tcW w:w="6871" w:type="dxa"/>
            <w:tcBorders>
              <w:top w:val="nil"/>
              <w:left w:val="nil"/>
              <w:bottom w:val="single" w:sz="4" w:space="0" w:color="auto"/>
              <w:right w:val="single" w:sz="4" w:space="0" w:color="auto"/>
            </w:tcBorders>
            <w:shd w:val="clear" w:color="auto" w:fill="auto"/>
            <w:noWrap/>
            <w:vAlign w:val="bottom"/>
            <w:hideMark/>
          </w:tcPr>
          <w:p w14:paraId="56B23D58" w14:textId="77777777" w:rsidR="00570E8C" w:rsidRPr="00570E8C" w:rsidRDefault="00570E8C" w:rsidP="00570E8C">
            <w:pPr>
              <w:spacing w:after="0" w:line="240" w:lineRule="auto"/>
              <w:rPr>
                <w:rFonts w:ascii="Arial" w:eastAsia="Times New Roman" w:hAnsi="Arial" w:cs="Arial"/>
                <w:color w:val="000000"/>
                <w:sz w:val="20"/>
                <w:szCs w:val="20"/>
                <w:lang w:eastAsia="es-CR"/>
              </w:rPr>
            </w:pPr>
            <w:r w:rsidRPr="00570E8C">
              <w:rPr>
                <w:rFonts w:ascii="Arial" w:eastAsia="Times New Roman" w:hAnsi="Arial" w:cs="Arial"/>
                <w:color w:val="000000"/>
                <w:sz w:val="20"/>
                <w:szCs w:val="20"/>
                <w:lang w:eastAsia="es-CR"/>
              </w:rPr>
              <w:t>Gastos operativos</w:t>
            </w:r>
          </w:p>
        </w:tc>
      </w:tr>
      <w:tr w:rsidR="00570E8C" w:rsidRPr="00570E8C" w14:paraId="26A44C4C" w14:textId="77777777" w:rsidTr="00581266">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00F71294"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CO_FONDOS</w:t>
            </w:r>
          </w:p>
        </w:tc>
        <w:tc>
          <w:tcPr>
            <w:tcW w:w="1479" w:type="dxa"/>
            <w:tcBorders>
              <w:top w:val="nil"/>
              <w:left w:val="nil"/>
              <w:bottom w:val="single" w:sz="4" w:space="0" w:color="auto"/>
              <w:right w:val="single" w:sz="4" w:space="0" w:color="auto"/>
            </w:tcBorders>
            <w:shd w:val="clear" w:color="auto" w:fill="auto"/>
            <w:noWrap/>
            <w:vAlign w:val="bottom"/>
            <w:hideMark/>
          </w:tcPr>
          <w:p w14:paraId="21905943" w14:textId="77777777" w:rsidR="00570E8C" w:rsidRPr="00570E8C" w:rsidRDefault="00570E8C" w:rsidP="00570E8C">
            <w:pPr>
              <w:spacing w:after="0" w:line="240" w:lineRule="auto"/>
              <w:jc w:val="right"/>
              <w:rPr>
                <w:rFonts w:ascii="Calibri" w:eastAsia="Times New Roman" w:hAnsi="Calibri" w:cs="Calibri"/>
                <w:lang w:eastAsia="es-CR"/>
              </w:rPr>
            </w:pPr>
            <w:r w:rsidRPr="00570E8C">
              <w:rPr>
                <w:rFonts w:ascii="Calibri" w:eastAsia="Times New Roman" w:hAnsi="Calibri" w:cs="Calibri"/>
                <w:lang w:eastAsia="es-CR"/>
              </w:rPr>
              <w:t>924220000000</w:t>
            </w:r>
          </w:p>
        </w:tc>
        <w:tc>
          <w:tcPr>
            <w:tcW w:w="6871" w:type="dxa"/>
            <w:tcBorders>
              <w:top w:val="nil"/>
              <w:left w:val="nil"/>
              <w:bottom w:val="single" w:sz="4" w:space="0" w:color="auto"/>
              <w:right w:val="single" w:sz="4" w:space="0" w:color="auto"/>
            </w:tcBorders>
            <w:shd w:val="clear" w:color="auto" w:fill="auto"/>
            <w:noWrap/>
            <w:vAlign w:val="bottom"/>
            <w:hideMark/>
          </w:tcPr>
          <w:p w14:paraId="39BD1A3C" w14:textId="77777777" w:rsidR="00570E8C" w:rsidRPr="00570E8C" w:rsidRDefault="00570E8C" w:rsidP="00570E8C">
            <w:pPr>
              <w:spacing w:after="0" w:line="240" w:lineRule="auto"/>
              <w:rPr>
                <w:rFonts w:ascii="Arial" w:eastAsia="Times New Roman" w:hAnsi="Arial" w:cs="Arial"/>
                <w:color w:val="000000"/>
                <w:sz w:val="20"/>
                <w:szCs w:val="20"/>
                <w:lang w:eastAsia="es-CR"/>
              </w:rPr>
            </w:pPr>
            <w:r w:rsidRPr="00570E8C">
              <w:rPr>
                <w:rFonts w:ascii="Arial" w:eastAsia="Times New Roman" w:hAnsi="Arial" w:cs="Arial"/>
                <w:color w:val="000000"/>
                <w:sz w:val="20"/>
                <w:szCs w:val="20"/>
                <w:lang w:eastAsia="es-CR"/>
              </w:rPr>
              <w:t>Impuestos locales</w:t>
            </w:r>
          </w:p>
        </w:tc>
      </w:tr>
      <w:tr w:rsidR="00570E8C" w:rsidRPr="00570E8C" w14:paraId="40E90779" w14:textId="77777777" w:rsidTr="00581266">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080FCF56"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CO_FONDOS</w:t>
            </w:r>
          </w:p>
        </w:tc>
        <w:tc>
          <w:tcPr>
            <w:tcW w:w="1479" w:type="dxa"/>
            <w:tcBorders>
              <w:top w:val="nil"/>
              <w:left w:val="nil"/>
              <w:bottom w:val="single" w:sz="4" w:space="0" w:color="auto"/>
              <w:right w:val="single" w:sz="4" w:space="0" w:color="auto"/>
            </w:tcBorders>
            <w:shd w:val="clear" w:color="auto" w:fill="auto"/>
            <w:noWrap/>
            <w:vAlign w:val="bottom"/>
            <w:hideMark/>
          </w:tcPr>
          <w:p w14:paraId="6191D3E8" w14:textId="77777777" w:rsidR="00570E8C" w:rsidRPr="00570E8C" w:rsidRDefault="00570E8C" w:rsidP="00570E8C">
            <w:pPr>
              <w:spacing w:after="0" w:line="240" w:lineRule="auto"/>
              <w:jc w:val="right"/>
              <w:rPr>
                <w:rFonts w:ascii="Calibri" w:eastAsia="Times New Roman" w:hAnsi="Calibri" w:cs="Calibri"/>
                <w:lang w:eastAsia="es-CR"/>
              </w:rPr>
            </w:pPr>
            <w:r w:rsidRPr="00570E8C">
              <w:rPr>
                <w:rFonts w:ascii="Calibri" w:eastAsia="Times New Roman" w:hAnsi="Calibri" w:cs="Calibri"/>
                <w:lang w:eastAsia="es-CR"/>
              </w:rPr>
              <w:t>924230000000</w:t>
            </w:r>
          </w:p>
        </w:tc>
        <w:tc>
          <w:tcPr>
            <w:tcW w:w="6871" w:type="dxa"/>
            <w:tcBorders>
              <w:top w:val="nil"/>
              <w:left w:val="nil"/>
              <w:bottom w:val="single" w:sz="4" w:space="0" w:color="auto"/>
              <w:right w:val="single" w:sz="4" w:space="0" w:color="auto"/>
            </w:tcBorders>
            <w:shd w:val="clear" w:color="auto" w:fill="auto"/>
            <w:noWrap/>
            <w:vAlign w:val="bottom"/>
            <w:hideMark/>
          </w:tcPr>
          <w:p w14:paraId="327B57EE" w14:textId="77777777" w:rsidR="00570E8C" w:rsidRPr="00570E8C" w:rsidRDefault="00570E8C" w:rsidP="00570E8C">
            <w:pPr>
              <w:spacing w:after="0" w:line="240" w:lineRule="auto"/>
              <w:rPr>
                <w:rFonts w:ascii="Arial" w:eastAsia="Times New Roman" w:hAnsi="Arial" w:cs="Arial"/>
                <w:color w:val="000000"/>
                <w:sz w:val="20"/>
                <w:szCs w:val="20"/>
                <w:lang w:eastAsia="es-CR"/>
              </w:rPr>
            </w:pPr>
            <w:r w:rsidRPr="00570E8C">
              <w:rPr>
                <w:rFonts w:ascii="Arial" w:eastAsia="Times New Roman" w:hAnsi="Arial" w:cs="Arial"/>
                <w:color w:val="000000"/>
                <w:sz w:val="20"/>
                <w:szCs w:val="20"/>
                <w:lang w:eastAsia="es-CR"/>
              </w:rPr>
              <w:t>Otros</w:t>
            </w:r>
          </w:p>
        </w:tc>
      </w:tr>
      <w:tr w:rsidR="00570E8C" w:rsidRPr="00570E8C" w14:paraId="76935038" w14:textId="77777777" w:rsidTr="00581266">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46D087C5"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lastRenderedPageBreak/>
              <w:t>CO_FONDOS</w:t>
            </w:r>
          </w:p>
        </w:tc>
        <w:tc>
          <w:tcPr>
            <w:tcW w:w="1479" w:type="dxa"/>
            <w:tcBorders>
              <w:top w:val="nil"/>
              <w:left w:val="nil"/>
              <w:bottom w:val="single" w:sz="4" w:space="0" w:color="auto"/>
              <w:right w:val="single" w:sz="4" w:space="0" w:color="auto"/>
            </w:tcBorders>
            <w:shd w:val="clear" w:color="auto" w:fill="auto"/>
            <w:noWrap/>
            <w:vAlign w:val="bottom"/>
            <w:hideMark/>
          </w:tcPr>
          <w:p w14:paraId="48F5701A" w14:textId="77777777" w:rsidR="00570E8C" w:rsidRPr="00570E8C" w:rsidRDefault="00570E8C" w:rsidP="00570E8C">
            <w:pPr>
              <w:spacing w:after="0" w:line="240" w:lineRule="auto"/>
              <w:jc w:val="right"/>
              <w:rPr>
                <w:rFonts w:ascii="Calibri" w:eastAsia="Times New Roman" w:hAnsi="Calibri" w:cs="Calibri"/>
                <w:lang w:eastAsia="es-CR"/>
              </w:rPr>
            </w:pPr>
            <w:r w:rsidRPr="00570E8C">
              <w:rPr>
                <w:rFonts w:ascii="Calibri" w:eastAsia="Times New Roman" w:hAnsi="Calibri" w:cs="Calibri"/>
                <w:lang w:eastAsia="es-CR"/>
              </w:rPr>
              <w:t>924300000000</w:t>
            </w:r>
          </w:p>
        </w:tc>
        <w:tc>
          <w:tcPr>
            <w:tcW w:w="6871" w:type="dxa"/>
            <w:tcBorders>
              <w:top w:val="nil"/>
              <w:left w:val="nil"/>
              <w:bottom w:val="single" w:sz="4" w:space="0" w:color="auto"/>
              <w:right w:val="single" w:sz="4" w:space="0" w:color="auto"/>
            </w:tcBorders>
            <w:shd w:val="clear" w:color="auto" w:fill="auto"/>
            <w:noWrap/>
            <w:vAlign w:val="bottom"/>
            <w:hideMark/>
          </w:tcPr>
          <w:p w14:paraId="0ADA5FA1" w14:textId="77777777" w:rsidR="00570E8C" w:rsidRPr="00570E8C" w:rsidRDefault="00570E8C" w:rsidP="00570E8C">
            <w:pPr>
              <w:spacing w:after="0" w:line="240" w:lineRule="auto"/>
              <w:rPr>
                <w:rFonts w:ascii="Arial" w:eastAsia="Times New Roman" w:hAnsi="Arial" w:cs="Arial"/>
                <w:color w:val="000000"/>
                <w:sz w:val="20"/>
                <w:szCs w:val="20"/>
                <w:lang w:eastAsia="es-CR"/>
              </w:rPr>
            </w:pPr>
            <w:r w:rsidRPr="00570E8C">
              <w:rPr>
                <w:rFonts w:ascii="Arial" w:eastAsia="Times New Roman" w:hAnsi="Arial" w:cs="Arial"/>
                <w:color w:val="000000"/>
                <w:sz w:val="20"/>
                <w:szCs w:val="20"/>
                <w:lang w:eastAsia="es-CR"/>
              </w:rPr>
              <w:t>Primas sobre instrumentos financieros</w:t>
            </w:r>
          </w:p>
        </w:tc>
      </w:tr>
      <w:tr w:rsidR="00570E8C" w:rsidRPr="00570E8C" w14:paraId="646FF823" w14:textId="77777777" w:rsidTr="00581266">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0C795F0C"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CO_FONDOS</w:t>
            </w:r>
          </w:p>
        </w:tc>
        <w:tc>
          <w:tcPr>
            <w:tcW w:w="1479" w:type="dxa"/>
            <w:tcBorders>
              <w:top w:val="nil"/>
              <w:left w:val="nil"/>
              <w:bottom w:val="single" w:sz="4" w:space="0" w:color="auto"/>
              <w:right w:val="single" w:sz="4" w:space="0" w:color="auto"/>
            </w:tcBorders>
            <w:shd w:val="clear" w:color="000000" w:fill="FFFFFF"/>
            <w:noWrap/>
            <w:vAlign w:val="bottom"/>
            <w:hideMark/>
          </w:tcPr>
          <w:p w14:paraId="273FF5A6" w14:textId="77777777" w:rsidR="00570E8C" w:rsidRPr="00570E8C" w:rsidRDefault="00570E8C" w:rsidP="00570E8C">
            <w:pPr>
              <w:spacing w:after="0" w:line="240" w:lineRule="auto"/>
              <w:jc w:val="right"/>
              <w:rPr>
                <w:rFonts w:ascii="Calibri" w:eastAsia="Times New Roman" w:hAnsi="Calibri" w:cs="Calibri"/>
                <w:lang w:eastAsia="es-CR"/>
              </w:rPr>
            </w:pPr>
            <w:r w:rsidRPr="00570E8C">
              <w:rPr>
                <w:rFonts w:ascii="Calibri" w:eastAsia="Times New Roman" w:hAnsi="Calibri" w:cs="Calibri"/>
                <w:lang w:eastAsia="es-CR"/>
              </w:rPr>
              <w:t>924400000000</w:t>
            </w:r>
          </w:p>
        </w:tc>
        <w:tc>
          <w:tcPr>
            <w:tcW w:w="6871" w:type="dxa"/>
            <w:tcBorders>
              <w:top w:val="nil"/>
              <w:left w:val="nil"/>
              <w:bottom w:val="single" w:sz="4" w:space="0" w:color="auto"/>
              <w:right w:val="single" w:sz="4" w:space="0" w:color="auto"/>
            </w:tcBorders>
            <w:shd w:val="clear" w:color="000000" w:fill="FFFFFF"/>
            <w:noWrap/>
            <w:vAlign w:val="bottom"/>
            <w:hideMark/>
          </w:tcPr>
          <w:p w14:paraId="5BBFB42D" w14:textId="77777777" w:rsidR="00570E8C" w:rsidRPr="00570E8C" w:rsidRDefault="00570E8C" w:rsidP="00570E8C">
            <w:pPr>
              <w:spacing w:after="0" w:line="240" w:lineRule="auto"/>
              <w:rPr>
                <w:rFonts w:ascii="Arial" w:eastAsia="Times New Roman" w:hAnsi="Arial" w:cs="Arial"/>
                <w:color w:val="000000"/>
                <w:sz w:val="20"/>
                <w:szCs w:val="20"/>
                <w:lang w:eastAsia="es-CR"/>
              </w:rPr>
            </w:pPr>
            <w:r w:rsidRPr="00570E8C">
              <w:rPr>
                <w:rFonts w:ascii="Arial" w:eastAsia="Times New Roman" w:hAnsi="Arial" w:cs="Arial"/>
                <w:color w:val="000000"/>
                <w:sz w:val="20"/>
                <w:szCs w:val="20"/>
                <w:lang w:eastAsia="es-CR"/>
              </w:rPr>
              <w:t>Pérdidas en la negociación de instrumentos financieros</w:t>
            </w:r>
          </w:p>
        </w:tc>
      </w:tr>
      <w:tr w:rsidR="00570E8C" w:rsidRPr="00570E8C" w14:paraId="664B13F5" w14:textId="77777777" w:rsidTr="00581266">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368F5618"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CO_FONDOS</w:t>
            </w:r>
          </w:p>
        </w:tc>
        <w:tc>
          <w:tcPr>
            <w:tcW w:w="1479" w:type="dxa"/>
            <w:tcBorders>
              <w:top w:val="nil"/>
              <w:left w:val="nil"/>
              <w:bottom w:val="single" w:sz="4" w:space="0" w:color="auto"/>
              <w:right w:val="single" w:sz="4" w:space="0" w:color="auto"/>
            </w:tcBorders>
            <w:shd w:val="clear" w:color="000000" w:fill="FFFFFF"/>
            <w:noWrap/>
            <w:vAlign w:val="bottom"/>
            <w:hideMark/>
          </w:tcPr>
          <w:p w14:paraId="33E6A877" w14:textId="77777777" w:rsidR="00570E8C" w:rsidRPr="00570E8C" w:rsidRDefault="00570E8C" w:rsidP="00570E8C">
            <w:pPr>
              <w:spacing w:after="0" w:line="240" w:lineRule="auto"/>
              <w:jc w:val="right"/>
              <w:rPr>
                <w:rFonts w:ascii="Calibri" w:eastAsia="Times New Roman" w:hAnsi="Calibri" w:cs="Calibri"/>
                <w:lang w:eastAsia="es-CR"/>
              </w:rPr>
            </w:pPr>
            <w:r w:rsidRPr="00570E8C">
              <w:rPr>
                <w:rFonts w:ascii="Calibri" w:eastAsia="Times New Roman" w:hAnsi="Calibri" w:cs="Calibri"/>
                <w:lang w:eastAsia="es-CR"/>
              </w:rPr>
              <w:t>924440000000</w:t>
            </w:r>
          </w:p>
        </w:tc>
        <w:tc>
          <w:tcPr>
            <w:tcW w:w="6871" w:type="dxa"/>
            <w:tcBorders>
              <w:top w:val="nil"/>
              <w:left w:val="nil"/>
              <w:bottom w:val="single" w:sz="4" w:space="0" w:color="auto"/>
              <w:right w:val="single" w:sz="4" w:space="0" w:color="auto"/>
            </w:tcBorders>
            <w:shd w:val="clear" w:color="000000" w:fill="FFFFFF"/>
            <w:noWrap/>
            <w:vAlign w:val="bottom"/>
            <w:hideMark/>
          </w:tcPr>
          <w:p w14:paraId="32D9BD97" w14:textId="77777777" w:rsidR="00570E8C" w:rsidRPr="00570E8C" w:rsidRDefault="00570E8C" w:rsidP="00570E8C">
            <w:pPr>
              <w:spacing w:after="0" w:line="240" w:lineRule="auto"/>
              <w:rPr>
                <w:rFonts w:ascii="Arial" w:eastAsia="Times New Roman" w:hAnsi="Arial" w:cs="Arial"/>
                <w:color w:val="000000"/>
                <w:sz w:val="20"/>
                <w:szCs w:val="20"/>
                <w:lang w:eastAsia="es-CR"/>
              </w:rPr>
            </w:pPr>
            <w:r w:rsidRPr="00570E8C">
              <w:rPr>
                <w:rFonts w:ascii="Arial" w:eastAsia="Times New Roman" w:hAnsi="Arial" w:cs="Arial"/>
                <w:color w:val="000000"/>
                <w:sz w:val="20"/>
                <w:szCs w:val="20"/>
                <w:lang w:eastAsia="es-CR"/>
              </w:rPr>
              <w:t>Pérdidas por venta de instrumentos financieros</w:t>
            </w:r>
          </w:p>
        </w:tc>
      </w:tr>
      <w:tr w:rsidR="00570E8C" w:rsidRPr="00570E8C" w14:paraId="6E586587" w14:textId="77777777" w:rsidTr="00581266">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6949907E"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CO_FONDOS</w:t>
            </w:r>
          </w:p>
        </w:tc>
        <w:tc>
          <w:tcPr>
            <w:tcW w:w="1479" w:type="dxa"/>
            <w:tcBorders>
              <w:top w:val="nil"/>
              <w:left w:val="nil"/>
              <w:bottom w:val="single" w:sz="4" w:space="0" w:color="auto"/>
              <w:right w:val="single" w:sz="4" w:space="0" w:color="auto"/>
            </w:tcBorders>
            <w:shd w:val="clear" w:color="auto" w:fill="auto"/>
            <w:noWrap/>
            <w:vAlign w:val="bottom"/>
            <w:hideMark/>
          </w:tcPr>
          <w:p w14:paraId="46392098" w14:textId="77777777" w:rsidR="00570E8C" w:rsidRPr="00570E8C" w:rsidRDefault="00570E8C" w:rsidP="00570E8C">
            <w:pPr>
              <w:spacing w:after="0" w:line="240" w:lineRule="auto"/>
              <w:jc w:val="right"/>
              <w:rPr>
                <w:rFonts w:ascii="Calibri" w:eastAsia="Times New Roman" w:hAnsi="Calibri" w:cs="Calibri"/>
                <w:lang w:eastAsia="es-CR"/>
              </w:rPr>
            </w:pPr>
            <w:r w:rsidRPr="00570E8C">
              <w:rPr>
                <w:rFonts w:ascii="Calibri" w:eastAsia="Times New Roman" w:hAnsi="Calibri" w:cs="Calibri"/>
                <w:lang w:eastAsia="es-CR"/>
              </w:rPr>
              <w:t>924440000000</w:t>
            </w:r>
          </w:p>
        </w:tc>
        <w:tc>
          <w:tcPr>
            <w:tcW w:w="6871" w:type="dxa"/>
            <w:tcBorders>
              <w:top w:val="nil"/>
              <w:left w:val="nil"/>
              <w:bottom w:val="single" w:sz="4" w:space="0" w:color="auto"/>
              <w:right w:val="single" w:sz="4" w:space="0" w:color="auto"/>
            </w:tcBorders>
            <w:shd w:val="clear" w:color="auto" w:fill="auto"/>
            <w:noWrap/>
            <w:vAlign w:val="bottom"/>
            <w:hideMark/>
          </w:tcPr>
          <w:p w14:paraId="18A43380" w14:textId="77777777" w:rsidR="00570E8C" w:rsidRPr="00570E8C" w:rsidRDefault="00570E8C" w:rsidP="00570E8C">
            <w:pPr>
              <w:spacing w:after="0" w:line="240" w:lineRule="auto"/>
              <w:rPr>
                <w:rFonts w:ascii="Arial" w:eastAsia="Times New Roman" w:hAnsi="Arial" w:cs="Arial"/>
                <w:color w:val="000000"/>
                <w:sz w:val="20"/>
                <w:szCs w:val="20"/>
                <w:lang w:eastAsia="es-CR"/>
              </w:rPr>
            </w:pPr>
            <w:r w:rsidRPr="00570E8C">
              <w:rPr>
                <w:rFonts w:ascii="Arial" w:eastAsia="Times New Roman" w:hAnsi="Arial" w:cs="Arial"/>
                <w:color w:val="000000"/>
                <w:sz w:val="20"/>
                <w:szCs w:val="20"/>
                <w:lang w:eastAsia="es-CR"/>
              </w:rPr>
              <w:t>Otras</w:t>
            </w:r>
          </w:p>
        </w:tc>
      </w:tr>
      <w:tr w:rsidR="00570E8C" w:rsidRPr="00570E8C" w14:paraId="2417E5D4" w14:textId="77777777" w:rsidTr="00581266">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503BD671"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CO_FONDOS</w:t>
            </w:r>
          </w:p>
        </w:tc>
        <w:tc>
          <w:tcPr>
            <w:tcW w:w="1479" w:type="dxa"/>
            <w:tcBorders>
              <w:top w:val="nil"/>
              <w:left w:val="nil"/>
              <w:bottom w:val="single" w:sz="4" w:space="0" w:color="auto"/>
              <w:right w:val="single" w:sz="4" w:space="0" w:color="auto"/>
            </w:tcBorders>
            <w:shd w:val="clear" w:color="auto" w:fill="auto"/>
            <w:noWrap/>
            <w:vAlign w:val="bottom"/>
            <w:hideMark/>
          </w:tcPr>
          <w:p w14:paraId="229E8432" w14:textId="77777777" w:rsidR="00570E8C" w:rsidRPr="00570E8C" w:rsidRDefault="00570E8C" w:rsidP="00570E8C">
            <w:pPr>
              <w:spacing w:after="0" w:line="240" w:lineRule="auto"/>
              <w:jc w:val="right"/>
              <w:rPr>
                <w:rFonts w:ascii="Calibri" w:eastAsia="Times New Roman" w:hAnsi="Calibri" w:cs="Calibri"/>
                <w:lang w:eastAsia="es-CR"/>
              </w:rPr>
            </w:pPr>
            <w:r w:rsidRPr="00570E8C">
              <w:rPr>
                <w:rFonts w:ascii="Calibri" w:eastAsia="Times New Roman" w:hAnsi="Calibri" w:cs="Calibri"/>
                <w:lang w:eastAsia="es-CR"/>
              </w:rPr>
              <w:t>924600000000</w:t>
            </w:r>
          </w:p>
        </w:tc>
        <w:tc>
          <w:tcPr>
            <w:tcW w:w="6871" w:type="dxa"/>
            <w:tcBorders>
              <w:top w:val="nil"/>
              <w:left w:val="nil"/>
              <w:bottom w:val="single" w:sz="4" w:space="0" w:color="auto"/>
              <w:right w:val="single" w:sz="4" w:space="0" w:color="auto"/>
            </w:tcBorders>
            <w:shd w:val="clear" w:color="auto" w:fill="auto"/>
            <w:noWrap/>
            <w:vAlign w:val="bottom"/>
            <w:hideMark/>
          </w:tcPr>
          <w:p w14:paraId="36422F28" w14:textId="77777777" w:rsidR="00570E8C" w:rsidRPr="00570E8C" w:rsidRDefault="00570E8C" w:rsidP="00570E8C">
            <w:pPr>
              <w:spacing w:after="0" w:line="240" w:lineRule="auto"/>
              <w:rPr>
                <w:rFonts w:ascii="Arial" w:eastAsia="Times New Roman" w:hAnsi="Arial" w:cs="Arial"/>
                <w:color w:val="000000"/>
                <w:sz w:val="20"/>
                <w:szCs w:val="20"/>
                <w:lang w:eastAsia="es-CR"/>
              </w:rPr>
            </w:pPr>
            <w:r w:rsidRPr="00570E8C">
              <w:rPr>
                <w:rFonts w:ascii="Arial" w:eastAsia="Times New Roman" w:hAnsi="Arial" w:cs="Arial"/>
                <w:color w:val="000000"/>
                <w:sz w:val="20"/>
                <w:szCs w:val="20"/>
                <w:lang w:eastAsia="es-CR"/>
              </w:rPr>
              <w:t>Pérdidas en diferencial cambiario</w:t>
            </w:r>
          </w:p>
        </w:tc>
      </w:tr>
      <w:tr w:rsidR="00570E8C" w:rsidRPr="00570E8C" w14:paraId="50706F1A" w14:textId="77777777" w:rsidTr="00581266">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43D8B6C1"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CO_FONDOS</w:t>
            </w:r>
          </w:p>
        </w:tc>
        <w:tc>
          <w:tcPr>
            <w:tcW w:w="1479" w:type="dxa"/>
            <w:tcBorders>
              <w:top w:val="nil"/>
              <w:left w:val="nil"/>
              <w:bottom w:val="single" w:sz="4" w:space="0" w:color="auto"/>
              <w:right w:val="single" w:sz="4" w:space="0" w:color="auto"/>
            </w:tcBorders>
            <w:shd w:val="clear" w:color="auto" w:fill="auto"/>
            <w:noWrap/>
            <w:vAlign w:val="bottom"/>
            <w:hideMark/>
          </w:tcPr>
          <w:p w14:paraId="6BE7E18D" w14:textId="77777777" w:rsidR="00570E8C" w:rsidRPr="00570E8C" w:rsidRDefault="00570E8C" w:rsidP="00570E8C">
            <w:pPr>
              <w:spacing w:after="0" w:line="240" w:lineRule="auto"/>
              <w:jc w:val="right"/>
              <w:rPr>
                <w:rFonts w:ascii="Calibri" w:eastAsia="Times New Roman" w:hAnsi="Calibri" w:cs="Calibri"/>
                <w:lang w:eastAsia="es-CR"/>
              </w:rPr>
            </w:pPr>
            <w:r w:rsidRPr="00570E8C">
              <w:rPr>
                <w:rFonts w:ascii="Calibri" w:eastAsia="Times New Roman" w:hAnsi="Calibri" w:cs="Calibri"/>
                <w:lang w:eastAsia="es-CR"/>
              </w:rPr>
              <w:t>924700000000</w:t>
            </w:r>
          </w:p>
        </w:tc>
        <w:tc>
          <w:tcPr>
            <w:tcW w:w="6871" w:type="dxa"/>
            <w:tcBorders>
              <w:top w:val="nil"/>
              <w:left w:val="nil"/>
              <w:bottom w:val="single" w:sz="4" w:space="0" w:color="auto"/>
              <w:right w:val="single" w:sz="4" w:space="0" w:color="auto"/>
            </w:tcBorders>
            <w:shd w:val="clear" w:color="auto" w:fill="auto"/>
            <w:noWrap/>
            <w:vAlign w:val="bottom"/>
            <w:hideMark/>
          </w:tcPr>
          <w:p w14:paraId="39C4DD74" w14:textId="77777777" w:rsidR="00570E8C" w:rsidRPr="00570E8C" w:rsidRDefault="00570E8C" w:rsidP="00570E8C">
            <w:pPr>
              <w:spacing w:after="0" w:line="240" w:lineRule="auto"/>
              <w:rPr>
                <w:rFonts w:ascii="Arial" w:eastAsia="Times New Roman" w:hAnsi="Arial" w:cs="Arial"/>
                <w:color w:val="000000"/>
                <w:sz w:val="20"/>
                <w:szCs w:val="20"/>
                <w:lang w:eastAsia="es-CR"/>
              </w:rPr>
            </w:pPr>
            <w:r w:rsidRPr="00570E8C">
              <w:rPr>
                <w:rFonts w:ascii="Arial" w:eastAsia="Times New Roman" w:hAnsi="Arial" w:cs="Arial"/>
                <w:color w:val="000000"/>
                <w:sz w:val="20"/>
                <w:szCs w:val="20"/>
                <w:lang w:eastAsia="es-CR"/>
              </w:rPr>
              <w:t>Pérdidas y otros gastos por recuperación de activos</w:t>
            </w:r>
          </w:p>
        </w:tc>
      </w:tr>
      <w:tr w:rsidR="00570E8C" w:rsidRPr="00570E8C" w14:paraId="271C34DF" w14:textId="77777777" w:rsidTr="00581266">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0463089F"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CO_FONDOS</w:t>
            </w:r>
          </w:p>
        </w:tc>
        <w:tc>
          <w:tcPr>
            <w:tcW w:w="1479" w:type="dxa"/>
            <w:tcBorders>
              <w:top w:val="nil"/>
              <w:left w:val="nil"/>
              <w:bottom w:val="single" w:sz="4" w:space="0" w:color="auto"/>
              <w:right w:val="single" w:sz="4" w:space="0" w:color="auto"/>
            </w:tcBorders>
            <w:shd w:val="clear" w:color="auto" w:fill="auto"/>
            <w:noWrap/>
            <w:vAlign w:val="bottom"/>
            <w:hideMark/>
          </w:tcPr>
          <w:p w14:paraId="664E7CDF" w14:textId="77777777" w:rsidR="00570E8C" w:rsidRPr="00570E8C" w:rsidRDefault="00570E8C" w:rsidP="00570E8C">
            <w:pPr>
              <w:spacing w:after="0" w:line="240" w:lineRule="auto"/>
              <w:jc w:val="right"/>
              <w:rPr>
                <w:rFonts w:ascii="Calibri" w:eastAsia="Times New Roman" w:hAnsi="Calibri" w:cs="Calibri"/>
                <w:lang w:eastAsia="es-CR"/>
              </w:rPr>
            </w:pPr>
            <w:r w:rsidRPr="00570E8C">
              <w:rPr>
                <w:rFonts w:ascii="Calibri" w:eastAsia="Times New Roman" w:hAnsi="Calibri" w:cs="Calibri"/>
                <w:lang w:eastAsia="es-CR"/>
              </w:rPr>
              <w:t>924800000000</w:t>
            </w:r>
          </w:p>
        </w:tc>
        <w:tc>
          <w:tcPr>
            <w:tcW w:w="6871" w:type="dxa"/>
            <w:tcBorders>
              <w:top w:val="nil"/>
              <w:left w:val="nil"/>
              <w:bottom w:val="single" w:sz="4" w:space="0" w:color="auto"/>
              <w:right w:val="single" w:sz="4" w:space="0" w:color="auto"/>
            </w:tcBorders>
            <w:shd w:val="clear" w:color="auto" w:fill="auto"/>
            <w:noWrap/>
            <w:vAlign w:val="bottom"/>
            <w:hideMark/>
          </w:tcPr>
          <w:p w14:paraId="6C19714B" w14:textId="77777777" w:rsidR="00570E8C" w:rsidRPr="00570E8C" w:rsidRDefault="00570E8C" w:rsidP="00570E8C">
            <w:pPr>
              <w:spacing w:after="0" w:line="240" w:lineRule="auto"/>
              <w:rPr>
                <w:rFonts w:ascii="Arial" w:eastAsia="Times New Roman" w:hAnsi="Arial" w:cs="Arial"/>
                <w:color w:val="000000"/>
                <w:sz w:val="20"/>
                <w:szCs w:val="20"/>
                <w:lang w:eastAsia="es-CR"/>
              </w:rPr>
            </w:pPr>
            <w:r w:rsidRPr="00570E8C">
              <w:rPr>
                <w:rFonts w:ascii="Arial" w:eastAsia="Times New Roman" w:hAnsi="Arial" w:cs="Arial"/>
                <w:color w:val="000000"/>
                <w:sz w:val="20"/>
                <w:szCs w:val="20"/>
                <w:lang w:eastAsia="es-CR"/>
              </w:rPr>
              <w:t>Otros gastos</w:t>
            </w:r>
          </w:p>
        </w:tc>
      </w:tr>
      <w:tr w:rsidR="00570E8C" w:rsidRPr="00570E8C" w14:paraId="4E9B6FE7" w14:textId="77777777" w:rsidTr="00581266">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002514C6"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CO_FONDOS</w:t>
            </w:r>
          </w:p>
        </w:tc>
        <w:tc>
          <w:tcPr>
            <w:tcW w:w="1479" w:type="dxa"/>
            <w:tcBorders>
              <w:top w:val="nil"/>
              <w:left w:val="nil"/>
              <w:bottom w:val="single" w:sz="4" w:space="0" w:color="auto"/>
              <w:right w:val="single" w:sz="4" w:space="0" w:color="auto"/>
            </w:tcBorders>
            <w:shd w:val="clear" w:color="auto" w:fill="auto"/>
            <w:noWrap/>
            <w:vAlign w:val="bottom"/>
            <w:hideMark/>
          </w:tcPr>
          <w:p w14:paraId="299AA787" w14:textId="77777777" w:rsidR="00570E8C" w:rsidRPr="00570E8C" w:rsidRDefault="00570E8C" w:rsidP="00570E8C">
            <w:pPr>
              <w:spacing w:after="0" w:line="240" w:lineRule="auto"/>
              <w:jc w:val="right"/>
              <w:rPr>
                <w:rFonts w:ascii="Calibri" w:eastAsia="Times New Roman" w:hAnsi="Calibri" w:cs="Calibri"/>
                <w:lang w:eastAsia="es-CR"/>
              </w:rPr>
            </w:pPr>
            <w:r w:rsidRPr="00570E8C">
              <w:rPr>
                <w:rFonts w:ascii="Calibri" w:eastAsia="Times New Roman" w:hAnsi="Calibri" w:cs="Calibri"/>
                <w:lang w:eastAsia="es-CR"/>
              </w:rPr>
              <w:t>925000000000</w:t>
            </w:r>
          </w:p>
        </w:tc>
        <w:tc>
          <w:tcPr>
            <w:tcW w:w="6871" w:type="dxa"/>
            <w:tcBorders>
              <w:top w:val="nil"/>
              <w:left w:val="nil"/>
              <w:bottom w:val="single" w:sz="4" w:space="0" w:color="auto"/>
              <w:right w:val="single" w:sz="4" w:space="0" w:color="auto"/>
            </w:tcBorders>
            <w:shd w:val="clear" w:color="auto" w:fill="auto"/>
            <w:noWrap/>
            <w:vAlign w:val="bottom"/>
            <w:hideMark/>
          </w:tcPr>
          <w:p w14:paraId="2D19B758" w14:textId="77777777" w:rsidR="00570E8C" w:rsidRPr="00570E8C" w:rsidRDefault="00570E8C" w:rsidP="00570E8C">
            <w:pPr>
              <w:spacing w:after="0" w:line="240" w:lineRule="auto"/>
              <w:rPr>
                <w:rFonts w:ascii="Arial" w:eastAsia="Times New Roman" w:hAnsi="Arial" w:cs="Arial"/>
                <w:b/>
                <w:bCs/>
                <w:sz w:val="20"/>
                <w:szCs w:val="20"/>
                <w:lang w:eastAsia="es-CR"/>
              </w:rPr>
            </w:pPr>
            <w:r w:rsidRPr="00570E8C">
              <w:rPr>
                <w:rFonts w:ascii="Arial" w:eastAsia="Times New Roman" w:hAnsi="Arial" w:cs="Arial"/>
                <w:b/>
                <w:bCs/>
                <w:sz w:val="20"/>
                <w:szCs w:val="20"/>
                <w:lang w:eastAsia="es-CR"/>
              </w:rPr>
              <w:t>Ingresos por Activos Segregados</w:t>
            </w:r>
          </w:p>
        </w:tc>
      </w:tr>
      <w:tr w:rsidR="00570E8C" w:rsidRPr="00570E8C" w14:paraId="0FD04CBF" w14:textId="77777777" w:rsidTr="00581266">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3C20CEF4"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CO_FONDOS</w:t>
            </w:r>
          </w:p>
        </w:tc>
        <w:tc>
          <w:tcPr>
            <w:tcW w:w="1479" w:type="dxa"/>
            <w:tcBorders>
              <w:top w:val="nil"/>
              <w:left w:val="nil"/>
              <w:bottom w:val="single" w:sz="4" w:space="0" w:color="auto"/>
              <w:right w:val="single" w:sz="4" w:space="0" w:color="auto"/>
            </w:tcBorders>
            <w:shd w:val="clear" w:color="auto" w:fill="auto"/>
            <w:noWrap/>
            <w:vAlign w:val="bottom"/>
            <w:hideMark/>
          </w:tcPr>
          <w:p w14:paraId="51B03EE8" w14:textId="77777777" w:rsidR="00570E8C" w:rsidRPr="00570E8C" w:rsidRDefault="00570E8C" w:rsidP="00570E8C">
            <w:pPr>
              <w:spacing w:after="0" w:line="240" w:lineRule="auto"/>
              <w:jc w:val="right"/>
              <w:rPr>
                <w:rFonts w:ascii="Calibri" w:eastAsia="Times New Roman" w:hAnsi="Calibri" w:cs="Calibri"/>
                <w:lang w:eastAsia="es-CR"/>
              </w:rPr>
            </w:pPr>
            <w:r w:rsidRPr="00570E8C">
              <w:rPr>
                <w:rFonts w:ascii="Calibri" w:eastAsia="Times New Roman" w:hAnsi="Calibri" w:cs="Calibri"/>
                <w:lang w:eastAsia="es-CR"/>
              </w:rPr>
              <w:t>925100000000</w:t>
            </w:r>
          </w:p>
        </w:tc>
        <w:tc>
          <w:tcPr>
            <w:tcW w:w="6871" w:type="dxa"/>
            <w:tcBorders>
              <w:top w:val="nil"/>
              <w:left w:val="nil"/>
              <w:bottom w:val="single" w:sz="4" w:space="0" w:color="auto"/>
              <w:right w:val="single" w:sz="4" w:space="0" w:color="auto"/>
            </w:tcBorders>
            <w:shd w:val="clear" w:color="auto" w:fill="auto"/>
            <w:noWrap/>
            <w:vAlign w:val="bottom"/>
            <w:hideMark/>
          </w:tcPr>
          <w:p w14:paraId="716A2312" w14:textId="77777777" w:rsidR="00570E8C" w:rsidRPr="00570E8C" w:rsidRDefault="00570E8C" w:rsidP="00570E8C">
            <w:pPr>
              <w:spacing w:after="0" w:line="240" w:lineRule="auto"/>
              <w:rPr>
                <w:rFonts w:ascii="Arial" w:eastAsia="Times New Roman" w:hAnsi="Arial" w:cs="Arial"/>
                <w:color w:val="000000"/>
                <w:sz w:val="20"/>
                <w:szCs w:val="20"/>
                <w:lang w:eastAsia="es-CR"/>
              </w:rPr>
            </w:pPr>
            <w:r w:rsidRPr="00570E8C">
              <w:rPr>
                <w:rFonts w:ascii="Arial" w:eastAsia="Times New Roman" w:hAnsi="Arial" w:cs="Arial"/>
                <w:color w:val="000000"/>
                <w:sz w:val="20"/>
                <w:szCs w:val="20"/>
                <w:lang w:eastAsia="es-CR"/>
              </w:rPr>
              <w:t>Intereses, Descuentos y Dividendos</w:t>
            </w:r>
          </w:p>
        </w:tc>
      </w:tr>
      <w:tr w:rsidR="00570E8C" w:rsidRPr="00570E8C" w14:paraId="45A08103" w14:textId="77777777" w:rsidTr="00581266">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451D01BF"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CO_FONDOS</w:t>
            </w:r>
          </w:p>
        </w:tc>
        <w:tc>
          <w:tcPr>
            <w:tcW w:w="1479" w:type="dxa"/>
            <w:tcBorders>
              <w:top w:val="nil"/>
              <w:left w:val="nil"/>
              <w:bottom w:val="single" w:sz="4" w:space="0" w:color="auto"/>
              <w:right w:val="single" w:sz="4" w:space="0" w:color="auto"/>
            </w:tcBorders>
            <w:shd w:val="clear" w:color="auto" w:fill="auto"/>
            <w:noWrap/>
            <w:vAlign w:val="bottom"/>
            <w:hideMark/>
          </w:tcPr>
          <w:p w14:paraId="04D8C55F" w14:textId="77777777" w:rsidR="00570E8C" w:rsidRPr="00570E8C" w:rsidRDefault="00570E8C" w:rsidP="00570E8C">
            <w:pPr>
              <w:spacing w:after="0" w:line="240" w:lineRule="auto"/>
              <w:jc w:val="right"/>
              <w:rPr>
                <w:rFonts w:ascii="Calibri" w:eastAsia="Times New Roman" w:hAnsi="Calibri" w:cs="Calibri"/>
                <w:lang w:eastAsia="es-CR"/>
              </w:rPr>
            </w:pPr>
            <w:r w:rsidRPr="00570E8C">
              <w:rPr>
                <w:rFonts w:ascii="Calibri" w:eastAsia="Times New Roman" w:hAnsi="Calibri" w:cs="Calibri"/>
                <w:lang w:eastAsia="es-CR"/>
              </w:rPr>
              <w:t>925110000000</w:t>
            </w:r>
          </w:p>
        </w:tc>
        <w:tc>
          <w:tcPr>
            <w:tcW w:w="6871" w:type="dxa"/>
            <w:tcBorders>
              <w:top w:val="nil"/>
              <w:left w:val="nil"/>
              <w:bottom w:val="single" w:sz="4" w:space="0" w:color="auto"/>
              <w:right w:val="single" w:sz="4" w:space="0" w:color="auto"/>
            </w:tcBorders>
            <w:shd w:val="clear" w:color="auto" w:fill="auto"/>
            <w:noWrap/>
            <w:vAlign w:val="bottom"/>
            <w:hideMark/>
          </w:tcPr>
          <w:p w14:paraId="0B187DD8" w14:textId="77777777" w:rsidR="00570E8C" w:rsidRPr="00570E8C" w:rsidRDefault="00570E8C" w:rsidP="00570E8C">
            <w:pPr>
              <w:spacing w:after="0" w:line="240" w:lineRule="auto"/>
              <w:rPr>
                <w:rFonts w:ascii="Arial" w:eastAsia="Times New Roman" w:hAnsi="Arial" w:cs="Arial"/>
                <w:color w:val="000000"/>
                <w:sz w:val="20"/>
                <w:szCs w:val="20"/>
                <w:lang w:eastAsia="es-CR"/>
              </w:rPr>
            </w:pPr>
            <w:r w:rsidRPr="00570E8C">
              <w:rPr>
                <w:rFonts w:ascii="Arial" w:eastAsia="Times New Roman" w:hAnsi="Arial" w:cs="Arial"/>
                <w:color w:val="000000"/>
                <w:sz w:val="20"/>
                <w:szCs w:val="20"/>
                <w:lang w:eastAsia="es-CR"/>
              </w:rPr>
              <w:t>Intereses de la cartera local de instrumentos financieros</w:t>
            </w:r>
          </w:p>
        </w:tc>
      </w:tr>
      <w:tr w:rsidR="00570E8C" w:rsidRPr="00570E8C" w14:paraId="29F43129" w14:textId="77777777" w:rsidTr="00581266">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39823D1C"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CO_FONDOS</w:t>
            </w:r>
          </w:p>
        </w:tc>
        <w:tc>
          <w:tcPr>
            <w:tcW w:w="1479" w:type="dxa"/>
            <w:tcBorders>
              <w:top w:val="nil"/>
              <w:left w:val="nil"/>
              <w:bottom w:val="single" w:sz="4" w:space="0" w:color="auto"/>
              <w:right w:val="single" w:sz="4" w:space="0" w:color="auto"/>
            </w:tcBorders>
            <w:shd w:val="clear" w:color="auto" w:fill="auto"/>
            <w:noWrap/>
            <w:vAlign w:val="bottom"/>
            <w:hideMark/>
          </w:tcPr>
          <w:p w14:paraId="546F4006" w14:textId="77777777" w:rsidR="00570E8C" w:rsidRPr="00570E8C" w:rsidRDefault="00570E8C" w:rsidP="00570E8C">
            <w:pPr>
              <w:spacing w:after="0" w:line="240" w:lineRule="auto"/>
              <w:jc w:val="right"/>
              <w:rPr>
                <w:rFonts w:ascii="Calibri" w:eastAsia="Times New Roman" w:hAnsi="Calibri" w:cs="Calibri"/>
                <w:lang w:eastAsia="es-CR"/>
              </w:rPr>
            </w:pPr>
            <w:r w:rsidRPr="00570E8C">
              <w:rPr>
                <w:rFonts w:ascii="Calibri" w:eastAsia="Times New Roman" w:hAnsi="Calibri" w:cs="Calibri"/>
                <w:lang w:eastAsia="es-CR"/>
              </w:rPr>
              <w:t>925120000000</w:t>
            </w:r>
          </w:p>
        </w:tc>
        <w:tc>
          <w:tcPr>
            <w:tcW w:w="6871" w:type="dxa"/>
            <w:tcBorders>
              <w:top w:val="nil"/>
              <w:left w:val="nil"/>
              <w:bottom w:val="single" w:sz="4" w:space="0" w:color="auto"/>
              <w:right w:val="single" w:sz="4" w:space="0" w:color="auto"/>
            </w:tcBorders>
            <w:shd w:val="clear" w:color="auto" w:fill="auto"/>
            <w:noWrap/>
            <w:vAlign w:val="bottom"/>
            <w:hideMark/>
          </w:tcPr>
          <w:p w14:paraId="4AF812C0" w14:textId="77777777" w:rsidR="00570E8C" w:rsidRPr="00570E8C" w:rsidRDefault="00570E8C" w:rsidP="00570E8C">
            <w:pPr>
              <w:spacing w:after="0" w:line="240" w:lineRule="auto"/>
              <w:rPr>
                <w:rFonts w:ascii="Arial" w:eastAsia="Times New Roman" w:hAnsi="Arial" w:cs="Arial"/>
                <w:color w:val="000000"/>
                <w:sz w:val="20"/>
                <w:szCs w:val="20"/>
                <w:lang w:eastAsia="es-CR"/>
              </w:rPr>
            </w:pPr>
            <w:r w:rsidRPr="00570E8C">
              <w:rPr>
                <w:rFonts w:ascii="Arial" w:eastAsia="Times New Roman" w:hAnsi="Arial" w:cs="Arial"/>
                <w:color w:val="000000"/>
                <w:sz w:val="20"/>
                <w:szCs w:val="20"/>
                <w:lang w:eastAsia="es-CR"/>
              </w:rPr>
              <w:t>Intereses de la cartera exterior de instrumentos financieros</w:t>
            </w:r>
          </w:p>
        </w:tc>
      </w:tr>
      <w:tr w:rsidR="00570E8C" w:rsidRPr="00570E8C" w14:paraId="613AFC3E" w14:textId="77777777" w:rsidTr="00581266">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180EAA78"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CO_FONDOS</w:t>
            </w:r>
          </w:p>
        </w:tc>
        <w:tc>
          <w:tcPr>
            <w:tcW w:w="1479" w:type="dxa"/>
            <w:tcBorders>
              <w:top w:val="nil"/>
              <w:left w:val="nil"/>
              <w:bottom w:val="single" w:sz="4" w:space="0" w:color="auto"/>
              <w:right w:val="single" w:sz="4" w:space="0" w:color="auto"/>
            </w:tcBorders>
            <w:shd w:val="clear" w:color="auto" w:fill="auto"/>
            <w:noWrap/>
            <w:vAlign w:val="bottom"/>
            <w:hideMark/>
          </w:tcPr>
          <w:p w14:paraId="05AE7665" w14:textId="77777777" w:rsidR="00570E8C" w:rsidRPr="00570E8C" w:rsidRDefault="00570E8C" w:rsidP="00570E8C">
            <w:pPr>
              <w:spacing w:after="0" w:line="240" w:lineRule="auto"/>
              <w:jc w:val="right"/>
              <w:rPr>
                <w:rFonts w:ascii="Calibri" w:eastAsia="Times New Roman" w:hAnsi="Calibri" w:cs="Calibri"/>
                <w:lang w:eastAsia="es-CR"/>
              </w:rPr>
            </w:pPr>
            <w:r w:rsidRPr="00570E8C">
              <w:rPr>
                <w:rFonts w:ascii="Calibri" w:eastAsia="Times New Roman" w:hAnsi="Calibri" w:cs="Calibri"/>
                <w:lang w:eastAsia="es-CR"/>
              </w:rPr>
              <w:t>925130000000</w:t>
            </w:r>
          </w:p>
        </w:tc>
        <w:tc>
          <w:tcPr>
            <w:tcW w:w="6871" w:type="dxa"/>
            <w:tcBorders>
              <w:top w:val="nil"/>
              <w:left w:val="nil"/>
              <w:bottom w:val="single" w:sz="4" w:space="0" w:color="auto"/>
              <w:right w:val="single" w:sz="4" w:space="0" w:color="auto"/>
            </w:tcBorders>
            <w:shd w:val="clear" w:color="auto" w:fill="auto"/>
            <w:noWrap/>
            <w:vAlign w:val="bottom"/>
            <w:hideMark/>
          </w:tcPr>
          <w:p w14:paraId="1100A808" w14:textId="77777777" w:rsidR="00570E8C" w:rsidRPr="00570E8C" w:rsidRDefault="00570E8C" w:rsidP="00570E8C">
            <w:pPr>
              <w:spacing w:after="0" w:line="240" w:lineRule="auto"/>
              <w:rPr>
                <w:rFonts w:ascii="Arial" w:eastAsia="Times New Roman" w:hAnsi="Arial" w:cs="Arial"/>
                <w:color w:val="000000"/>
                <w:sz w:val="20"/>
                <w:szCs w:val="20"/>
                <w:lang w:eastAsia="es-CR"/>
              </w:rPr>
            </w:pPr>
            <w:r w:rsidRPr="00570E8C">
              <w:rPr>
                <w:rFonts w:ascii="Arial" w:eastAsia="Times New Roman" w:hAnsi="Arial" w:cs="Arial"/>
                <w:color w:val="000000"/>
                <w:sz w:val="20"/>
                <w:szCs w:val="20"/>
                <w:lang w:eastAsia="es-CR"/>
              </w:rPr>
              <w:t>Intereses de las cuentas de efectivo</w:t>
            </w:r>
          </w:p>
        </w:tc>
      </w:tr>
      <w:tr w:rsidR="00570E8C" w:rsidRPr="00570E8C" w14:paraId="2ED5FDF9" w14:textId="77777777" w:rsidTr="00581266">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2EEBBF59"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CO_FONDOS</w:t>
            </w:r>
          </w:p>
        </w:tc>
        <w:tc>
          <w:tcPr>
            <w:tcW w:w="1479" w:type="dxa"/>
            <w:tcBorders>
              <w:top w:val="nil"/>
              <w:left w:val="nil"/>
              <w:bottom w:val="single" w:sz="4" w:space="0" w:color="auto"/>
              <w:right w:val="single" w:sz="4" w:space="0" w:color="auto"/>
            </w:tcBorders>
            <w:shd w:val="clear" w:color="auto" w:fill="auto"/>
            <w:noWrap/>
            <w:vAlign w:val="bottom"/>
            <w:hideMark/>
          </w:tcPr>
          <w:p w14:paraId="25189798" w14:textId="77777777" w:rsidR="00570E8C" w:rsidRPr="00570E8C" w:rsidRDefault="00570E8C" w:rsidP="00570E8C">
            <w:pPr>
              <w:spacing w:after="0" w:line="240" w:lineRule="auto"/>
              <w:jc w:val="right"/>
              <w:rPr>
                <w:rFonts w:ascii="Calibri" w:eastAsia="Times New Roman" w:hAnsi="Calibri" w:cs="Calibri"/>
                <w:lang w:eastAsia="es-CR"/>
              </w:rPr>
            </w:pPr>
            <w:r w:rsidRPr="00570E8C">
              <w:rPr>
                <w:rFonts w:ascii="Calibri" w:eastAsia="Times New Roman" w:hAnsi="Calibri" w:cs="Calibri"/>
                <w:lang w:eastAsia="es-CR"/>
              </w:rPr>
              <w:t>925140000000</w:t>
            </w:r>
          </w:p>
        </w:tc>
        <w:tc>
          <w:tcPr>
            <w:tcW w:w="6871" w:type="dxa"/>
            <w:tcBorders>
              <w:top w:val="nil"/>
              <w:left w:val="nil"/>
              <w:bottom w:val="single" w:sz="4" w:space="0" w:color="auto"/>
              <w:right w:val="single" w:sz="4" w:space="0" w:color="auto"/>
            </w:tcBorders>
            <w:shd w:val="clear" w:color="auto" w:fill="auto"/>
            <w:noWrap/>
            <w:vAlign w:val="bottom"/>
            <w:hideMark/>
          </w:tcPr>
          <w:p w14:paraId="3B7C6907" w14:textId="77777777" w:rsidR="00570E8C" w:rsidRPr="00570E8C" w:rsidRDefault="00570E8C" w:rsidP="00570E8C">
            <w:pPr>
              <w:spacing w:after="0" w:line="240" w:lineRule="auto"/>
              <w:rPr>
                <w:rFonts w:ascii="Arial" w:eastAsia="Times New Roman" w:hAnsi="Arial" w:cs="Arial"/>
                <w:color w:val="000000"/>
                <w:sz w:val="20"/>
                <w:szCs w:val="20"/>
                <w:lang w:eastAsia="es-CR"/>
              </w:rPr>
            </w:pPr>
            <w:r w:rsidRPr="00570E8C">
              <w:rPr>
                <w:rFonts w:ascii="Arial" w:eastAsia="Times New Roman" w:hAnsi="Arial" w:cs="Arial"/>
                <w:color w:val="000000"/>
                <w:sz w:val="20"/>
                <w:szCs w:val="20"/>
                <w:lang w:eastAsia="es-CR"/>
              </w:rPr>
              <w:t>Descuentos sobre instrumentos financieros</w:t>
            </w:r>
          </w:p>
        </w:tc>
      </w:tr>
      <w:tr w:rsidR="00570E8C" w:rsidRPr="00570E8C" w14:paraId="267170BB" w14:textId="77777777" w:rsidTr="00581266">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627CF76C"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CO_FONDOS</w:t>
            </w:r>
          </w:p>
        </w:tc>
        <w:tc>
          <w:tcPr>
            <w:tcW w:w="1479" w:type="dxa"/>
            <w:tcBorders>
              <w:top w:val="nil"/>
              <w:left w:val="nil"/>
              <w:bottom w:val="single" w:sz="4" w:space="0" w:color="auto"/>
              <w:right w:val="single" w:sz="4" w:space="0" w:color="auto"/>
            </w:tcBorders>
            <w:shd w:val="clear" w:color="auto" w:fill="auto"/>
            <w:noWrap/>
            <w:vAlign w:val="bottom"/>
            <w:hideMark/>
          </w:tcPr>
          <w:p w14:paraId="6F2CCC63" w14:textId="77777777" w:rsidR="00570E8C" w:rsidRPr="00570E8C" w:rsidRDefault="00570E8C" w:rsidP="00570E8C">
            <w:pPr>
              <w:spacing w:after="0" w:line="240" w:lineRule="auto"/>
              <w:jc w:val="right"/>
              <w:rPr>
                <w:rFonts w:ascii="Calibri" w:eastAsia="Times New Roman" w:hAnsi="Calibri" w:cs="Calibri"/>
                <w:lang w:eastAsia="es-CR"/>
              </w:rPr>
            </w:pPr>
            <w:r w:rsidRPr="00570E8C">
              <w:rPr>
                <w:rFonts w:ascii="Calibri" w:eastAsia="Times New Roman" w:hAnsi="Calibri" w:cs="Calibri"/>
                <w:lang w:eastAsia="es-CR"/>
              </w:rPr>
              <w:t>925200000000</w:t>
            </w:r>
          </w:p>
        </w:tc>
        <w:tc>
          <w:tcPr>
            <w:tcW w:w="6871" w:type="dxa"/>
            <w:tcBorders>
              <w:top w:val="nil"/>
              <w:left w:val="nil"/>
              <w:bottom w:val="single" w:sz="4" w:space="0" w:color="auto"/>
              <w:right w:val="single" w:sz="4" w:space="0" w:color="auto"/>
            </w:tcBorders>
            <w:shd w:val="clear" w:color="auto" w:fill="auto"/>
            <w:noWrap/>
            <w:vAlign w:val="bottom"/>
            <w:hideMark/>
          </w:tcPr>
          <w:p w14:paraId="24A9F039" w14:textId="77777777" w:rsidR="00570E8C" w:rsidRPr="00570E8C" w:rsidRDefault="00570E8C" w:rsidP="00570E8C">
            <w:pPr>
              <w:spacing w:after="0" w:line="240" w:lineRule="auto"/>
              <w:rPr>
                <w:rFonts w:ascii="Arial" w:eastAsia="Times New Roman" w:hAnsi="Arial" w:cs="Arial"/>
                <w:color w:val="000000"/>
                <w:sz w:val="20"/>
                <w:szCs w:val="20"/>
                <w:lang w:eastAsia="es-CR"/>
              </w:rPr>
            </w:pPr>
            <w:r w:rsidRPr="00570E8C">
              <w:rPr>
                <w:rFonts w:ascii="Arial" w:eastAsia="Times New Roman" w:hAnsi="Arial" w:cs="Arial"/>
                <w:color w:val="000000"/>
                <w:sz w:val="20"/>
                <w:szCs w:val="20"/>
                <w:lang w:eastAsia="es-CR"/>
              </w:rPr>
              <w:t>Ingresos por recuperación de activos recibidos en dación de pago o adjudicados</w:t>
            </w:r>
          </w:p>
        </w:tc>
      </w:tr>
      <w:tr w:rsidR="00570E8C" w:rsidRPr="00570E8C" w14:paraId="4D00C69D" w14:textId="77777777" w:rsidTr="00581266">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68FE8E59"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CO_FONDOS</w:t>
            </w:r>
          </w:p>
        </w:tc>
        <w:tc>
          <w:tcPr>
            <w:tcW w:w="1479" w:type="dxa"/>
            <w:tcBorders>
              <w:top w:val="nil"/>
              <w:left w:val="nil"/>
              <w:bottom w:val="single" w:sz="4" w:space="0" w:color="auto"/>
              <w:right w:val="single" w:sz="4" w:space="0" w:color="auto"/>
            </w:tcBorders>
            <w:shd w:val="clear" w:color="000000" w:fill="FFFFFF"/>
            <w:noWrap/>
            <w:vAlign w:val="bottom"/>
            <w:hideMark/>
          </w:tcPr>
          <w:p w14:paraId="08A7D310" w14:textId="77777777" w:rsidR="00570E8C" w:rsidRPr="00570E8C" w:rsidRDefault="00570E8C" w:rsidP="00570E8C">
            <w:pPr>
              <w:spacing w:after="0" w:line="240" w:lineRule="auto"/>
              <w:jc w:val="right"/>
              <w:rPr>
                <w:rFonts w:ascii="Calibri" w:eastAsia="Times New Roman" w:hAnsi="Calibri" w:cs="Calibri"/>
                <w:lang w:eastAsia="es-CR"/>
              </w:rPr>
            </w:pPr>
            <w:r w:rsidRPr="00570E8C">
              <w:rPr>
                <w:rFonts w:ascii="Calibri" w:eastAsia="Times New Roman" w:hAnsi="Calibri" w:cs="Calibri"/>
                <w:lang w:eastAsia="es-CR"/>
              </w:rPr>
              <w:t>925300000000</w:t>
            </w:r>
          </w:p>
        </w:tc>
        <w:tc>
          <w:tcPr>
            <w:tcW w:w="6871" w:type="dxa"/>
            <w:tcBorders>
              <w:top w:val="nil"/>
              <w:left w:val="nil"/>
              <w:bottom w:val="single" w:sz="4" w:space="0" w:color="auto"/>
              <w:right w:val="single" w:sz="4" w:space="0" w:color="auto"/>
            </w:tcBorders>
            <w:shd w:val="clear" w:color="000000" w:fill="FFFFFF"/>
            <w:noWrap/>
            <w:vAlign w:val="bottom"/>
            <w:hideMark/>
          </w:tcPr>
          <w:p w14:paraId="2958C16A" w14:textId="77777777" w:rsidR="00570E8C" w:rsidRPr="00570E8C" w:rsidRDefault="00570E8C" w:rsidP="00570E8C">
            <w:pPr>
              <w:spacing w:after="0" w:line="240" w:lineRule="auto"/>
              <w:rPr>
                <w:rFonts w:ascii="Arial" w:eastAsia="Times New Roman" w:hAnsi="Arial" w:cs="Arial"/>
                <w:color w:val="000000"/>
                <w:sz w:val="20"/>
                <w:szCs w:val="20"/>
                <w:lang w:eastAsia="es-CR"/>
              </w:rPr>
            </w:pPr>
            <w:r w:rsidRPr="00570E8C">
              <w:rPr>
                <w:rFonts w:ascii="Arial" w:eastAsia="Times New Roman" w:hAnsi="Arial" w:cs="Arial"/>
                <w:color w:val="000000"/>
                <w:sz w:val="20"/>
                <w:szCs w:val="20"/>
                <w:lang w:eastAsia="es-CR"/>
              </w:rPr>
              <w:t>Ganancia en la negociación de instrumentos financieros</w:t>
            </w:r>
          </w:p>
        </w:tc>
      </w:tr>
      <w:tr w:rsidR="00570E8C" w:rsidRPr="00570E8C" w14:paraId="0C063D1D" w14:textId="77777777" w:rsidTr="00581266">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31D05D56"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CO_FONDOS</w:t>
            </w:r>
          </w:p>
        </w:tc>
        <w:tc>
          <w:tcPr>
            <w:tcW w:w="1479" w:type="dxa"/>
            <w:tcBorders>
              <w:top w:val="nil"/>
              <w:left w:val="nil"/>
              <w:bottom w:val="single" w:sz="4" w:space="0" w:color="auto"/>
              <w:right w:val="single" w:sz="4" w:space="0" w:color="auto"/>
            </w:tcBorders>
            <w:shd w:val="clear" w:color="000000" w:fill="FFFFFF"/>
            <w:noWrap/>
            <w:vAlign w:val="bottom"/>
            <w:hideMark/>
          </w:tcPr>
          <w:p w14:paraId="21998017" w14:textId="77777777" w:rsidR="00570E8C" w:rsidRPr="00570E8C" w:rsidRDefault="00570E8C" w:rsidP="00570E8C">
            <w:pPr>
              <w:spacing w:after="0" w:line="240" w:lineRule="auto"/>
              <w:jc w:val="right"/>
              <w:rPr>
                <w:rFonts w:ascii="Calibri" w:eastAsia="Times New Roman" w:hAnsi="Calibri" w:cs="Calibri"/>
                <w:lang w:eastAsia="es-CR"/>
              </w:rPr>
            </w:pPr>
            <w:r w:rsidRPr="00570E8C">
              <w:rPr>
                <w:rFonts w:ascii="Calibri" w:eastAsia="Times New Roman" w:hAnsi="Calibri" w:cs="Calibri"/>
                <w:lang w:eastAsia="es-CR"/>
              </w:rPr>
              <w:t>925310000000</w:t>
            </w:r>
          </w:p>
        </w:tc>
        <w:tc>
          <w:tcPr>
            <w:tcW w:w="6871" w:type="dxa"/>
            <w:tcBorders>
              <w:top w:val="nil"/>
              <w:left w:val="nil"/>
              <w:bottom w:val="single" w:sz="4" w:space="0" w:color="auto"/>
              <w:right w:val="single" w:sz="4" w:space="0" w:color="auto"/>
            </w:tcBorders>
            <w:shd w:val="clear" w:color="000000" w:fill="FFFFFF"/>
            <w:noWrap/>
            <w:vAlign w:val="bottom"/>
            <w:hideMark/>
          </w:tcPr>
          <w:p w14:paraId="18D3AFA6" w14:textId="77777777" w:rsidR="00570E8C" w:rsidRPr="00570E8C" w:rsidRDefault="00570E8C" w:rsidP="00570E8C">
            <w:pPr>
              <w:spacing w:after="0" w:line="240" w:lineRule="auto"/>
              <w:rPr>
                <w:rFonts w:ascii="Arial" w:eastAsia="Times New Roman" w:hAnsi="Arial" w:cs="Arial"/>
                <w:color w:val="000000"/>
                <w:sz w:val="20"/>
                <w:szCs w:val="20"/>
                <w:lang w:eastAsia="es-CR"/>
              </w:rPr>
            </w:pPr>
            <w:r w:rsidRPr="00570E8C">
              <w:rPr>
                <w:rFonts w:ascii="Arial" w:eastAsia="Times New Roman" w:hAnsi="Arial" w:cs="Arial"/>
                <w:color w:val="000000"/>
                <w:sz w:val="20"/>
                <w:szCs w:val="20"/>
                <w:lang w:eastAsia="es-CR"/>
              </w:rPr>
              <w:t>Ganancia por venta de instrumentos financieros</w:t>
            </w:r>
          </w:p>
        </w:tc>
      </w:tr>
      <w:tr w:rsidR="00570E8C" w:rsidRPr="00570E8C" w14:paraId="1F2F23F1" w14:textId="77777777" w:rsidTr="00581266">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666331C9"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CO_FONDOS</w:t>
            </w:r>
          </w:p>
        </w:tc>
        <w:tc>
          <w:tcPr>
            <w:tcW w:w="1479" w:type="dxa"/>
            <w:tcBorders>
              <w:top w:val="nil"/>
              <w:left w:val="nil"/>
              <w:bottom w:val="single" w:sz="4" w:space="0" w:color="auto"/>
              <w:right w:val="single" w:sz="4" w:space="0" w:color="auto"/>
            </w:tcBorders>
            <w:shd w:val="clear" w:color="auto" w:fill="auto"/>
            <w:noWrap/>
            <w:vAlign w:val="bottom"/>
            <w:hideMark/>
          </w:tcPr>
          <w:p w14:paraId="0679EB54" w14:textId="77777777" w:rsidR="00570E8C" w:rsidRPr="00570E8C" w:rsidRDefault="00570E8C" w:rsidP="00570E8C">
            <w:pPr>
              <w:spacing w:after="0" w:line="240" w:lineRule="auto"/>
              <w:jc w:val="right"/>
              <w:rPr>
                <w:rFonts w:ascii="Calibri" w:eastAsia="Times New Roman" w:hAnsi="Calibri" w:cs="Calibri"/>
                <w:lang w:eastAsia="es-CR"/>
              </w:rPr>
            </w:pPr>
            <w:r w:rsidRPr="00570E8C">
              <w:rPr>
                <w:rFonts w:ascii="Calibri" w:eastAsia="Times New Roman" w:hAnsi="Calibri" w:cs="Calibri"/>
                <w:lang w:eastAsia="es-CR"/>
              </w:rPr>
              <w:t>954000000000</w:t>
            </w:r>
          </w:p>
        </w:tc>
        <w:tc>
          <w:tcPr>
            <w:tcW w:w="6871" w:type="dxa"/>
            <w:tcBorders>
              <w:top w:val="nil"/>
              <w:left w:val="nil"/>
              <w:bottom w:val="single" w:sz="4" w:space="0" w:color="auto"/>
              <w:right w:val="single" w:sz="4" w:space="0" w:color="auto"/>
            </w:tcBorders>
            <w:shd w:val="clear" w:color="auto" w:fill="auto"/>
            <w:noWrap/>
            <w:vAlign w:val="bottom"/>
            <w:hideMark/>
          </w:tcPr>
          <w:p w14:paraId="0E4599EF" w14:textId="77777777" w:rsidR="00570E8C" w:rsidRPr="00570E8C" w:rsidRDefault="00570E8C" w:rsidP="00570E8C">
            <w:pPr>
              <w:spacing w:after="0" w:line="240" w:lineRule="auto"/>
              <w:rPr>
                <w:rFonts w:ascii="Arial" w:eastAsia="Times New Roman" w:hAnsi="Arial" w:cs="Arial"/>
                <w:color w:val="000000"/>
                <w:sz w:val="20"/>
                <w:szCs w:val="20"/>
                <w:lang w:eastAsia="es-CR"/>
              </w:rPr>
            </w:pPr>
            <w:r w:rsidRPr="00570E8C">
              <w:rPr>
                <w:rFonts w:ascii="Arial" w:eastAsia="Times New Roman" w:hAnsi="Arial" w:cs="Arial"/>
                <w:color w:val="000000"/>
                <w:sz w:val="20"/>
                <w:szCs w:val="20"/>
                <w:lang w:eastAsia="es-CR"/>
              </w:rPr>
              <w:t>Ganancias por diferencial cambiario</w:t>
            </w:r>
          </w:p>
        </w:tc>
      </w:tr>
      <w:tr w:rsidR="00570E8C" w:rsidRPr="00570E8C" w14:paraId="3E5047D4" w14:textId="77777777" w:rsidTr="00581266">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6E829E47" w14:textId="77777777" w:rsidR="00570E8C" w:rsidRPr="00570E8C" w:rsidRDefault="00570E8C" w:rsidP="00570E8C">
            <w:pPr>
              <w:spacing w:after="0" w:line="240" w:lineRule="auto"/>
              <w:rPr>
                <w:rFonts w:ascii="Calibri" w:eastAsia="Times New Roman" w:hAnsi="Calibri" w:cs="Calibri"/>
                <w:lang w:eastAsia="es-CR"/>
              </w:rPr>
            </w:pPr>
            <w:r w:rsidRPr="00570E8C">
              <w:rPr>
                <w:rFonts w:ascii="Calibri" w:eastAsia="Times New Roman" w:hAnsi="Calibri" w:cs="Calibri"/>
                <w:lang w:eastAsia="es-CR"/>
              </w:rPr>
              <w:t>CO_FONDOS</w:t>
            </w:r>
          </w:p>
        </w:tc>
        <w:tc>
          <w:tcPr>
            <w:tcW w:w="1479" w:type="dxa"/>
            <w:tcBorders>
              <w:top w:val="nil"/>
              <w:left w:val="nil"/>
              <w:bottom w:val="single" w:sz="4" w:space="0" w:color="auto"/>
              <w:right w:val="single" w:sz="4" w:space="0" w:color="auto"/>
            </w:tcBorders>
            <w:shd w:val="clear" w:color="auto" w:fill="auto"/>
            <w:noWrap/>
            <w:vAlign w:val="bottom"/>
            <w:hideMark/>
          </w:tcPr>
          <w:p w14:paraId="23FEFFCF" w14:textId="77777777" w:rsidR="00570E8C" w:rsidRPr="00570E8C" w:rsidRDefault="00570E8C" w:rsidP="00570E8C">
            <w:pPr>
              <w:spacing w:after="0" w:line="240" w:lineRule="auto"/>
              <w:jc w:val="right"/>
              <w:rPr>
                <w:rFonts w:ascii="Calibri" w:eastAsia="Times New Roman" w:hAnsi="Calibri" w:cs="Calibri"/>
                <w:lang w:eastAsia="es-CR"/>
              </w:rPr>
            </w:pPr>
            <w:r w:rsidRPr="00570E8C">
              <w:rPr>
                <w:rFonts w:ascii="Calibri" w:eastAsia="Times New Roman" w:hAnsi="Calibri" w:cs="Calibri"/>
                <w:lang w:eastAsia="es-CR"/>
              </w:rPr>
              <w:t>925500000000</w:t>
            </w:r>
          </w:p>
        </w:tc>
        <w:tc>
          <w:tcPr>
            <w:tcW w:w="6871" w:type="dxa"/>
            <w:tcBorders>
              <w:top w:val="nil"/>
              <w:left w:val="nil"/>
              <w:bottom w:val="single" w:sz="4" w:space="0" w:color="auto"/>
              <w:right w:val="single" w:sz="4" w:space="0" w:color="auto"/>
            </w:tcBorders>
            <w:shd w:val="clear" w:color="auto" w:fill="auto"/>
            <w:noWrap/>
            <w:vAlign w:val="bottom"/>
            <w:hideMark/>
          </w:tcPr>
          <w:p w14:paraId="08A85EFA" w14:textId="77777777" w:rsidR="00570E8C" w:rsidRPr="00570E8C" w:rsidRDefault="00570E8C" w:rsidP="00570E8C">
            <w:pPr>
              <w:spacing w:after="0" w:line="240" w:lineRule="auto"/>
              <w:rPr>
                <w:rFonts w:ascii="Arial" w:eastAsia="Times New Roman" w:hAnsi="Arial" w:cs="Arial"/>
                <w:color w:val="000000"/>
                <w:sz w:val="20"/>
                <w:szCs w:val="20"/>
                <w:lang w:eastAsia="es-CR"/>
              </w:rPr>
            </w:pPr>
            <w:r w:rsidRPr="00570E8C">
              <w:rPr>
                <w:rFonts w:ascii="Arial" w:eastAsia="Times New Roman" w:hAnsi="Arial" w:cs="Arial"/>
                <w:color w:val="000000"/>
                <w:sz w:val="20"/>
                <w:szCs w:val="20"/>
                <w:lang w:eastAsia="es-CR"/>
              </w:rPr>
              <w:t>Otros ingresos</w:t>
            </w:r>
          </w:p>
        </w:tc>
      </w:tr>
    </w:tbl>
    <w:p w14:paraId="28E073E6" w14:textId="77777777" w:rsidR="00570E8C" w:rsidRPr="00570E8C" w:rsidRDefault="00570E8C" w:rsidP="00570E8C">
      <w:pPr>
        <w:ind w:left="720"/>
        <w:contextualSpacing/>
        <w:jc w:val="both"/>
        <w:rPr>
          <w:rFonts w:ascii="Arial" w:eastAsia="Calibri" w:hAnsi="Arial" w:cs="Arial"/>
          <w:color w:val="000000"/>
          <w:lang w:val="es-ES" w:eastAsia="es-CR"/>
        </w:rPr>
      </w:pPr>
    </w:p>
    <w:bookmarkStart w:id="0" w:name="_MON_1661089228"/>
    <w:bookmarkEnd w:id="0"/>
    <w:p w14:paraId="45CAF6E7" w14:textId="77777777" w:rsidR="00570E8C" w:rsidRPr="00570E8C" w:rsidRDefault="00417272" w:rsidP="00A40907">
      <w:pPr>
        <w:ind w:left="720"/>
        <w:contextualSpacing/>
        <w:jc w:val="center"/>
        <w:rPr>
          <w:rFonts w:ascii="Arial" w:eastAsia="Calibri" w:hAnsi="Arial" w:cs="Arial"/>
          <w:color w:val="000000"/>
          <w:lang w:val="es-ES" w:eastAsia="es-CR"/>
        </w:rPr>
      </w:pPr>
      <w:r w:rsidRPr="00570E8C">
        <w:rPr>
          <w:rFonts w:ascii="Arial" w:eastAsia="Calibri" w:hAnsi="Arial" w:cs="Arial"/>
          <w:color w:val="000000"/>
          <w:lang w:val="es-ES" w:eastAsia="es-CR"/>
        </w:rPr>
        <w:object w:dxaOrig="1533" w:dyaOrig="990" w14:anchorId="3FB7F5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pt" o:ole="">
            <v:imagedata r:id="rId11" o:title=""/>
          </v:shape>
          <o:OLEObject Type="Embed" ProgID="Excel.Sheet.12" ShapeID="_x0000_i1025" DrawAspect="Icon" ObjectID="_1691497931" r:id="rId12"/>
        </w:object>
      </w:r>
    </w:p>
    <w:p w14:paraId="498B5E13" w14:textId="77777777" w:rsidR="00570E8C" w:rsidRPr="00570E8C" w:rsidRDefault="00570E8C" w:rsidP="00570E8C">
      <w:pPr>
        <w:ind w:left="720"/>
        <w:contextualSpacing/>
        <w:jc w:val="both"/>
        <w:rPr>
          <w:rFonts w:ascii="Arial" w:eastAsia="Calibri" w:hAnsi="Arial" w:cs="Arial"/>
          <w:color w:val="000000"/>
          <w:lang w:val="es-ES" w:eastAsia="es-CR"/>
        </w:rPr>
      </w:pPr>
    </w:p>
    <w:p w14:paraId="02A4E795" w14:textId="77777777" w:rsidR="00570E8C" w:rsidRPr="00570E8C" w:rsidRDefault="00570E8C" w:rsidP="00570E8C">
      <w:pPr>
        <w:jc w:val="both"/>
        <w:rPr>
          <w:rFonts w:ascii="Arial" w:eastAsia="Calibri" w:hAnsi="Arial" w:cs="Arial"/>
          <w:lang w:val="es-ES"/>
        </w:rPr>
      </w:pPr>
      <w:r w:rsidRPr="00570E8C">
        <w:rPr>
          <w:rFonts w:ascii="Arial" w:eastAsia="Calibri" w:hAnsi="Arial" w:cs="Arial"/>
          <w:b/>
          <w:lang w:val="es-ES"/>
        </w:rPr>
        <w:t>Artículo 2.- Modificaciones</w:t>
      </w:r>
    </w:p>
    <w:p w14:paraId="0B54E918" w14:textId="77777777" w:rsidR="00570E8C" w:rsidRPr="005E17E0" w:rsidRDefault="00570E8C" w:rsidP="00570E8C">
      <w:pPr>
        <w:numPr>
          <w:ilvl w:val="0"/>
          <w:numId w:val="3"/>
        </w:numPr>
        <w:contextualSpacing/>
        <w:jc w:val="both"/>
        <w:rPr>
          <w:rFonts w:ascii="Arial" w:eastAsia="Calibri" w:hAnsi="Arial" w:cs="Arial"/>
          <w:b/>
          <w:lang w:val="es-ES"/>
        </w:rPr>
      </w:pPr>
      <w:r w:rsidRPr="00570E8C">
        <w:rPr>
          <w:rFonts w:ascii="Arial" w:eastAsia="Calibri" w:hAnsi="Arial" w:cs="Arial"/>
          <w:lang w:val="es-ES"/>
        </w:rPr>
        <w:t>Se modifica el medio de envío de la siguiente información:</w:t>
      </w:r>
    </w:p>
    <w:p w14:paraId="537EE668" w14:textId="77777777" w:rsidR="005E17E0" w:rsidRPr="00570E8C" w:rsidRDefault="005E17E0" w:rsidP="005E17E0">
      <w:pPr>
        <w:ind w:left="720"/>
        <w:contextualSpacing/>
        <w:jc w:val="both"/>
        <w:rPr>
          <w:rFonts w:ascii="Arial" w:eastAsia="Calibri" w:hAnsi="Arial" w:cs="Arial"/>
          <w:b/>
          <w:lang w:val="es-ES"/>
        </w:rPr>
      </w:pPr>
    </w:p>
    <w:tbl>
      <w:tblPr>
        <w:tblW w:w="9918" w:type="dxa"/>
        <w:jc w:val="center"/>
        <w:tblLayout w:type="fixed"/>
        <w:tblCellMar>
          <w:left w:w="70" w:type="dxa"/>
          <w:right w:w="70" w:type="dxa"/>
        </w:tblCellMar>
        <w:tblLook w:val="04A0" w:firstRow="1" w:lastRow="0" w:firstColumn="1" w:lastColumn="0" w:noHBand="0" w:noVBand="1"/>
      </w:tblPr>
      <w:tblGrid>
        <w:gridCol w:w="2972"/>
        <w:gridCol w:w="1843"/>
        <w:gridCol w:w="1276"/>
        <w:gridCol w:w="1275"/>
        <w:gridCol w:w="2552"/>
      </w:tblGrid>
      <w:tr w:rsidR="00570E8C" w:rsidRPr="00570E8C" w14:paraId="69984309" w14:textId="77777777" w:rsidTr="00581266">
        <w:trPr>
          <w:trHeight w:val="594"/>
          <w:tblHeader/>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A0674" w14:textId="77777777" w:rsidR="00570E8C" w:rsidRPr="00570E8C" w:rsidRDefault="00570E8C" w:rsidP="00570E8C">
            <w:pPr>
              <w:spacing w:after="0" w:line="240" w:lineRule="auto"/>
              <w:jc w:val="center"/>
              <w:rPr>
                <w:rFonts w:ascii="Arial" w:eastAsia="Times New Roman" w:hAnsi="Arial" w:cs="Arial"/>
                <w:b/>
                <w:bCs/>
                <w:lang w:eastAsia="es-CR"/>
              </w:rPr>
            </w:pPr>
            <w:r w:rsidRPr="00570E8C">
              <w:rPr>
                <w:rFonts w:ascii="Arial" w:eastAsia="Times New Roman" w:hAnsi="Arial" w:cs="Arial"/>
                <w:b/>
                <w:bCs/>
                <w:lang w:eastAsia="es-CR"/>
              </w:rPr>
              <w:t>Reporte</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6B6632A" w14:textId="77777777" w:rsidR="00570E8C" w:rsidRPr="00570E8C" w:rsidRDefault="00570E8C" w:rsidP="00570E8C">
            <w:pPr>
              <w:spacing w:after="0" w:line="240" w:lineRule="auto"/>
              <w:jc w:val="center"/>
              <w:rPr>
                <w:rFonts w:ascii="Arial" w:eastAsia="Times New Roman" w:hAnsi="Arial" w:cs="Arial"/>
                <w:b/>
                <w:bCs/>
                <w:lang w:eastAsia="es-CR"/>
              </w:rPr>
            </w:pPr>
            <w:r w:rsidRPr="00570E8C">
              <w:rPr>
                <w:rFonts w:ascii="Arial" w:eastAsia="Times New Roman" w:hAnsi="Arial" w:cs="Arial"/>
                <w:b/>
                <w:bCs/>
                <w:lang w:eastAsia="es-CR"/>
              </w:rPr>
              <w:t>Formato/Norma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E06FFA0" w14:textId="77777777" w:rsidR="00570E8C" w:rsidRPr="00570E8C" w:rsidRDefault="00570E8C" w:rsidP="00570E8C">
            <w:pPr>
              <w:spacing w:after="0" w:line="240" w:lineRule="auto"/>
              <w:jc w:val="center"/>
              <w:rPr>
                <w:rFonts w:ascii="Arial" w:eastAsia="Times New Roman" w:hAnsi="Arial" w:cs="Arial"/>
                <w:b/>
                <w:bCs/>
                <w:lang w:eastAsia="es-CR"/>
              </w:rPr>
            </w:pPr>
            <w:r w:rsidRPr="00570E8C">
              <w:rPr>
                <w:rFonts w:ascii="Arial" w:eastAsia="Times New Roman" w:hAnsi="Arial" w:cs="Arial"/>
                <w:b/>
                <w:bCs/>
                <w:lang w:eastAsia="es-CR"/>
              </w:rPr>
              <w:t>Medio de envío vigente</w:t>
            </w:r>
          </w:p>
        </w:tc>
        <w:tc>
          <w:tcPr>
            <w:tcW w:w="1275" w:type="dxa"/>
            <w:tcBorders>
              <w:top w:val="single" w:sz="4" w:space="0" w:color="auto"/>
              <w:left w:val="nil"/>
              <w:bottom w:val="single" w:sz="4" w:space="0" w:color="auto"/>
              <w:right w:val="single" w:sz="4" w:space="0" w:color="auto"/>
            </w:tcBorders>
          </w:tcPr>
          <w:p w14:paraId="0D896DE7" w14:textId="77777777" w:rsidR="00570E8C" w:rsidRPr="00570E8C" w:rsidRDefault="00570E8C" w:rsidP="00570E8C">
            <w:pPr>
              <w:spacing w:after="0" w:line="240" w:lineRule="auto"/>
              <w:jc w:val="center"/>
              <w:rPr>
                <w:rFonts w:ascii="Arial" w:eastAsia="Times New Roman" w:hAnsi="Arial" w:cs="Arial"/>
                <w:b/>
                <w:bCs/>
                <w:lang w:eastAsia="es-CR"/>
              </w:rPr>
            </w:pPr>
            <w:r w:rsidRPr="00570E8C">
              <w:rPr>
                <w:rFonts w:ascii="Arial" w:eastAsia="Times New Roman" w:hAnsi="Arial" w:cs="Arial"/>
                <w:b/>
                <w:bCs/>
                <w:lang w:eastAsia="es-CR"/>
              </w:rPr>
              <w:t>Medio de envío propuesto</w:t>
            </w:r>
          </w:p>
        </w:tc>
        <w:tc>
          <w:tcPr>
            <w:tcW w:w="2552" w:type="dxa"/>
            <w:tcBorders>
              <w:top w:val="single" w:sz="4" w:space="0" w:color="auto"/>
              <w:left w:val="nil"/>
              <w:bottom w:val="single" w:sz="4" w:space="0" w:color="auto"/>
              <w:right w:val="single" w:sz="4" w:space="0" w:color="auto"/>
            </w:tcBorders>
          </w:tcPr>
          <w:p w14:paraId="6C49E30C" w14:textId="77777777" w:rsidR="00570E8C" w:rsidRPr="00570E8C" w:rsidRDefault="00570E8C" w:rsidP="00570E8C">
            <w:pPr>
              <w:spacing w:after="0" w:line="240" w:lineRule="auto"/>
              <w:jc w:val="center"/>
              <w:rPr>
                <w:rFonts w:ascii="Arial" w:eastAsia="Times New Roman" w:hAnsi="Arial" w:cs="Arial"/>
                <w:b/>
                <w:bCs/>
                <w:lang w:eastAsia="es-CR"/>
              </w:rPr>
            </w:pPr>
            <w:r w:rsidRPr="00570E8C">
              <w:rPr>
                <w:rFonts w:ascii="Arial" w:eastAsia="Times New Roman" w:hAnsi="Arial" w:cs="Arial"/>
                <w:b/>
                <w:bCs/>
                <w:lang w:eastAsia="es-CR"/>
              </w:rPr>
              <w:t>Notas Aclaratorias</w:t>
            </w:r>
          </w:p>
        </w:tc>
      </w:tr>
      <w:tr w:rsidR="00570E8C" w:rsidRPr="00570E8C" w14:paraId="474A9371" w14:textId="77777777" w:rsidTr="00581266">
        <w:trPr>
          <w:trHeight w:val="1725"/>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09DE5" w14:textId="77777777" w:rsidR="00570E8C" w:rsidRPr="00570E8C" w:rsidRDefault="00570E8C" w:rsidP="00570E8C">
            <w:pPr>
              <w:spacing w:after="0" w:line="240" w:lineRule="auto"/>
              <w:rPr>
                <w:rFonts w:ascii="Arial" w:eastAsia="Times New Roman" w:hAnsi="Arial" w:cs="Arial"/>
                <w:b/>
                <w:lang w:eastAsia="es-CR"/>
              </w:rPr>
            </w:pPr>
            <w:r w:rsidRPr="00570E8C">
              <w:rPr>
                <w:rFonts w:ascii="Arial" w:eastAsia="Times New Roman" w:hAnsi="Arial" w:cs="Arial"/>
                <w:b/>
                <w:lang w:eastAsia="es-CR"/>
              </w:rPr>
              <w:t>Estados financieros auditados de:</w:t>
            </w:r>
          </w:p>
          <w:p w14:paraId="5CC603B3" w14:textId="77777777" w:rsidR="00570E8C" w:rsidRPr="00570E8C" w:rsidRDefault="00570E8C" w:rsidP="00570E8C">
            <w:pPr>
              <w:numPr>
                <w:ilvl w:val="0"/>
                <w:numId w:val="2"/>
              </w:numPr>
              <w:spacing w:after="0" w:line="240" w:lineRule="auto"/>
              <w:contextualSpacing/>
              <w:rPr>
                <w:rFonts w:ascii="Arial" w:eastAsia="Times New Roman" w:hAnsi="Arial" w:cs="Arial"/>
                <w:lang w:eastAsia="es-CR"/>
              </w:rPr>
            </w:pPr>
            <w:r w:rsidRPr="00570E8C">
              <w:rPr>
                <w:rFonts w:ascii="Arial" w:eastAsia="Times New Roman" w:hAnsi="Arial" w:cs="Arial"/>
                <w:lang w:eastAsia="es-CR"/>
              </w:rPr>
              <w:t>Emisores</w:t>
            </w:r>
          </w:p>
          <w:p w14:paraId="3388DBFF" w14:textId="77777777" w:rsidR="00570E8C" w:rsidRPr="00570E8C" w:rsidRDefault="00570E8C" w:rsidP="00570E8C">
            <w:pPr>
              <w:numPr>
                <w:ilvl w:val="0"/>
                <w:numId w:val="2"/>
              </w:numPr>
              <w:spacing w:after="0" w:line="240" w:lineRule="auto"/>
              <w:contextualSpacing/>
              <w:rPr>
                <w:rFonts w:ascii="Arial" w:eastAsia="Times New Roman" w:hAnsi="Arial" w:cs="Arial"/>
                <w:lang w:eastAsia="es-CR"/>
              </w:rPr>
            </w:pPr>
            <w:r w:rsidRPr="00570E8C">
              <w:rPr>
                <w:rFonts w:ascii="Arial" w:eastAsia="Times New Roman" w:hAnsi="Arial" w:cs="Arial"/>
                <w:lang w:eastAsia="es-CR"/>
              </w:rPr>
              <w:t>Fideicomisos de garantía</w:t>
            </w:r>
          </w:p>
          <w:p w14:paraId="246C83AE" w14:textId="77777777" w:rsidR="00570E8C" w:rsidRPr="00570E8C" w:rsidRDefault="00570E8C" w:rsidP="00570E8C">
            <w:pPr>
              <w:numPr>
                <w:ilvl w:val="0"/>
                <w:numId w:val="2"/>
              </w:numPr>
              <w:spacing w:after="0" w:line="240" w:lineRule="auto"/>
              <w:contextualSpacing/>
              <w:rPr>
                <w:rFonts w:ascii="Arial" w:eastAsia="Times New Roman" w:hAnsi="Arial" w:cs="Arial"/>
                <w:lang w:eastAsia="es-CR"/>
              </w:rPr>
            </w:pPr>
            <w:r w:rsidRPr="00570E8C">
              <w:rPr>
                <w:rFonts w:ascii="Arial" w:eastAsia="Times New Roman" w:hAnsi="Arial" w:cs="Arial"/>
                <w:lang w:eastAsia="es-CR"/>
              </w:rPr>
              <w:t>Grupos Financieros</w:t>
            </w:r>
          </w:p>
          <w:p w14:paraId="72046CF8" w14:textId="77777777" w:rsidR="00570E8C" w:rsidRPr="00570E8C" w:rsidRDefault="00570E8C" w:rsidP="00570E8C">
            <w:pPr>
              <w:numPr>
                <w:ilvl w:val="0"/>
                <w:numId w:val="2"/>
              </w:numPr>
              <w:spacing w:after="0" w:line="240" w:lineRule="auto"/>
              <w:contextualSpacing/>
              <w:rPr>
                <w:rFonts w:ascii="Arial" w:eastAsia="Times New Roman" w:hAnsi="Arial" w:cs="Arial"/>
                <w:lang w:eastAsia="es-CR"/>
              </w:rPr>
            </w:pPr>
            <w:r w:rsidRPr="00570E8C">
              <w:rPr>
                <w:rFonts w:ascii="Arial" w:eastAsia="Times New Roman" w:hAnsi="Arial" w:cs="Arial"/>
                <w:lang w:eastAsia="es-CR"/>
              </w:rPr>
              <w:t>Puestos de Bolsa</w:t>
            </w:r>
          </w:p>
          <w:p w14:paraId="2ED5603A" w14:textId="77777777" w:rsidR="00570E8C" w:rsidRPr="00570E8C" w:rsidRDefault="00570E8C" w:rsidP="00570E8C">
            <w:pPr>
              <w:numPr>
                <w:ilvl w:val="0"/>
                <w:numId w:val="2"/>
              </w:numPr>
              <w:spacing w:after="0" w:line="240" w:lineRule="auto"/>
              <w:contextualSpacing/>
              <w:rPr>
                <w:rFonts w:ascii="Arial" w:eastAsia="Times New Roman" w:hAnsi="Arial" w:cs="Arial"/>
                <w:lang w:eastAsia="es-CR"/>
              </w:rPr>
            </w:pPr>
            <w:r w:rsidRPr="00570E8C">
              <w:rPr>
                <w:rFonts w:ascii="Arial" w:eastAsia="Times New Roman" w:hAnsi="Arial" w:cs="Arial"/>
                <w:lang w:eastAsia="es-CR"/>
              </w:rPr>
              <w:t xml:space="preserve">Sociedades Administradoras de Fondos de Inversión </w:t>
            </w:r>
            <w:r w:rsidRPr="00570E8C">
              <w:rPr>
                <w:rFonts w:ascii="Arial" w:eastAsia="Times New Roman" w:hAnsi="Arial" w:cs="Arial"/>
                <w:lang w:eastAsia="es-CR"/>
              </w:rPr>
              <w:lastRenderedPageBreak/>
              <w:t>y Fondos de Inversión</w:t>
            </w:r>
          </w:p>
          <w:p w14:paraId="4AD96DE8" w14:textId="77777777" w:rsidR="00570E8C" w:rsidRPr="00570E8C" w:rsidRDefault="00570E8C" w:rsidP="00570E8C">
            <w:pPr>
              <w:numPr>
                <w:ilvl w:val="0"/>
                <w:numId w:val="2"/>
              </w:numPr>
              <w:spacing w:after="0" w:line="240" w:lineRule="auto"/>
              <w:contextualSpacing/>
              <w:rPr>
                <w:rFonts w:ascii="Arial" w:eastAsia="Times New Roman" w:hAnsi="Arial" w:cs="Arial"/>
                <w:lang w:eastAsia="es-CR"/>
              </w:rPr>
            </w:pPr>
            <w:r w:rsidRPr="00570E8C">
              <w:rPr>
                <w:rFonts w:ascii="Arial" w:eastAsia="Times New Roman" w:hAnsi="Arial" w:cs="Arial"/>
                <w:lang w:eastAsia="es-CR"/>
              </w:rPr>
              <w:t>Sociedades Fiduciarias, Titularizadoras y Universalidades</w:t>
            </w:r>
          </w:p>
          <w:p w14:paraId="125A3925" w14:textId="77777777" w:rsidR="00570E8C" w:rsidRPr="00570E8C" w:rsidRDefault="00570E8C" w:rsidP="00570E8C">
            <w:pPr>
              <w:numPr>
                <w:ilvl w:val="0"/>
                <w:numId w:val="2"/>
              </w:numPr>
              <w:spacing w:after="0" w:line="240" w:lineRule="auto"/>
              <w:contextualSpacing/>
              <w:rPr>
                <w:rFonts w:ascii="Arial" w:eastAsia="Times New Roman" w:hAnsi="Arial" w:cs="Arial"/>
                <w:lang w:eastAsia="es-CR"/>
              </w:rPr>
            </w:pPr>
            <w:r w:rsidRPr="00570E8C">
              <w:rPr>
                <w:rFonts w:ascii="Arial" w:eastAsia="Times New Roman" w:hAnsi="Arial" w:cs="Arial"/>
                <w:lang w:eastAsia="es-CR"/>
              </w:rPr>
              <w:t>Bolsas de valores, Centrales de valores y Calificadoras de riesgo</w:t>
            </w:r>
          </w:p>
          <w:p w14:paraId="2A4F0E72" w14:textId="77777777" w:rsidR="00570E8C" w:rsidRPr="00570E8C" w:rsidRDefault="00570E8C" w:rsidP="00570E8C">
            <w:pPr>
              <w:numPr>
                <w:ilvl w:val="0"/>
                <w:numId w:val="2"/>
              </w:numPr>
              <w:spacing w:after="0" w:line="240" w:lineRule="auto"/>
              <w:contextualSpacing/>
              <w:rPr>
                <w:rFonts w:ascii="Arial" w:eastAsia="Times New Roman" w:hAnsi="Arial" w:cs="Arial"/>
                <w:lang w:eastAsia="es-CR"/>
              </w:rPr>
            </w:pPr>
            <w:r w:rsidRPr="00570E8C">
              <w:rPr>
                <w:rFonts w:ascii="Arial" w:eastAsia="Times New Roman" w:hAnsi="Arial" w:cs="Arial"/>
                <w:lang w:eastAsia="es-CR"/>
              </w:rPr>
              <w:t>Proveedores de Precios</w:t>
            </w:r>
          </w:p>
          <w:p w14:paraId="35E9E243" w14:textId="77777777" w:rsidR="00570E8C" w:rsidRPr="00570E8C" w:rsidRDefault="00570E8C" w:rsidP="00570E8C">
            <w:pPr>
              <w:numPr>
                <w:ilvl w:val="0"/>
                <w:numId w:val="2"/>
              </w:numPr>
              <w:spacing w:after="0" w:line="240" w:lineRule="auto"/>
              <w:contextualSpacing/>
              <w:rPr>
                <w:rFonts w:ascii="Arial" w:eastAsia="Times New Roman" w:hAnsi="Arial" w:cs="Arial"/>
                <w:lang w:eastAsia="es-CR"/>
              </w:rPr>
            </w:pPr>
            <w:r w:rsidRPr="00570E8C">
              <w:rPr>
                <w:rFonts w:ascii="Arial" w:eastAsia="Times New Roman" w:hAnsi="Arial" w:cs="Arial"/>
                <w:lang w:eastAsia="es-CR"/>
              </w:rPr>
              <w:t>Universalidades</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899FCAE" w14:textId="77777777" w:rsidR="00570E8C" w:rsidRPr="00570E8C" w:rsidRDefault="00570E8C" w:rsidP="00570E8C">
            <w:pPr>
              <w:spacing w:after="0" w:line="240" w:lineRule="auto"/>
              <w:jc w:val="center"/>
              <w:rPr>
                <w:rFonts w:ascii="Arial" w:eastAsia="Times New Roman" w:hAnsi="Arial" w:cs="Arial"/>
                <w:lang w:eastAsia="es-CR"/>
              </w:rPr>
            </w:pPr>
            <w:r w:rsidRPr="00570E8C">
              <w:rPr>
                <w:rFonts w:ascii="Arial" w:eastAsia="Times New Roman" w:hAnsi="Arial" w:cs="Arial"/>
                <w:lang w:eastAsia="es-CR"/>
              </w:rPr>
              <w:lastRenderedPageBreak/>
              <w:t>Reglamento de Información Financiera</w:t>
            </w:r>
          </w:p>
          <w:p w14:paraId="767F7EF7" w14:textId="77777777" w:rsidR="00570E8C" w:rsidRPr="00570E8C" w:rsidRDefault="00570E8C" w:rsidP="00570E8C">
            <w:pPr>
              <w:spacing w:after="0" w:line="240" w:lineRule="auto"/>
              <w:jc w:val="center"/>
              <w:rPr>
                <w:rFonts w:ascii="Arial" w:eastAsia="Times New Roman" w:hAnsi="Arial" w:cs="Arial"/>
                <w:lang w:eastAsia="es-CR"/>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436CF2E" w14:textId="77777777" w:rsidR="00570E8C" w:rsidRPr="00570E8C" w:rsidRDefault="00570E8C" w:rsidP="00570E8C">
            <w:pPr>
              <w:spacing w:after="0" w:line="240" w:lineRule="auto"/>
              <w:jc w:val="center"/>
              <w:rPr>
                <w:rFonts w:ascii="Arial" w:eastAsia="Times New Roman" w:hAnsi="Arial" w:cs="Arial"/>
                <w:lang w:eastAsia="es-CR"/>
              </w:rPr>
            </w:pPr>
            <w:r w:rsidRPr="00570E8C">
              <w:rPr>
                <w:rFonts w:ascii="Arial" w:eastAsia="Times New Roman" w:hAnsi="Arial" w:cs="Arial"/>
                <w:lang w:eastAsia="es-CR"/>
              </w:rPr>
              <w:t>Papel</w:t>
            </w:r>
          </w:p>
        </w:tc>
        <w:tc>
          <w:tcPr>
            <w:tcW w:w="1275" w:type="dxa"/>
            <w:tcBorders>
              <w:top w:val="single" w:sz="4" w:space="0" w:color="auto"/>
              <w:left w:val="nil"/>
              <w:bottom w:val="single" w:sz="4" w:space="0" w:color="auto"/>
              <w:right w:val="single" w:sz="4" w:space="0" w:color="auto"/>
            </w:tcBorders>
            <w:vAlign w:val="center"/>
          </w:tcPr>
          <w:p w14:paraId="15B6DE85" w14:textId="77777777" w:rsidR="00570E8C" w:rsidRPr="00570E8C" w:rsidRDefault="00570E8C" w:rsidP="00570E8C">
            <w:pPr>
              <w:spacing w:after="0" w:line="240" w:lineRule="auto"/>
              <w:jc w:val="center"/>
              <w:rPr>
                <w:rFonts w:ascii="Arial" w:eastAsia="Times New Roman" w:hAnsi="Arial" w:cs="Arial"/>
                <w:lang w:eastAsia="es-CR"/>
              </w:rPr>
            </w:pPr>
            <w:r w:rsidRPr="00570E8C">
              <w:rPr>
                <w:rFonts w:ascii="Arial" w:eastAsia="Times New Roman" w:hAnsi="Arial" w:cs="Arial"/>
                <w:lang w:eastAsia="es-CR"/>
              </w:rPr>
              <w:t>Sistema Ingresador</w:t>
            </w:r>
          </w:p>
        </w:tc>
        <w:tc>
          <w:tcPr>
            <w:tcW w:w="2552" w:type="dxa"/>
            <w:tcBorders>
              <w:top w:val="single" w:sz="4" w:space="0" w:color="auto"/>
              <w:left w:val="nil"/>
              <w:bottom w:val="single" w:sz="4" w:space="0" w:color="auto"/>
              <w:right w:val="single" w:sz="4" w:space="0" w:color="auto"/>
            </w:tcBorders>
          </w:tcPr>
          <w:p w14:paraId="238360BF" w14:textId="77777777" w:rsidR="00570E8C" w:rsidRPr="00570E8C" w:rsidRDefault="00570E8C" w:rsidP="00570E8C">
            <w:pPr>
              <w:spacing w:after="0" w:line="240" w:lineRule="auto"/>
              <w:jc w:val="both"/>
              <w:rPr>
                <w:rFonts w:ascii="Arial" w:eastAsia="Times New Roman" w:hAnsi="Arial" w:cs="Arial"/>
                <w:lang w:eastAsia="es-CR"/>
              </w:rPr>
            </w:pPr>
            <w:r w:rsidRPr="00570E8C">
              <w:rPr>
                <w:rFonts w:ascii="Arial" w:eastAsia="Times New Roman" w:hAnsi="Arial" w:cs="Arial"/>
                <w:b/>
                <w:lang w:eastAsia="es-CR"/>
              </w:rPr>
              <w:t>Deberán remitirse en un documento firmado digitalmente por</w:t>
            </w:r>
            <w:r w:rsidRPr="00570E8C">
              <w:rPr>
                <w:rFonts w:ascii="Arial" w:eastAsia="Times New Roman" w:hAnsi="Arial" w:cs="Arial"/>
                <w:lang w:eastAsia="es-CR"/>
              </w:rPr>
              <w:t>:</w:t>
            </w:r>
          </w:p>
          <w:p w14:paraId="02233D5B" w14:textId="77777777" w:rsidR="00570E8C" w:rsidRPr="00570E8C" w:rsidRDefault="00570E8C" w:rsidP="00570E8C">
            <w:pPr>
              <w:spacing w:after="0" w:line="240" w:lineRule="auto"/>
              <w:jc w:val="both"/>
              <w:rPr>
                <w:rFonts w:ascii="Arial" w:eastAsia="Times New Roman" w:hAnsi="Arial" w:cs="Arial"/>
                <w:lang w:eastAsia="es-CR"/>
              </w:rPr>
            </w:pPr>
          </w:p>
          <w:p w14:paraId="1CF587DB" w14:textId="77777777" w:rsidR="00570E8C" w:rsidRPr="00570E8C" w:rsidRDefault="00570E8C" w:rsidP="00570E8C">
            <w:pPr>
              <w:numPr>
                <w:ilvl w:val="0"/>
                <w:numId w:val="6"/>
              </w:numPr>
              <w:spacing w:after="0" w:line="240" w:lineRule="auto"/>
              <w:contextualSpacing/>
              <w:jc w:val="both"/>
              <w:rPr>
                <w:rFonts w:ascii="Arial" w:eastAsia="Times New Roman" w:hAnsi="Arial" w:cs="Arial"/>
                <w:lang w:eastAsia="es-CR"/>
              </w:rPr>
            </w:pPr>
            <w:r w:rsidRPr="00570E8C">
              <w:rPr>
                <w:rFonts w:ascii="Arial" w:eastAsia="Times New Roman" w:hAnsi="Arial" w:cs="Arial"/>
                <w:lang w:eastAsia="es-CR"/>
              </w:rPr>
              <w:t>Auditor Externo</w:t>
            </w:r>
          </w:p>
          <w:p w14:paraId="12698E17" w14:textId="77777777" w:rsidR="00570E8C" w:rsidRPr="00570E8C" w:rsidRDefault="00570E8C" w:rsidP="00570E8C">
            <w:pPr>
              <w:numPr>
                <w:ilvl w:val="0"/>
                <w:numId w:val="4"/>
              </w:numPr>
              <w:spacing w:after="0" w:line="240" w:lineRule="auto"/>
              <w:contextualSpacing/>
              <w:rPr>
                <w:rFonts w:ascii="Arial" w:eastAsia="Times New Roman" w:hAnsi="Arial" w:cs="Arial"/>
                <w:lang w:eastAsia="es-CR"/>
              </w:rPr>
            </w:pPr>
            <w:r w:rsidRPr="00570E8C">
              <w:rPr>
                <w:rFonts w:ascii="Arial" w:eastAsia="Times New Roman" w:hAnsi="Arial" w:cs="Arial"/>
                <w:lang w:eastAsia="es-CR"/>
              </w:rPr>
              <w:t>Los responsables de la entidad.</w:t>
            </w:r>
          </w:p>
          <w:p w14:paraId="767CD54E" w14:textId="77777777" w:rsidR="00570E8C" w:rsidRPr="00570E8C" w:rsidRDefault="00570E8C" w:rsidP="00570E8C">
            <w:pPr>
              <w:spacing w:after="0" w:line="240" w:lineRule="auto"/>
              <w:ind w:left="360"/>
              <w:contextualSpacing/>
              <w:rPr>
                <w:rFonts w:ascii="Arial" w:eastAsia="Times New Roman" w:hAnsi="Arial" w:cs="Arial"/>
                <w:lang w:eastAsia="es-CR"/>
              </w:rPr>
            </w:pPr>
          </w:p>
          <w:p w14:paraId="2E100015" w14:textId="77777777" w:rsidR="00570E8C" w:rsidRPr="00570E8C" w:rsidRDefault="00570E8C" w:rsidP="00570E8C">
            <w:pPr>
              <w:spacing w:after="0" w:line="240" w:lineRule="auto"/>
              <w:jc w:val="both"/>
              <w:rPr>
                <w:rFonts w:ascii="Arial" w:eastAsia="Times New Roman" w:hAnsi="Arial" w:cs="Arial"/>
                <w:lang w:eastAsia="es-CR"/>
              </w:rPr>
            </w:pPr>
          </w:p>
          <w:p w14:paraId="36DFEB17" w14:textId="77777777" w:rsidR="00570E8C" w:rsidRPr="00570E8C" w:rsidRDefault="00570E8C" w:rsidP="00570E8C">
            <w:pPr>
              <w:spacing w:after="0" w:line="240" w:lineRule="auto"/>
              <w:jc w:val="both"/>
              <w:rPr>
                <w:rFonts w:ascii="Arial" w:eastAsia="Times New Roman" w:hAnsi="Arial" w:cs="Arial"/>
                <w:lang w:eastAsia="es-CR"/>
              </w:rPr>
            </w:pPr>
            <w:bookmarkStart w:id="1" w:name="_Hlk51916044"/>
            <w:r w:rsidRPr="00570E8C">
              <w:rPr>
                <w:rFonts w:ascii="Arial" w:eastAsia="Times New Roman" w:hAnsi="Arial" w:cs="Arial"/>
                <w:lang w:eastAsia="es-CR"/>
              </w:rPr>
              <w:t xml:space="preserve">Los estados financieros podrán recibirse en </w:t>
            </w:r>
            <w:r w:rsidRPr="00570E8C">
              <w:rPr>
                <w:rFonts w:ascii="Arial" w:eastAsia="Times New Roman" w:hAnsi="Arial" w:cs="Arial"/>
                <w:lang w:eastAsia="es-CR"/>
              </w:rPr>
              <w:lastRenderedPageBreak/>
              <w:t>papel únicamente cuando las firmas de los responsables por la entidad sean extranjeros.</w:t>
            </w:r>
            <w:bookmarkEnd w:id="1"/>
          </w:p>
        </w:tc>
      </w:tr>
      <w:tr w:rsidR="00570E8C" w:rsidRPr="00570E8C" w14:paraId="010990D5" w14:textId="77777777" w:rsidTr="00581266">
        <w:trPr>
          <w:trHeight w:val="1725"/>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130737D6" w14:textId="77777777" w:rsidR="00570E8C" w:rsidRPr="00570E8C" w:rsidRDefault="00570E8C" w:rsidP="00570E8C">
            <w:pPr>
              <w:spacing w:after="0" w:line="240" w:lineRule="auto"/>
              <w:rPr>
                <w:rFonts w:ascii="Arial" w:eastAsia="Times New Roman" w:hAnsi="Arial" w:cs="Arial"/>
                <w:b/>
                <w:lang w:eastAsia="es-CR"/>
              </w:rPr>
            </w:pPr>
            <w:r w:rsidRPr="00570E8C">
              <w:rPr>
                <w:rFonts w:ascii="Arial" w:eastAsia="Times New Roman" w:hAnsi="Arial" w:cs="Arial"/>
                <w:b/>
                <w:lang w:eastAsia="es-CR"/>
              </w:rPr>
              <w:lastRenderedPageBreak/>
              <w:t>Carta de Gerencia y</w:t>
            </w:r>
            <w:r w:rsidRPr="00570E8C">
              <w:rPr>
                <w:rFonts w:ascii="Arial" w:eastAsia="Calibri" w:hAnsi="Arial" w:cs="Times New Roman"/>
                <w:lang w:val="es-ES"/>
              </w:rPr>
              <w:t xml:space="preserve"> </w:t>
            </w:r>
            <w:r w:rsidRPr="00570E8C">
              <w:rPr>
                <w:rFonts w:ascii="Arial" w:eastAsia="Times New Roman" w:hAnsi="Arial" w:cs="Arial"/>
                <w:b/>
                <w:lang w:eastAsia="es-CR"/>
              </w:rPr>
              <w:t>otras comunicaciones del auditor externo.</w:t>
            </w:r>
          </w:p>
          <w:p w14:paraId="16F5C1CB" w14:textId="77777777" w:rsidR="00570E8C" w:rsidRPr="00570E8C" w:rsidRDefault="00570E8C" w:rsidP="00570E8C">
            <w:pPr>
              <w:spacing w:after="0" w:line="240" w:lineRule="auto"/>
              <w:rPr>
                <w:rFonts w:ascii="Arial" w:eastAsia="Times New Roman" w:hAnsi="Arial" w:cs="Arial"/>
                <w:b/>
                <w:lang w:eastAsia="es-CR"/>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6D18534C" w14:textId="77777777" w:rsidR="00570E8C" w:rsidRPr="00570E8C" w:rsidRDefault="00570E8C" w:rsidP="00570E8C">
            <w:pPr>
              <w:spacing w:after="0" w:line="240" w:lineRule="auto"/>
              <w:jc w:val="center"/>
              <w:rPr>
                <w:rFonts w:ascii="Arial" w:eastAsia="Times New Roman" w:hAnsi="Arial" w:cs="Arial"/>
                <w:lang w:eastAsia="es-CR"/>
              </w:rPr>
            </w:pPr>
            <w:r w:rsidRPr="00570E8C">
              <w:rPr>
                <w:rFonts w:ascii="Arial" w:eastAsia="Times New Roman" w:hAnsi="Arial" w:cs="Arial"/>
                <w:lang w:eastAsia="es-CR"/>
              </w:rPr>
              <w:t xml:space="preserve">Reglamento General de Auditores Externos </w:t>
            </w:r>
          </w:p>
          <w:p w14:paraId="5940808C" w14:textId="77777777" w:rsidR="00570E8C" w:rsidRPr="00570E8C" w:rsidRDefault="00570E8C" w:rsidP="00570E8C">
            <w:pPr>
              <w:spacing w:after="0" w:line="240" w:lineRule="auto"/>
              <w:jc w:val="center"/>
              <w:rPr>
                <w:rFonts w:ascii="Arial" w:eastAsia="Times New Roman" w:hAnsi="Arial" w:cs="Arial"/>
                <w:lang w:eastAsia="es-CR"/>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A90511B" w14:textId="77777777" w:rsidR="00570E8C" w:rsidRPr="00570E8C" w:rsidRDefault="00570E8C" w:rsidP="00570E8C">
            <w:pPr>
              <w:spacing w:after="0" w:line="240" w:lineRule="auto"/>
              <w:jc w:val="center"/>
              <w:rPr>
                <w:rFonts w:ascii="Arial" w:eastAsia="Times New Roman" w:hAnsi="Arial" w:cs="Arial"/>
                <w:lang w:eastAsia="es-CR"/>
              </w:rPr>
            </w:pPr>
            <w:r w:rsidRPr="00570E8C">
              <w:rPr>
                <w:rFonts w:ascii="Arial" w:eastAsia="Times New Roman" w:hAnsi="Arial" w:cs="Arial"/>
                <w:lang w:eastAsia="es-CR"/>
              </w:rPr>
              <w:t>Papel</w:t>
            </w:r>
          </w:p>
        </w:tc>
        <w:tc>
          <w:tcPr>
            <w:tcW w:w="1275" w:type="dxa"/>
            <w:tcBorders>
              <w:top w:val="single" w:sz="4" w:space="0" w:color="auto"/>
              <w:left w:val="nil"/>
              <w:bottom w:val="single" w:sz="4" w:space="0" w:color="auto"/>
              <w:right w:val="single" w:sz="4" w:space="0" w:color="auto"/>
            </w:tcBorders>
          </w:tcPr>
          <w:p w14:paraId="2D842EE9" w14:textId="77777777" w:rsidR="00570E8C" w:rsidRPr="00570E8C" w:rsidRDefault="00570E8C" w:rsidP="00570E8C">
            <w:pPr>
              <w:spacing w:after="0" w:line="240" w:lineRule="auto"/>
              <w:jc w:val="center"/>
              <w:rPr>
                <w:rFonts w:ascii="Arial" w:eastAsia="Times New Roman" w:hAnsi="Arial" w:cs="Arial"/>
                <w:lang w:eastAsia="es-CR"/>
              </w:rPr>
            </w:pPr>
          </w:p>
          <w:p w14:paraId="430859AA" w14:textId="77777777" w:rsidR="00570E8C" w:rsidRPr="00570E8C" w:rsidRDefault="00570E8C" w:rsidP="00570E8C">
            <w:pPr>
              <w:spacing w:after="0" w:line="240" w:lineRule="auto"/>
              <w:jc w:val="center"/>
              <w:rPr>
                <w:rFonts w:ascii="Arial" w:eastAsia="Times New Roman" w:hAnsi="Arial" w:cs="Arial"/>
                <w:lang w:eastAsia="es-CR"/>
              </w:rPr>
            </w:pPr>
          </w:p>
          <w:p w14:paraId="3264B15D" w14:textId="77777777" w:rsidR="00570E8C" w:rsidRPr="00570E8C" w:rsidRDefault="00570E8C" w:rsidP="00570E8C">
            <w:pPr>
              <w:spacing w:after="0" w:line="240" w:lineRule="auto"/>
              <w:jc w:val="center"/>
              <w:rPr>
                <w:rFonts w:ascii="Arial" w:eastAsia="Times New Roman" w:hAnsi="Arial" w:cs="Arial"/>
                <w:lang w:eastAsia="es-CR"/>
              </w:rPr>
            </w:pPr>
          </w:p>
          <w:p w14:paraId="5BF5181F" w14:textId="77777777" w:rsidR="00570E8C" w:rsidRPr="00570E8C" w:rsidRDefault="00570E8C" w:rsidP="00570E8C">
            <w:pPr>
              <w:spacing w:after="0" w:line="240" w:lineRule="auto"/>
              <w:jc w:val="center"/>
              <w:rPr>
                <w:rFonts w:ascii="Arial" w:eastAsia="Times New Roman" w:hAnsi="Arial" w:cs="Arial"/>
                <w:lang w:eastAsia="es-CR"/>
              </w:rPr>
            </w:pPr>
          </w:p>
          <w:p w14:paraId="64AB4735" w14:textId="77777777" w:rsidR="00570E8C" w:rsidRPr="00570E8C" w:rsidRDefault="00570E8C" w:rsidP="00570E8C">
            <w:pPr>
              <w:spacing w:after="0" w:line="240" w:lineRule="auto"/>
              <w:jc w:val="center"/>
              <w:rPr>
                <w:rFonts w:ascii="Arial" w:eastAsia="Times New Roman" w:hAnsi="Arial" w:cs="Arial"/>
                <w:lang w:eastAsia="es-CR"/>
              </w:rPr>
            </w:pPr>
          </w:p>
          <w:p w14:paraId="19D7B651" w14:textId="77777777" w:rsidR="00570E8C" w:rsidRPr="00570E8C" w:rsidRDefault="00570E8C" w:rsidP="00570E8C">
            <w:pPr>
              <w:spacing w:after="0" w:line="240" w:lineRule="auto"/>
              <w:jc w:val="center"/>
              <w:rPr>
                <w:rFonts w:ascii="Arial" w:eastAsia="Times New Roman" w:hAnsi="Arial" w:cs="Arial"/>
                <w:lang w:eastAsia="es-CR"/>
              </w:rPr>
            </w:pPr>
          </w:p>
          <w:p w14:paraId="0379F0C9" w14:textId="77777777" w:rsidR="00570E8C" w:rsidRPr="00570E8C" w:rsidRDefault="00570E8C" w:rsidP="00570E8C">
            <w:pPr>
              <w:spacing w:after="0" w:line="240" w:lineRule="auto"/>
              <w:jc w:val="center"/>
              <w:rPr>
                <w:rFonts w:ascii="Arial" w:eastAsia="Times New Roman" w:hAnsi="Arial" w:cs="Arial"/>
                <w:lang w:eastAsia="es-CR"/>
              </w:rPr>
            </w:pPr>
          </w:p>
          <w:p w14:paraId="7816FAB3" w14:textId="77777777" w:rsidR="00570E8C" w:rsidRPr="00570E8C" w:rsidRDefault="00570E8C" w:rsidP="00570E8C">
            <w:pPr>
              <w:spacing w:after="0" w:line="240" w:lineRule="auto"/>
              <w:jc w:val="center"/>
              <w:rPr>
                <w:rFonts w:ascii="Arial" w:eastAsia="Times New Roman" w:hAnsi="Arial" w:cs="Arial"/>
                <w:lang w:eastAsia="es-CR"/>
              </w:rPr>
            </w:pPr>
          </w:p>
          <w:p w14:paraId="249CA143" w14:textId="77777777" w:rsidR="00570E8C" w:rsidRPr="00570E8C" w:rsidRDefault="00570E8C" w:rsidP="00570E8C">
            <w:pPr>
              <w:spacing w:after="0" w:line="240" w:lineRule="auto"/>
              <w:jc w:val="center"/>
              <w:rPr>
                <w:rFonts w:ascii="Arial" w:eastAsia="Times New Roman" w:hAnsi="Arial" w:cs="Arial"/>
                <w:lang w:eastAsia="es-CR"/>
              </w:rPr>
            </w:pPr>
          </w:p>
          <w:p w14:paraId="27E3411D" w14:textId="77777777" w:rsidR="00570E8C" w:rsidRPr="00570E8C" w:rsidRDefault="00570E8C" w:rsidP="00570E8C">
            <w:pPr>
              <w:spacing w:after="0" w:line="240" w:lineRule="auto"/>
              <w:jc w:val="center"/>
              <w:rPr>
                <w:rFonts w:ascii="Arial" w:eastAsia="Times New Roman" w:hAnsi="Arial" w:cs="Arial"/>
                <w:lang w:eastAsia="es-CR"/>
              </w:rPr>
            </w:pPr>
          </w:p>
          <w:p w14:paraId="5445AABC" w14:textId="77777777" w:rsidR="00570E8C" w:rsidRPr="00570E8C" w:rsidRDefault="00570E8C" w:rsidP="00570E8C">
            <w:pPr>
              <w:spacing w:after="0" w:line="240" w:lineRule="auto"/>
              <w:jc w:val="center"/>
              <w:rPr>
                <w:rFonts w:ascii="Arial" w:eastAsia="Times New Roman" w:hAnsi="Arial" w:cs="Arial"/>
                <w:lang w:eastAsia="es-CR"/>
              </w:rPr>
            </w:pPr>
          </w:p>
          <w:p w14:paraId="0FB3C6CA" w14:textId="77777777" w:rsidR="00570E8C" w:rsidRPr="00570E8C" w:rsidRDefault="00570E8C" w:rsidP="00570E8C">
            <w:pPr>
              <w:spacing w:after="0" w:line="240" w:lineRule="auto"/>
              <w:jc w:val="center"/>
              <w:rPr>
                <w:rFonts w:ascii="Arial" w:eastAsia="Times New Roman" w:hAnsi="Arial" w:cs="Arial"/>
                <w:lang w:eastAsia="es-CR"/>
              </w:rPr>
            </w:pPr>
          </w:p>
          <w:p w14:paraId="7EDDFAB6" w14:textId="77777777" w:rsidR="00570E8C" w:rsidRPr="00570E8C" w:rsidRDefault="00570E8C" w:rsidP="00570E8C">
            <w:pPr>
              <w:spacing w:after="0" w:line="240" w:lineRule="auto"/>
              <w:jc w:val="center"/>
              <w:rPr>
                <w:rFonts w:ascii="Arial" w:eastAsia="Times New Roman" w:hAnsi="Arial" w:cs="Arial"/>
                <w:lang w:eastAsia="es-CR"/>
              </w:rPr>
            </w:pPr>
            <w:r w:rsidRPr="00570E8C">
              <w:rPr>
                <w:rFonts w:ascii="Arial" w:eastAsia="Times New Roman" w:hAnsi="Arial" w:cs="Arial"/>
                <w:lang w:eastAsia="es-CR"/>
              </w:rPr>
              <w:t>Sistema Ingresador</w:t>
            </w:r>
          </w:p>
        </w:tc>
        <w:tc>
          <w:tcPr>
            <w:tcW w:w="2552" w:type="dxa"/>
            <w:tcBorders>
              <w:top w:val="single" w:sz="4" w:space="0" w:color="auto"/>
              <w:left w:val="nil"/>
              <w:bottom w:val="single" w:sz="4" w:space="0" w:color="auto"/>
              <w:right w:val="single" w:sz="4" w:space="0" w:color="auto"/>
            </w:tcBorders>
          </w:tcPr>
          <w:p w14:paraId="24E81553" w14:textId="77777777" w:rsidR="00570E8C" w:rsidRPr="00570E8C" w:rsidRDefault="00570E8C" w:rsidP="007C6CE4">
            <w:pPr>
              <w:numPr>
                <w:ilvl w:val="0"/>
                <w:numId w:val="5"/>
              </w:numPr>
              <w:spacing w:after="0" w:line="240" w:lineRule="auto"/>
              <w:contextualSpacing/>
              <w:jc w:val="both"/>
              <w:rPr>
                <w:rFonts w:ascii="Arial" w:eastAsia="Times New Roman" w:hAnsi="Arial" w:cs="Arial"/>
                <w:lang w:eastAsia="es-CR"/>
              </w:rPr>
            </w:pPr>
            <w:r w:rsidRPr="00570E8C">
              <w:rPr>
                <w:rFonts w:ascii="Arial" w:eastAsia="Times New Roman" w:hAnsi="Arial" w:cs="Arial"/>
                <w:lang w:eastAsia="es-CR"/>
              </w:rPr>
              <w:t>Las comunicaciones del auditor externo deben venir firmadas digitalmente por el Auditor Externo</w:t>
            </w:r>
          </w:p>
          <w:p w14:paraId="7686D8B5" w14:textId="77777777" w:rsidR="00570E8C" w:rsidRPr="00570E8C" w:rsidRDefault="00570E8C" w:rsidP="007C6CE4">
            <w:pPr>
              <w:spacing w:after="0" w:line="240" w:lineRule="auto"/>
              <w:jc w:val="both"/>
              <w:rPr>
                <w:rFonts w:ascii="Arial" w:eastAsia="Times New Roman" w:hAnsi="Arial" w:cs="Arial"/>
                <w:lang w:eastAsia="es-CR"/>
              </w:rPr>
            </w:pPr>
          </w:p>
          <w:p w14:paraId="2E348381" w14:textId="77777777" w:rsidR="00570E8C" w:rsidRPr="00570E8C" w:rsidRDefault="00570E8C" w:rsidP="007C6CE4">
            <w:pPr>
              <w:numPr>
                <w:ilvl w:val="0"/>
                <w:numId w:val="5"/>
              </w:numPr>
              <w:spacing w:after="0" w:line="240" w:lineRule="auto"/>
              <w:contextualSpacing/>
              <w:jc w:val="both"/>
              <w:rPr>
                <w:rFonts w:ascii="Arial" w:eastAsia="Times New Roman" w:hAnsi="Arial" w:cs="Arial"/>
                <w:lang w:eastAsia="es-CR"/>
              </w:rPr>
            </w:pPr>
            <w:r w:rsidRPr="00570E8C">
              <w:rPr>
                <w:rFonts w:ascii="Arial" w:eastAsia="Times New Roman" w:hAnsi="Arial" w:cs="Arial"/>
                <w:lang w:eastAsia="es-CR"/>
              </w:rPr>
              <w:t xml:space="preserve">Los asientos de ajuste y la hoja de consolidación firmada por los responsables de la entidad. </w:t>
            </w:r>
          </w:p>
          <w:p w14:paraId="2FA5A722" w14:textId="77777777" w:rsidR="00570E8C" w:rsidRPr="00570E8C" w:rsidRDefault="00570E8C" w:rsidP="007C6CE4">
            <w:pPr>
              <w:spacing w:after="0" w:line="240" w:lineRule="auto"/>
              <w:jc w:val="both"/>
              <w:rPr>
                <w:rFonts w:ascii="Arial" w:eastAsia="Times New Roman" w:hAnsi="Arial" w:cs="Arial"/>
                <w:lang w:eastAsia="es-CR"/>
              </w:rPr>
            </w:pPr>
            <w:r w:rsidRPr="00570E8C">
              <w:rPr>
                <w:rFonts w:ascii="Arial" w:eastAsia="Times New Roman" w:hAnsi="Arial" w:cs="Arial"/>
                <w:lang w:eastAsia="es-CR"/>
              </w:rPr>
              <w:t>Tanto las comunicaciones del auditor externo como los asientos de ajuste y la hoja de consolidación deben venir en documentos separados de los estados financieros completos, considerando que se trata de información confidencial.</w:t>
            </w:r>
          </w:p>
        </w:tc>
      </w:tr>
    </w:tbl>
    <w:p w14:paraId="6705E7CF" w14:textId="77777777" w:rsidR="00570E8C" w:rsidRPr="00570E8C" w:rsidRDefault="00570E8C" w:rsidP="00570E8C">
      <w:pPr>
        <w:rPr>
          <w:rFonts w:ascii="Arial" w:eastAsia="Calibri" w:hAnsi="Arial" w:cs="Arial"/>
          <w:color w:val="0563C1"/>
          <w:sz w:val="20"/>
          <w:szCs w:val="20"/>
          <w:u w:val="single"/>
          <w:lang w:val="es-ES"/>
        </w:rPr>
      </w:pPr>
      <w:r w:rsidRPr="00570E8C">
        <w:rPr>
          <w:rFonts w:ascii="Arial" w:eastAsia="Calibri" w:hAnsi="Arial" w:cs="Arial"/>
          <w:b/>
          <w:sz w:val="20"/>
          <w:szCs w:val="20"/>
          <w:lang w:val="es-ES"/>
        </w:rPr>
        <w:t xml:space="preserve">Nota: </w:t>
      </w:r>
      <w:r w:rsidRPr="00570E8C">
        <w:rPr>
          <w:rFonts w:ascii="Arial" w:eastAsia="Calibri" w:hAnsi="Arial" w:cs="Arial"/>
          <w:sz w:val="20"/>
          <w:szCs w:val="20"/>
          <w:lang w:val="es-ES"/>
        </w:rPr>
        <w:t xml:space="preserve">Para la remisión de la información citada mediante sistema ingresador se sigue como es usual lo establecido en las Guías y Manuales de los servicios de Ventanilla Virtual. </w:t>
      </w:r>
      <w:hyperlink r:id="rId13" w:history="1">
        <w:r w:rsidRPr="00570E8C">
          <w:rPr>
            <w:rFonts w:ascii="Arial" w:eastAsia="Calibri" w:hAnsi="Arial" w:cs="Arial"/>
            <w:color w:val="0563C1"/>
            <w:sz w:val="20"/>
            <w:szCs w:val="20"/>
            <w:u w:val="single"/>
            <w:lang w:val="es-ES"/>
          </w:rPr>
          <w:t>http://www.sugeval.fi.cr/serviciosytramites/Paginas/ServiciosVentanillaVirtual.aspx</w:t>
        </w:r>
      </w:hyperlink>
    </w:p>
    <w:bookmarkStart w:id="2" w:name="_Hlk50487109"/>
    <w:bookmarkStart w:id="3" w:name="_MON_1661096418"/>
    <w:bookmarkEnd w:id="3"/>
    <w:p w14:paraId="689AE563" w14:textId="77777777" w:rsidR="00570E8C" w:rsidRPr="00570E8C" w:rsidRDefault="005E17E0" w:rsidP="005E17E0">
      <w:pPr>
        <w:jc w:val="center"/>
        <w:rPr>
          <w:rFonts w:ascii="Arial" w:eastAsia="Calibri" w:hAnsi="Arial" w:cs="Arial"/>
          <w:color w:val="0563C1"/>
          <w:sz w:val="20"/>
          <w:szCs w:val="20"/>
          <w:u w:val="single"/>
          <w:lang w:val="es-ES"/>
        </w:rPr>
      </w:pPr>
      <w:r w:rsidRPr="005E17E0">
        <w:rPr>
          <w:rFonts w:ascii="Arial" w:eastAsia="Calibri" w:hAnsi="Arial" w:cs="Arial"/>
          <w:color w:val="0563C1"/>
          <w:sz w:val="20"/>
          <w:szCs w:val="20"/>
          <w:lang w:val="es-ES"/>
        </w:rPr>
        <w:object w:dxaOrig="1175" w:dyaOrig="760" w14:anchorId="6DC27491">
          <v:shape id="_x0000_i1026" type="#_x0000_t75" style="width:61pt;height:39pt" o:ole="">
            <v:imagedata r:id="rId14" o:title=""/>
          </v:shape>
          <o:OLEObject Type="Embed" ProgID="Excel.Sheet.8" ShapeID="_x0000_i1026" DrawAspect="Icon" ObjectID="_1691497932" r:id="rId15"/>
        </w:object>
      </w:r>
      <w:bookmarkEnd w:id="2"/>
    </w:p>
    <w:p w14:paraId="66BC3ADD" w14:textId="77777777" w:rsidR="00570E8C" w:rsidRPr="00570E8C" w:rsidRDefault="00570E8C" w:rsidP="00570E8C">
      <w:pPr>
        <w:jc w:val="both"/>
        <w:rPr>
          <w:rFonts w:ascii="Arial" w:eastAsia="Calibri" w:hAnsi="Arial" w:cs="Arial"/>
          <w:color w:val="0563C1"/>
          <w:sz w:val="20"/>
          <w:szCs w:val="20"/>
          <w:u w:val="single"/>
          <w:lang w:val="es-ES"/>
        </w:rPr>
      </w:pPr>
    </w:p>
    <w:p w14:paraId="5E2B2206" w14:textId="77777777" w:rsidR="00570E8C" w:rsidRPr="00570E8C" w:rsidRDefault="00570E8C" w:rsidP="00570E8C">
      <w:pPr>
        <w:numPr>
          <w:ilvl w:val="0"/>
          <w:numId w:val="3"/>
        </w:numPr>
        <w:contextualSpacing/>
        <w:jc w:val="both"/>
        <w:rPr>
          <w:rFonts w:ascii="Arial" w:eastAsia="Calibri" w:hAnsi="Arial" w:cs="Times New Roman"/>
          <w:lang w:val="es-ES"/>
        </w:rPr>
      </w:pPr>
      <w:r w:rsidRPr="00570E8C">
        <w:rPr>
          <w:rFonts w:ascii="Arial" w:eastAsia="Calibri" w:hAnsi="Arial" w:cs="Times New Roman"/>
          <w:lang w:val="es-ES"/>
        </w:rPr>
        <w:lastRenderedPageBreak/>
        <w:t>Se modifica el plazo máximo de entrega de los informes de avance de fondos de desarrollo de proyectos de acuerdo con el siguiente detalle:</w:t>
      </w:r>
    </w:p>
    <w:p w14:paraId="37C5360B" w14:textId="77777777" w:rsidR="00570E8C" w:rsidRPr="00570E8C" w:rsidRDefault="00570E8C" w:rsidP="00570E8C">
      <w:pPr>
        <w:ind w:left="720"/>
        <w:contextualSpacing/>
        <w:jc w:val="both"/>
        <w:rPr>
          <w:rFonts w:ascii="Arial" w:eastAsia="Calibri" w:hAnsi="Arial" w:cs="Times New Roman"/>
          <w:lang w:val="es-ES"/>
        </w:rPr>
      </w:pPr>
    </w:p>
    <w:tbl>
      <w:tblPr>
        <w:tblW w:w="9639" w:type="dxa"/>
        <w:tblInd w:w="-5" w:type="dxa"/>
        <w:tblLook w:val="04A0" w:firstRow="1" w:lastRow="0" w:firstColumn="1" w:lastColumn="0" w:noHBand="0" w:noVBand="1"/>
      </w:tblPr>
      <w:tblGrid>
        <w:gridCol w:w="2111"/>
        <w:gridCol w:w="1858"/>
        <w:gridCol w:w="2694"/>
        <w:gridCol w:w="2976"/>
      </w:tblGrid>
      <w:tr w:rsidR="00570E8C" w:rsidRPr="00570E8C" w14:paraId="77BC76A4" w14:textId="77777777" w:rsidTr="00581266">
        <w:trPr>
          <w:trHeight w:val="510"/>
        </w:trPr>
        <w:tc>
          <w:tcPr>
            <w:tcW w:w="2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7131F" w14:textId="77777777" w:rsidR="00570E8C" w:rsidRPr="00570E8C" w:rsidRDefault="00570E8C" w:rsidP="00570E8C">
            <w:pPr>
              <w:spacing w:after="0" w:line="240" w:lineRule="auto"/>
              <w:ind w:right="18"/>
              <w:jc w:val="center"/>
              <w:rPr>
                <w:rFonts w:ascii="Arial" w:eastAsia="Times New Roman" w:hAnsi="Arial" w:cs="Arial"/>
                <w:b/>
                <w:bCs/>
              </w:rPr>
            </w:pPr>
            <w:r w:rsidRPr="00570E8C">
              <w:rPr>
                <w:rFonts w:ascii="Arial" w:eastAsia="Times New Roman" w:hAnsi="Arial" w:cs="Arial"/>
                <w:b/>
                <w:bCs/>
              </w:rPr>
              <w:t>Informe o Reporte</w:t>
            </w:r>
          </w:p>
        </w:tc>
        <w:tc>
          <w:tcPr>
            <w:tcW w:w="1858" w:type="dxa"/>
            <w:tcBorders>
              <w:top w:val="single" w:sz="4" w:space="0" w:color="auto"/>
              <w:left w:val="nil"/>
              <w:bottom w:val="single" w:sz="4" w:space="0" w:color="auto"/>
              <w:right w:val="single" w:sz="4" w:space="0" w:color="auto"/>
            </w:tcBorders>
            <w:shd w:val="clear" w:color="auto" w:fill="auto"/>
            <w:vAlign w:val="center"/>
            <w:hideMark/>
          </w:tcPr>
          <w:p w14:paraId="41655EE8" w14:textId="77777777" w:rsidR="00570E8C" w:rsidRPr="00570E8C" w:rsidRDefault="00570E8C" w:rsidP="00570E8C">
            <w:pPr>
              <w:spacing w:after="0" w:line="240" w:lineRule="auto"/>
              <w:ind w:right="33"/>
              <w:jc w:val="center"/>
              <w:rPr>
                <w:rFonts w:ascii="Arial" w:eastAsia="Times New Roman" w:hAnsi="Arial" w:cs="Arial"/>
                <w:b/>
                <w:bCs/>
              </w:rPr>
            </w:pPr>
            <w:r w:rsidRPr="00570E8C">
              <w:rPr>
                <w:rFonts w:ascii="Arial" w:eastAsia="Times New Roman" w:hAnsi="Arial" w:cs="Arial"/>
                <w:b/>
                <w:bCs/>
              </w:rPr>
              <w:t>Formato o normas sobre el Contenido</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68F6D188" w14:textId="77777777" w:rsidR="00570E8C" w:rsidRPr="00570E8C" w:rsidRDefault="00570E8C" w:rsidP="00570E8C">
            <w:pPr>
              <w:spacing w:after="0" w:line="240" w:lineRule="auto"/>
              <w:jc w:val="center"/>
              <w:rPr>
                <w:rFonts w:ascii="Arial" w:eastAsia="Times New Roman" w:hAnsi="Arial" w:cs="Arial"/>
                <w:b/>
                <w:bCs/>
              </w:rPr>
            </w:pPr>
            <w:r w:rsidRPr="00570E8C">
              <w:rPr>
                <w:rFonts w:ascii="Arial" w:eastAsia="Times New Roman" w:hAnsi="Arial" w:cs="Arial"/>
                <w:b/>
                <w:bCs/>
              </w:rPr>
              <w:t>Plazo máximo de entrega vigente</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5FD133C8" w14:textId="77777777" w:rsidR="00570E8C" w:rsidRPr="00570E8C" w:rsidRDefault="00570E8C" w:rsidP="00570E8C">
            <w:pPr>
              <w:spacing w:after="0" w:line="240" w:lineRule="auto"/>
              <w:jc w:val="center"/>
              <w:rPr>
                <w:rFonts w:ascii="Arial" w:eastAsia="Times New Roman" w:hAnsi="Arial" w:cs="Arial"/>
                <w:b/>
                <w:bCs/>
              </w:rPr>
            </w:pPr>
            <w:r w:rsidRPr="00570E8C">
              <w:rPr>
                <w:rFonts w:ascii="Arial" w:eastAsia="Times New Roman" w:hAnsi="Arial" w:cs="Arial"/>
                <w:b/>
                <w:bCs/>
              </w:rPr>
              <w:t>Plazo máximo de entrega propuesto</w:t>
            </w:r>
          </w:p>
        </w:tc>
      </w:tr>
      <w:tr w:rsidR="00570E8C" w:rsidRPr="00570E8C" w14:paraId="22760E64" w14:textId="77777777" w:rsidTr="00581266">
        <w:trPr>
          <w:trHeight w:val="1056"/>
        </w:trPr>
        <w:tc>
          <w:tcPr>
            <w:tcW w:w="2111" w:type="dxa"/>
            <w:tcBorders>
              <w:top w:val="single" w:sz="4" w:space="0" w:color="auto"/>
              <w:left w:val="single" w:sz="4" w:space="0" w:color="auto"/>
              <w:bottom w:val="single" w:sz="4" w:space="0" w:color="auto"/>
              <w:right w:val="single" w:sz="4" w:space="0" w:color="auto"/>
            </w:tcBorders>
            <w:shd w:val="clear" w:color="auto" w:fill="auto"/>
            <w:vAlign w:val="center"/>
          </w:tcPr>
          <w:p w14:paraId="14205C81" w14:textId="77777777" w:rsidR="00570E8C" w:rsidRPr="00570E8C" w:rsidRDefault="00570E8C" w:rsidP="00570E8C">
            <w:pPr>
              <w:spacing w:after="0" w:line="240" w:lineRule="auto"/>
              <w:ind w:right="18"/>
              <w:jc w:val="center"/>
              <w:rPr>
                <w:rFonts w:ascii="Arial" w:eastAsia="Calibri" w:hAnsi="Arial" w:cs="Arial"/>
                <w:lang w:val="es-ES"/>
              </w:rPr>
            </w:pPr>
            <w:r w:rsidRPr="00570E8C">
              <w:rPr>
                <w:rFonts w:ascii="Arial" w:eastAsia="Calibri" w:hAnsi="Arial" w:cs="Arial"/>
                <w:lang w:val="es-ES"/>
              </w:rPr>
              <w:t>Informe de avance de fondos de desarrollo de proyectos</w:t>
            </w:r>
          </w:p>
        </w:tc>
        <w:tc>
          <w:tcPr>
            <w:tcW w:w="1858" w:type="dxa"/>
            <w:tcBorders>
              <w:top w:val="single" w:sz="4" w:space="0" w:color="auto"/>
              <w:left w:val="nil"/>
              <w:bottom w:val="single" w:sz="4" w:space="0" w:color="auto"/>
              <w:right w:val="single" w:sz="4" w:space="0" w:color="auto"/>
            </w:tcBorders>
            <w:shd w:val="clear" w:color="auto" w:fill="auto"/>
            <w:vAlign w:val="center"/>
          </w:tcPr>
          <w:p w14:paraId="38897C22" w14:textId="77777777" w:rsidR="00570E8C" w:rsidRPr="00570E8C" w:rsidRDefault="00570E8C" w:rsidP="00570E8C">
            <w:pPr>
              <w:spacing w:after="0" w:line="240" w:lineRule="auto"/>
              <w:jc w:val="center"/>
              <w:rPr>
                <w:rFonts w:ascii="Arial" w:eastAsia="Calibri" w:hAnsi="Arial" w:cs="Arial"/>
                <w:lang w:val="es-ES"/>
              </w:rPr>
            </w:pPr>
            <w:r w:rsidRPr="00570E8C">
              <w:rPr>
                <w:rFonts w:ascii="Arial" w:eastAsia="Calibri" w:hAnsi="Arial" w:cs="Arial"/>
                <w:lang w:val="es-ES"/>
              </w:rPr>
              <w:t xml:space="preserve"> SGV-A-170</w:t>
            </w:r>
          </w:p>
        </w:tc>
        <w:tc>
          <w:tcPr>
            <w:tcW w:w="2694" w:type="dxa"/>
            <w:tcBorders>
              <w:top w:val="single" w:sz="4" w:space="0" w:color="auto"/>
              <w:left w:val="nil"/>
              <w:bottom w:val="single" w:sz="4" w:space="0" w:color="auto"/>
              <w:right w:val="single" w:sz="4" w:space="0" w:color="auto"/>
            </w:tcBorders>
            <w:shd w:val="clear" w:color="auto" w:fill="auto"/>
            <w:vAlign w:val="center"/>
          </w:tcPr>
          <w:p w14:paraId="0D6BF1D5" w14:textId="77777777" w:rsidR="00570E8C" w:rsidRPr="00570E8C" w:rsidRDefault="00570E8C" w:rsidP="00570E8C">
            <w:pPr>
              <w:spacing w:after="0" w:line="240" w:lineRule="auto"/>
              <w:ind w:right="34"/>
              <w:jc w:val="center"/>
              <w:rPr>
                <w:rFonts w:ascii="Arial" w:eastAsia="Calibri" w:hAnsi="Arial" w:cs="Arial"/>
                <w:lang w:val="es-ES"/>
              </w:rPr>
            </w:pPr>
            <w:r w:rsidRPr="00570E8C">
              <w:rPr>
                <w:rFonts w:ascii="Arial" w:eastAsia="Calibri" w:hAnsi="Arial" w:cs="Arial"/>
                <w:lang w:val="es-ES"/>
              </w:rPr>
              <w:t>20 días hábiles después del cierre de cada trimestre o la periodicidad establecida</w:t>
            </w:r>
          </w:p>
        </w:tc>
        <w:tc>
          <w:tcPr>
            <w:tcW w:w="2976" w:type="dxa"/>
            <w:tcBorders>
              <w:top w:val="single" w:sz="4" w:space="0" w:color="auto"/>
              <w:left w:val="nil"/>
              <w:bottom w:val="single" w:sz="4" w:space="0" w:color="auto"/>
              <w:right w:val="single" w:sz="4" w:space="0" w:color="auto"/>
            </w:tcBorders>
            <w:shd w:val="clear" w:color="auto" w:fill="auto"/>
            <w:vAlign w:val="center"/>
          </w:tcPr>
          <w:p w14:paraId="012924D1" w14:textId="77777777" w:rsidR="00570E8C" w:rsidRPr="00570E8C" w:rsidRDefault="00570E8C" w:rsidP="00570E8C">
            <w:pPr>
              <w:spacing w:after="0" w:line="240" w:lineRule="auto"/>
              <w:jc w:val="center"/>
              <w:rPr>
                <w:rFonts w:ascii="Arial" w:eastAsia="Calibri" w:hAnsi="Arial" w:cs="Arial"/>
                <w:lang w:val="es-ES"/>
              </w:rPr>
            </w:pPr>
            <w:r w:rsidRPr="00570E8C">
              <w:rPr>
                <w:rFonts w:ascii="Arial" w:eastAsia="Calibri" w:hAnsi="Arial" w:cs="Arial"/>
                <w:lang w:val="es-ES"/>
              </w:rPr>
              <w:t>15 días hábiles después del cierre trimestral</w:t>
            </w:r>
          </w:p>
        </w:tc>
      </w:tr>
    </w:tbl>
    <w:p w14:paraId="2612C91B" w14:textId="77777777" w:rsidR="00570E8C" w:rsidRPr="00570E8C" w:rsidRDefault="00570E8C" w:rsidP="00570E8C">
      <w:pPr>
        <w:jc w:val="both"/>
        <w:rPr>
          <w:rFonts w:ascii="Arial" w:eastAsia="Calibri" w:hAnsi="Arial" w:cs="Arial"/>
          <w:color w:val="0563C1"/>
          <w:u w:val="single"/>
          <w:lang w:val="es-ES"/>
        </w:rPr>
      </w:pPr>
    </w:p>
    <w:p w14:paraId="39B9C752" w14:textId="77777777" w:rsidR="00570E8C" w:rsidRPr="00570E8C" w:rsidRDefault="00570E8C" w:rsidP="00570E8C">
      <w:pPr>
        <w:numPr>
          <w:ilvl w:val="0"/>
          <w:numId w:val="3"/>
        </w:numPr>
        <w:contextualSpacing/>
        <w:jc w:val="both"/>
        <w:rPr>
          <w:rFonts w:ascii="Arial" w:eastAsia="Calibri" w:hAnsi="Arial" w:cs="Arial"/>
          <w:lang w:val="es-ES"/>
        </w:rPr>
      </w:pPr>
      <w:r w:rsidRPr="00570E8C">
        <w:rPr>
          <w:rFonts w:ascii="Arial" w:eastAsia="Calibri" w:hAnsi="Arial" w:cs="Arial"/>
          <w:lang w:val="es-ES"/>
        </w:rPr>
        <w:t>Se modifica el nombre del Anexo 42 Traspasos no Onerosos para que en adelante se consideren todos los traspasos:</w:t>
      </w:r>
    </w:p>
    <w:p w14:paraId="272060F5" w14:textId="77777777" w:rsidR="00570E8C" w:rsidRPr="00570E8C" w:rsidRDefault="00570E8C" w:rsidP="00570E8C">
      <w:pPr>
        <w:tabs>
          <w:tab w:val="left" w:pos="3960"/>
        </w:tabs>
        <w:ind w:left="720"/>
        <w:contextualSpacing/>
        <w:jc w:val="both"/>
        <w:rPr>
          <w:rFonts w:ascii="Arial" w:eastAsia="Calibri" w:hAnsi="Arial" w:cs="Arial"/>
        </w:rPr>
      </w:pPr>
      <w:r w:rsidRPr="00570E8C">
        <w:rPr>
          <w:rFonts w:ascii="Arial" w:eastAsia="Calibri" w:hAnsi="Arial" w:cs="Arial"/>
        </w:rPr>
        <w:tab/>
      </w:r>
    </w:p>
    <w:tbl>
      <w:tblPr>
        <w:tblStyle w:val="Tablaconcuadrcula"/>
        <w:tblW w:w="9715" w:type="dxa"/>
        <w:tblLook w:val="04A0" w:firstRow="1" w:lastRow="0" w:firstColumn="1" w:lastColumn="0" w:noHBand="0" w:noVBand="1"/>
      </w:tblPr>
      <w:tblGrid>
        <w:gridCol w:w="2268"/>
        <w:gridCol w:w="3399"/>
        <w:gridCol w:w="4048"/>
      </w:tblGrid>
      <w:tr w:rsidR="00570E8C" w:rsidRPr="00570E8C" w14:paraId="62EE0666" w14:textId="77777777" w:rsidTr="00581266">
        <w:trPr>
          <w:trHeight w:val="557"/>
        </w:trPr>
        <w:tc>
          <w:tcPr>
            <w:tcW w:w="9715" w:type="dxa"/>
            <w:gridSpan w:val="3"/>
            <w:noWrap/>
          </w:tcPr>
          <w:p w14:paraId="20344FCD" w14:textId="77777777" w:rsidR="00570E8C" w:rsidRPr="00570E8C" w:rsidRDefault="00570E8C" w:rsidP="00570E8C">
            <w:pPr>
              <w:jc w:val="center"/>
              <w:rPr>
                <w:rFonts w:ascii="Arial" w:eastAsia="Calibri" w:hAnsi="Arial" w:cs="Arial"/>
                <w:b/>
                <w:lang w:eastAsia="es-CR"/>
              </w:rPr>
            </w:pPr>
          </w:p>
          <w:p w14:paraId="11E6392D" w14:textId="77777777" w:rsidR="00570E8C" w:rsidRPr="00570E8C" w:rsidRDefault="00570E8C" w:rsidP="00570E8C">
            <w:pPr>
              <w:rPr>
                <w:rFonts w:ascii="Arial" w:eastAsia="Calibri" w:hAnsi="Arial" w:cs="Arial"/>
                <w:sz w:val="20"/>
                <w:szCs w:val="20"/>
              </w:rPr>
            </w:pPr>
            <w:r w:rsidRPr="00570E8C">
              <w:rPr>
                <w:rFonts w:ascii="Arial" w:eastAsia="Calibri" w:hAnsi="Arial" w:cs="Arial"/>
                <w:sz w:val="20"/>
                <w:szCs w:val="20"/>
              </w:rPr>
              <w:t>Cuadro Información Periódica: Puestos de Bolsa e Intermediarios Sugef</w:t>
            </w:r>
          </w:p>
          <w:p w14:paraId="482C34AF" w14:textId="77777777" w:rsidR="00570E8C" w:rsidRPr="00570E8C" w:rsidRDefault="00570E8C" w:rsidP="00570E8C">
            <w:pPr>
              <w:jc w:val="center"/>
              <w:rPr>
                <w:rFonts w:ascii="Arial" w:eastAsia="Calibri" w:hAnsi="Arial" w:cs="Arial"/>
                <w:b/>
                <w:lang w:eastAsia="es-CR"/>
              </w:rPr>
            </w:pPr>
          </w:p>
        </w:tc>
      </w:tr>
      <w:tr w:rsidR="00570E8C" w:rsidRPr="00570E8C" w14:paraId="630F3409" w14:textId="77777777" w:rsidTr="00581266">
        <w:trPr>
          <w:trHeight w:val="265"/>
        </w:trPr>
        <w:tc>
          <w:tcPr>
            <w:tcW w:w="2268" w:type="dxa"/>
            <w:noWrap/>
          </w:tcPr>
          <w:p w14:paraId="60785550" w14:textId="77777777" w:rsidR="00570E8C" w:rsidRPr="00570E8C" w:rsidRDefault="00570E8C" w:rsidP="00570E8C">
            <w:pPr>
              <w:jc w:val="center"/>
              <w:rPr>
                <w:rFonts w:ascii="Arial" w:eastAsia="Calibri" w:hAnsi="Arial" w:cs="Arial"/>
                <w:b/>
                <w:bCs/>
                <w:lang w:eastAsia="es-CR"/>
              </w:rPr>
            </w:pPr>
            <w:r w:rsidRPr="00570E8C">
              <w:rPr>
                <w:rFonts w:ascii="Arial" w:eastAsia="Calibri" w:hAnsi="Arial" w:cs="Arial"/>
                <w:b/>
                <w:bCs/>
                <w:lang w:eastAsia="es-CR"/>
              </w:rPr>
              <w:t>DETALLE</w:t>
            </w:r>
          </w:p>
        </w:tc>
        <w:tc>
          <w:tcPr>
            <w:tcW w:w="3399" w:type="dxa"/>
            <w:noWrap/>
          </w:tcPr>
          <w:p w14:paraId="036DCB3D" w14:textId="77777777" w:rsidR="00570E8C" w:rsidRPr="00570E8C" w:rsidRDefault="00570E8C" w:rsidP="00570E8C">
            <w:pPr>
              <w:jc w:val="center"/>
              <w:rPr>
                <w:rFonts w:ascii="Arial" w:eastAsia="Calibri" w:hAnsi="Arial" w:cs="Arial"/>
                <w:b/>
                <w:bCs/>
                <w:lang w:eastAsia="es-CR"/>
              </w:rPr>
            </w:pPr>
            <w:r w:rsidRPr="00570E8C">
              <w:rPr>
                <w:rFonts w:ascii="Arial" w:eastAsia="Calibri" w:hAnsi="Arial" w:cs="Arial"/>
                <w:b/>
                <w:bCs/>
                <w:lang w:eastAsia="es-CR"/>
              </w:rPr>
              <w:t>NOMBRE ANTERIOR</w:t>
            </w:r>
          </w:p>
        </w:tc>
        <w:tc>
          <w:tcPr>
            <w:tcW w:w="4048" w:type="dxa"/>
            <w:noWrap/>
          </w:tcPr>
          <w:p w14:paraId="261A893A" w14:textId="77777777" w:rsidR="00570E8C" w:rsidRPr="00570E8C" w:rsidRDefault="00570E8C" w:rsidP="00570E8C">
            <w:pPr>
              <w:jc w:val="center"/>
              <w:rPr>
                <w:rFonts w:ascii="Arial" w:eastAsia="Calibri" w:hAnsi="Arial" w:cs="Arial"/>
                <w:b/>
                <w:bCs/>
                <w:lang w:eastAsia="es-CR"/>
              </w:rPr>
            </w:pPr>
            <w:r w:rsidRPr="00570E8C">
              <w:rPr>
                <w:rFonts w:ascii="Arial" w:eastAsia="Calibri" w:hAnsi="Arial" w:cs="Arial"/>
                <w:b/>
                <w:bCs/>
                <w:lang w:eastAsia="es-CR"/>
              </w:rPr>
              <w:t>NOMBRE PROPUESTO</w:t>
            </w:r>
          </w:p>
        </w:tc>
      </w:tr>
      <w:tr w:rsidR="00570E8C" w:rsidRPr="00570E8C" w14:paraId="15FCD285" w14:textId="77777777" w:rsidTr="00581266">
        <w:trPr>
          <w:trHeight w:val="512"/>
        </w:trPr>
        <w:tc>
          <w:tcPr>
            <w:tcW w:w="2268" w:type="dxa"/>
            <w:noWrap/>
            <w:hideMark/>
          </w:tcPr>
          <w:p w14:paraId="594C1F6D" w14:textId="77777777" w:rsidR="00570E8C" w:rsidRPr="00570E8C" w:rsidRDefault="00570E8C" w:rsidP="00570E8C">
            <w:pPr>
              <w:jc w:val="center"/>
              <w:rPr>
                <w:rFonts w:ascii="Arial" w:eastAsia="Calibri" w:hAnsi="Arial" w:cs="Arial"/>
                <w:sz w:val="20"/>
                <w:szCs w:val="20"/>
                <w:lang w:eastAsia="es-CR"/>
              </w:rPr>
            </w:pPr>
            <w:r w:rsidRPr="00570E8C">
              <w:rPr>
                <w:rFonts w:ascii="Arial" w:eastAsia="Calibri" w:hAnsi="Arial" w:cs="Arial"/>
                <w:sz w:val="20"/>
                <w:szCs w:val="20"/>
                <w:lang w:eastAsia="es-CR"/>
              </w:rPr>
              <w:t>Informe o Reporte y nombre de Anexo 42</w:t>
            </w:r>
          </w:p>
          <w:p w14:paraId="585E707D" w14:textId="77777777" w:rsidR="00570E8C" w:rsidRPr="00570E8C" w:rsidRDefault="00570E8C" w:rsidP="00570E8C">
            <w:pPr>
              <w:jc w:val="center"/>
              <w:rPr>
                <w:rFonts w:ascii="Arial" w:eastAsia="Calibri" w:hAnsi="Arial" w:cs="Arial"/>
                <w:sz w:val="20"/>
                <w:szCs w:val="20"/>
                <w:lang w:eastAsia="es-CR"/>
              </w:rPr>
            </w:pPr>
          </w:p>
        </w:tc>
        <w:tc>
          <w:tcPr>
            <w:tcW w:w="3399" w:type="dxa"/>
            <w:noWrap/>
            <w:hideMark/>
          </w:tcPr>
          <w:p w14:paraId="3A0E47B9" w14:textId="77777777" w:rsidR="00570E8C" w:rsidRPr="00570E8C" w:rsidRDefault="00570E8C" w:rsidP="00570E8C">
            <w:pPr>
              <w:spacing w:line="252" w:lineRule="auto"/>
              <w:rPr>
                <w:rFonts w:ascii="Arial" w:eastAsia="Calibri" w:hAnsi="Arial" w:cs="Arial"/>
                <w:sz w:val="20"/>
                <w:szCs w:val="20"/>
              </w:rPr>
            </w:pPr>
            <w:r w:rsidRPr="00570E8C">
              <w:rPr>
                <w:rFonts w:ascii="Arial" w:eastAsia="Calibri" w:hAnsi="Arial" w:cs="Arial"/>
                <w:sz w:val="20"/>
                <w:szCs w:val="20"/>
                <w:lang w:eastAsia="es-CR"/>
              </w:rPr>
              <w:t>Traspasos no Onerosos</w:t>
            </w:r>
          </w:p>
        </w:tc>
        <w:tc>
          <w:tcPr>
            <w:tcW w:w="4048" w:type="dxa"/>
            <w:noWrap/>
            <w:hideMark/>
          </w:tcPr>
          <w:p w14:paraId="50E255A7" w14:textId="77777777" w:rsidR="00570E8C" w:rsidRPr="00570E8C" w:rsidRDefault="00570E8C" w:rsidP="00570E8C">
            <w:pPr>
              <w:spacing w:line="252" w:lineRule="auto"/>
              <w:rPr>
                <w:rFonts w:ascii="Arial" w:eastAsia="Calibri" w:hAnsi="Arial" w:cs="Arial"/>
                <w:sz w:val="20"/>
                <w:szCs w:val="20"/>
                <w:lang w:eastAsia="es-CR"/>
              </w:rPr>
            </w:pPr>
            <w:r w:rsidRPr="00570E8C">
              <w:rPr>
                <w:rFonts w:ascii="Arial" w:eastAsia="Calibri" w:hAnsi="Arial" w:cs="Arial"/>
                <w:sz w:val="20"/>
                <w:szCs w:val="20"/>
                <w:lang w:eastAsia="es-CR"/>
              </w:rPr>
              <w:t>Traspasos de Valores</w:t>
            </w:r>
          </w:p>
        </w:tc>
      </w:tr>
      <w:tr w:rsidR="00570E8C" w:rsidRPr="00570E8C" w14:paraId="23D7EB5E" w14:textId="77777777" w:rsidTr="00581266">
        <w:trPr>
          <w:trHeight w:val="1213"/>
        </w:trPr>
        <w:tc>
          <w:tcPr>
            <w:tcW w:w="2268" w:type="dxa"/>
            <w:noWrap/>
          </w:tcPr>
          <w:p w14:paraId="1F24EC8B" w14:textId="77777777" w:rsidR="00570E8C" w:rsidRPr="00570E8C" w:rsidRDefault="00570E8C" w:rsidP="00570E8C">
            <w:pPr>
              <w:jc w:val="center"/>
              <w:rPr>
                <w:rFonts w:ascii="Arial" w:eastAsia="Calibri" w:hAnsi="Arial" w:cs="Arial"/>
                <w:sz w:val="20"/>
                <w:szCs w:val="20"/>
                <w:lang w:eastAsia="es-CR"/>
              </w:rPr>
            </w:pPr>
          </w:p>
          <w:p w14:paraId="66935B1F" w14:textId="77777777" w:rsidR="00570E8C" w:rsidRPr="00570E8C" w:rsidRDefault="00570E8C" w:rsidP="00570E8C">
            <w:pPr>
              <w:jc w:val="center"/>
              <w:rPr>
                <w:rFonts w:ascii="Arial" w:eastAsia="Calibri" w:hAnsi="Arial" w:cs="Arial"/>
                <w:sz w:val="20"/>
                <w:szCs w:val="20"/>
              </w:rPr>
            </w:pPr>
            <w:r w:rsidRPr="00570E8C">
              <w:rPr>
                <w:rFonts w:ascii="Arial" w:eastAsia="Calibri" w:hAnsi="Arial" w:cs="Arial"/>
                <w:sz w:val="20"/>
                <w:szCs w:val="20"/>
              </w:rPr>
              <w:t>Notas Aclaratorias</w:t>
            </w:r>
          </w:p>
          <w:p w14:paraId="3E1BB12B" w14:textId="77777777" w:rsidR="00570E8C" w:rsidRPr="00570E8C" w:rsidRDefault="00570E8C" w:rsidP="00570E8C">
            <w:pPr>
              <w:jc w:val="center"/>
              <w:rPr>
                <w:rFonts w:ascii="Calibri" w:eastAsia="Calibri" w:hAnsi="Calibri" w:cs="Times New Roman"/>
                <w:color w:val="1F497D"/>
                <w:sz w:val="20"/>
                <w:szCs w:val="20"/>
                <w:lang w:eastAsia="es-CR"/>
              </w:rPr>
            </w:pPr>
          </w:p>
        </w:tc>
        <w:tc>
          <w:tcPr>
            <w:tcW w:w="3399" w:type="dxa"/>
            <w:noWrap/>
          </w:tcPr>
          <w:p w14:paraId="47689098" w14:textId="77777777" w:rsidR="00570E8C" w:rsidRPr="00570E8C" w:rsidRDefault="00570E8C" w:rsidP="00570E8C">
            <w:pPr>
              <w:rPr>
                <w:rFonts w:ascii="Arial" w:eastAsia="Times New Roman" w:hAnsi="Arial" w:cs="Arial"/>
                <w:sz w:val="20"/>
                <w:szCs w:val="20"/>
                <w:lang w:eastAsia="es-CR"/>
              </w:rPr>
            </w:pPr>
            <w:r w:rsidRPr="00570E8C">
              <w:rPr>
                <w:rFonts w:ascii="Arial" w:eastAsia="Calibri" w:hAnsi="Arial" w:cs="Arial"/>
                <w:sz w:val="20"/>
                <w:szCs w:val="20"/>
              </w:rPr>
              <w:t>Correo electrónico: traspasosnoonerosos@sugeval.fi.cr</w:t>
            </w:r>
            <w:r w:rsidRPr="00570E8C">
              <w:rPr>
                <w:rFonts w:ascii="Arial" w:eastAsia="Calibri" w:hAnsi="Arial" w:cs="Arial"/>
                <w:sz w:val="20"/>
                <w:szCs w:val="20"/>
              </w:rPr>
              <w:br/>
              <w:t>Este anexo debe presentarse si la entidad está autorizada para dar el servicio de custodia de valores.</w:t>
            </w:r>
          </w:p>
          <w:p w14:paraId="117FE61F" w14:textId="77777777" w:rsidR="00570E8C" w:rsidRPr="00570E8C" w:rsidRDefault="00570E8C" w:rsidP="00570E8C">
            <w:pPr>
              <w:spacing w:line="252" w:lineRule="auto"/>
              <w:rPr>
                <w:rFonts w:ascii="Arial" w:eastAsia="Calibri" w:hAnsi="Arial" w:cs="Arial"/>
                <w:sz w:val="20"/>
                <w:szCs w:val="20"/>
                <w:lang w:eastAsia="es-CR"/>
              </w:rPr>
            </w:pPr>
          </w:p>
        </w:tc>
        <w:tc>
          <w:tcPr>
            <w:tcW w:w="4048" w:type="dxa"/>
            <w:noWrap/>
            <w:hideMark/>
          </w:tcPr>
          <w:p w14:paraId="72ABF100" w14:textId="77777777" w:rsidR="00570E8C" w:rsidRPr="00570E8C" w:rsidRDefault="00570E8C" w:rsidP="00570E8C">
            <w:pPr>
              <w:rPr>
                <w:rFonts w:ascii="Arial" w:eastAsia="Calibri" w:hAnsi="Arial" w:cs="Arial"/>
                <w:sz w:val="20"/>
                <w:szCs w:val="20"/>
                <w:lang w:eastAsia="es-CR"/>
              </w:rPr>
            </w:pPr>
            <w:r w:rsidRPr="00570E8C">
              <w:rPr>
                <w:rFonts w:ascii="Arial" w:eastAsia="Calibri" w:hAnsi="Arial" w:cs="Arial"/>
                <w:sz w:val="20"/>
                <w:szCs w:val="20"/>
                <w:lang w:eastAsia="es-CR"/>
              </w:rPr>
              <w:t xml:space="preserve">Correo electrónico: </w:t>
            </w:r>
            <w:hyperlink r:id="rId16" w:history="1">
              <w:r w:rsidRPr="00570E8C">
                <w:rPr>
                  <w:rFonts w:ascii="Arial" w:eastAsia="Calibri" w:hAnsi="Arial" w:cs="Arial"/>
                  <w:color w:val="0563C1"/>
                  <w:sz w:val="20"/>
                  <w:szCs w:val="20"/>
                  <w:u w:val="single"/>
                </w:rPr>
                <w:t>traspasosdevalores</w:t>
              </w:r>
              <w:r w:rsidRPr="00570E8C">
                <w:rPr>
                  <w:rFonts w:ascii="Arial" w:eastAsia="Calibri" w:hAnsi="Arial" w:cs="Arial"/>
                  <w:color w:val="0563C1"/>
                  <w:sz w:val="20"/>
                  <w:szCs w:val="20"/>
                  <w:u w:val="single"/>
                  <w:lang w:eastAsia="es-CR"/>
                </w:rPr>
                <w:t>@sugeval.fi.cr</w:t>
              </w:r>
            </w:hyperlink>
          </w:p>
          <w:p w14:paraId="4949809D" w14:textId="77777777" w:rsidR="00570E8C" w:rsidRPr="00570E8C" w:rsidRDefault="00570E8C" w:rsidP="00570E8C">
            <w:pPr>
              <w:rPr>
                <w:rFonts w:ascii="Arial" w:eastAsia="Calibri" w:hAnsi="Arial" w:cs="Arial"/>
                <w:sz w:val="20"/>
                <w:szCs w:val="20"/>
                <w:lang w:eastAsia="es-CR"/>
              </w:rPr>
            </w:pPr>
            <w:r w:rsidRPr="00570E8C">
              <w:rPr>
                <w:rFonts w:ascii="Arial" w:eastAsia="Calibri" w:hAnsi="Arial" w:cs="Arial"/>
                <w:sz w:val="20"/>
                <w:szCs w:val="20"/>
                <w:lang w:eastAsia="es-CR"/>
              </w:rPr>
              <w:t>Este anexo debe presentarse si la entidad está autorizada para dar el servicio de custodia de valores.</w:t>
            </w:r>
          </w:p>
        </w:tc>
      </w:tr>
      <w:tr w:rsidR="00570E8C" w:rsidRPr="00570E8C" w14:paraId="50FB6571" w14:textId="77777777" w:rsidTr="00581266">
        <w:trPr>
          <w:trHeight w:val="265"/>
        </w:trPr>
        <w:tc>
          <w:tcPr>
            <w:tcW w:w="9715" w:type="dxa"/>
            <w:gridSpan w:val="3"/>
            <w:noWrap/>
          </w:tcPr>
          <w:p w14:paraId="2D6D30F1" w14:textId="77777777" w:rsidR="00570E8C" w:rsidRPr="00570E8C" w:rsidRDefault="00570E8C" w:rsidP="00570E8C">
            <w:pPr>
              <w:jc w:val="center"/>
              <w:rPr>
                <w:rFonts w:ascii="Arial" w:eastAsia="Calibri" w:hAnsi="Arial" w:cs="Arial"/>
                <w:b/>
                <w:sz w:val="20"/>
                <w:szCs w:val="20"/>
                <w:lang w:eastAsia="es-CR"/>
              </w:rPr>
            </w:pPr>
            <w:r w:rsidRPr="00570E8C">
              <w:rPr>
                <w:rFonts w:ascii="Arial" w:eastAsia="Calibri" w:hAnsi="Arial" w:cs="Arial"/>
                <w:b/>
                <w:sz w:val="20"/>
                <w:szCs w:val="20"/>
                <w:lang w:eastAsia="es-CR"/>
              </w:rPr>
              <w:t>Anexo 42</w:t>
            </w:r>
          </w:p>
        </w:tc>
      </w:tr>
      <w:tr w:rsidR="00570E8C" w:rsidRPr="00570E8C" w14:paraId="45A310C2" w14:textId="77777777" w:rsidTr="00581266">
        <w:trPr>
          <w:trHeight w:val="374"/>
        </w:trPr>
        <w:tc>
          <w:tcPr>
            <w:tcW w:w="2268" w:type="dxa"/>
            <w:vMerge w:val="restart"/>
            <w:noWrap/>
          </w:tcPr>
          <w:p w14:paraId="576F7C5D" w14:textId="77777777" w:rsidR="00570E8C" w:rsidRPr="00570E8C" w:rsidRDefault="00570E8C" w:rsidP="00570E8C">
            <w:pPr>
              <w:jc w:val="center"/>
              <w:rPr>
                <w:rFonts w:ascii="Arial" w:eastAsia="Calibri" w:hAnsi="Arial" w:cs="Arial"/>
                <w:sz w:val="20"/>
                <w:szCs w:val="20"/>
                <w:lang w:eastAsia="es-CR"/>
              </w:rPr>
            </w:pPr>
            <w:r w:rsidRPr="00570E8C">
              <w:rPr>
                <w:rFonts w:ascii="Arial" w:eastAsia="Calibri" w:hAnsi="Arial" w:cs="Arial"/>
                <w:sz w:val="20"/>
                <w:szCs w:val="20"/>
                <w:lang w:eastAsia="es-CR"/>
              </w:rPr>
              <w:t>Plantilla Anexo 42</w:t>
            </w:r>
          </w:p>
          <w:p w14:paraId="6B02CD3B" w14:textId="77777777" w:rsidR="00570E8C" w:rsidRPr="00570E8C" w:rsidRDefault="00570E8C" w:rsidP="00570E8C">
            <w:pPr>
              <w:jc w:val="center"/>
              <w:rPr>
                <w:rFonts w:ascii="Arial" w:eastAsia="Calibri" w:hAnsi="Arial" w:cs="Arial"/>
                <w:sz w:val="20"/>
                <w:szCs w:val="20"/>
                <w:lang w:eastAsia="es-CR"/>
              </w:rPr>
            </w:pPr>
          </w:p>
        </w:tc>
        <w:tc>
          <w:tcPr>
            <w:tcW w:w="3399" w:type="dxa"/>
            <w:noWrap/>
          </w:tcPr>
          <w:p w14:paraId="65883B48" w14:textId="77777777" w:rsidR="00570E8C" w:rsidRPr="00570E8C" w:rsidRDefault="00570E8C" w:rsidP="00570E8C">
            <w:pPr>
              <w:rPr>
                <w:rFonts w:ascii="Arial" w:eastAsia="Calibri" w:hAnsi="Arial" w:cs="Arial"/>
                <w:sz w:val="20"/>
                <w:szCs w:val="20"/>
                <w:lang w:eastAsia="es-CR"/>
              </w:rPr>
            </w:pPr>
            <w:r w:rsidRPr="00570E8C">
              <w:rPr>
                <w:rFonts w:ascii="Arial" w:eastAsia="Calibri" w:hAnsi="Arial" w:cs="Arial"/>
                <w:sz w:val="20"/>
                <w:szCs w:val="20"/>
                <w:lang w:eastAsia="es-CR"/>
              </w:rPr>
              <w:t>Código de Cliente Origen</w:t>
            </w:r>
          </w:p>
        </w:tc>
        <w:tc>
          <w:tcPr>
            <w:tcW w:w="4048" w:type="dxa"/>
            <w:noWrap/>
          </w:tcPr>
          <w:p w14:paraId="365713E5" w14:textId="77777777" w:rsidR="00570E8C" w:rsidRPr="00570E8C" w:rsidRDefault="00570E8C" w:rsidP="00570E8C">
            <w:pPr>
              <w:rPr>
                <w:rFonts w:ascii="Arial" w:eastAsia="Calibri" w:hAnsi="Arial" w:cs="Arial"/>
                <w:sz w:val="20"/>
                <w:szCs w:val="20"/>
                <w:lang w:eastAsia="es-CR"/>
              </w:rPr>
            </w:pPr>
            <w:r w:rsidRPr="00570E8C">
              <w:rPr>
                <w:rFonts w:ascii="Arial" w:eastAsia="Calibri" w:hAnsi="Arial" w:cs="Arial"/>
                <w:sz w:val="20"/>
                <w:szCs w:val="20"/>
                <w:lang w:eastAsia="es-CR"/>
              </w:rPr>
              <w:t>Cuenta de valores del cliente origen</w:t>
            </w:r>
          </w:p>
        </w:tc>
      </w:tr>
      <w:tr w:rsidR="00570E8C" w:rsidRPr="00570E8C" w14:paraId="2B08F1F5" w14:textId="77777777" w:rsidTr="00581266">
        <w:trPr>
          <w:trHeight w:val="265"/>
        </w:trPr>
        <w:tc>
          <w:tcPr>
            <w:tcW w:w="2268" w:type="dxa"/>
            <w:vMerge/>
            <w:noWrap/>
          </w:tcPr>
          <w:p w14:paraId="1BC6B0C7" w14:textId="77777777" w:rsidR="00570E8C" w:rsidRPr="00570E8C" w:rsidRDefault="00570E8C" w:rsidP="00570E8C">
            <w:pPr>
              <w:jc w:val="center"/>
              <w:rPr>
                <w:rFonts w:ascii="Arial" w:eastAsia="Calibri" w:hAnsi="Arial" w:cs="Arial"/>
                <w:sz w:val="20"/>
                <w:szCs w:val="20"/>
                <w:lang w:eastAsia="es-CR"/>
              </w:rPr>
            </w:pPr>
          </w:p>
        </w:tc>
        <w:tc>
          <w:tcPr>
            <w:tcW w:w="3399" w:type="dxa"/>
            <w:noWrap/>
          </w:tcPr>
          <w:p w14:paraId="30789504" w14:textId="77777777" w:rsidR="00570E8C" w:rsidRPr="00570E8C" w:rsidRDefault="00570E8C" w:rsidP="00570E8C">
            <w:pPr>
              <w:spacing w:line="252" w:lineRule="auto"/>
              <w:rPr>
                <w:rFonts w:ascii="Arial" w:eastAsia="Calibri" w:hAnsi="Arial" w:cs="Arial"/>
                <w:sz w:val="20"/>
                <w:szCs w:val="20"/>
                <w:lang w:eastAsia="es-CR"/>
              </w:rPr>
            </w:pPr>
            <w:r w:rsidRPr="00570E8C">
              <w:rPr>
                <w:rFonts w:ascii="Arial" w:eastAsia="Calibri" w:hAnsi="Arial" w:cs="Arial"/>
                <w:sz w:val="20"/>
                <w:szCs w:val="20"/>
                <w:lang w:eastAsia="es-CR"/>
              </w:rPr>
              <w:t>Número de cliente en el custodio local</w:t>
            </w:r>
          </w:p>
        </w:tc>
        <w:tc>
          <w:tcPr>
            <w:tcW w:w="4048" w:type="dxa"/>
            <w:noWrap/>
          </w:tcPr>
          <w:p w14:paraId="1CF98250" w14:textId="77777777" w:rsidR="00570E8C" w:rsidRPr="00570E8C" w:rsidRDefault="00570E8C" w:rsidP="00570E8C">
            <w:pPr>
              <w:rPr>
                <w:rFonts w:ascii="Arial" w:eastAsia="Calibri" w:hAnsi="Arial" w:cs="Arial"/>
                <w:sz w:val="20"/>
                <w:szCs w:val="20"/>
                <w:lang w:eastAsia="es-CR"/>
              </w:rPr>
            </w:pPr>
            <w:r w:rsidRPr="00570E8C">
              <w:rPr>
                <w:rFonts w:ascii="Arial" w:eastAsia="Calibri" w:hAnsi="Arial" w:cs="Arial"/>
                <w:sz w:val="20"/>
                <w:szCs w:val="20"/>
                <w:lang w:eastAsia="es-CR"/>
              </w:rPr>
              <w:t>Código de Cliente en el Custodio Origen</w:t>
            </w:r>
          </w:p>
        </w:tc>
      </w:tr>
      <w:tr w:rsidR="00570E8C" w:rsidRPr="00570E8C" w14:paraId="6F6C98E4" w14:textId="77777777" w:rsidTr="00581266">
        <w:trPr>
          <w:trHeight w:val="265"/>
        </w:trPr>
        <w:tc>
          <w:tcPr>
            <w:tcW w:w="2268" w:type="dxa"/>
            <w:vMerge/>
            <w:noWrap/>
          </w:tcPr>
          <w:p w14:paraId="11371501" w14:textId="77777777" w:rsidR="00570E8C" w:rsidRPr="00570E8C" w:rsidRDefault="00570E8C" w:rsidP="00570E8C">
            <w:pPr>
              <w:jc w:val="center"/>
              <w:rPr>
                <w:rFonts w:ascii="Arial" w:eastAsia="Calibri" w:hAnsi="Arial" w:cs="Arial"/>
                <w:sz w:val="20"/>
                <w:szCs w:val="20"/>
                <w:lang w:eastAsia="es-CR"/>
              </w:rPr>
            </w:pPr>
          </w:p>
        </w:tc>
        <w:tc>
          <w:tcPr>
            <w:tcW w:w="3399" w:type="dxa"/>
            <w:noWrap/>
          </w:tcPr>
          <w:p w14:paraId="092D8868" w14:textId="77777777" w:rsidR="00570E8C" w:rsidRPr="00570E8C" w:rsidRDefault="00570E8C" w:rsidP="00570E8C">
            <w:pPr>
              <w:spacing w:line="252" w:lineRule="auto"/>
              <w:rPr>
                <w:rFonts w:ascii="Arial" w:eastAsia="Calibri" w:hAnsi="Arial" w:cs="Arial"/>
                <w:sz w:val="20"/>
                <w:szCs w:val="20"/>
                <w:lang w:eastAsia="es-CR"/>
              </w:rPr>
            </w:pPr>
            <w:r w:rsidRPr="00570E8C">
              <w:rPr>
                <w:rFonts w:ascii="Arial" w:eastAsia="Calibri" w:hAnsi="Arial" w:cs="Arial"/>
                <w:sz w:val="20"/>
                <w:szCs w:val="20"/>
                <w:lang w:eastAsia="es-CR"/>
              </w:rPr>
              <w:t>Código Cliente Destino</w:t>
            </w:r>
          </w:p>
        </w:tc>
        <w:tc>
          <w:tcPr>
            <w:tcW w:w="4048" w:type="dxa"/>
            <w:noWrap/>
          </w:tcPr>
          <w:p w14:paraId="32D6A45F" w14:textId="77777777" w:rsidR="00570E8C" w:rsidRPr="00570E8C" w:rsidRDefault="00570E8C" w:rsidP="00570E8C">
            <w:pPr>
              <w:rPr>
                <w:rFonts w:ascii="Arial" w:eastAsia="Calibri" w:hAnsi="Arial" w:cs="Arial"/>
                <w:sz w:val="20"/>
                <w:szCs w:val="20"/>
                <w:lang w:eastAsia="es-CR"/>
              </w:rPr>
            </w:pPr>
            <w:r w:rsidRPr="00570E8C">
              <w:rPr>
                <w:rFonts w:ascii="Arial" w:eastAsia="Calibri" w:hAnsi="Arial" w:cs="Arial"/>
                <w:sz w:val="20"/>
                <w:szCs w:val="20"/>
                <w:lang w:eastAsia="es-CR"/>
              </w:rPr>
              <w:t>Cuenta de valores de cliente destino</w:t>
            </w:r>
          </w:p>
        </w:tc>
      </w:tr>
    </w:tbl>
    <w:p w14:paraId="34324E80" w14:textId="77777777" w:rsidR="00570E8C" w:rsidRPr="00570E8C" w:rsidRDefault="00570E8C" w:rsidP="00570E8C">
      <w:pPr>
        <w:jc w:val="center"/>
        <w:rPr>
          <w:rFonts w:ascii="Arial" w:eastAsia="Calibri" w:hAnsi="Arial" w:cs="Arial"/>
          <w:lang w:val="es-ES"/>
        </w:rPr>
      </w:pPr>
      <w:bookmarkStart w:id="4" w:name="_Hlk50487026"/>
    </w:p>
    <w:p w14:paraId="08FA5F18" w14:textId="77777777" w:rsidR="00570E8C" w:rsidRPr="00570E8C" w:rsidRDefault="00570E8C" w:rsidP="00570E8C">
      <w:pPr>
        <w:jc w:val="center"/>
        <w:rPr>
          <w:rFonts w:ascii="Arial" w:eastAsia="Calibri" w:hAnsi="Arial" w:cs="Arial"/>
          <w:lang w:val="es-ES"/>
        </w:rPr>
      </w:pPr>
      <w:r w:rsidRPr="00570E8C">
        <w:rPr>
          <w:rFonts w:ascii="Arial" w:eastAsia="Calibri" w:hAnsi="Arial" w:cs="Arial"/>
          <w:lang w:val="es-ES"/>
        </w:rPr>
        <w:object w:dxaOrig="1533" w:dyaOrig="990" w14:anchorId="148DCC9D">
          <v:shape id="_x0000_i1027" type="#_x0000_t75" style="width:79.5pt;height:51pt" o:ole="">
            <v:imagedata r:id="rId17" o:title=""/>
          </v:shape>
          <o:OLEObject Type="Embed" ProgID="Excel.Sheet.8" ShapeID="_x0000_i1027" DrawAspect="Icon" ObjectID="_1691497933" r:id="rId18"/>
        </w:object>
      </w:r>
      <w:bookmarkEnd w:id="4"/>
    </w:p>
    <w:p w14:paraId="62B384C6" w14:textId="77777777" w:rsidR="00570E8C" w:rsidRPr="00570E8C" w:rsidRDefault="00570E8C" w:rsidP="00570E8C">
      <w:pPr>
        <w:numPr>
          <w:ilvl w:val="0"/>
          <w:numId w:val="3"/>
        </w:numPr>
        <w:contextualSpacing/>
        <w:jc w:val="both"/>
        <w:rPr>
          <w:rFonts w:ascii="Arial" w:eastAsia="Calibri" w:hAnsi="Arial" w:cs="Arial"/>
          <w:lang w:val="es-ES"/>
        </w:rPr>
      </w:pPr>
      <w:r w:rsidRPr="00570E8C">
        <w:rPr>
          <w:rFonts w:ascii="Arial" w:eastAsia="Calibri" w:hAnsi="Arial" w:cs="Arial"/>
          <w:lang w:val="es-ES"/>
        </w:rPr>
        <w:t>Se modifica el Anexo 62 Reporte de Servicios de Intermediación, agregando un instructivo sobre su uso y ampliando el alcance a entidades bancarias que brinden el servicio de intermediación.</w:t>
      </w:r>
    </w:p>
    <w:tbl>
      <w:tblPr>
        <w:tblpPr w:leftFromText="141" w:rightFromText="141" w:vertAnchor="text" w:horzAnchor="margin" w:tblpY="150"/>
        <w:tblW w:w="9776" w:type="dxa"/>
        <w:tblCellMar>
          <w:left w:w="70" w:type="dxa"/>
          <w:right w:w="70" w:type="dxa"/>
        </w:tblCellMar>
        <w:tblLook w:val="04A0" w:firstRow="1" w:lastRow="0" w:firstColumn="1" w:lastColumn="0" w:noHBand="0" w:noVBand="1"/>
      </w:tblPr>
      <w:tblGrid>
        <w:gridCol w:w="4815"/>
        <w:gridCol w:w="4961"/>
      </w:tblGrid>
      <w:tr w:rsidR="00570E8C" w:rsidRPr="00570E8C" w14:paraId="6F8A0B94" w14:textId="77777777" w:rsidTr="00581266">
        <w:trPr>
          <w:cantSplit/>
          <w:trHeight w:val="645"/>
          <w:tblHeader/>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97B1F" w14:textId="77777777" w:rsidR="00570E8C" w:rsidRPr="00570E8C" w:rsidRDefault="00570E8C" w:rsidP="00570E8C">
            <w:pPr>
              <w:spacing w:after="0" w:line="240" w:lineRule="auto"/>
              <w:jc w:val="center"/>
              <w:rPr>
                <w:rFonts w:ascii="Arial" w:eastAsia="Times New Roman" w:hAnsi="Arial" w:cs="Arial"/>
                <w:b/>
                <w:bCs/>
                <w:sz w:val="18"/>
                <w:szCs w:val="18"/>
                <w:lang w:eastAsia="es-CR"/>
              </w:rPr>
            </w:pPr>
            <w:r w:rsidRPr="00570E8C">
              <w:rPr>
                <w:rFonts w:ascii="Arial" w:eastAsia="Times New Roman" w:hAnsi="Arial" w:cs="Arial"/>
                <w:b/>
                <w:bCs/>
                <w:sz w:val="18"/>
                <w:szCs w:val="18"/>
                <w:lang w:eastAsia="es-CR"/>
              </w:rPr>
              <w:t>Descripción</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4CF509E9" w14:textId="77777777" w:rsidR="00570E8C" w:rsidRPr="00570E8C" w:rsidRDefault="00570E8C" w:rsidP="00570E8C">
            <w:pPr>
              <w:spacing w:after="0" w:line="240" w:lineRule="auto"/>
              <w:jc w:val="center"/>
              <w:rPr>
                <w:rFonts w:ascii="Arial" w:eastAsia="Times New Roman" w:hAnsi="Arial" w:cs="Arial"/>
                <w:b/>
                <w:bCs/>
                <w:sz w:val="18"/>
                <w:szCs w:val="18"/>
                <w:lang w:eastAsia="es-CR"/>
              </w:rPr>
            </w:pPr>
            <w:r w:rsidRPr="00570E8C">
              <w:rPr>
                <w:rFonts w:ascii="Arial" w:eastAsia="Times New Roman" w:hAnsi="Arial" w:cs="Arial"/>
                <w:b/>
                <w:bCs/>
                <w:sz w:val="18"/>
                <w:szCs w:val="18"/>
                <w:lang w:eastAsia="es-CR"/>
              </w:rPr>
              <w:t>Explicación</w:t>
            </w:r>
          </w:p>
        </w:tc>
      </w:tr>
      <w:tr w:rsidR="00570E8C" w:rsidRPr="00570E8C" w14:paraId="58DAD071" w14:textId="77777777" w:rsidTr="00581266">
        <w:trPr>
          <w:cantSplit/>
          <w:trHeight w:val="499"/>
        </w:trPr>
        <w:tc>
          <w:tcPr>
            <w:tcW w:w="4815" w:type="dxa"/>
            <w:tcBorders>
              <w:top w:val="nil"/>
              <w:left w:val="single" w:sz="4" w:space="0" w:color="auto"/>
              <w:bottom w:val="single" w:sz="4" w:space="0" w:color="auto"/>
              <w:right w:val="single" w:sz="4" w:space="0" w:color="auto"/>
            </w:tcBorders>
            <w:shd w:val="clear" w:color="auto" w:fill="auto"/>
            <w:hideMark/>
          </w:tcPr>
          <w:p w14:paraId="1DEB281A" w14:textId="77777777" w:rsidR="00570E8C" w:rsidRPr="00570E8C" w:rsidRDefault="00570E8C" w:rsidP="007C6CE4">
            <w:pPr>
              <w:spacing w:after="0" w:line="240" w:lineRule="auto"/>
              <w:jc w:val="both"/>
              <w:rPr>
                <w:rFonts w:ascii="Arial" w:eastAsia="Times New Roman" w:hAnsi="Arial" w:cs="Arial"/>
                <w:sz w:val="18"/>
                <w:szCs w:val="18"/>
                <w:lang w:eastAsia="es-CR"/>
              </w:rPr>
            </w:pPr>
            <w:r w:rsidRPr="00570E8C">
              <w:rPr>
                <w:rFonts w:ascii="Arial" w:eastAsia="Times New Roman" w:hAnsi="Arial" w:cs="Arial"/>
                <w:sz w:val="18"/>
                <w:szCs w:val="18"/>
                <w:lang w:eastAsia="es-CR"/>
              </w:rPr>
              <w:t>Cantidad de Cuentas únicamente con contrato de ejecución de órdenes, al cierre del periodo</w:t>
            </w:r>
          </w:p>
        </w:tc>
        <w:tc>
          <w:tcPr>
            <w:tcW w:w="4961" w:type="dxa"/>
            <w:tcBorders>
              <w:top w:val="nil"/>
              <w:left w:val="nil"/>
              <w:bottom w:val="single" w:sz="4" w:space="0" w:color="auto"/>
              <w:right w:val="single" w:sz="4" w:space="0" w:color="auto"/>
            </w:tcBorders>
            <w:shd w:val="clear" w:color="auto" w:fill="auto"/>
            <w:vAlign w:val="center"/>
            <w:hideMark/>
          </w:tcPr>
          <w:p w14:paraId="616E2052" w14:textId="77777777" w:rsidR="00570E8C" w:rsidRPr="00570E8C" w:rsidRDefault="00570E8C" w:rsidP="007C6CE4">
            <w:pPr>
              <w:spacing w:after="0" w:line="240" w:lineRule="auto"/>
              <w:jc w:val="both"/>
              <w:rPr>
                <w:rFonts w:ascii="Arial" w:eastAsia="Times New Roman" w:hAnsi="Arial" w:cs="Arial"/>
                <w:sz w:val="18"/>
                <w:szCs w:val="18"/>
                <w:lang w:eastAsia="es-CR"/>
              </w:rPr>
            </w:pPr>
            <w:r w:rsidRPr="00570E8C">
              <w:rPr>
                <w:rFonts w:ascii="Arial" w:eastAsia="Times New Roman" w:hAnsi="Arial" w:cs="Arial"/>
                <w:sz w:val="18"/>
                <w:szCs w:val="18"/>
                <w:lang w:eastAsia="es-CR"/>
              </w:rPr>
              <w:t>Cuentas de solo ejecución. RIAC art. 20</w:t>
            </w:r>
          </w:p>
        </w:tc>
      </w:tr>
      <w:tr w:rsidR="00570E8C" w:rsidRPr="00570E8C" w14:paraId="78F5686A" w14:textId="77777777" w:rsidTr="00581266">
        <w:trPr>
          <w:cantSplit/>
          <w:trHeight w:val="499"/>
        </w:trPr>
        <w:tc>
          <w:tcPr>
            <w:tcW w:w="4815" w:type="dxa"/>
            <w:tcBorders>
              <w:top w:val="nil"/>
              <w:left w:val="single" w:sz="4" w:space="0" w:color="auto"/>
              <w:bottom w:val="single" w:sz="4" w:space="0" w:color="auto"/>
              <w:right w:val="single" w:sz="4" w:space="0" w:color="auto"/>
            </w:tcBorders>
            <w:shd w:val="clear" w:color="auto" w:fill="auto"/>
            <w:hideMark/>
          </w:tcPr>
          <w:p w14:paraId="5D7B530B" w14:textId="77777777" w:rsidR="00570E8C" w:rsidRPr="00570E8C" w:rsidRDefault="00570E8C" w:rsidP="007C6CE4">
            <w:pPr>
              <w:spacing w:after="0" w:line="240" w:lineRule="auto"/>
              <w:jc w:val="both"/>
              <w:rPr>
                <w:rFonts w:ascii="Arial" w:eastAsia="Times New Roman" w:hAnsi="Arial" w:cs="Arial"/>
                <w:sz w:val="18"/>
                <w:szCs w:val="18"/>
                <w:lang w:eastAsia="es-CR"/>
              </w:rPr>
            </w:pPr>
            <w:r w:rsidRPr="00570E8C">
              <w:rPr>
                <w:rFonts w:ascii="Arial" w:eastAsia="Times New Roman" w:hAnsi="Arial" w:cs="Arial"/>
                <w:sz w:val="18"/>
                <w:szCs w:val="18"/>
                <w:lang w:eastAsia="es-CR"/>
              </w:rPr>
              <w:lastRenderedPageBreak/>
              <w:t>Cantidad de Cuentas con contrato de Gestión de Portafolios, al cierre del periodo</w:t>
            </w:r>
          </w:p>
        </w:tc>
        <w:tc>
          <w:tcPr>
            <w:tcW w:w="4961" w:type="dxa"/>
            <w:tcBorders>
              <w:top w:val="nil"/>
              <w:left w:val="nil"/>
              <w:bottom w:val="single" w:sz="4" w:space="0" w:color="auto"/>
              <w:right w:val="single" w:sz="4" w:space="0" w:color="auto"/>
            </w:tcBorders>
            <w:shd w:val="clear" w:color="auto" w:fill="auto"/>
            <w:vAlign w:val="center"/>
            <w:hideMark/>
          </w:tcPr>
          <w:p w14:paraId="5F2DBE96" w14:textId="77777777" w:rsidR="00570E8C" w:rsidRPr="00570E8C" w:rsidRDefault="00570E8C" w:rsidP="007C6CE4">
            <w:pPr>
              <w:spacing w:after="0" w:line="240" w:lineRule="auto"/>
              <w:jc w:val="both"/>
              <w:rPr>
                <w:rFonts w:ascii="Arial" w:eastAsia="Times New Roman" w:hAnsi="Arial" w:cs="Arial"/>
                <w:sz w:val="18"/>
                <w:szCs w:val="18"/>
                <w:lang w:eastAsia="es-CR"/>
              </w:rPr>
            </w:pPr>
            <w:r w:rsidRPr="00570E8C">
              <w:rPr>
                <w:rFonts w:ascii="Arial" w:eastAsia="Times New Roman" w:hAnsi="Arial" w:cs="Arial"/>
                <w:sz w:val="18"/>
                <w:szCs w:val="18"/>
                <w:lang w:eastAsia="es-CR"/>
              </w:rPr>
              <w:t>Cuentas de gestión de portafolios. RIAC art. 31</w:t>
            </w:r>
          </w:p>
        </w:tc>
      </w:tr>
      <w:tr w:rsidR="00570E8C" w:rsidRPr="00570E8C" w14:paraId="3DAA0D32" w14:textId="77777777" w:rsidTr="00581266">
        <w:trPr>
          <w:cantSplit/>
          <w:trHeight w:val="499"/>
        </w:trPr>
        <w:tc>
          <w:tcPr>
            <w:tcW w:w="4815" w:type="dxa"/>
            <w:tcBorders>
              <w:top w:val="nil"/>
              <w:left w:val="single" w:sz="4" w:space="0" w:color="auto"/>
              <w:bottom w:val="single" w:sz="4" w:space="0" w:color="auto"/>
              <w:right w:val="single" w:sz="4" w:space="0" w:color="auto"/>
            </w:tcBorders>
            <w:shd w:val="clear" w:color="auto" w:fill="auto"/>
            <w:hideMark/>
          </w:tcPr>
          <w:p w14:paraId="79B3A83C" w14:textId="77777777" w:rsidR="00570E8C" w:rsidRPr="00570E8C" w:rsidRDefault="00570E8C" w:rsidP="007C6CE4">
            <w:pPr>
              <w:spacing w:after="0" w:line="240" w:lineRule="auto"/>
              <w:jc w:val="both"/>
              <w:rPr>
                <w:rFonts w:ascii="Arial" w:eastAsia="Times New Roman" w:hAnsi="Arial" w:cs="Arial"/>
                <w:sz w:val="18"/>
                <w:szCs w:val="18"/>
                <w:lang w:eastAsia="es-CR"/>
              </w:rPr>
            </w:pPr>
            <w:r w:rsidRPr="00570E8C">
              <w:rPr>
                <w:rFonts w:ascii="Arial" w:eastAsia="Times New Roman" w:hAnsi="Arial" w:cs="Arial"/>
                <w:sz w:val="18"/>
                <w:szCs w:val="18"/>
                <w:lang w:eastAsia="es-CR"/>
              </w:rPr>
              <w:t>Activos administrados bajo contratos de Gestión de portafolios o carteras individuales al cierre del periodo</w:t>
            </w:r>
          </w:p>
        </w:tc>
        <w:tc>
          <w:tcPr>
            <w:tcW w:w="4961" w:type="dxa"/>
            <w:tcBorders>
              <w:top w:val="nil"/>
              <w:left w:val="nil"/>
              <w:bottom w:val="single" w:sz="4" w:space="0" w:color="auto"/>
              <w:right w:val="single" w:sz="4" w:space="0" w:color="auto"/>
            </w:tcBorders>
            <w:shd w:val="clear" w:color="auto" w:fill="auto"/>
            <w:vAlign w:val="center"/>
            <w:hideMark/>
          </w:tcPr>
          <w:p w14:paraId="7C49FE34" w14:textId="77777777" w:rsidR="00570E8C" w:rsidRPr="00570E8C" w:rsidRDefault="00570E8C" w:rsidP="007C6CE4">
            <w:pPr>
              <w:spacing w:after="0" w:line="240" w:lineRule="auto"/>
              <w:jc w:val="both"/>
              <w:rPr>
                <w:rFonts w:ascii="Arial" w:eastAsia="Times New Roman" w:hAnsi="Arial" w:cs="Arial"/>
                <w:sz w:val="18"/>
                <w:szCs w:val="18"/>
                <w:lang w:eastAsia="es-CR"/>
              </w:rPr>
            </w:pPr>
            <w:r w:rsidRPr="00570E8C">
              <w:rPr>
                <w:rFonts w:ascii="Arial" w:eastAsia="Times New Roman" w:hAnsi="Arial" w:cs="Arial"/>
                <w:sz w:val="18"/>
                <w:szCs w:val="18"/>
                <w:lang w:eastAsia="es-CR"/>
              </w:rPr>
              <w:t>Total, patrimonio de inversionistas en servicio de gestión de portafolios.</w:t>
            </w:r>
            <w:r w:rsidRPr="00570E8C">
              <w:rPr>
                <w:rFonts w:ascii="Arial" w:eastAsia="Times New Roman" w:hAnsi="Arial" w:cs="Arial"/>
                <w:sz w:val="18"/>
                <w:szCs w:val="18"/>
                <w:lang w:eastAsia="es-CR"/>
              </w:rPr>
              <w:br/>
              <w:t>Se asocian a la cantidad en código cuenta 2000 de este catálogo.</w:t>
            </w:r>
          </w:p>
        </w:tc>
      </w:tr>
      <w:tr w:rsidR="00570E8C" w:rsidRPr="00570E8C" w14:paraId="6168706A" w14:textId="77777777" w:rsidTr="00581266">
        <w:trPr>
          <w:cantSplit/>
          <w:trHeight w:val="499"/>
        </w:trPr>
        <w:tc>
          <w:tcPr>
            <w:tcW w:w="4815" w:type="dxa"/>
            <w:tcBorders>
              <w:top w:val="nil"/>
              <w:left w:val="single" w:sz="4" w:space="0" w:color="auto"/>
              <w:bottom w:val="single" w:sz="4" w:space="0" w:color="auto"/>
              <w:right w:val="single" w:sz="4" w:space="0" w:color="auto"/>
            </w:tcBorders>
            <w:shd w:val="clear" w:color="auto" w:fill="auto"/>
            <w:hideMark/>
          </w:tcPr>
          <w:p w14:paraId="3FC91E31" w14:textId="77777777" w:rsidR="00570E8C" w:rsidRPr="00570E8C" w:rsidRDefault="00570E8C" w:rsidP="007C6CE4">
            <w:pPr>
              <w:spacing w:after="0" w:line="240" w:lineRule="auto"/>
              <w:jc w:val="both"/>
              <w:rPr>
                <w:rFonts w:ascii="Arial" w:eastAsia="Times New Roman" w:hAnsi="Arial" w:cs="Arial"/>
                <w:sz w:val="18"/>
                <w:szCs w:val="18"/>
                <w:lang w:eastAsia="es-CR"/>
              </w:rPr>
            </w:pPr>
            <w:r w:rsidRPr="00570E8C">
              <w:rPr>
                <w:rFonts w:ascii="Arial" w:eastAsia="Times New Roman" w:hAnsi="Arial" w:cs="Arial"/>
                <w:sz w:val="18"/>
                <w:szCs w:val="18"/>
                <w:lang w:eastAsia="es-CR"/>
              </w:rPr>
              <w:t>Cantidad de Cuentas con contrato de Recepción automatizada de órdenes, al cierre del periodo</w:t>
            </w:r>
          </w:p>
        </w:tc>
        <w:tc>
          <w:tcPr>
            <w:tcW w:w="4961" w:type="dxa"/>
            <w:tcBorders>
              <w:top w:val="nil"/>
              <w:left w:val="nil"/>
              <w:bottom w:val="single" w:sz="4" w:space="0" w:color="auto"/>
              <w:right w:val="single" w:sz="4" w:space="0" w:color="auto"/>
            </w:tcBorders>
            <w:shd w:val="clear" w:color="auto" w:fill="auto"/>
            <w:vAlign w:val="center"/>
            <w:hideMark/>
          </w:tcPr>
          <w:p w14:paraId="21980E47" w14:textId="77777777" w:rsidR="00570E8C" w:rsidRPr="00570E8C" w:rsidRDefault="00570E8C" w:rsidP="007C6CE4">
            <w:pPr>
              <w:spacing w:after="0" w:line="240" w:lineRule="auto"/>
              <w:jc w:val="both"/>
              <w:rPr>
                <w:rFonts w:ascii="Arial" w:eastAsia="Times New Roman" w:hAnsi="Arial" w:cs="Arial"/>
                <w:sz w:val="18"/>
                <w:szCs w:val="18"/>
                <w:lang w:eastAsia="es-CR"/>
              </w:rPr>
            </w:pPr>
            <w:r w:rsidRPr="00570E8C">
              <w:rPr>
                <w:rFonts w:ascii="Arial" w:eastAsia="Times New Roman" w:hAnsi="Arial" w:cs="Arial"/>
                <w:sz w:val="18"/>
                <w:szCs w:val="18"/>
                <w:lang w:eastAsia="es-CR"/>
              </w:rPr>
              <w:t>Cuentas con recepción automatizada. RIAC art. 28</w:t>
            </w:r>
          </w:p>
        </w:tc>
      </w:tr>
      <w:tr w:rsidR="00570E8C" w:rsidRPr="00570E8C" w14:paraId="28F96E8A" w14:textId="77777777" w:rsidTr="00581266">
        <w:trPr>
          <w:cantSplit/>
          <w:trHeight w:val="499"/>
        </w:trPr>
        <w:tc>
          <w:tcPr>
            <w:tcW w:w="4815" w:type="dxa"/>
            <w:tcBorders>
              <w:top w:val="nil"/>
              <w:left w:val="single" w:sz="4" w:space="0" w:color="auto"/>
              <w:bottom w:val="single" w:sz="4" w:space="0" w:color="auto"/>
              <w:right w:val="single" w:sz="4" w:space="0" w:color="auto"/>
            </w:tcBorders>
            <w:shd w:val="clear" w:color="auto" w:fill="auto"/>
            <w:hideMark/>
          </w:tcPr>
          <w:p w14:paraId="7EAD7C4E" w14:textId="77777777" w:rsidR="00570E8C" w:rsidRPr="00570E8C" w:rsidRDefault="00570E8C" w:rsidP="007C6CE4">
            <w:pPr>
              <w:spacing w:after="0" w:line="240" w:lineRule="auto"/>
              <w:jc w:val="both"/>
              <w:rPr>
                <w:rFonts w:ascii="Arial" w:eastAsia="Times New Roman" w:hAnsi="Arial" w:cs="Arial"/>
                <w:sz w:val="18"/>
                <w:szCs w:val="18"/>
                <w:lang w:eastAsia="es-CR"/>
              </w:rPr>
            </w:pPr>
            <w:r w:rsidRPr="00570E8C">
              <w:rPr>
                <w:rFonts w:ascii="Arial" w:eastAsia="Times New Roman" w:hAnsi="Arial" w:cs="Arial"/>
                <w:sz w:val="18"/>
                <w:szCs w:val="18"/>
                <w:lang w:eastAsia="es-CR"/>
              </w:rPr>
              <w:t>Cantidad de Cuentas con contrato de Acceso a plataformas de negociación directa, al cierre del periodo</w:t>
            </w:r>
          </w:p>
        </w:tc>
        <w:tc>
          <w:tcPr>
            <w:tcW w:w="4961" w:type="dxa"/>
            <w:tcBorders>
              <w:top w:val="nil"/>
              <w:left w:val="nil"/>
              <w:bottom w:val="single" w:sz="4" w:space="0" w:color="auto"/>
              <w:right w:val="single" w:sz="4" w:space="0" w:color="auto"/>
            </w:tcBorders>
            <w:shd w:val="clear" w:color="auto" w:fill="auto"/>
            <w:vAlign w:val="center"/>
            <w:hideMark/>
          </w:tcPr>
          <w:p w14:paraId="6086A875" w14:textId="77777777" w:rsidR="00570E8C" w:rsidRPr="00570E8C" w:rsidRDefault="00570E8C" w:rsidP="007C6CE4">
            <w:pPr>
              <w:spacing w:after="0" w:line="240" w:lineRule="auto"/>
              <w:jc w:val="both"/>
              <w:rPr>
                <w:rFonts w:ascii="Arial" w:eastAsia="Times New Roman" w:hAnsi="Arial" w:cs="Arial"/>
                <w:sz w:val="18"/>
                <w:szCs w:val="18"/>
                <w:lang w:eastAsia="es-CR"/>
              </w:rPr>
            </w:pPr>
            <w:r w:rsidRPr="00570E8C">
              <w:rPr>
                <w:rFonts w:ascii="Arial" w:eastAsia="Times New Roman" w:hAnsi="Arial" w:cs="Arial"/>
                <w:sz w:val="18"/>
                <w:szCs w:val="18"/>
                <w:lang w:eastAsia="es-CR"/>
              </w:rPr>
              <w:t>Cuentas con acceso a plataformas de forma directa. RIAC art.38</w:t>
            </w:r>
          </w:p>
        </w:tc>
      </w:tr>
      <w:tr w:rsidR="00570E8C" w:rsidRPr="00570E8C" w14:paraId="7D5A9AAC" w14:textId="77777777" w:rsidTr="00581266">
        <w:trPr>
          <w:cantSplit/>
          <w:trHeight w:val="499"/>
        </w:trPr>
        <w:tc>
          <w:tcPr>
            <w:tcW w:w="4815" w:type="dxa"/>
            <w:tcBorders>
              <w:top w:val="nil"/>
              <w:left w:val="single" w:sz="4" w:space="0" w:color="auto"/>
              <w:bottom w:val="single" w:sz="4" w:space="0" w:color="auto"/>
              <w:right w:val="single" w:sz="4" w:space="0" w:color="auto"/>
            </w:tcBorders>
            <w:shd w:val="clear" w:color="auto" w:fill="auto"/>
            <w:hideMark/>
          </w:tcPr>
          <w:p w14:paraId="04127C67" w14:textId="77777777" w:rsidR="00570E8C" w:rsidRPr="00570E8C" w:rsidRDefault="00570E8C" w:rsidP="007C6CE4">
            <w:pPr>
              <w:spacing w:after="0" w:line="240" w:lineRule="auto"/>
              <w:jc w:val="both"/>
              <w:rPr>
                <w:rFonts w:ascii="Arial" w:eastAsia="Times New Roman" w:hAnsi="Arial" w:cs="Arial"/>
                <w:sz w:val="18"/>
                <w:szCs w:val="18"/>
                <w:lang w:eastAsia="es-CR"/>
              </w:rPr>
            </w:pPr>
            <w:r w:rsidRPr="00570E8C">
              <w:rPr>
                <w:rFonts w:ascii="Arial" w:eastAsia="Times New Roman" w:hAnsi="Arial" w:cs="Arial"/>
                <w:sz w:val="18"/>
                <w:szCs w:val="18"/>
                <w:lang w:eastAsia="es-CR"/>
              </w:rPr>
              <w:t>Cantidad de Cuentas con contrato de Asesoría, al cierre del periodo</w:t>
            </w:r>
          </w:p>
        </w:tc>
        <w:tc>
          <w:tcPr>
            <w:tcW w:w="4961" w:type="dxa"/>
            <w:tcBorders>
              <w:top w:val="nil"/>
              <w:left w:val="nil"/>
              <w:bottom w:val="single" w:sz="4" w:space="0" w:color="auto"/>
              <w:right w:val="single" w:sz="4" w:space="0" w:color="auto"/>
            </w:tcBorders>
            <w:shd w:val="clear" w:color="auto" w:fill="auto"/>
            <w:vAlign w:val="center"/>
            <w:hideMark/>
          </w:tcPr>
          <w:p w14:paraId="543B2DD8" w14:textId="77777777" w:rsidR="00570E8C" w:rsidRPr="00570E8C" w:rsidRDefault="00570E8C" w:rsidP="007C6CE4">
            <w:pPr>
              <w:spacing w:after="0" w:line="240" w:lineRule="auto"/>
              <w:jc w:val="both"/>
              <w:rPr>
                <w:rFonts w:ascii="Arial" w:eastAsia="Times New Roman" w:hAnsi="Arial" w:cs="Arial"/>
                <w:sz w:val="18"/>
                <w:szCs w:val="18"/>
                <w:lang w:eastAsia="es-CR"/>
              </w:rPr>
            </w:pPr>
            <w:r w:rsidRPr="00570E8C">
              <w:rPr>
                <w:rFonts w:ascii="Arial" w:eastAsia="Times New Roman" w:hAnsi="Arial" w:cs="Arial"/>
                <w:sz w:val="18"/>
                <w:szCs w:val="18"/>
                <w:lang w:eastAsia="es-CR"/>
              </w:rPr>
              <w:t>Cuentas con servicio de asesoría. RIAC art. 41</w:t>
            </w:r>
          </w:p>
        </w:tc>
      </w:tr>
      <w:tr w:rsidR="00570E8C" w:rsidRPr="00570E8C" w14:paraId="1EDAD35D" w14:textId="77777777" w:rsidTr="00581266">
        <w:trPr>
          <w:cantSplit/>
          <w:trHeight w:val="499"/>
        </w:trPr>
        <w:tc>
          <w:tcPr>
            <w:tcW w:w="4815" w:type="dxa"/>
            <w:tcBorders>
              <w:top w:val="nil"/>
              <w:left w:val="single" w:sz="4" w:space="0" w:color="auto"/>
              <w:bottom w:val="single" w:sz="4" w:space="0" w:color="auto"/>
              <w:right w:val="single" w:sz="4" w:space="0" w:color="auto"/>
            </w:tcBorders>
            <w:shd w:val="clear" w:color="auto" w:fill="auto"/>
            <w:hideMark/>
          </w:tcPr>
          <w:p w14:paraId="17ECA535" w14:textId="77777777" w:rsidR="00570E8C" w:rsidRPr="00570E8C" w:rsidRDefault="00570E8C" w:rsidP="007C6CE4">
            <w:pPr>
              <w:spacing w:after="0" w:line="240" w:lineRule="auto"/>
              <w:jc w:val="both"/>
              <w:rPr>
                <w:rFonts w:ascii="Arial" w:eastAsia="Times New Roman" w:hAnsi="Arial" w:cs="Arial"/>
                <w:sz w:val="18"/>
                <w:szCs w:val="18"/>
                <w:lang w:eastAsia="es-CR"/>
              </w:rPr>
            </w:pPr>
            <w:r w:rsidRPr="00570E8C">
              <w:rPr>
                <w:rFonts w:ascii="Arial" w:eastAsia="Times New Roman" w:hAnsi="Arial" w:cs="Arial"/>
                <w:sz w:val="18"/>
                <w:szCs w:val="18"/>
                <w:lang w:eastAsia="es-CR"/>
              </w:rPr>
              <w:t>Cantidad de Emisores de Oferta Privada a los que se colocó valores, durante el periodo</w:t>
            </w:r>
          </w:p>
        </w:tc>
        <w:tc>
          <w:tcPr>
            <w:tcW w:w="4961" w:type="dxa"/>
            <w:tcBorders>
              <w:top w:val="nil"/>
              <w:left w:val="nil"/>
              <w:bottom w:val="single" w:sz="4" w:space="0" w:color="auto"/>
              <w:right w:val="single" w:sz="4" w:space="0" w:color="auto"/>
            </w:tcBorders>
            <w:shd w:val="clear" w:color="auto" w:fill="auto"/>
            <w:vAlign w:val="center"/>
            <w:hideMark/>
          </w:tcPr>
          <w:p w14:paraId="6C8AAB4E" w14:textId="77777777" w:rsidR="00570E8C" w:rsidRPr="00570E8C" w:rsidRDefault="00570E8C" w:rsidP="007C6CE4">
            <w:pPr>
              <w:spacing w:after="0" w:line="240" w:lineRule="auto"/>
              <w:jc w:val="both"/>
              <w:rPr>
                <w:rFonts w:ascii="Arial" w:eastAsia="Times New Roman" w:hAnsi="Arial" w:cs="Arial"/>
                <w:sz w:val="18"/>
                <w:szCs w:val="18"/>
                <w:lang w:eastAsia="es-CR"/>
              </w:rPr>
            </w:pPr>
            <w:r w:rsidRPr="00570E8C">
              <w:rPr>
                <w:rFonts w:ascii="Arial" w:eastAsia="Times New Roman" w:hAnsi="Arial" w:cs="Arial"/>
                <w:sz w:val="18"/>
                <w:szCs w:val="18"/>
                <w:lang w:eastAsia="es-CR"/>
              </w:rPr>
              <w:t xml:space="preserve">Emisores de oferta privada que se colocaron a clientes </w:t>
            </w:r>
          </w:p>
        </w:tc>
      </w:tr>
      <w:tr w:rsidR="00570E8C" w:rsidRPr="00570E8C" w14:paraId="6E15E76A" w14:textId="77777777" w:rsidTr="00581266">
        <w:trPr>
          <w:cantSplit/>
          <w:trHeight w:val="499"/>
        </w:trPr>
        <w:tc>
          <w:tcPr>
            <w:tcW w:w="4815" w:type="dxa"/>
            <w:tcBorders>
              <w:top w:val="nil"/>
              <w:left w:val="single" w:sz="4" w:space="0" w:color="auto"/>
              <w:bottom w:val="single" w:sz="4" w:space="0" w:color="auto"/>
              <w:right w:val="single" w:sz="4" w:space="0" w:color="auto"/>
            </w:tcBorders>
            <w:shd w:val="clear" w:color="auto" w:fill="auto"/>
            <w:hideMark/>
          </w:tcPr>
          <w:p w14:paraId="4BEB4C5C" w14:textId="77777777" w:rsidR="00570E8C" w:rsidRPr="00570E8C" w:rsidRDefault="00570E8C" w:rsidP="007C6CE4">
            <w:pPr>
              <w:spacing w:after="0" w:line="240" w:lineRule="auto"/>
              <w:jc w:val="both"/>
              <w:rPr>
                <w:rFonts w:ascii="Arial" w:eastAsia="Times New Roman" w:hAnsi="Arial" w:cs="Arial"/>
                <w:sz w:val="18"/>
                <w:szCs w:val="18"/>
                <w:lang w:eastAsia="es-CR"/>
              </w:rPr>
            </w:pPr>
            <w:r w:rsidRPr="00570E8C">
              <w:rPr>
                <w:rFonts w:ascii="Arial" w:eastAsia="Times New Roman" w:hAnsi="Arial" w:cs="Arial"/>
                <w:sz w:val="18"/>
                <w:szCs w:val="18"/>
                <w:lang w:eastAsia="es-CR"/>
              </w:rPr>
              <w:t>Volumen total colocado por Emisores de Oferta Privada, durante el periodo</w:t>
            </w:r>
          </w:p>
        </w:tc>
        <w:tc>
          <w:tcPr>
            <w:tcW w:w="4961" w:type="dxa"/>
            <w:tcBorders>
              <w:top w:val="nil"/>
              <w:left w:val="nil"/>
              <w:bottom w:val="single" w:sz="4" w:space="0" w:color="auto"/>
              <w:right w:val="single" w:sz="4" w:space="0" w:color="auto"/>
            </w:tcBorders>
            <w:shd w:val="clear" w:color="auto" w:fill="auto"/>
            <w:vAlign w:val="center"/>
            <w:hideMark/>
          </w:tcPr>
          <w:p w14:paraId="1CDD3A65" w14:textId="77777777" w:rsidR="00570E8C" w:rsidRPr="00570E8C" w:rsidRDefault="00570E8C" w:rsidP="007C6CE4">
            <w:pPr>
              <w:spacing w:after="0" w:line="240" w:lineRule="auto"/>
              <w:jc w:val="both"/>
              <w:rPr>
                <w:rFonts w:ascii="Arial" w:eastAsia="Times New Roman" w:hAnsi="Arial" w:cs="Arial"/>
                <w:sz w:val="18"/>
                <w:szCs w:val="18"/>
                <w:lang w:eastAsia="es-CR"/>
              </w:rPr>
            </w:pPr>
            <w:r w:rsidRPr="00570E8C">
              <w:rPr>
                <w:rFonts w:ascii="Arial" w:eastAsia="Times New Roman" w:hAnsi="Arial" w:cs="Arial"/>
                <w:sz w:val="18"/>
                <w:szCs w:val="18"/>
                <w:lang w:eastAsia="es-CR"/>
              </w:rPr>
              <w:t>Monto total Valor facial de instrumentos de emisores de oferta privada colocados, según el código cuenta 6000</w:t>
            </w:r>
          </w:p>
        </w:tc>
      </w:tr>
      <w:tr w:rsidR="00570E8C" w:rsidRPr="00570E8C" w14:paraId="58723A69" w14:textId="77777777" w:rsidTr="00581266">
        <w:trPr>
          <w:cantSplit/>
          <w:trHeight w:val="499"/>
        </w:trPr>
        <w:tc>
          <w:tcPr>
            <w:tcW w:w="4815" w:type="dxa"/>
            <w:tcBorders>
              <w:top w:val="nil"/>
              <w:left w:val="single" w:sz="4" w:space="0" w:color="auto"/>
              <w:bottom w:val="single" w:sz="4" w:space="0" w:color="auto"/>
              <w:right w:val="single" w:sz="4" w:space="0" w:color="auto"/>
            </w:tcBorders>
            <w:shd w:val="clear" w:color="auto" w:fill="auto"/>
            <w:hideMark/>
          </w:tcPr>
          <w:p w14:paraId="595BCC96" w14:textId="77777777" w:rsidR="00570E8C" w:rsidRPr="00570E8C" w:rsidRDefault="00570E8C" w:rsidP="007C6CE4">
            <w:pPr>
              <w:spacing w:after="0" w:line="240" w:lineRule="auto"/>
              <w:jc w:val="both"/>
              <w:rPr>
                <w:rFonts w:ascii="Arial" w:eastAsia="Times New Roman" w:hAnsi="Arial" w:cs="Arial"/>
                <w:sz w:val="18"/>
                <w:szCs w:val="18"/>
                <w:lang w:eastAsia="es-CR"/>
              </w:rPr>
            </w:pPr>
            <w:r w:rsidRPr="00570E8C">
              <w:rPr>
                <w:rFonts w:ascii="Arial" w:eastAsia="Times New Roman" w:hAnsi="Arial" w:cs="Arial"/>
                <w:sz w:val="18"/>
                <w:szCs w:val="18"/>
                <w:lang w:eastAsia="es-CR"/>
              </w:rPr>
              <w:t>Volumen total colocado por Emisores de Oferta Privada de otros grupos de interés económico</w:t>
            </w:r>
          </w:p>
        </w:tc>
        <w:tc>
          <w:tcPr>
            <w:tcW w:w="4961" w:type="dxa"/>
            <w:tcBorders>
              <w:top w:val="nil"/>
              <w:left w:val="nil"/>
              <w:bottom w:val="single" w:sz="4" w:space="0" w:color="auto"/>
              <w:right w:val="single" w:sz="4" w:space="0" w:color="auto"/>
            </w:tcBorders>
            <w:shd w:val="clear" w:color="auto" w:fill="auto"/>
            <w:vAlign w:val="center"/>
            <w:hideMark/>
          </w:tcPr>
          <w:p w14:paraId="31C472BB" w14:textId="77777777" w:rsidR="00570E8C" w:rsidRPr="00570E8C" w:rsidRDefault="00570E8C" w:rsidP="007C6CE4">
            <w:pPr>
              <w:spacing w:after="0" w:line="240" w:lineRule="auto"/>
              <w:jc w:val="both"/>
              <w:rPr>
                <w:rFonts w:ascii="Arial" w:eastAsia="Times New Roman" w:hAnsi="Arial" w:cs="Arial"/>
                <w:sz w:val="18"/>
                <w:szCs w:val="18"/>
                <w:lang w:eastAsia="es-CR"/>
              </w:rPr>
            </w:pPr>
            <w:r w:rsidRPr="00570E8C">
              <w:rPr>
                <w:rFonts w:ascii="Arial" w:eastAsia="Times New Roman" w:hAnsi="Arial" w:cs="Arial"/>
                <w:sz w:val="18"/>
                <w:szCs w:val="18"/>
                <w:lang w:eastAsia="es-CR"/>
              </w:rPr>
              <w:t>Monto VF de emisores de oferta privada de otras entidades no relacionadas al Intermediario</w:t>
            </w:r>
          </w:p>
        </w:tc>
      </w:tr>
      <w:tr w:rsidR="00570E8C" w:rsidRPr="00570E8C" w14:paraId="4C2122E6" w14:textId="77777777" w:rsidTr="00581266">
        <w:trPr>
          <w:cantSplit/>
          <w:trHeight w:val="499"/>
        </w:trPr>
        <w:tc>
          <w:tcPr>
            <w:tcW w:w="4815" w:type="dxa"/>
            <w:tcBorders>
              <w:top w:val="nil"/>
              <w:left w:val="single" w:sz="4" w:space="0" w:color="auto"/>
              <w:bottom w:val="single" w:sz="4" w:space="0" w:color="auto"/>
              <w:right w:val="single" w:sz="4" w:space="0" w:color="auto"/>
            </w:tcBorders>
            <w:shd w:val="clear" w:color="auto" w:fill="auto"/>
            <w:hideMark/>
          </w:tcPr>
          <w:p w14:paraId="3137BD1D" w14:textId="77777777" w:rsidR="00570E8C" w:rsidRPr="00570E8C" w:rsidRDefault="00570E8C" w:rsidP="007C6CE4">
            <w:pPr>
              <w:spacing w:after="0" w:line="240" w:lineRule="auto"/>
              <w:jc w:val="both"/>
              <w:rPr>
                <w:rFonts w:ascii="Arial" w:eastAsia="Times New Roman" w:hAnsi="Arial" w:cs="Arial"/>
                <w:sz w:val="18"/>
                <w:szCs w:val="18"/>
                <w:lang w:eastAsia="es-CR"/>
              </w:rPr>
            </w:pPr>
            <w:r w:rsidRPr="00570E8C">
              <w:rPr>
                <w:rFonts w:ascii="Arial" w:eastAsia="Times New Roman" w:hAnsi="Arial" w:cs="Arial"/>
                <w:sz w:val="18"/>
                <w:szCs w:val="18"/>
                <w:lang w:eastAsia="es-CR"/>
              </w:rPr>
              <w:t>Volumen total colocado por Emisores de Oferta Privada vinculados al intermediario o que conformen un mismo grupo de interés económico</w:t>
            </w:r>
          </w:p>
        </w:tc>
        <w:tc>
          <w:tcPr>
            <w:tcW w:w="4961" w:type="dxa"/>
            <w:tcBorders>
              <w:top w:val="nil"/>
              <w:left w:val="nil"/>
              <w:bottom w:val="single" w:sz="4" w:space="0" w:color="auto"/>
              <w:right w:val="single" w:sz="4" w:space="0" w:color="auto"/>
            </w:tcBorders>
            <w:shd w:val="clear" w:color="auto" w:fill="auto"/>
            <w:vAlign w:val="center"/>
            <w:hideMark/>
          </w:tcPr>
          <w:p w14:paraId="425EDBC0" w14:textId="77777777" w:rsidR="00570E8C" w:rsidRPr="00570E8C" w:rsidRDefault="00570E8C" w:rsidP="007C6CE4">
            <w:pPr>
              <w:spacing w:after="0" w:line="240" w:lineRule="auto"/>
              <w:jc w:val="both"/>
              <w:rPr>
                <w:rFonts w:ascii="Arial" w:eastAsia="Times New Roman" w:hAnsi="Arial" w:cs="Arial"/>
                <w:sz w:val="18"/>
                <w:szCs w:val="18"/>
                <w:lang w:eastAsia="es-CR"/>
              </w:rPr>
            </w:pPr>
            <w:r w:rsidRPr="00570E8C">
              <w:rPr>
                <w:rFonts w:ascii="Arial" w:eastAsia="Times New Roman" w:hAnsi="Arial" w:cs="Arial"/>
                <w:sz w:val="18"/>
                <w:szCs w:val="18"/>
                <w:lang w:eastAsia="es-CR"/>
              </w:rPr>
              <w:t>Monto VF de emisores de oferta privada de entidades del mismo GIE o relacionadas al Intermediario</w:t>
            </w:r>
          </w:p>
        </w:tc>
      </w:tr>
      <w:tr w:rsidR="00570E8C" w:rsidRPr="00570E8C" w14:paraId="372D3CEB" w14:textId="77777777" w:rsidTr="00581266">
        <w:trPr>
          <w:cantSplit/>
          <w:trHeight w:val="660"/>
        </w:trPr>
        <w:tc>
          <w:tcPr>
            <w:tcW w:w="4815" w:type="dxa"/>
            <w:tcBorders>
              <w:top w:val="nil"/>
              <w:left w:val="single" w:sz="4" w:space="0" w:color="auto"/>
              <w:bottom w:val="single" w:sz="4" w:space="0" w:color="auto"/>
              <w:right w:val="single" w:sz="4" w:space="0" w:color="auto"/>
            </w:tcBorders>
            <w:shd w:val="clear" w:color="auto" w:fill="auto"/>
            <w:hideMark/>
          </w:tcPr>
          <w:p w14:paraId="2E44BCB4" w14:textId="77777777" w:rsidR="00570E8C" w:rsidRPr="00570E8C" w:rsidRDefault="00570E8C" w:rsidP="007C6CE4">
            <w:pPr>
              <w:spacing w:after="0" w:line="240" w:lineRule="auto"/>
              <w:jc w:val="both"/>
              <w:rPr>
                <w:rFonts w:ascii="Arial" w:eastAsia="Times New Roman" w:hAnsi="Arial" w:cs="Arial"/>
                <w:sz w:val="18"/>
                <w:szCs w:val="18"/>
                <w:lang w:eastAsia="es-CR"/>
              </w:rPr>
            </w:pPr>
            <w:r w:rsidRPr="00570E8C">
              <w:rPr>
                <w:rFonts w:ascii="Arial" w:eastAsia="Times New Roman" w:hAnsi="Arial" w:cs="Arial"/>
                <w:sz w:val="18"/>
                <w:szCs w:val="18"/>
                <w:lang w:eastAsia="es-CR"/>
              </w:rPr>
              <w:t>Comisiones cobradas en las colocaciones por Emisores de Oferta Privada, durante el periodo</w:t>
            </w:r>
          </w:p>
        </w:tc>
        <w:tc>
          <w:tcPr>
            <w:tcW w:w="4961" w:type="dxa"/>
            <w:tcBorders>
              <w:top w:val="nil"/>
              <w:left w:val="nil"/>
              <w:bottom w:val="single" w:sz="4" w:space="0" w:color="auto"/>
              <w:right w:val="single" w:sz="4" w:space="0" w:color="auto"/>
            </w:tcBorders>
            <w:shd w:val="clear" w:color="auto" w:fill="auto"/>
            <w:vAlign w:val="center"/>
            <w:hideMark/>
          </w:tcPr>
          <w:p w14:paraId="1E08157E" w14:textId="77777777" w:rsidR="00570E8C" w:rsidRPr="00570E8C" w:rsidRDefault="00570E8C" w:rsidP="007C6CE4">
            <w:pPr>
              <w:spacing w:after="0" w:line="240" w:lineRule="auto"/>
              <w:jc w:val="both"/>
              <w:rPr>
                <w:rFonts w:ascii="Arial" w:eastAsia="Times New Roman" w:hAnsi="Arial" w:cs="Arial"/>
                <w:sz w:val="18"/>
                <w:szCs w:val="18"/>
                <w:lang w:eastAsia="es-CR"/>
              </w:rPr>
            </w:pPr>
            <w:r w:rsidRPr="00570E8C">
              <w:rPr>
                <w:rFonts w:ascii="Arial" w:eastAsia="Times New Roman" w:hAnsi="Arial" w:cs="Arial"/>
                <w:sz w:val="18"/>
                <w:szCs w:val="18"/>
                <w:lang w:eastAsia="es-CR"/>
              </w:rPr>
              <w:t>Monto total de comisiones recibidas por el Intermediario de parte del emisor.</w:t>
            </w:r>
            <w:r w:rsidRPr="00570E8C">
              <w:rPr>
                <w:rFonts w:ascii="Arial" w:eastAsia="Times New Roman" w:hAnsi="Arial" w:cs="Arial"/>
                <w:sz w:val="18"/>
                <w:szCs w:val="18"/>
                <w:lang w:eastAsia="es-CR"/>
              </w:rPr>
              <w:br/>
              <w:t>Se asocian al volumen colocado por emisores en código cuenta 6500</w:t>
            </w:r>
          </w:p>
        </w:tc>
      </w:tr>
      <w:tr w:rsidR="00570E8C" w:rsidRPr="00570E8C" w14:paraId="18B92CE6" w14:textId="77777777" w:rsidTr="00581266">
        <w:trPr>
          <w:cantSplit/>
          <w:trHeight w:val="1200"/>
        </w:trPr>
        <w:tc>
          <w:tcPr>
            <w:tcW w:w="4815" w:type="dxa"/>
            <w:tcBorders>
              <w:top w:val="nil"/>
              <w:left w:val="single" w:sz="4" w:space="0" w:color="auto"/>
              <w:bottom w:val="single" w:sz="4" w:space="0" w:color="auto"/>
              <w:right w:val="single" w:sz="4" w:space="0" w:color="auto"/>
            </w:tcBorders>
            <w:shd w:val="clear" w:color="auto" w:fill="auto"/>
            <w:hideMark/>
          </w:tcPr>
          <w:p w14:paraId="5D86DB69" w14:textId="77777777" w:rsidR="00570E8C" w:rsidRPr="00570E8C" w:rsidRDefault="00570E8C" w:rsidP="007C6CE4">
            <w:pPr>
              <w:spacing w:after="0" w:line="240" w:lineRule="auto"/>
              <w:jc w:val="both"/>
              <w:rPr>
                <w:rFonts w:ascii="Arial" w:eastAsia="Times New Roman" w:hAnsi="Arial" w:cs="Arial"/>
                <w:sz w:val="18"/>
                <w:szCs w:val="18"/>
                <w:lang w:eastAsia="es-CR"/>
              </w:rPr>
            </w:pPr>
            <w:r w:rsidRPr="00570E8C">
              <w:rPr>
                <w:rFonts w:ascii="Arial" w:eastAsia="Times New Roman" w:hAnsi="Arial" w:cs="Arial"/>
                <w:sz w:val="18"/>
                <w:szCs w:val="18"/>
                <w:lang w:eastAsia="es-CR"/>
              </w:rPr>
              <w:t>Comisiones cobradas en las colocaciones por Emisores de Oferta Privada de otros grupos de interés económico</w:t>
            </w:r>
          </w:p>
        </w:tc>
        <w:tc>
          <w:tcPr>
            <w:tcW w:w="4961" w:type="dxa"/>
            <w:tcBorders>
              <w:top w:val="nil"/>
              <w:left w:val="nil"/>
              <w:bottom w:val="single" w:sz="4" w:space="0" w:color="auto"/>
              <w:right w:val="single" w:sz="4" w:space="0" w:color="auto"/>
            </w:tcBorders>
            <w:shd w:val="clear" w:color="auto" w:fill="auto"/>
            <w:vAlign w:val="center"/>
            <w:hideMark/>
          </w:tcPr>
          <w:p w14:paraId="199C3565" w14:textId="77777777" w:rsidR="00570E8C" w:rsidRPr="00570E8C" w:rsidRDefault="00570E8C" w:rsidP="007C6CE4">
            <w:pPr>
              <w:spacing w:after="0" w:line="240" w:lineRule="auto"/>
              <w:jc w:val="both"/>
              <w:rPr>
                <w:rFonts w:ascii="Arial" w:eastAsia="Times New Roman" w:hAnsi="Arial" w:cs="Arial"/>
                <w:sz w:val="18"/>
                <w:szCs w:val="18"/>
                <w:lang w:eastAsia="es-CR"/>
              </w:rPr>
            </w:pPr>
            <w:r w:rsidRPr="00570E8C">
              <w:rPr>
                <w:rFonts w:ascii="Arial" w:eastAsia="Times New Roman" w:hAnsi="Arial" w:cs="Arial"/>
                <w:sz w:val="18"/>
                <w:szCs w:val="18"/>
                <w:lang w:eastAsia="es-CR"/>
              </w:rPr>
              <w:t>Monto de comisiones recibidas por el Intermediario de parte del emisor de otros GIE no relacionado.</w:t>
            </w:r>
            <w:r w:rsidRPr="00570E8C">
              <w:rPr>
                <w:rFonts w:ascii="Arial" w:eastAsia="Times New Roman" w:hAnsi="Arial" w:cs="Arial"/>
                <w:sz w:val="18"/>
                <w:szCs w:val="18"/>
                <w:lang w:eastAsia="es-CR"/>
              </w:rPr>
              <w:br/>
              <w:t>Se asocian al volumen colocado por emisores de oferta privada en código cuenta 6510</w:t>
            </w:r>
          </w:p>
        </w:tc>
      </w:tr>
      <w:tr w:rsidR="00570E8C" w:rsidRPr="00570E8C" w14:paraId="44C8223E" w14:textId="77777777" w:rsidTr="00581266">
        <w:trPr>
          <w:cantSplit/>
          <w:trHeight w:val="960"/>
        </w:trPr>
        <w:tc>
          <w:tcPr>
            <w:tcW w:w="4815" w:type="dxa"/>
            <w:tcBorders>
              <w:top w:val="nil"/>
              <w:left w:val="single" w:sz="4" w:space="0" w:color="auto"/>
              <w:bottom w:val="single" w:sz="4" w:space="0" w:color="auto"/>
              <w:right w:val="single" w:sz="4" w:space="0" w:color="auto"/>
            </w:tcBorders>
            <w:shd w:val="clear" w:color="auto" w:fill="auto"/>
            <w:hideMark/>
          </w:tcPr>
          <w:p w14:paraId="12FC38CB" w14:textId="77777777" w:rsidR="00570E8C" w:rsidRPr="00570E8C" w:rsidRDefault="00570E8C" w:rsidP="007C6CE4">
            <w:pPr>
              <w:spacing w:after="0" w:line="240" w:lineRule="auto"/>
              <w:jc w:val="both"/>
              <w:rPr>
                <w:rFonts w:ascii="Arial" w:eastAsia="Times New Roman" w:hAnsi="Arial" w:cs="Arial"/>
                <w:sz w:val="18"/>
                <w:szCs w:val="18"/>
                <w:lang w:eastAsia="es-CR"/>
              </w:rPr>
            </w:pPr>
            <w:r w:rsidRPr="00570E8C">
              <w:rPr>
                <w:rFonts w:ascii="Arial" w:eastAsia="Times New Roman" w:hAnsi="Arial" w:cs="Arial"/>
                <w:sz w:val="18"/>
                <w:szCs w:val="18"/>
                <w:lang w:eastAsia="es-CR"/>
              </w:rPr>
              <w:t>Comisiones cobradas en las colocaciones por Emisores de Oferta Privada vinculados al intermediario o que conformen un mismo grupo de interés económico</w:t>
            </w:r>
          </w:p>
        </w:tc>
        <w:tc>
          <w:tcPr>
            <w:tcW w:w="4961" w:type="dxa"/>
            <w:tcBorders>
              <w:top w:val="nil"/>
              <w:left w:val="nil"/>
              <w:bottom w:val="single" w:sz="4" w:space="0" w:color="auto"/>
              <w:right w:val="single" w:sz="4" w:space="0" w:color="auto"/>
            </w:tcBorders>
            <w:shd w:val="clear" w:color="auto" w:fill="auto"/>
            <w:vAlign w:val="center"/>
            <w:hideMark/>
          </w:tcPr>
          <w:p w14:paraId="711B70ED" w14:textId="77777777" w:rsidR="00570E8C" w:rsidRPr="00570E8C" w:rsidRDefault="00570E8C" w:rsidP="007C6CE4">
            <w:pPr>
              <w:spacing w:after="0" w:line="240" w:lineRule="auto"/>
              <w:jc w:val="both"/>
              <w:rPr>
                <w:rFonts w:ascii="Arial" w:eastAsia="Times New Roman" w:hAnsi="Arial" w:cs="Arial"/>
                <w:sz w:val="18"/>
                <w:szCs w:val="18"/>
                <w:lang w:eastAsia="es-CR"/>
              </w:rPr>
            </w:pPr>
            <w:r w:rsidRPr="00570E8C">
              <w:rPr>
                <w:rFonts w:ascii="Arial" w:eastAsia="Times New Roman" w:hAnsi="Arial" w:cs="Arial"/>
                <w:sz w:val="18"/>
                <w:szCs w:val="18"/>
                <w:lang w:eastAsia="es-CR"/>
              </w:rPr>
              <w:t>Monto de comisiones recibidas por el Intermediario de parte del emisor de su GIE.</w:t>
            </w:r>
            <w:r w:rsidRPr="00570E8C">
              <w:rPr>
                <w:rFonts w:ascii="Arial" w:eastAsia="Times New Roman" w:hAnsi="Arial" w:cs="Arial"/>
                <w:sz w:val="18"/>
                <w:szCs w:val="18"/>
                <w:lang w:eastAsia="es-CR"/>
              </w:rPr>
              <w:br/>
              <w:t>Se asocian al volumen colocado por emisores de oferta privada en código cuenta 6520</w:t>
            </w:r>
          </w:p>
        </w:tc>
      </w:tr>
      <w:tr w:rsidR="00570E8C" w:rsidRPr="00570E8C" w14:paraId="101EBC06" w14:textId="77777777" w:rsidTr="00581266">
        <w:trPr>
          <w:cantSplit/>
          <w:trHeight w:val="499"/>
        </w:trPr>
        <w:tc>
          <w:tcPr>
            <w:tcW w:w="4815" w:type="dxa"/>
            <w:tcBorders>
              <w:top w:val="nil"/>
              <w:left w:val="single" w:sz="4" w:space="0" w:color="auto"/>
              <w:bottom w:val="single" w:sz="4" w:space="0" w:color="auto"/>
              <w:right w:val="single" w:sz="4" w:space="0" w:color="auto"/>
            </w:tcBorders>
            <w:shd w:val="clear" w:color="auto" w:fill="auto"/>
            <w:hideMark/>
          </w:tcPr>
          <w:p w14:paraId="4CD67EF6" w14:textId="77777777" w:rsidR="00570E8C" w:rsidRPr="00570E8C" w:rsidRDefault="00570E8C" w:rsidP="007C6CE4">
            <w:pPr>
              <w:spacing w:after="0" w:line="240" w:lineRule="auto"/>
              <w:jc w:val="both"/>
              <w:rPr>
                <w:rFonts w:ascii="Arial" w:eastAsia="Times New Roman" w:hAnsi="Arial" w:cs="Arial"/>
                <w:sz w:val="18"/>
                <w:szCs w:val="18"/>
                <w:lang w:eastAsia="es-CR"/>
              </w:rPr>
            </w:pPr>
            <w:r w:rsidRPr="00570E8C">
              <w:rPr>
                <w:rFonts w:ascii="Arial" w:eastAsia="Times New Roman" w:hAnsi="Arial" w:cs="Arial"/>
                <w:sz w:val="18"/>
                <w:szCs w:val="18"/>
                <w:lang w:eastAsia="es-CR"/>
              </w:rPr>
              <w:t xml:space="preserve">Cantidad de contratos de Referimiento vigentes, al cierre del periodo  </w:t>
            </w:r>
          </w:p>
        </w:tc>
        <w:tc>
          <w:tcPr>
            <w:tcW w:w="4961" w:type="dxa"/>
            <w:tcBorders>
              <w:top w:val="nil"/>
              <w:left w:val="nil"/>
              <w:bottom w:val="single" w:sz="4" w:space="0" w:color="auto"/>
              <w:right w:val="single" w:sz="4" w:space="0" w:color="auto"/>
            </w:tcBorders>
            <w:shd w:val="clear" w:color="auto" w:fill="auto"/>
            <w:vAlign w:val="center"/>
            <w:hideMark/>
          </w:tcPr>
          <w:p w14:paraId="5BD1866C" w14:textId="77777777" w:rsidR="00570E8C" w:rsidRPr="00570E8C" w:rsidRDefault="00570E8C" w:rsidP="007C6CE4">
            <w:pPr>
              <w:spacing w:after="0" w:line="240" w:lineRule="auto"/>
              <w:jc w:val="both"/>
              <w:rPr>
                <w:rFonts w:ascii="Arial" w:eastAsia="Times New Roman" w:hAnsi="Arial" w:cs="Arial"/>
                <w:sz w:val="18"/>
                <w:szCs w:val="18"/>
                <w:lang w:eastAsia="es-CR"/>
              </w:rPr>
            </w:pPr>
            <w:r w:rsidRPr="00570E8C">
              <w:rPr>
                <w:rFonts w:ascii="Arial" w:eastAsia="Times New Roman" w:hAnsi="Arial" w:cs="Arial"/>
                <w:sz w:val="18"/>
                <w:szCs w:val="18"/>
                <w:lang w:eastAsia="es-CR"/>
              </w:rPr>
              <w:t>Entidades contrapartes con las cuales se tiene un contrato de referimiento de clientes. RIAC art. 54</w:t>
            </w:r>
          </w:p>
        </w:tc>
      </w:tr>
      <w:tr w:rsidR="00570E8C" w:rsidRPr="00570E8C" w14:paraId="4823545B" w14:textId="77777777" w:rsidTr="00581266">
        <w:trPr>
          <w:cantSplit/>
          <w:trHeight w:val="499"/>
        </w:trPr>
        <w:tc>
          <w:tcPr>
            <w:tcW w:w="4815" w:type="dxa"/>
            <w:tcBorders>
              <w:top w:val="nil"/>
              <w:left w:val="single" w:sz="4" w:space="0" w:color="auto"/>
              <w:bottom w:val="single" w:sz="4" w:space="0" w:color="auto"/>
              <w:right w:val="single" w:sz="4" w:space="0" w:color="auto"/>
            </w:tcBorders>
            <w:shd w:val="clear" w:color="auto" w:fill="auto"/>
            <w:hideMark/>
          </w:tcPr>
          <w:p w14:paraId="061FDD0B" w14:textId="77777777" w:rsidR="00570E8C" w:rsidRPr="00570E8C" w:rsidRDefault="00570E8C" w:rsidP="007C6CE4">
            <w:pPr>
              <w:spacing w:after="0" w:line="240" w:lineRule="auto"/>
              <w:jc w:val="both"/>
              <w:rPr>
                <w:rFonts w:ascii="Arial" w:eastAsia="Times New Roman" w:hAnsi="Arial" w:cs="Arial"/>
                <w:sz w:val="18"/>
                <w:szCs w:val="18"/>
                <w:lang w:eastAsia="es-CR"/>
              </w:rPr>
            </w:pPr>
            <w:r w:rsidRPr="00570E8C">
              <w:rPr>
                <w:rFonts w:ascii="Arial" w:eastAsia="Times New Roman" w:hAnsi="Arial" w:cs="Arial"/>
                <w:sz w:val="18"/>
                <w:szCs w:val="18"/>
                <w:lang w:eastAsia="es-CR"/>
              </w:rPr>
              <w:t xml:space="preserve">Cantidad de contratos de estructuración de emisiones vigentes, al cierre del periodo  </w:t>
            </w:r>
          </w:p>
        </w:tc>
        <w:tc>
          <w:tcPr>
            <w:tcW w:w="4961" w:type="dxa"/>
            <w:tcBorders>
              <w:top w:val="nil"/>
              <w:left w:val="nil"/>
              <w:bottom w:val="single" w:sz="4" w:space="0" w:color="auto"/>
              <w:right w:val="single" w:sz="4" w:space="0" w:color="auto"/>
            </w:tcBorders>
            <w:shd w:val="clear" w:color="auto" w:fill="auto"/>
            <w:vAlign w:val="center"/>
            <w:hideMark/>
          </w:tcPr>
          <w:p w14:paraId="0F6F9E94" w14:textId="77777777" w:rsidR="00570E8C" w:rsidRPr="00570E8C" w:rsidRDefault="00570E8C" w:rsidP="007C6CE4">
            <w:pPr>
              <w:spacing w:after="0" w:line="240" w:lineRule="auto"/>
              <w:jc w:val="both"/>
              <w:rPr>
                <w:rFonts w:ascii="Arial" w:eastAsia="Times New Roman" w:hAnsi="Arial" w:cs="Arial"/>
                <w:sz w:val="18"/>
                <w:szCs w:val="18"/>
                <w:lang w:eastAsia="es-CR"/>
              </w:rPr>
            </w:pPr>
            <w:r w:rsidRPr="00570E8C">
              <w:rPr>
                <w:rFonts w:ascii="Arial" w:eastAsia="Times New Roman" w:hAnsi="Arial" w:cs="Arial"/>
                <w:sz w:val="18"/>
                <w:szCs w:val="18"/>
                <w:lang w:eastAsia="es-CR"/>
              </w:rPr>
              <w:t>Total, de Contratos de estructuración vigentes al cierre en que ha participado</w:t>
            </w:r>
          </w:p>
        </w:tc>
      </w:tr>
      <w:tr w:rsidR="00570E8C" w:rsidRPr="00570E8C" w14:paraId="2FCAE34C" w14:textId="77777777" w:rsidTr="00581266">
        <w:trPr>
          <w:cantSplit/>
          <w:trHeight w:val="499"/>
        </w:trPr>
        <w:tc>
          <w:tcPr>
            <w:tcW w:w="4815" w:type="dxa"/>
            <w:tcBorders>
              <w:top w:val="nil"/>
              <w:left w:val="single" w:sz="4" w:space="0" w:color="auto"/>
              <w:bottom w:val="single" w:sz="4" w:space="0" w:color="auto"/>
              <w:right w:val="single" w:sz="4" w:space="0" w:color="auto"/>
            </w:tcBorders>
            <w:shd w:val="clear" w:color="auto" w:fill="auto"/>
            <w:hideMark/>
          </w:tcPr>
          <w:p w14:paraId="0E67F091" w14:textId="77777777" w:rsidR="00570E8C" w:rsidRPr="00570E8C" w:rsidRDefault="00570E8C" w:rsidP="007C6CE4">
            <w:pPr>
              <w:spacing w:after="0" w:line="240" w:lineRule="auto"/>
              <w:jc w:val="both"/>
              <w:rPr>
                <w:rFonts w:ascii="Arial" w:eastAsia="Times New Roman" w:hAnsi="Arial" w:cs="Arial"/>
                <w:sz w:val="18"/>
                <w:szCs w:val="18"/>
                <w:lang w:eastAsia="es-CR"/>
              </w:rPr>
            </w:pPr>
            <w:r w:rsidRPr="00570E8C">
              <w:rPr>
                <w:rFonts w:ascii="Arial" w:eastAsia="Times New Roman" w:hAnsi="Arial" w:cs="Arial"/>
                <w:sz w:val="18"/>
                <w:szCs w:val="18"/>
                <w:lang w:eastAsia="es-CR"/>
              </w:rPr>
              <w:t>Cantidad de contratos de estructuración de emisiones vigentes, para oferta pública</w:t>
            </w:r>
          </w:p>
        </w:tc>
        <w:tc>
          <w:tcPr>
            <w:tcW w:w="4961" w:type="dxa"/>
            <w:tcBorders>
              <w:top w:val="nil"/>
              <w:left w:val="nil"/>
              <w:bottom w:val="single" w:sz="4" w:space="0" w:color="auto"/>
              <w:right w:val="single" w:sz="4" w:space="0" w:color="auto"/>
            </w:tcBorders>
            <w:shd w:val="clear" w:color="auto" w:fill="auto"/>
            <w:vAlign w:val="center"/>
            <w:hideMark/>
          </w:tcPr>
          <w:p w14:paraId="4484A56B" w14:textId="77777777" w:rsidR="00570E8C" w:rsidRPr="00570E8C" w:rsidRDefault="00570E8C" w:rsidP="007C6CE4">
            <w:pPr>
              <w:spacing w:after="0" w:line="240" w:lineRule="auto"/>
              <w:jc w:val="both"/>
              <w:rPr>
                <w:rFonts w:ascii="Arial" w:eastAsia="Times New Roman" w:hAnsi="Arial" w:cs="Arial"/>
                <w:sz w:val="18"/>
                <w:szCs w:val="18"/>
                <w:lang w:eastAsia="es-CR"/>
              </w:rPr>
            </w:pPr>
            <w:r w:rsidRPr="00570E8C">
              <w:rPr>
                <w:rFonts w:ascii="Arial" w:eastAsia="Times New Roman" w:hAnsi="Arial" w:cs="Arial"/>
                <w:sz w:val="18"/>
                <w:szCs w:val="18"/>
                <w:lang w:eastAsia="es-CR"/>
              </w:rPr>
              <w:t>Contratos de estructuración vigentes con emisores de oferta pública. Sea que se coloquen o no a inversionistas del Intermediario</w:t>
            </w:r>
          </w:p>
        </w:tc>
      </w:tr>
      <w:tr w:rsidR="00570E8C" w:rsidRPr="00570E8C" w14:paraId="6F8CB854" w14:textId="77777777" w:rsidTr="00581266">
        <w:trPr>
          <w:cantSplit/>
          <w:trHeight w:val="499"/>
        </w:trPr>
        <w:tc>
          <w:tcPr>
            <w:tcW w:w="4815" w:type="dxa"/>
            <w:tcBorders>
              <w:top w:val="nil"/>
              <w:left w:val="single" w:sz="4" w:space="0" w:color="auto"/>
              <w:bottom w:val="single" w:sz="4" w:space="0" w:color="auto"/>
              <w:right w:val="single" w:sz="4" w:space="0" w:color="auto"/>
            </w:tcBorders>
            <w:shd w:val="clear" w:color="auto" w:fill="auto"/>
            <w:hideMark/>
          </w:tcPr>
          <w:p w14:paraId="157EA3E4" w14:textId="77777777" w:rsidR="00570E8C" w:rsidRPr="00570E8C" w:rsidRDefault="00570E8C" w:rsidP="007C6CE4">
            <w:pPr>
              <w:spacing w:after="0" w:line="240" w:lineRule="auto"/>
              <w:jc w:val="both"/>
              <w:rPr>
                <w:rFonts w:ascii="Arial" w:eastAsia="Times New Roman" w:hAnsi="Arial" w:cs="Arial"/>
                <w:sz w:val="18"/>
                <w:szCs w:val="18"/>
                <w:lang w:eastAsia="es-CR"/>
              </w:rPr>
            </w:pPr>
            <w:r w:rsidRPr="00570E8C">
              <w:rPr>
                <w:rFonts w:ascii="Arial" w:eastAsia="Times New Roman" w:hAnsi="Arial" w:cs="Arial"/>
                <w:sz w:val="18"/>
                <w:szCs w:val="18"/>
                <w:lang w:eastAsia="es-CR"/>
              </w:rPr>
              <w:t>Cantidad de contratos de estructuración de emisiones vigentes, para oferta privada</w:t>
            </w:r>
          </w:p>
        </w:tc>
        <w:tc>
          <w:tcPr>
            <w:tcW w:w="4961" w:type="dxa"/>
            <w:tcBorders>
              <w:top w:val="nil"/>
              <w:left w:val="nil"/>
              <w:bottom w:val="single" w:sz="4" w:space="0" w:color="auto"/>
              <w:right w:val="single" w:sz="4" w:space="0" w:color="auto"/>
            </w:tcBorders>
            <w:shd w:val="clear" w:color="auto" w:fill="auto"/>
            <w:vAlign w:val="center"/>
            <w:hideMark/>
          </w:tcPr>
          <w:p w14:paraId="36622E08" w14:textId="77777777" w:rsidR="00570E8C" w:rsidRPr="00570E8C" w:rsidRDefault="00570E8C" w:rsidP="007C6CE4">
            <w:pPr>
              <w:spacing w:after="0" w:line="240" w:lineRule="auto"/>
              <w:jc w:val="both"/>
              <w:rPr>
                <w:rFonts w:ascii="Arial" w:eastAsia="Times New Roman" w:hAnsi="Arial" w:cs="Arial"/>
                <w:sz w:val="18"/>
                <w:szCs w:val="18"/>
                <w:lang w:eastAsia="es-CR"/>
              </w:rPr>
            </w:pPr>
            <w:r w:rsidRPr="00570E8C">
              <w:rPr>
                <w:rFonts w:ascii="Arial" w:eastAsia="Times New Roman" w:hAnsi="Arial" w:cs="Arial"/>
                <w:sz w:val="18"/>
                <w:szCs w:val="18"/>
                <w:lang w:eastAsia="es-CR"/>
              </w:rPr>
              <w:t>Contratos de estructuración vigentes con emisores de oferta privada.</w:t>
            </w:r>
          </w:p>
        </w:tc>
      </w:tr>
    </w:tbl>
    <w:p w14:paraId="04885D0A" w14:textId="77777777" w:rsidR="00A40907" w:rsidRDefault="00A40907" w:rsidP="00570E8C">
      <w:pPr>
        <w:jc w:val="center"/>
        <w:rPr>
          <w:rFonts w:ascii="Arial" w:eastAsia="Calibri" w:hAnsi="Arial" w:cs="Arial"/>
        </w:rPr>
      </w:pPr>
    </w:p>
    <w:p w14:paraId="7E65F91C" w14:textId="77777777" w:rsidR="00A40907" w:rsidRDefault="00A40907">
      <w:pPr>
        <w:rPr>
          <w:rFonts w:ascii="Arial" w:eastAsia="Calibri" w:hAnsi="Arial" w:cs="Arial"/>
        </w:rPr>
      </w:pPr>
      <w:r>
        <w:rPr>
          <w:rFonts w:ascii="Arial" w:eastAsia="Calibri" w:hAnsi="Arial" w:cs="Arial"/>
        </w:rPr>
        <w:br w:type="page"/>
      </w:r>
    </w:p>
    <w:tbl>
      <w:tblPr>
        <w:tblW w:w="9781" w:type="dxa"/>
        <w:tblInd w:w="-5" w:type="dxa"/>
        <w:tblLook w:val="04A0" w:firstRow="1" w:lastRow="0" w:firstColumn="1" w:lastColumn="0" w:noHBand="0" w:noVBand="1"/>
      </w:tblPr>
      <w:tblGrid>
        <w:gridCol w:w="1985"/>
        <w:gridCol w:w="1843"/>
        <w:gridCol w:w="2126"/>
        <w:gridCol w:w="3827"/>
      </w:tblGrid>
      <w:tr w:rsidR="00570E8C" w:rsidRPr="00570E8C" w14:paraId="48EB9F62" w14:textId="77777777" w:rsidTr="00581266">
        <w:trPr>
          <w:trHeight w:val="425"/>
        </w:trPr>
        <w:tc>
          <w:tcPr>
            <w:tcW w:w="9781" w:type="dxa"/>
            <w:gridSpan w:val="4"/>
            <w:tcBorders>
              <w:top w:val="single" w:sz="4" w:space="0" w:color="auto"/>
              <w:left w:val="single" w:sz="4" w:space="0" w:color="auto"/>
              <w:bottom w:val="single" w:sz="4" w:space="0" w:color="auto"/>
              <w:right w:val="single" w:sz="4" w:space="0" w:color="auto"/>
            </w:tcBorders>
            <w:shd w:val="clear" w:color="auto" w:fill="auto"/>
          </w:tcPr>
          <w:p w14:paraId="29129505" w14:textId="77777777" w:rsidR="00570E8C" w:rsidRPr="00570E8C" w:rsidRDefault="00570E8C" w:rsidP="00570E8C">
            <w:pPr>
              <w:jc w:val="center"/>
              <w:rPr>
                <w:rFonts w:ascii="Arial" w:eastAsia="Calibri" w:hAnsi="Arial" w:cs="Times New Roman"/>
                <w:lang w:val="es-ES"/>
              </w:rPr>
            </w:pPr>
            <w:r w:rsidRPr="00570E8C">
              <w:rPr>
                <w:rFonts w:ascii="Arial" w:eastAsia="Calibri" w:hAnsi="Arial" w:cs="Arial"/>
                <w:b/>
                <w:lang w:eastAsia="es-CR"/>
              </w:rPr>
              <w:lastRenderedPageBreak/>
              <w:t>Cuadro Información Periódica: Puestos de Bolsa</w:t>
            </w:r>
          </w:p>
        </w:tc>
      </w:tr>
      <w:tr w:rsidR="00570E8C" w:rsidRPr="00570E8C" w14:paraId="117400AB" w14:textId="77777777" w:rsidTr="00581266">
        <w:trPr>
          <w:trHeight w:val="51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E3FC8" w14:textId="77777777" w:rsidR="00570E8C" w:rsidRPr="00570E8C" w:rsidRDefault="00570E8C" w:rsidP="00570E8C">
            <w:pPr>
              <w:spacing w:after="0" w:line="240" w:lineRule="auto"/>
              <w:ind w:right="18"/>
              <w:jc w:val="center"/>
              <w:rPr>
                <w:rFonts w:ascii="Arial" w:eastAsia="Times New Roman" w:hAnsi="Arial" w:cs="Arial"/>
                <w:b/>
                <w:bCs/>
              </w:rPr>
            </w:pPr>
            <w:r w:rsidRPr="00570E8C">
              <w:rPr>
                <w:rFonts w:ascii="Arial" w:eastAsia="Times New Roman" w:hAnsi="Arial" w:cs="Arial"/>
                <w:b/>
                <w:bCs/>
              </w:rPr>
              <w:t>Informe o Reporte</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EF19294" w14:textId="77777777" w:rsidR="00570E8C" w:rsidRPr="00570E8C" w:rsidRDefault="00570E8C" w:rsidP="00570E8C">
            <w:pPr>
              <w:spacing w:after="0" w:line="240" w:lineRule="auto"/>
              <w:ind w:right="33"/>
              <w:jc w:val="center"/>
              <w:rPr>
                <w:rFonts w:ascii="Arial" w:eastAsia="Times New Roman" w:hAnsi="Arial" w:cs="Arial"/>
                <w:b/>
                <w:bCs/>
              </w:rPr>
            </w:pPr>
            <w:r w:rsidRPr="00570E8C">
              <w:rPr>
                <w:rFonts w:ascii="Arial" w:eastAsia="Times New Roman" w:hAnsi="Arial" w:cs="Arial"/>
                <w:b/>
                <w:bCs/>
              </w:rPr>
              <w:t>Formato o normas sobre el Contenido</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4911712" w14:textId="77777777" w:rsidR="00570E8C" w:rsidRPr="00570E8C" w:rsidRDefault="00570E8C" w:rsidP="00570E8C">
            <w:pPr>
              <w:spacing w:after="0" w:line="240" w:lineRule="auto"/>
              <w:jc w:val="center"/>
              <w:rPr>
                <w:rFonts w:ascii="Arial" w:eastAsia="Times New Roman" w:hAnsi="Arial" w:cs="Arial"/>
                <w:b/>
                <w:bCs/>
              </w:rPr>
            </w:pPr>
            <w:r w:rsidRPr="00570E8C">
              <w:rPr>
                <w:rFonts w:ascii="Arial" w:eastAsia="Times New Roman" w:hAnsi="Arial" w:cs="Arial"/>
                <w:b/>
                <w:bCs/>
              </w:rPr>
              <w:t>Nota aclaratoria vigente</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7D2F0F89" w14:textId="77777777" w:rsidR="00570E8C" w:rsidRPr="00570E8C" w:rsidRDefault="00570E8C" w:rsidP="00570E8C">
            <w:pPr>
              <w:spacing w:after="0" w:line="240" w:lineRule="auto"/>
              <w:jc w:val="center"/>
              <w:rPr>
                <w:rFonts w:ascii="Arial" w:eastAsia="Times New Roman" w:hAnsi="Arial" w:cs="Arial"/>
                <w:b/>
                <w:bCs/>
              </w:rPr>
            </w:pPr>
            <w:r w:rsidRPr="00570E8C">
              <w:rPr>
                <w:rFonts w:ascii="Arial" w:eastAsia="Times New Roman" w:hAnsi="Arial" w:cs="Arial"/>
                <w:b/>
                <w:bCs/>
              </w:rPr>
              <w:t>Nota aclaratoria propuesta</w:t>
            </w:r>
          </w:p>
        </w:tc>
      </w:tr>
      <w:tr w:rsidR="00570E8C" w:rsidRPr="00570E8C" w14:paraId="0544DDC9" w14:textId="77777777" w:rsidTr="00581266">
        <w:trPr>
          <w:trHeight w:val="1056"/>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A4A6A60" w14:textId="77777777" w:rsidR="00570E8C" w:rsidRPr="00570E8C" w:rsidRDefault="00570E8C" w:rsidP="00570E8C">
            <w:pPr>
              <w:spacing w:after="0" w:line="240" w:lineRule="auto"/>
              <w:ind w:right="18"/>
              <w:jc w:val="center"/>
              <w:rPr>
                <w:rFonts w:ascii="Arial" w:eastAsia="Calibri" w:hAnsi="Arial" w:cs="Arial"/>
                <w:lang w:val="es-ES"/>
              </w:rPr>
            </w:pPr>
            <w:r w:rsidRPr="00570E8C">
              <w:rPr>
                <w:rFonts w:ascii="Arial" w:eastAsia="Calibri" w:hAnsi="Arial" w:cs="Arial"/>
                <w:lang w:val="es-ES"/>
              </w:rPr>
              <w:t>Servicio de Intermediación de Valores</w:t>
            </w:r>
          </w:p>
        </w:tc>
        <w:tc>
          <w:tcPr>
            <w:tcW w:w="1843" w:type="dxa"/>
            <w:tcBorders>
              <w:top w:val="single" w:sz="4" w:space="0" w:color="auto"/>
              <w:left w:val="nil"/>
              <w:bottom w:val="single" w:sz="4" w:space="0" w:color="auto"/>
              <w:right w:val="single" w:sz="4" w:space="0" w:color="auto"/>
            </w:tcBorders>
            <w:shd w:val="clear" w:color="auto" w:fill="auto"/>
            <w:vAlign w:val="center"/>
          </w:tcPr>
          <w:p w14:paraId="03DFBEF1" w14:textId="77777777" w:rsidR="00570E8C" w:rsidRPr="00570E8C" w:rsidRDefault="00570E8C" w:rsidP="00570E8C">
            <w:pPr>
              <w:spacing w:after="0" w:line="240" w:lineRule="auto"/>
              <w:jc w:val="center"/>
              <w:rPr>
                <w:rFonts w:ascii="Arial" w:eastAsia="Calibri" w:hAnsi="Arial" w:cs="Arial"/>
                <w:lang w:val="es-ES"/>
              </w:rPr>
            </w:pPr>
            <w:r w:rsidRPr="00570E8C">
              <w:rPr>
                <w:rFonts w:ascii="Arial" w:eastAsia="Calibri" w:hAnsi="Arial" w:cs="Arial"/>
                <w:lang w:val="es-ES"/>
              </w:rPr>
              <w:t xml:space="preserve"> Anexo 62</w:t>
            </w:r>
          </w:p>
        </w:tc>
        <w:tc>
          <w:tcPr>
            <w:tcW w:w="2126" w:type="dxa"/>
            <w:tcBorders>
              <w:top w:val="single" w:sz="4" w:space="0" w:color="auto"/>
              <w:left w:val="nil"/>
              <w:bottom w:val="single" w:sz="4" w:space="0" w:color="auto"/>
              <w:right w:val="single" w:sz="4" w:space="0" w:color="auto"/>
            </w:tcBorders>
            <w:shd w:val="clear" w:color="auto" w:fill="auto"/>
            <w:vAlign w:val="center"/>
          </w:tcPr>
          <w:p w14:paraId="39ACE3C4" w14:textId="77777777" w:rsidR="00570E8C" w:rsidRPr="00570E8C" w:rsidRDefault="00570E8C" w:rsidP="00570E8C">
            <w:pPr>
              <w:spacing w:after="0" w:line="240" w:lineRule="auto"/>
              <w:ind w:right="34"/>
              <w:jc w:val="center"/>
              <w:rPr>
                <w:rFonts w:ascii="Arial" w:eastAsia="Calibri" w:hAnsi="Arial" w:cs="Arial"/>
                <w:lang w:val="es-ES"/>
              </w:rPr>
            </w:pPr>
            <w:r w:rsidRPr="00570E8C">
              <w:rPr>
                <w:rFonts w:ascii="Arial" w:eastAsia="Calibri" w:hAnsi="Arial" w:cs="Arial"/>
                <w:lang w:val="es-ES"/>
              </w:rPr>
              <w:t>Corresponde únicamente a Puestos de Bolsa</w:t>
            </w:r>
          </w:p>
        </w:tc>
        <w:tc>
          <w:tcPr>
            <w:tcW w:w="3827" w:type="dxa"/>
            <w:tcBorders>
              <w:top w:val="single" w:sz="4" w:space="0" w:color="auto"/>
              <w:left w:val="nil"/>
              <w:bottom w:val="single" w:sz="4" w:space="0" w:color="auto"/>
              <w:right w:val="single" w:sz="4" w:space="0" w:color="auto"/>
            </w:tcBorders>
            <w:shd w:val="clear" w:color="auto" w:fill="auto"/>
            <w:vAlign w:val="center"/>
          </w:tcPr>
          <w:p w14:paraId="38AAA33B" w14:textId="77777777" w:rsidR="00570E8C" w:rsidRPr="00570E8C" w:rsidRDefault="00570E8C" w:rsidP="00570E8C">
            <w:pPr>
              <w:spacing w:after="0" w:line="240" w:lineRule="auto"/>
              <w:jc w:val="both"/>
              <w:rPr>
                <w:rFonts w:ascii="Arial" w:eastAsia="Calibri" w:hAnsi="Arial" w:cs="Arial"/>
                <w:lang w:val="es-ES"/>
              </w:rPr>
            </w:pPr>
            <w:r w:rsidRPr="00570E8C">
              <w:rPr>
                <w:rFonts w:ascii="Arial" w:eastAsia="Calibri" w:hAnsi="Arial" w:cs="Arial"/>
                <w:lang w:val="es-ES"/>
              </w:rPr>
              <w:t>Corresponde únicamente a Puestos de Bolsa y Bancos del Sistema Bancario Nacional que brinden servicios de intermediación de valores.</w:t>
            </w:r>
          </w:p>
        </w:tc>
      </w:tr>
    </w:tbl>
    <w:p w14:paraId="3DFD2935" w14:textId="77777777" w:rsidR="00570E8C" w:rsidRPr="00570E8C" w:rsidRDefault="00570E8C" w:rsidP="00570E8C">
      <w:pPr>
        <w:jc w:val="center"/>
        <w:rPr>
          <w:rFonts w:ascii="Arial" w:eastAsia="Calibri" w:hAnsi="Arial" w:cs="Arial"/>
        </w:rPr>
      </w:pPr>
    </w:p>
    <w:bookmarkStart w:id="5" w:name="_MON_1661151238"/>
    <w:bookmarkEnd w:id="5"/>
    <w:p w14:paraId="3422B125" w14:textId="77777777" w:rsidR="00570E8C" w:rsidRPr="00570E8C" w:rsidRDefault="00570E8C" w:rsidP="005E17E0">
      <w:pPr>
        <w:ind w:left="720"/>
        <w:contextualSpacing/>
        <w:jc w:val="center"/>
        <w:rPr>
          <w:rFonts w:ascii="Arial" w:eastAsia="Calibri" w:hAnsi="Arial" w:cs="Arial"/>
          <w:lang w:val="es-ES"/>
        </w:rPr>
      </w:pPr>
      <w:r w:rsidRPr="00570E8C">
        <w:rPr>
          <w:rFonts w:ascii="Arial" w:eastAsia="Calibri" w:hAnsi="Arial" w:cs="Arial"/>
          <w:lang w:val="es-ES"/>
        </w:rPr>
        <w:object w:dxaOrig="1533" w:dyaOrig="990" w14:anchorId="58B243EA">
          <v:shape id="_x0000_i1028" type="#_x0000_t75" style="width:76.5pt;height:49.5pt" o:ole="">
            <v:imagedata r:id="rId19" o:title=""/>
          </v:shape>
          <o:OLEObject Type="Embed" ProgID="Excel.Sheet.12" ShapeID="_x0000_i1028" DrawAspect="Icon" ObjectID="_1691497934" r:id="rId20"/>
        </w:object>
      </w:r>
    </w:p>
    <w:p w14:paraId="53FB7C4C" w14:textId="77777777" w:rsidR="00570E8C" w:rsidRPr="00570E8C" w:rsidRDefault="00570E8C" w:rsidP="00570E8C">
      <w:pPr>
        <w:tabs>
          <w:tab w:val="center" w:pos="4419"/>
        </w:tabs>
        <w:rPr>
          <w:rFonts w:ascii="Arial" w:eastAsia="Calibri" w:hAnsi="Arial" w:cs="Arial"/>
          <w:lang w:val="es-ES"/>
        </w:rPr>
      </w:pPr>
      <w:r w:rsidRPr="00570E8C">
        <w:rPr>
          <w:rFonts w:ascii="Arial" w:eastAsia="Calibri" w:hAnsi="Arial" w:cs="Arial"/>
          <w:b/>
          <w:lang w:val="es-ES"/>
        </w:rPr>
        <w:t xml:space="preserve">Artículo </w:t>
      </w:r>
      <w:r w:rsidR="00965449">
        <w:rPr>
          <w:rFonts w:ascii="Arial" w:eastAsia="Calibri" w:hAnsi="Arial" w:cs="Arial"/>
          <w:b/>
          <w:lang w:val="es-ES"/>
        </w:rPr>
        <w:t>3</w:t>
      </w:r>
      <w:r w:rsidRPr="00570E8C">
        <w:rPr>
          <w:rFonts w:ascii="Arial" w:eastAsia="Calibri" w:hAnsi="Arial" w:cs="Arial"/>
          <w:b/>
          <w:lang w:val="es-ES"/>
        </w:rPr>
        <w:t>.-</w:t>
      </w:r>
      <w:r w:rsidRPr="00570E8C">
        <w:rPr>
          <w:rFonts w:ascii="Arial" w:eastAsia="Calibri" w:hAnsi="Arial" w:cs="Arial"/>
          <w:lang w:val="es-ES"/>
        </w:rPr>
        <w:t xml:space="preserve"> Vigencia</w:t>
      </w:r>
      <w:r w:rsidRPr="00570E8C">
        <w:rPr>
          <w:rFonts w:ascii="Arial" w:eastAsia="Calibri" w:hAnsi="Arial" w:cs="Arial"/>
          <w:lang w:val="es-ES"/>
        </w:rPr>
        <w:tab/>
      </w:r>
    </w:p>
    <w:p w14:paraId="71DC54AF" w14:textId="77777777" w:rsidR="00570E8C" w:rsidRDefault="00570E8C" w:rsidP="00570E8C">
      <w:pPr>
        <w:rPr>
          <w:rFonts w:ascii="Arial" w:eastAsia="Calibri" w:hAnsi="Arial" w:cs="Arial"/>
          <w:lang w:val="es-ES"/>
        </w:rPr>
      </w:pPr>
      <w:r w:rsidRPr="00570E8C">
        <w:rPr>
          <w:rFonts w:ascii="Arial" w:eastAsia="Calibri" w:hAnsi="Arial" w:cs="Arial"/>
          <w:lang w:val="es-ES"/>
        </w:rPr>
        <w:t>Lo dispuesto en el artículo 2 rige a partir de la información con fecha de corte a diciembre del 2020.  Lo dispuesto en el artículo 1 rige a partir de la información con corte a enero del 2021.</w:t>
      </w:r>
    </w:p>
    <w:p w14:paraId="2CA9BF0D" w14:textId="77777777" w:rsidR="00230A72" w:rsidRDefault="00230A72" w:rsidP="00570E8C">
      <w:pPr>
        <w:rPr>
          <w:rFonts w:ascii="Arial" w:eastAsia="Calibri" w:hAnsi="Arial" w:cs="Arial"/>
          <w:lang w:val="es-ES"/>
        </w:rPr>
      </w:pPr>
      <w:r w:rsidRPr="00816E18">
        <w:rPr>
          <w:rFonts w:ascii="Arial" w:eastAsia="Calibri" w:hAnsi="Arial" w:cs="Arial"/>
          <w:noProof/>
          <w:lang w:eastAsia="es-CR"/>
        </w:rPr>
        <w:drawing>
          <wp:inline distT="0" distB="0" distL="0" distR="0" wp14:anchorId="14D36275" wp14:editId="0C74D3CF">
            <wp:extent cx="2733675" cy="333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33675" cy="333375"/>
                    </a:xfrm>
                    <a:prstGeom prst="rect">
                      <a:avLst/>
                    </a:prstGeom>
                    <a:noFill/>
                    <a:ln>
                      <a:noFill/>
                    </a:ln>
                  </pic:spPr>
                </pic:pic>
              </a:graphicData>
            </a:graphic>
          </wp:inline>
        </w:drawing>
      </w:r>
    </w:p>
    <w:p w14:paraId="07132AC5" w14:textId="77777777" w:rsidR="00230A72" w:rsidRPr="00570E8C" w:rsidRDefault="00230A72">
      <w:pPr>
        <w:rPr>
          <w:lang w:val="es-ES"/>
        </w:rPr>
      </w:pPr>
    </w:p>
    <w:sectPr w:rsidR="00230A72" w:rsidRPr="00570E8C" w:rsidSect="00A40907">
      <w:headerReference w:type="even" r:id="rId22"/>
      <w:headerReference w:type="default" r:id="rId23"/>
      <w:footerReference w:type="even" r:id="rId24"/>
      <w:footerReference w:type="default" r:id="rId25"/>
      <w:headerReference w:type="first" r:id="rId26"/>
      <w:footerReference w:type="first" r:id="rId27"/>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58945E" w14:textId="77777777" w:rsidR="00606183" w:rsidRDefault="00606183" w:rsidP="00570E8C">
      <w:pPr>
        <w:spacing w:after="0" w:line="240" w:lineRule="auto"/>
      </w:pPr>
      <w:r>
        <w:separator/>
      </w:r>
    </w:p>
  </w:endnote>
  <w:endnote w:type="continuationSeparator" w:id="0">
    <w:p w14:paraId="5940B45C" w14:textId="77777777" w:rsidR="00606183" w:rsidRDefault="00606183" w:rsidP="00570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5EBCF" w14:textId="77777777" w:rsidR="00D57F64" w:rsidRDefault="00D57F6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5735873"/>
      <w:docPartObj>
        <w:docPartGallery w:val="Page Numbers (Bottom of Page)"/>
        <w:docPartUnique/>
      </w:docPartObj>
    </w:sdtPr>
    <w:sdtEndPr>
      <w:rPr>
        <w:rFonts w:ascii="Arial" w:eastAsia="Times New Roman" w:hAnsi="Arial" w:cs="Arial"/>
        <w:b/>
        <w:bCs/>
        <w:noProof/>
        <w:color w:val="1B75BB"/>
        <w:szCs w:val="24"/>
        <w:lang w:val="en-US"/>
      </w:rPr>
    </w:sdtEndPr>
    <w:sdtContent>
      <w:p w14:paraId="23F7A36D" w14:textId="77777777" w:rsidR="005E17E0" w:rsidRPr="005E17E0" w:rsidRDefault="005E17E0">
        <w:pPr>
          <w:pStyle w:val="Piedepgina"/>
          <w:pBdr>
            <w:top w:val="single" w:sz="4" w:space="1" w:color="D9D9D9" w:themeColor="background1" w:themeShade="D9"/>
          </w:pBdr>
          <w:rPr>
            <w:rFonts w:ascii="Arial" w:eastAsia="Times New Roman" w:hAnsi="Arial" w:cs="Arial"/>
            <w:b/>
            <w:bCs/>
            <w:noProof/>
            <w:color w:val="1B75BB"/>
            <w:szCs w:val="24"/>
            <w:lang w:val="en-US"/>
          </w:rPr>
        </w:pPr>
        <w:r w:rsidRPr="005E17E0">
          <w:rPr>
            <w:rFonts w:ascii="Arial" w:eastAsia="Times New Roman" w:hAnsi="Arial" w:cs="Arial"/>
            <w:b/>
            <w:bCs/>
            <w:noProof/>
            <w:color w:val="1B75BB"/>
            <w:szCs w:val="24"/>
            <w:lang w:val="en-US"/>
          </w:rPr>
          <w:fldChar w:fldCharType="begin"/>
        </w:r>
        <w:r w:rsidRPr="005E17E0">
          <w:rPr>
            <w:rFonts w:ascii="Arial" w:eastAsia="Times New Roman" w:hAnsi="Arial" w:cs="Arial"/>
            <w:b/>
            <w:bCs/>
            <w:noProof/>
            <w:color w:val="1B75BB"/>
            <w:szCs w:val="24"/>
            <w:lang w:val="en-US"/>
          </w:rPr>
          <w:instrText>PAGE   \* MERGEFORMAT</w:instrText>
        </w:r>
        <w:r w:rsidRPr="005E17E0">
          <w:rPr>
            <w:rFonts w:ascii="Arial" w:eastAsia="Times New Roman" w:hAnsi="Arial" w:cs="Arial"/>
            <w:b/>
            <w:bCs/>
            <w:noProof/>
            <w:color w:val="1B75BB"/>
            <w:szCs w:val="24"/>
            <w:lang w:val="en-US"/>
          </w:rPr>
          <w:fldChar w:fldCharType="separate"/>
        </w:r>
        <w:r w:rsidRPr="005E17E0">
          <w:rPr>
            <w:rFonts w:ascii="Arial" w:eastAsia="Times New Roman" w:hAnsi="Arial" w:cs="Arial"/>
            <w:b/>
            <w:bCs/>
            <w:noProof/>
            <w:color w:val="1B75BB"/>
            <w:szCs w:val="24"/>
            <w:lang w:val="en-US"/>
          </w:rPr>
          <w:t>2</w:t>
        </w:r>
        <w:r w:rsidRPr="005E17E0">
          <w:rPr>
            <w:rFonts w:ascii="Arial" w:eastAsia="Times New Roman" w:hAnsi="Arial" w:cs="Arial"/>
            <w:b/>
            <w:bCs/>
            <w:noProof/>
            <w:color w:val="1B75BB"/>
            <w:szCs w:val="24"/>
            <w:lang w:val="en-US"/>
          </w:rPr>
          <w:fldChar w:fldCharType="end"/>
        </w:r>
        <w:r w:rsidRPr="005E17E0">
          <w:rPr>
            <w:rFonts w:ascii="Arial" w:eastAsia="Times New Roman" w:hAnsi="Arial" w:cs="Arial"/>
            <w:b/>
            <w:bCs/>
            <w:noProof/>
            <w:color w:val="1B75BB"/>
            <w:szCs w:val="24"/>
            <w:lang w:val="en-US"/>
          </w:rPr>
          <w:t xml:space="preserve"> | </w:t>
        </w:r>
      </w:p>
    </w:sdtContent>
  </w:sdt>
  <w:p w14:paraId="6E454923" w14:textId="77777777" w:rsidR="005E17E0" w:rsidRDefault="005E17E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90B5B" w14:textId="77777777" w:rsidR="00D57F64" w:rsidRDefault="00D57F6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13BAEC" w14:textId="77777777" w:rsidR="00606183" w:rsidRDefault="00606183" w:rsidP="00570E8C">
      <w:pPr>
        <w:spacing w:after="0" w:line="240" w:lineRule="auto"/>
      </w:pPr>
      <w:r>
        <w:separator/>
      </w:r>
    </w:p>
  </w:footnote>
  <w:footnote w:type="continuationSeparator" w:id="0">
    <w:p w14:paraId="56F6EFA3" w14:textId="77777777" w:rsidR="00606183" w:rsidRDefault="00606183" w:rsidP="00570E8C">
      <w:pPr>
        <w:spacing w:after="0" w:line="240" w:lineRule="auto"/>
      </w:pPr>
      <w:r>
        <w:continuationSeparator/>
      </w:r>
    </w:p>
  </w:footnote>
  <w:footnote w:id="1">
    <w:p w14:paraId="5A541C73" w14:textId="42652854" w:rsidR="006640CB" w:rsidRDefault="006640CB" w:rsidP="006640CB">
      <w:pPr>
        <w:spacing w:after="0" w:line="240" w:lineRule="auto"/>
        <w:ind w:right="-193"/>
        <w:jc w:val="both"/>
        <w:rPr>
          <w:rFonts w:ascii="Arial" w:eastAsia="Times New Roman" w:hAnsi="Arial" w:cs="Arial"/>
          <w:b/>
          <w:bCs/>
          <w:iCs/>
          <w:noProof/>
          <w:lang w:val="es-ES_tradnl" w:eastAsia="es-ES"/>
        </w:rPr>
      </w:pPr>
      <w:r>
        <w:rPr>
          <w:rStyle w:val="Refdenotaalpie"/>
        </w:rPr>
        <w:footnoteRef/>
      </w:r>
      <w:r>
        <w:t xml:space="preserve"> </w:t>
      </w:r>
      <w:r w:rsidRPr="00230A72">
        <w:rPr>
          <w:rFonts w:ascii="Arial" w:eastAsia="Times New Roman" w:hAnsi="Arial" w:cs="Arial"/>
          <w:iCs/>
          <w:noProof/>
          <w:lang w:val="es-ES_tradnl" w:eastAsia="es-ES"/>
        </w:rPr>
        <w:t xml:space="preserve">Superintendencia General de Valores. Despacho de la Superintendente. A las </w:t>
      </w:r>
      <w:r>
        <w:rPr>
          <w:rFonts w:ascii="Arial" w:eastAsia="Times New Roman" w:hAnsi="Arial" w:cs="Arial"/>
          <w:iCs/>
          <w:noProof/>
          <w:lang w:val="es-ES_tradnl" w:eastAsia="es-ES"/>
        </w:rPr>
        <w:t>dieciseis horas</w:t>
      </w:r>
      <w:r w:rsidRPr="00230A72">
        <w:rPr>
          <w:rFonts w:ascii="Arial" w:eastAsia="Times New Roman" w:hAnsi="Arial" w:cs="Arial"/>
          <w:iCs/>
          <w:noProof/>
          <w:lang w:val="es-ES_tradnl" w:eastAsia="es-ES"/>
        </w:rPr>
        <w:t xml:space="preserve"> </w:t>
      </w:r>
      <w:r>
        <w:rPr>
          <w:rFonts w:ascii="Arial" w:eastAsia="Times New Roman" w:hAnsi="Arial" w:cs="Arial"/>
          <w:iCs/>
          <w:noProof/>
          <w:lang w:val="es-ES_tradnl" w:eastAsia="es-ES"/>
        </w:rPr>
        <w:t>con veinte minutos</w:t>
      </w:r>
      <w:r w:rsidRPr="00230A72">
        <w:rPr>
          <w:rFonts w:ascii="Arial" w:eastAsia="Times New Roman" w:hAnsi="Arial" w:cs="Arial"/>
          <w:iCs/>
          <w:noProof/>
          <w:lang w:val="es-ES_tradnl" w:eastAsia="es-ES"/>
        </w:rPr>
        <w:t xml:space="preserve"> del </w:t>
      </w:r>
      <w:r>
        <w:rPr>
          <w:rFonts w:ascii="Arial" w:eastAsia="Times New Roman" w:hAnsi="Arial" w:cs="Arial"/>
          <w:iCs/>
          <w:noProof/>
          <w:lang w:val="es-ES_tradnl" w:eastAsia="es-ES"/>
        </w:rPr>
        <w:t xml:space="preserve">cinco de noviembre del dos mil veinte. </w:t>
      </w:r>
      <w:r w:rsidR="00D57F64">
        <w:rPr>
          <w:rFonts w:ascii="Arial" w:eastAsia="Times New Roman" w:hAnsi="Arial" w:cs="Arial"/>
          <w:iCs/>
          <w:noProof/>
          <w:lang w:val="es-ES_tradnl" w:eastAsia="es-ES"/>
        </w:rPr>
        <w:t>Publicado en el Alcance digital No. 313 del 27 de noviembre 2020.</w:t>
      </w:r>
    </w:p>
    <w:p w14:paraId="67D4589E" w14:textId="77777777" w:rsidR="006640CB" w:rsidRPr="006640CB" w:rsidRDefault="006640CB">
      <w:pPr>
        <w:pStyle w:val="Textonotapie"/>
        <w:rPr>
          <w:lang w:val="es-ES_trad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ECF1D" w14:textId="77777777" w:rsidR="00D57F64" w:rsidRDefault="00D57F6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7BBEF" w14:textId="77777777" w:rsidR="006640CB" w:rsidRDefault="006640CB" w:rsidP="006640CB">
    <w:pPr>
      <w:pStyle w:val="Encabezado"/>
      <w:jc w:val="right"/>
      <w:rPr>
        <w:rFonts w:ascii="Calibri" w:hAnsi="Calibri" w:cs="Arial"/>
        <w:i/>
        <w:noProof/>
        <w:sz w:val="20"/>
        <w:szCs w:val="20"/>
        <w:lang w:eastAsia="es-CR"/>
      </w:rPr>
    </w:pPr>
    <w:r>
      <w:rPr>
        <w:noProof/>
      </w:rPr>
      <mc:AlternateContent>
        <mc:Choice Requires="wps">
          <w:drawing>
            <wp:anchor distT="4294967292" distB="4294967292" distL="114300" distR="114300" simplePos="0" relativeHeight="251659264" behindDoc="0" locked="0" layoutInCell="1" allowOverlap="1" wp14:anchorId="5C76F2E2" wp14:editId="5A50A1D4">
              <wp:simplePos x="0" y="0"/>
              <wp:positionH relativeFrom="margin">
                <wp:posOffset>-6985</wp:posOffset>
              </wp:positionH>
              <wp:positionV relativeFrom="paragraph">
                <wp:posOffset>401320</wp:posOffset>
              </wp:positionV>
              <wp:extent cx="5702300" cy="19050"/>
              <wp:effectExtent l="0" t="0" r="31750" b="1905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300" cy="19050"/>
                      </a:xfrm>
                      <a:prstGeom prst="line">
                        <a:avLst/>
                      </a:prstGeom>
                      <a:noFill/>
                      <a:ln w="19050">
                        <a:solidFill>
                          <a:srgbClr val="1B75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781CD" id="Conector recto 3" o:spid="_x0000_s1026" style="position:absolute;z-index:251659264;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55pt,31.6pt" to="448.4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" strokecolor="#1b75bb" strokeweight="1.5pt">
              <w10:wrap anchorx="margin"/>
            </v:line>
          </w:pict>
        </mc:Fallback>
      </mc:AlternateContent>
    </w:r>
    <w:r w:rsidRPr="00E47B91">
      <w:rPr>
        <w:rFonts w:ascii="Calibri" w:hAnsi="Calibri" w:cs="Arial"/>
        <w:i/>
        <w:noProof/>
        <w:sz w:val="20"/>
        <w:szCs w:val="20"/>
        <w:lang w:eastAsia="es-CR"/>
      </w:rPr>
      <w:drawing>
        <wp:inline distT="0" distB="0" distL="0" distR="0" wp14:anchorId="625D1C61" wp14:editId="29169154">
          <wp:extent cx="1581150" cy="393700"/>
          <wp:effectExtent l="0" t="0" r="0" b="6350"/>
          <wp:docPr id="2" name="Imagen 2" descr="Logo-Sugeval-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Logo-Sugeval-Pequeñ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393700"/>
                  </a:xfrm>
                  <a:prstGeom prst="rect">
                    <a:avLst/>
                  </a:prstGeom>
                  <a:noFill/>
                  <a:ln>
                    <a:noFill/>
                  </a:ln>
                </pic:spPr>
              </pic:pic>
            </a:graphicData>
          </a:graphic>
        </wp:inline>
      </w:drawing>
    </w:r>
  </w:p>
  <w:p w14:paraId="17519C70" w14:textId="77777777" w:rsidR="006640CB" w:rsidRDefault="006640CB">
    <w:pPr>
      <w:pStyle w:val="Encabezado"/>
    </w:pPr>
  </w:p>
  <w:p w14:paraId="30EB3BA5" w14:textId="77777777" w:rsidR="006640CB" w:rsidRDefault="006640C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36EC5" w14:textId="77777777" w:rsidR="00D57F64" w:rsidRDefault="00D57F6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C687F"/>
    <w:multiLevelType w:val="hybridMultilevel"/>
    <w:tmpl w:val="55D6571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4E32A0C"/>
    <w:multiLevelType w:val="hybridMultilevel"/>
    <w:tmpl w:val="E1F62ED2"/>
    <w:lvl w:ilvl="0" w:tplc="AF049958">
      <w:start w:val="1"/>
      <w:numFmt w:val="decimal"/>
      <w:pStyle w:val="Numeracin"/>
      <w:lvlText w:val="%1."/>
      <w:lvlJc w:val="left"/>
      <w:pPr>
        <w:ind w:left="643" w:hanging="360"/>
      </w:pPr>
      <w:rPr>
        <w:rFonts w:ascii="Arial" w:hAnsi="Arial" w:cs="Arial" w:hint="default"/>
        <w:b w:val="0"/>
        <w:sz w:val="22"/>
        <w:szCs w:val="22"/>
        <w:lang w:val="es-E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AB3A78"/>
    <w:multiLevelType w:val="hybridMultilevel"/>
    <w:tmpl w:val="C278EF04"/>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3" w15:restartNumberingAfterBreak="0">
    <w:nsid w:val="5BE64075"/>
    <w:multiLevelType w:val="hybridMultilevel"/>
    <w:tmpl w:val="1D4C53A8"/>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4" w15:restartNumberingAfterBreak="0">
    <w:nsid w:val="62BF7740"/>
    <w:multiLevelType w:val="hybridMultilevel"/>
    <w:tmpl w:val="BF9A2A30"/>
    <w:lvl w:ilvl="0" w:tplc="140A0019">
      <w:start w:val="1"/>
      <w:numFmt w:val="lowerLetter"/>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79F33D8C"/>
    <w:multiLevelType w:val="hybridMultilevel"/>
    <w:tmpl w:val="3624758C"/>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E8C"/>
    <w:rsid w:val="00230A72"/>
    <w:rsid w:val="00417272"/>
    <w:rsid w:val="00484320"/>
    <w:rsid w:val="00570E8C"/>
    <w:rsid w:val="005C7E07"/>
    <w:rsid w:val="005D0C46"/>
    <w:rsid w:val="005E17E0"/>
    <w:rsid w:val="00606183"/>
    <w:rsid w:val="006640CB"/>
    <w:rsid w:val="0067526D"/>
    <w:rsid w:val="007C6CE4"/>
    <w:rsid w:val="00965449"/>
    <w:rsid w:val="00A40907"/>
    <w:rsid w:val="00C439BE"/>
    <w:rsid w:val="00C74A08"/>
    <w:rsid w:val="00C86E13"/>
    <w:rsid w:val="00D57F64"/>
    <w:rsid w:val="00D674ED"/>
    <w:rsid w:val="00E8379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AC71C7"/>
  <w15:chartTrackingRefBased/>
  <w15:docId w15:val="{CB799B34-469E-48E3-AA1B-1B50BFA56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umeracin">
    <w:name w:val="Numeración"/>
    <w:basedOn w:val="Normal"/>
    <w:qFormat/>
    <w:rsid w:val="00570E8C"/>
    <w:pPr>
      <w:numPr>
        <w:numId w:val="1"/>
      </w:numPr>
      <w:spacing w:before="120" w:after="0" w:line="240" w:lineRule="auto"/>
      <w:jc w:val="both"/>
    </w:pPr>
    <w:rPr>
      <w:rFonts w:ascii="Times New Roman" w:eastAsia="Times New Roman" w:hAnsi="Times New Roman" w:cs="Times New Roman"/>
      <w:szCs w:val="24"/>
      <w:lang w:val="es-ES" w:eastAsia="es-ES"/>
    </w:rPr>
  </w:style>
  <w:style w:type="table" w:styleId="Tablaconcuadrcula">
    <w:name w:val="Table Grid"/>
    <w:basedOn w:val="Tablanormal"/>
    <w:uiPriority w:val="39"/>
    <w:rsid w:val="00570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30A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0A72"/>
  </w:style>
  <w:style w:type="paragraph" w:styleId="Piedepgina">
    <w:name w:val="footer"/>
    <w:basedOn w:val="Normal"/>
    <w:link w:val="PiedepginaCar"/>
    <w:uiPriority w:val="99"/>
    <w:unhideWhenUsed/>
    <w:rsid w:val="00230A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0A72"/>
  </w:style>
  <w:style w:type="paragraph" w:styleId="Textonotapie">
    <w:name w:val="footnote text"/>
    <w:basedOn w:val="Normal"/>
    <w:link w:val="TextonotapieCar"/>
    <w:uiPriority w:val="99"/>
    <w:semiHidden/>
    <w:unhideWhenUsed/>
    <w:rsid w:val="006640C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640CB"/>
    <w:rPr>
      <w:sz w:val="20"/>
      <w:szCs w:val="20"/>
    </w:rPr>
  </w:style>
  <w:style w:type="character" w:styleId="Refdenotaalpie">
    <w:name w:val="footnote reference"/>
    <w:basedOn w:val="Fuentedeprrafopredeter"/>
    <w:uiPriority w:val="99"/>
    <w:semiHidden/>
    <w:unhideWhenUsed/>
    <w:rsid w:val="006640CB"/>
    <w:rPr>
      <w:vertAlign w:val="superscript"/>
    </w:rPr>
  </w:style>
  <w:style w:type="paragraph" w:styleId="Prrafodelista">
    <w:name w:val="List Paragraph"/>
    <w:aliases w:val="figuras y gráficos,Viñetas,Bulletr List Paragraph,3"/>
    <w:basedOn w:val="Normal"/>
    <w:link w:val="PrrafodelistaCar"/>
    <w:uiPriority w:val="34"/>
    <w:qFormat/>
    <w:rsid w:val="005E17E0"/>
    <w:pPr>
      <w:ind w:left="720"/>
      <w:contextualSpacing/>
    </w:pPr>
  </w:style>
  <w:style w:type="character" w:customStyle="1" w:styleId="PrrafodelistaCar">
    <w:name w:val="Párrafo de lista Car"/>
    <w:aliases w:val="figuras y gráficos Car,Viñetas Car,Bulletr List Paragraph Car,3 Car"/>
    <w:basedOn w:val="Fuentedeprrafopredeter"/>
    <w:link w:val="Prrafodelista"/>
    <w:uiPriority w:val="34"/>
    <w:locked/>
    <w:rsid w:val="005E1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geval.fi.cr/serviciosytramites/Paginas/ServiciosVentanillaVirtual.aspx" TargetMode="External"/><Relationship Id="rId18" Type="http://schemas.openxmlformats.org/officeDocument/2006/relationships/oleObject" Target="embeddings/Microsoft_Excel_97-2003_Worksheet1.xls"/><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package" Target="embeddings/Microsoft_Excel_Worksheet.xlsx"/><Relationship Id="rId17" Type="http://schemas.openxmlformats.org/officeDocument/2006/relationships/image" Target="media/image3.e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traspasosdevalores@sugeval.fi.cr" TargetMode="External"/><Relationship Id="rId20" Type="http://schemas.openxmlformats.org/officeDocument/2006/relationships/package" Target="embeddings/Microsoft_Excel_Worksheet1.xls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oleObject" Target="embeddings/Microsoft_Excel_97-2003_Worksheet.xls"/><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stado xmlns="315842a7-4cff-4ca6-8fb0-a6562d7ae952">Consulta</Estado>
    <Derogado_x0020_por_x003a_ xmlns="315842a7-4cff-4ca6-8fb0-a6562d7ae952" xsi:nil="true"/>
  </documentManagement>
</p:properties>
</file>

<file path=customXml/itemProps1.xml><?xml version="1.0" encoding="utf-8"?>
<ds:datastoreItem xmlns:ds="http://schemas.openxmlformats.org/officeDocument/2006/customXml" ds:itemID="{0EAA6374-8533-401D-A339-E300F3D0C1CB}">
  <ds:schemaRefs>
    <ds:schemaRef ds:uri="http://schemas.openxmlformats.org/officeDocument/2006/bibliography"/>
  </ds:schemaRefs>
</ds:datastoreItem>
</file>

<file path=customXml/itemProps2.xml><?xml version="1.0" encoding="utf-8"?>
<ds:datastoreItem xmlns:ds="http://schemas.openxmlformats.org/officeDocument/2006/customXml" ds:itemID="{06DECF5E-A8EA-4EA7-9FA1-3A793A7EC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842a7-4cff-4ca6-8fb0-a6562d7ae952"/>
    <ds:schemaRef ds:uri="fc66ef79-2d66-4fa3-90bd-e4f186d8d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16C0B8-F528-4A53-9381-452BB438E4B4}">
  <ds:schemaRefs>
    <ds:schemaRef ds:uri="http://schemas.microsoft.com/sharepoint/v3/contenttype/forms"/>
  </ds:schemaRefs>
</ds:datastoreItem>
</file>

<file path=customXml/itemProps4.xml><?xml version="1.0" encoding="utf-8"?>
<ds:datastoreItem xmlns:ds="http://schemas.openxmlformats.org/officeDocument/2006/customXml" ds:itemID="{BE468C9C-0999-467E-9CC4-033B0A3229E6}">
  <ds:schemaRefs>
    <ds:schemaRef ds:uri="315842a7-4cff-4ca6-8fb0-a6562d7ae952"/>
    <ds:schemaRef ds:uri="http://purl.org/dc/dcmitype/"/>
    <ds:schemaRef ds:uri="http://purl.org/dc/elements/1.1/"/>
    <ds:schemaRef ds:uri="http://purl.org/dc/terms/"/>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fc66ef79-2d66-4fa3-90bd-e4f186d8d369"/>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9</Pages>
  <Words>3104</Words>
  <Characters>17076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Banco Central de Costa Rica</Company>
  <LinksUpToDate>false</LinksUpToDate>
  <CharactersWithSpaces>20140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ZUNIGA MONTERO MARIA DEL ROSARIO</dc:creator>
  <cp:keywords/>
  <dc:description/>
  <cp:lastModifiedBy>TAN CHAN ISABEL MARIA</cp:lastModifiedBy>
  <cp:revision>5</cp:revision>
  <dcterms:created xsi:type="dcterms:W3CDTF">2020-11-05T23:05:00Z</dcterms:created>
  <dcterms:modified xsi:type="dcterms:W3CDTF">2021-08-26T21:46:00Z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0x010100C66477CF232ACD46B93353E93693837C</vt:lpwstr>
  </property>
</Properties>
</file>