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7751A" w14:textId="0DD77F4C" w:rsidR="00A71D8A" w:rsidRPr="003C5A63" w:rsidRDefault="00423255" w:rsidP="00A71D8A">
      <w:pPr>
        <w:jc w:val="both"/>
        <w:rPr>
          <w:rFonts w:cs="Arial"/>
          <w:b/>
          <w:bCs/>
          <w:iCs/>
          <w:sz w:val="22"/>
          <w:szCs w:val="22"/>
          <w:lang w:val="es-ES" w:eastAsia="es-ES"/>
        </w:rPr>
      </w:pPr>
      <w:r w:rsidRPr="00A71D8A">
        <w:rPr>
          <w:rFonts w:cs="Arial"/>
          <w:b/>
          <w:bCs/>
          <w:iCs/>
          <w:noProof/>
          <w:sz w:val="22"/>
          <w:szCs w:val="22"/>
          <w:lang w:val="es-ES_tradnl" w:eastAsia="es-ES"/>
        </w:rPr>
        <w:t xml:space="preserve">SGV-A-244 </w:t>
      </w:r>
      <w:r w:rsidR="00A71D8A" w:rsidRPr="00A71D8A">
        <w:rPr>
          <w:rFonts w:cs="Arial"/>
          <w:b/>
          <w:bCs/>
          <w:iCs/>
          <w:noProof/>
          <w:sz w:val="22"/>
          <w:szCs w:val="22"/>
          <w:lang w:val="es-ES_tradnl" w:eastAsia="es-ES"/>
        </w:rPr>
        <w:t>MODIFICACIÓN AL ACUERDO SGV-A-188. DIRECTRIZ PARA LA IMPLEMENTACIÓN DEL SISTEMA DE MENSAJERÍA DE DOCUMENTOS ELECTRÓNICOS (MENDOCEL)</w:t>
      </w:r>
      <w:r w:rsidR="00A71D8A">
        <w:rPr>
          <w:rFonts w:cs="Arial"/>
          <w:b/>
          <w:bCs/>
          <w:iCs/>
          <w:sz w:val="22"/>
          <w:szCs w:val="22"/>
          <w:lang w:val="es-ES" w:eastAsia="es-ES"/>
        </w:rPr>
        <w:t xml:space="preserve"> </w:t>
      </w:r>
      <w:r w:rsidR="00A71D8A">
        <w:rPr>
          <w:rStyle w:val="Refdenotaalpie"/>
          <w:rFonts w:cs="Arial"/>
          <w:b/>
          <w:bCs/>
          <w:iCs/>
          <w:sz w:val="22"/>
          <w:szCs w:val="22"/>
          <w:lang w:val="es-ES" w:eastAsia="es-ES"/>
        </w:rPr>
        <w:footnoteReference w:id="1"/>
      </w:r>
    </w:p>
    <w:p w14:paraId="5E447A93" w14:textId="61742C6D" w:rsidR="00A71D8A" w:rsidRPr="00A71D8A" w:rsidRDefault="00A71D8A" w:rsidP="00423255">
      <w:pPr>
        <w:keepNext/>
        <w:jc w:val="both"/>
        <w:outlineLvl w:val="1"/>
        <w:rPr>
          <w:rFonts w:cs="Arial"/>
          <w:sz w:val="22"/>
          <w:szCs w:val="22"/>
          <w:lang w:val="es-ES"/>
        </w:rPr>
      </w:pPr>
    </w:p>
    <w:p w14:paraId="4E37A4A4" w14:textId="77777777" w:rsidR="007D5A4E" w:rsidRDefault="007D5A4E" w:rsidP="007D5A4E">
      <w:pPr>
        <w:jc w:val="both"/>
        <w:rPr>
          <w:rFonts w:cs="Arial"/>
          <w:iCs/>
          <w:sz w:val="22"/>
          <w:szCs w:val="22"/>
          <w:lang w:val="es-ES" w:eastAsia="es-ES"/>
        </w:rPr>
      </w:pPr>
    </w:p>
    <w:p w14:paraId="47B40A1C" w14:textId="77777777" w:rsidR="007D5A4E" w:rsidRPr="00A71D8A" w:rsidRDefault="007D5A4E" w:rsidP="007D5A4E">
      <w:pPr>
        <w:jc w:val="both"/>
        <w:rPr>
          <w:rFonts w:cs="Arial"/>
          <w:b/>
          <w:bCs/>
          <w:iCs/>
          <w:sz w:val="22"/>
          <w:szCs w:val="22"/>
          <w:lang w:val="es-ES" w:eastAsia="es-ES"/>
        </w:rPr>
      </w:pPr>
      <w:r w:rsidRPr="00A71D8A">
        <w:rPr>
          <w:rFonts w:cs="Arial"/>
          <w:b/>
          <w:bCs/>
          <w:iCs/>
          <w:sz w:val="22"/>
          <w:szCs w:val="22"/>
          <w:lang w:val="es-ES" w:eastAsia="es-ES"/>
        </w:rPr>
        <w:t>Considerando que:</w:t>
      </w:r>
    </w:p>
    <w:p w14:paraId="60F4A88A" w14:textId="77777777" w:rsidR="007D5A4E" w:rsidRPr="00A71D8A" w:rsidRDefault="007D5A4E" w:rsidP="007D5A4E">
      <w:pPr>
        <w:jc w:val="both"/>
        <w:rPr>
          <w:rFonts w:cs="Arial"/>
          <w:iCs/>
          <w:sz w:val="22"/>
          <w:szCs w:val="22"/>
          <w:lang w:val="es-ES" w:eastAsia="es-ES"/>
        </w:rPr>
      </w:pPr>
    </w:p>
    <w:p w14:paraId="24F2A434" w14:textId="77777777" w:rsidR="007D5A4E" w:rsidRPr="00A71D8A" w:rsidRDefault="007D5A4E" w:rsidP="007D5A4E">
      <w:pPr>
        <w:jc w:val="both"/>
        <w:rPr>
          <w:rFonts w:cs="Arial"/>
          <w:iCs/>
          <w:sz w:val="22"/>
          <w:szCs w:val="22"/>
          <w:lang w:val="es-ES" w:eastAsia="es-ES"/>
        </w:rPr>
      </w:pPr>
      <w:r w:rsidRPr="00A71D8A">
        <w:rPr>
          <w:rFonts w:cs="Arial"/>
          <w:iCs/>
          <w:sz w:val="22"/>
          <w:szCs w:val="22"/>
          <w:lang w:val="es-ES" w:eastAsia="es-ES"/>
        </w:rPr>
        <w:t>1.</w:t>
      </w:r>
      <w:r w:rsidRPr="00A71D8A">
        <w:rPr>
          <w:rFonts w:cs="Arial"/>
          <w:iCs/>
          <w:sz w:val="22"/>
          <w:szCs w:val="22"/>
          <w:lang w:val="es-ES" w:eastAsia="es-ES"/>
        </w:rPr>
        <w:tab/>
        <w:t>El Artículo 8 inciso j) de la Ley Reguladora del Mercado de Valores (LRMV) faculta a adoptar todas las acciones necesarias para el cumplimiento efectivo de las funciones de autorización, regulación, supervisión y fiscalización que le competen a la Superintendencia y el inciso k) dispone que le corresponde al Superintendente, autorizar el funcionamiento de los sujetos fiscalizados y la realización de la oferta pública e informar al Consejo Nacional sobre tales actos.</w:t>
      </w:r>
    </w:p>
    <w:p w14:paraId="0B923237" w14:textId="77777777" w:rsidR="007D5A4E" w:rsidRPr="00A71D8A" w:rsidRDefault="007D5A4E" w:rsidP="007D5A4E">
      <w:pPr>
        <w:jc w:val="both"/>
        <w:rPr>
          <w:rFonts w:cs="Arial"/>
          <w:iCs/>
          <w:sz w:val="22"/>
          <w:szCs w:val="22"/>
          <w:lang w:val="es-ES" w:eastAsia="es-ES"/>
        </w:rPr>
      </w:pPr>
    </w:p>
    <w:p w14:paraId="029D1ADC" w14:textId="77777777" w:rsidR="007D5A4E" w:rsidRPr="00A71D8A" w:rsidRDefault="007D5A4E" w:rsidP="007D5A4E">
      <w:pPr>
        <w:jc w:val="both"/>
        <w:rPr>
          <w:rFonts w:cs="Arial"/>
          <w:iCs/>
          <w:sz w:val="22"/>
          <w:szCs w:val="22"/>
          <w:lang w:val="es-ES" w:eastAsia="es-ES"/>
        </w:rPr>
      </w:pPr>
      <w:r w:rsidRPr="00A71D8A">
        <w:rPr>
          <w:rFonts w:cs="Arial"/>
          <w:iCs/>
          <w:sz w:val="22"/>
          <w:szCs w:val="22"/>
          <w:lang w:val="es-ES" w:eastAsia="es-ES"/>
        </w:rPr>
        <w:t>2.</w:t>
      </w:r>
      <w:r w:rsidRPr="00A71D8A">
        <w:rPr>
          <w:rFonts w:cs="Arial"/>
          <w:iCs/>
          <w:sz w:val="22"/>
          <w:szCs w:val="22"/>
          <w:lang w:val="es-ES" w:eastAsia="es-ES"/>
        </w:rPr>
        <w:tab/>
        <w:t>Mediante Decreto Ejecutivo 42227-MP-S del 16 de marzo de 2020 se da la declaratoria de Estado de Emergencia Nacional en todo el territorio de la República de Costa Rica debido a la situación de emergencia sanitaria provocada por la enfermedad Coronavirus 2019 (COVID-19).</w:t>
      </w:r>
    </w:p>
    <w:p w14:paraId="601C2A35" w14:textId="77777777" w:rsidR="007D5A4E" w:rsidRPr="00A71D8A" w:rsidRDefault="007D5A4E" w:rsidP="007D5A4E">
      <w:pPr>
        <w:jc w:val="both"/>
        <w:rPr>
          <w:rFonts w:cs="Arial"/>
          <w:iCs/>
          <w:sz w:val="22"/>
          <w:szCs w:val="22"/>
          <w:lang w:val="es-ES" w:eastAsia="es-ES"/>
        </w:rPr>
      </w:pPr>
    </w:p>
    <w:p w14:paraId="338C2D9D" w14:textId="77777777" w:rsidR="007D5A4E" w:rsidRPr="00A71D8A" w:rsidRDefault="007D5A4E" w:rsidP="007D5A4E">
      <w:pPr>
        <w:jc w:val="both"/>
        <w:rPr>
          <w:rFonts w:cs="Arial"/>
          <w:iCs/>
          <w:sz w:val="22"/>
          <w:szCs w:val="22"/>
          <w:lang w:val="es-ES" w:eastAsia="es-ES"/>
        </w:rPr>
      </w:pPr>
      <w:r w:rsidRPr="00A71D8A">
        <w:rPr>
          <w:rFonts w:cs="Arial"/>
          <w:iCs/>
          <w:sz w:val="22"/>
          <w:szCs w:val="22"/>
          <w:lang w:val="es-ES" w:eastAsia="es-ES"/>
        </w:rPr>
        <w:t>3.</w:t>
      </w:r>
      <w:r w:rsidRPr="00A71D8A">
        <w:rPr>
          <w:rFonts w:cs="Arial"/>
          <w:iCs/>
          <w:sz w:val="22"/>
          <w:szCs w:val="22"/>
          <w:lang w:val="es-ES" w:eastAsia="es-ES"/>
        </w:rPr>
        <w:tab/>
        <w:t>La SUGEVAL mantiene su compromiso de atender todos los requerimientos del Ministerio de Salud para la atención de la alerta sanitaria por COVID-19 y cumplir las disposiciones que dicten las autoridades de salud sobre la alerta sanitaria hasta que se resuelva la problemática actual.</w:t>
      </w:r>
    </w:p>
    <w:p w14:paraId="23BEC245" w14:textId="77777777" w:rsidR="007D5A4E" w:rsidRPr="00A71D8A" w:rsidRDefault="007D5A4E" w:rsidP="007D5A4E">
      <w:pPr>
        <w:jc w:val="both"/>
        <w:rPr>
          <w:rFonts w:cs="Arial"/>
          <w:iCs/>
          <w:sz w:val="22"/>
          <w:szCs w:val="22"/>
          <w:lang w:val="es-ES" w:eastAsia="es-ES"/>
        </w:rPr>
      </w:pPr>
    </w:p>
    <w:p w14:paraId="682F898F" w14:textId="77777777" w:rsidR="007D5A4E" w:rsidRPr="00A71D8A" w:rsidRDefault="007D5A4E" w:rsidP="007D5A4E">
      <w:pPr>
        <w:jc w:val="both"/>
        <w:rPr>
          <w:rFonts w:cs="Arial"/>
          <w:iCs/>
          <w:sz w:val="22"/>
          <w:szCs w:val="22"/>
          <w:lang w:val="es-ES" w:eastAsia="es-ES"/>
        </w:rPr>
      </w:pPr>
      <w:r w:rsidRPr="00A71D8A">
        <w:rPr>
          <w:rFonts w:cs="Arial"/>
          <w:iCs/>
          <w:sz w:val="22"/>
          <w:szCs w:val="22"/>
          <w:lang w:val="es-ES" w:eastAsia="es-ES"/>
        </w:rPr>
        <w:t>4.</w:t>
      </w:r>
      <w:r w:rsidRPr="00A71D8A">
        <w:rPr>
          <w:rFonts w:cs="Arial"/>
          <w:iCs/>
          <w:sz w:val="22"/>
          <w:szCs w:val="22"/>
          <w:lang w:val="es-ES" w:eastAsia="es-ES"/>
        </w:rPr>
        <w:tab/>
        <w:t xml:space="preserve">La Ley General de la Administración Pública que regula la actividad de la Administración Pública, entre otros principios fundamentales, contempla el Principio de Informalismo (artículo 224) que establece que las normas deberán de interpretarse en forma favorable a la admisión y decisión final de las peticiones de los administrados; y el Principio de Urgencia (artículo 226 inciso 1), que indica que en casos de urgencia y para evitar daños graves a las personas o irreparables a las cosas, podrá prescindirse de una o de todas las formalidades del procedimiento.  </w:t>
      </w:r>
    </w:p>
    <w:p w14:paraId="02BD3182" w14:textId="77777777" w:rsidR="007D5A4E" w:rsidRPr="00A71D8A" w:rsidRDefault="007D5A4E" w:rsidP="007D5A4E">
      <w:pPr>
        <w:jc w:val="both"/>
        <w:rPr>
          <w:rFonts w:cs="Arial"/>
          <w:iCs/>
          <w:sz w:val="22"/>
          <w:szCs w:val="22"/>
          <w:lang w:val="es-ES" w:eastAsia="es-ES"/>
        </w:rPr>
      </w:pPr>
    </w:p>
    <w:p w14:paraId="2F20F3B0" w14:textId="77777777" w:rsidR="00433252" w:rsidRPr="00A71D8A" w:rsidRDefault="007D5A4E" w:rsidP="00433252">
      <w:pPr>
        <w:jc w:val="both"/>
        <w:rPr>
          <w:iCs/>
          <w:sz w:val="22"/>
          <w:szCs w:val="22"/>
        </w:rPr>
      </w:pPr>
      <w:r w:rsidRPr="00A71D8A">
        <w:rPr>
          <w:rFonts w:cs="Arial"/>
          <w:iCs/>
          <w:sz w:val="22"/>
          <w:szCs w:val="22"/>
          <w:lang w:val="es-ES" w:eastAsia="es-ES"/>
        </w:rPr>
        <w:t>5.</w:t>
      </w:r>
      <w:r w:rsidRPr="00A71D8A">
        <w:rPr>
          <w:iCs/>
          <w:sz w:val="22"/>
          <w:szCs w:val="22"/>
        </w:rPr>
        <w:tab/>
        <w:t>En el presente caso, se configura el acaecimiento de un evento de fuerza mayor, como es el estado de emergencia nacional en todo el territorio de la República de Costa Rica, debido a la situación de emergencia sanitaria provocada por la enfermedad COVID-19.</w:t>
      </w:r>
      <w:r w:rsidR="00433252" w:rsidRPr="00A71D8A">
        <w:rPr>
          <w:iCs/>
          <w:sz w:val="22"/>
          <w:szCs w:val="22"/>
        </w:rPr>
        <w:t xml:space="preserve"> Esta situación ha generado impedimentos para que algunos representantes de las entidades supervisadas puedan gestionar la renovación de sus certificados de firma digital, avalados por el Sistema Nacional de Certificación Digital, y encuentren impedimentos demostrables para su renovación por periodos inciertos. </w:t>
      </w:r>
    </w:p>
    <w:p w14:paraId="1E3167E8" w14:textId="77777777" w:rsidR="007D5A4E" w:rsidRPr="00A71D8A" w:rsidRDefault="007D5A4E" w:rsidP="007D5A4E">
      <w:pPr>
        <w:jc w:val="both"/>
        <w:rPr>
          <w:iCs/>
          <w:sz w:val="22"/>
          <w:szCs w:val="22"/>
        </w:rPr>
      </w:pPr>
    </w:p>
    <w:p w14:paraId="686BE5E7" w14:textId="77777777" w:rsidR="007D5A4E" w:rsidRPr="00A71D8A" w:rsidRDefault="007D5A4E" w:rsidP="007D5A4E">
      <w:pPr>
        <w:jc w:val="both"/>
        <w:rPr>
          <w:rFonts w:cs="Arial"/>
          <w:iCs/>
          <w:sz w:val="22"/>
          <w:szCs w:val="22"/>
          <w:lang w:val="es-ES" w:eastAsia="es-ES"/>
        </w:rPr>
      </w:pPr>
      <w:r w:rsidRPr="00A71D8A">
        <w:rPr>
          <w:rFonts w:cs="Arial"/>
          <w:iCs/>
          <w:sz w:val="22"/>
          <w:szCs w:val="22"/>
          <w:lang w:val="es-ES" w:eastAsia="es-ES"/>
        </w:rPr>
        <w:t>6.</w:t>
      </w:r>
      <w:r w:rsidRPr="00A71D8A">
        <w:rPr>
          <w:rFonts w:cs="Arial"/>
          <w:iCs/>
          <w:sz w:val="22"/>
          <w:szCs w:val="22"/>
          <w:lang w:val="es-ES" w:eastAsia="es-ES"/>
        </w:rPr>
        <w:tab/>
        <w:t xml:space="preserve">El Consejo Nacional de Supervisión del Sistema Financiero mediante el artículo 9, del acta de la sesión 1575-2020, celebrada el 11 de mayo de 2020, acordó dispensar, a partir del 11 de mayo de 2020, de forma temporal, la presentación de los documentos físicos relativos a certificaciones notariales o declaraciones juradas por parte de las entidades participantes del mercado de valores y que sean requeridos en cualquiera de los reglamentos emitidos y aprobados por dicho Consejo de manera tal que su cumplimiento pueda ser realizado  mediante el envío de la imagen digitalizada de la </w:t>
      </w:r>
      <w:r w:rsidRPr="00A71D8A">
        <w:rPr>
          <w:rFonts w:cs="Arial"/>
          <w:iCs/>
          <w:sz w:val="22"/>
          <w:szCs w:val="22"/>
          <w:lang w:val="es-ES" w:eastAsia="es-ES"/>
        </w:rPr>
        <w:lastRenderedPageBreak/>
        <w:t>certificación notarial o declaración jurada. En el ínterin se debe conservar el documento físico, debiendo la entidad presentar el documento original cuando le sea requerido específicamente dentro del trámite o una vez que concluya la declaratoria de emergencia.</w:t>
      </w:r>
    </w:p>
    <w:p w14:paraId="0E5FB8B8" w14:textId="77777777" w:rsidR="00433252" w:rsidRPr="00A71D8A" w:rsidRDefault="00433252" w:rsidP="007D5A4E">
      <w:pPr>
        <w:jc w:val="both"/>
        <w:rPr>
          <w:rFonts w:cs="Arial"/>
          <w:iCs/>
          <w:sz w:val="22"/>
          <w:szCs w:val="22"/>
          <w:lang w:val="es-ES" w:eastAsia="es-ES"/>
        </w:rPr>
      </w:pPr>
    </w:p>
    <w:p w14:paraId="093E309B" w14:textId="77777777" w:rsidR="007B1E87" w:rsidRPr="00A71D8A" w:rsidRDefault="007B1E87" w:rsidP="007B1E87">
      <w:pPr>
        <w:pStyle w:val="Numeracin"/>
        <w:numPr>
          <w:ilvl w:val="0"/>
          <w:numId w:val="0"/>
        </w:numPr>
        <w:spacing w:before="0"/>
        <w:rPr>
          <w:rFonts w:ascii="Arial" w:hAnsi="Arial" w:cs="Arial"/>
          <w:szCs w:val="22"/>
        </w:rPr>
      </w:pPr>
      <w:r w:rsidRPr="00A71D8A">
        <w:rPr>
          <w:rFonts w:ascii="Arial" w:hAnsi="Arial" w:cs="Arial"/>
          <w:iCs/>
          <w:szCs w:val="22"/>
        </w:rPr>
        <w:t>7.</w:t>
      </w:r>
      <w:r w:rsidRPr="00A71D8A">
        <w:rPr>
          <w:rFonts w:ascii="Arial" w:hAnsi="Arial" w:cs="Arial"/>
          <w:iCs/>
          <w:szCs w:val="22"/>
        </w:rPr>
        <w:tab/>
      </w:r>
      <w:r w:rsidRPr="00A71D8A">
        <w:rPr>
          <w:rFonts w:ascii="Arial" w:hAnsi="Arial" w:cs="Arial"/>
          <w:szCs w:val="22"/>
        </w:rPr>
        <w:t>El Artículo 1 del Acuerdo SGV-A-188 Directriz para la Implementación del Sistema de Mensajería de Documentos Electrónicos (MENDOCEL), permite el intercambio de documentos en formato digital entre la Superintendencia General de Valores y sus regulados, eliminando la necesidad de enviar y recibir en físico correspondencia e información relativa a ciertos trámites. Asimismo, el artículo 11 del Acuerdo citado establece dos medios alternativos de envío de información, por medio de correo electrónico de los documentos, bajo los mismos niveles de firma requeridos por MENDOCEL o mediante su presentación física; cuando se presenten inconvenientes técnicos en el acceso a los servicios del MENDOCEL o situaciones de fuerza mayor.</w:t>
      </w:r>
    </w:p>
    <w:p w14:paraId="31DB61E8" w14:textId="77777777" w:rsidR="007B1E87" w:rsidRPr="00A71D8A" w:rsidRDefault="007B1E87" w:rsidP="00433252">
      <w:pPr>
        <w:jc w:val="both"/>
        <w:rPr>
          <w:rFonts w:cs="Arial"/>
          <w:iCs/>
          <w:sz w:val="22"/>
          <w:szCs w:val="22"/>
          <w:lang w:val="es-ES" w:eastAsia="es-ES"/>
        </w:rPr>
      </w:pPr>
    </w:p>
    <w:p w14:paraId="4847D294" w14:textId="77777777" w:rsidR="00433252" w:rsidRPr="00A71D8A" w:rsidRDefault="007B1E87" w:rsidP="00433252">
      <w:pPr>
        <w:jc w:val="both"/>
        <w:rPr>
          <w:rFonts w:cs="Arial"/>
          <w:iCs/>
          <w:sz w:val="22"/>
          <w:szCs w:val="22"/>
          <w:lang w:val="es-ES" w:eastAsia="es-ES"/>
        </w:rPr>
      </w:pPr>
      <w:r w:rsidRPr="00A71D8A">
        <w:rPr>
          <w:rFonts w:cs="Arial"/>
          <w:iCs/>
          <w:sz w:val="22"/>
          <w:szCs w:val="22"/>
          <w:lang w:val="es-ES" w:eastAsia="es-ES"/>
        </w:rPr>
        <w:t>8</w:t>
      </w:r>
      <w:r w:rsidR="007D5A4E" w:rsidRPr="00A71D8A">
        <w:rPr>
          <w:rFonts w:cs="Arial"/>
          <w:iCs/>
          <w:sz w:val="22"/>
          <w:szCs w:val="22"/>
          <w:lang w:val="es-ES" w:eastAsia="es-ES"/>
        </w:rPr>
        <w:t>.</w:t>
      </w:r>
      <w:r w:rsidR="007D5A4E" w:rsidRPr="00A71D8A">
        <w:rPr>
          <w:rFonts w:cs="Arial"/>
          <w:iCs/>
          <w:sz w:val="22"/>
          <w:szCs w:val="22"/>
          <w:lang w:val="es-ES" w:eastAsia="es-ES"/>
        </w:rPr>
        <w:tab/>
        <w:t>En atención a las obligaciones y recomendaciones dadas por nuestras autoridades nacionales, y basados en el principio legal de proporcionalidad, razonabilidad y fuerza mayor, se considera necesario</w:t>
      </w:r>
      <w:r w:rsidR="00433252" w:rsidRPr="00A71D8A">
        <w:rPr>
          <w:rFonts w:cs="Arial"/>
          <w:iCs/>
          <w:sz w:val="22"/>
          <w:szCs w:val="22"/>
          <w:lang w:val="es-ES" w:eastAsia="es-ES"/>
        </w:rPr>
        <w:t xml:space="preserve"> incorporar en forma temporal como medio alterno de remisión de información previstos en el acuerdo SGV-A-188 Directriz para la implementación del Sistema de Mensajería de Documentos Electrónicos (MENDOCEL),  el envío por medio de correo electrónico de los documentos firmados de puño y letra, que sean remitidos mediante imagen digitalizada a la cuenta oficial de la Superintendencia (</w:t>
      </w:r>
      <w:hyperlink r:id="rId11" w:history="1">
        <w:r w:rsidR="00433252" w:rsidRPr="00A71D8A">
          <w:rPr>
            <w:rFonts w:cs="Arial"/>
            <w:iCs/>
            <w:sz w:val="22"/>
            <w:szCs w:val="22"/>
            <w:lang w:val="es-ES" w:eastAsia="es-ES"/>
          </w:rPr>
          <w:t>ventanillaoficial@sugeval.fi.cr</w:t>
        </w:r>
      </w:hyperlink>
      <w:r w:rsidR="00433252" w:rsidRPr="00A71D8A">
        <w:rPr>
          <w:rFonts w:cs="Arial"/>
          <w:iCs/>
          <w:sz w:val="22"/>
          <w:szCs w:val="22"/>
          <w:lang w:val="es-ES" w:eastAsia="es-ES"/>
        </w:rPr>
        <w:t xml:space="preserve">), en aquellos casos en que el representante legal y otros empleados autorizados para la remisión de información para los trámites con la Superintendencia, les haya vencido los certificados de firma digital avalados por el Sistema Nacional de Certificación Digital, y encuentren impedimentos demostrables para su renovación. </w:t>
      </w:r>
    </w:p>
    <w:p w14:paraId="066654AE" w14:textId="77777777" w:rsidR="00433252" w:rsidRPr="00A71D8A" w:rsidRDefault="00433252" w:rsidP="007D5A4E">
      <w:pPr>
        <w:jc w:val="both"/>
        <w:rPr>
          <w:rFonts w:cs="Arial"/>
          <w:iCs/>
          <w:sz w:val="22"/>
          <w:szCs w:val="22"/>
          <w:lang w:eastAsia="es-ES"/>
        </w:rPr>
      </w:pPr>
    </w:p>
    <w:p w14:paraId="1ECB53AE" w14:textId="77777777" w:rsidR="007D5A4E" w:rsidRPr="00A71D8A" w:rsidRDefault="007B1E87" w:rsidP="007D5A4E">
      <w:pPr>
        <w:jc w:val="both"/>
        <w:rPr>
          <w:rFonts w:cs="Arial"/>
          <w:iCs/>
          <w:sz w:val="22"/>
          <w:szCs w:val="22"/>
          <w:lang w:val="es-ES" w:eastAsia="es-ES"/>
        </w:rPr>
      </w:pPr>
      <w:r w:rsidRPr="00A71D8A">
        <w:rPr>
          <w:rFonts w:cs="Arial"/>
          <w:iCs/>
          <w:sz w:val="22"/>
          <w:szCs w:val="22"/>
          <w:lang w:val="es-ES" w:eastAsia="es-ES"/>
        </w:rPr>
        <w:t>9</w:t>
      </w:r>
      <w:r w:rsidR="007D5A4E" w:rsidRPr="00A71D8A">
        <w:rPr>
          <w:rFonts w:cs="Arial"/>
          <w:iCs/>
          <w:sz w:val="22"/>
          <w:szCs w:val="22"/>
          <w:lang w:val="es-ES" w:eastAsia="es-ES"/>
        </w:rPr>
        <w:t>.</w:t>
      </w:r>
      <w:r w:rsidR="007D5A4E" w:rsidRPr="00A71D8A">
        <w:rPr>
          <w:rFonts w:cs="Arial"/>
          <w:iCs/>
          <w:sz w:val="22"/>
          <w:szCs w:val="22"/>
          <w:lang w:val="es-ES" w:eastAsia="es-ES"/>
        </w:rPr>
        <w:tab/>
        <w:t>Otros órganos reguladores del mercado de valores en diferentes jurisdicciones han tomado medidas extraordinarias aplicables hasta que finalice el estado de emergencia que en sus países igualmente se han declarado, incluido un régimen de flexibilización o suspensión temporal para la preparación y aprobación de informes regulatorios, plazos, requerimientos de documentos físicos, entre otros; reanudándose de nuevo una vez que concluya dicha declaratoria.</w:t>
      </w:r>
    </w:p>
    <w:p w14:paraId="79560416" w14:textId="77777777" w:rsidR="007D5A4E" w:rsidRPr="00A71D8A" w:rsidRDefault="007D5A4E" w:rsidP="007D5A4E">
      <w:pPr>
        <w:jc w:val="both"/>
        <w:rPr>
          <w:rFonts w:cs="Arial"/>
          <w:iCs/>
          <w:sz w:val="22"/>
          <w:szCs w:val="22"/>
          <w:lang w:val="es-ES" w:eastAsia="es-ES"/>
        </w:rPr>
      </w:pPr>
    </w:p>
    <w:p w14:paraId="73E7C3F0" w14:textId="77777777" w:rsidR="007D5A4E" w:rsidRPr="00A71D8A" w:rsidRDefault="007B1E87" w:rsidP="007D5A4E">
      <w:pPr>
        <w:jc w:val="both"/>
        <w:rPr>
          <w:rFonts w:cs="Arial"/>
          <w:iCs/>
          <w:sz w:val="22"/>
          <w:szCs w:val="22"/>
          <w:lang w:val="es-ES" w:eastAsia="es-ES"/>
        </w:rPr>
      </w:pPr>
      <w:r w:rsidRPr="00A71D8A">
        <w:rPr>
          <w:rFonts w:cs="Arial"/>
          <w:iCs/>
          <w:sz w:val="22"/>
          <w:szCs w:val="22"/>
          <w:lang w:val="es-ES" w:eastAsia="es-ES"/>
        </w:rPr>
        <w:t>10</w:t>
      </w:r>
      <w:r w:rsidR="007D5A4E" w:rsidRPr="00A71D8A">
        <w:rPr>
          <w:rFonts w:cs="Arial"/>
          <w:iCs/>
          <w:sz w:val="22"/>
          <w:szCs w:val="22"/>
          <w:lang w:val="es-ES" w:eastAsia="es-ES"/>
        </w:rPr>
        <w:t>.</w:t>
      </w:r>
      <w:r w:rsidR="007D5A4E" w:rsidRPr="00A71D8A">
        <w:rPr>
          <w:rFonts w:cs="Arial"/>
          <w:iCs/>
          <w:sz w:val="22"/>
          <w:szCs w:val="22"/>
          <w:lang w:val="es-ES" w:eastAsia="es-ES"/>
        </w:rPr>
        <w:tab/>
        <w:t>El citado Decreto Ejecutivo 42227-MP-S, dispuso: “Artículo 13: Según el artículo 37 de la Ley Nacional de Emergencias y Prevención del Riesgo, el Poder Ejecutivo declarará la cesación del estado de emergencia nacional cuando se cumpla con las fases de la emergencia definidas en el artículo 30 de dicha Ley y el artículo 2 del presente Decreto Ejecutivo y se cuente con el criterio técnico emitido por la Comisión Nacional de Prevención de Riesgos y Atención de Emergencias que así lo respalde.”</w:t>
      </w:r>
    </w:p>
    <w:p w14:paraId="1D54C972" w14:textId="77777777" w:rsidR="007D5A4E" w:rsidRPr="00A71D8A" w:rsidRDefault="007D5A4E" w:rsidP="007D5A4E">
      <w:pPr>
        <w:jc w:val="both"/>
        <w:rPr>
          <w:rFonts w:cs="Arial"/>
          <w:iCs/>
          <w:sz w:val="22"/>
          <w:szCs w:val="22"/>
          <w:lang w:val="es-ES" w:eastAsia="es-ES"/>
        </w:rPr>
      </w:pPr>
    </w:p>
    <w:p w14:paraId="58C0EC9C" w14:textId="77777777" w:rsidR="007D5A4E" w:rsidRPr="00A71D8A" w:rsidRDefault="007D5A4E" w:rsidP="007D5A4E">
      <w:pPr>
        <w:jc w:val="both"/>
        <w:rPr>
          <w:rFonts w:cs="Arial"/>
          <w:iCs/>
          <w:sz w:val="22"/>
          <w:szCs w:val="22"/>
          <w:lang w:val="es-ES" w:eastAsia="es-ES"/>
        </w:rPr>
      </w:pPr>
      <w:r w:rsidRPr="00A71D8A">
        <w:rPr>
          <w:rFonts w:cs="Arial"/>
          <w:iCs/>
          <w:sz w:val="22"/>
          <w:szCs w:val="22"/>
          <w:lang w:val="es-ES" w:eastAsia="es-ES"/>
        </w:rPr>
        <w:t>1</w:t>
      </w:r>
      <w:r w:rsidR="007B1E87" w:rsidRPr="00A71D8A">
        <w:rPr>
          <w:rFonts w:cs="Arial"/>
          <w:iCs/>
          <w:sz w:val="22"/>
          <w:szCs w:val="22"/>
          <w:lang w:val="es-ES" w:eastAsia="es-ES"/>
        </w:rPr>
        <w:t>1</w:t>
      </w:r>
      <w:r w:rsidRPr="00A71D8A">
        <w:rPr>
          <w:rFonts w:cs="Arial"/>
          <w:iCs/>
          <w:sz w:val="22"/>
          <w:szCs w:val="22"/>
          <w:lang w:val="es-ES" w:eastAsia="es-ES"/>
        </w:rPr>
        <w:t>.</w:t>
      </w:r>
      <w:r w:rsidRPr="00A71D8A">
        <w:rPr>
          <w:rFonts w:cs="Arial"/>
          <w:iCs/>
          <w:sz w:val="22"/>
          <w:szCs w:val="22"/>
          <w:lang w:val="es-ES" w:eastAsia="es-ES"/>
        </w:rPr>
        <w:tab/>
        <w:t>Según lo previsto por la “Ley General de Administración Pública” en el artículo 361.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  Por las razones antes expuestas, se omite la realización de una consulta particular al mercado sobre el presente acuerdo.</w:t>
      </w:r>
    </w:p>
    <w:p w14:paraId="7C420079" w14:textId="77777777" w:rsidR="007D5A4E" w:rsidRPr="00A71D8A" w:rsidRDefault="007D5A4E" w:rsidP="007D5A4E">
      <w:pPr>
        <w:jc w:val="both"/>
        <w:rPr>
          <w:rFonts w:cs="Arial"/>
          <w:iCs/>
          <w:sz w:val="22"/>
          <w:szCs w:val="22"/>
          <w:lang w:val="es-ES" w:eastAsia="es-ES"/>
        </w:rPr>
      </w:pPr>
    </w:p>
    <w:p w14:paraId="0B192011" w14:textId="77777777" w:rsidR="00DC1121" w:rsidRPr="00A71D8A" w:rsidRDefault="007D5A4E" w:rsidP="007D5A4E">
      <w:pPr>
        <w:jc w:val="both"/>
        <w:rPr>
          <w:rFonts w:cs="Arial"/>
          <w:b/>
          <w:bCs/>
          <w:iCs/>
          <w:sz w:val="22"/>
          <w:szCs w:val="22"/>
          <w:lang w:val="es-ES" w:eastAsia="es-ES"/>
        </w:rPr>
      </w:pPr>
      <w:r w:rsidRPr="00A71D8A">
        <w:rPr>
          <w:rFonts w:cs="Arial"/>
          <w:b/>
          <w:bCs/>
          <w:iCs/>
          <w:sz w:val="22"/>
          <w:szCs w:val="22"/>
          <w:lang w:val="es-ES" w:eastAsia="es-ES"/>
        </w:rPr>
        <w:t xml:space="preserve">Por </w:t>
      </w:r>
      <w:proofErr w:type="gramStart"/>
      <w:r w:rsidRPr="00A71D8A">
        <w:rPr>
          <w:rFonts w:cs="Arial"/>
          <w:b/>
          <w:bCs/>
          <w:iCs/>
          <w:sz w:val="22"/>
          <w:szCs w:val="22"/>
          <w:lang w:val="es-ES" w:eastAsia="es-ES"/>
        </w:rPr>
        <w:t>tanto</w:t>
      </w:r>
      <w:proofErr w:type="gramEnd"/>
      <w:r w:rsidRPr="00A71D8A">
        <w:rPr>
          <w:rFonts w:cs="Arial"/>
          <w:b/>
          <w:bCs/>
          <w:iCs/>
          <w:sz w:val="22"/>
          <w:szCs w:val="22"/>
          <w:lang w:val="es-ES" w:eastAsia="es-ES"/>
        </w:rPr>
        <w:t xml:space="preserve"> dispone el presente acuerdo:</w:t>
      </w:r>
    </w:p>
    <w:p w14:paraId="54AEEEFF" w14:textId="77777777" w:rsidR="003C5A63" w:rsidRDefault="003C5A63" w:rsidP="007D5A4E">
      <w:pPr>
        <w:jc w:val="both"/>
        <w:rPr>
          <w:rFonts w:cs="Arial"/>
          <w:iCs/>
          <w:sz w:val="22"/>
          <w:szCs w:val="22"/>
          <w:lang w:val="es-ES" w:eastAsia="es-ES"/>
        </w:rPr>
      </w:pPr>
    </w:p>
    <w:p w14:paraId="5613929D" w14:textId="77777777" w:rsidR="003C5A63" w:rsidRPr="00A71D8A" w:rsidRDefault="003C5A63" w:rsidP="00696F86">
      <w:pPr>
        <w:jc w:val="center"/>
        <w:rPr>
          <w:rFonts w:cs="Arial"/>
          <w:b/>
          <w:bCs/>
          <w:iCs/>
          <w:sz w:val="22"/>
          <w:szCs w:val="22"/>
          <w:lang w:val="es-ES" w:eastAsia="es-ES"/>
        </w:rPr>
      </w:pPr>
      <w:r w:rsidRPr="00A71D8A">
        <w:rPr>
          <w:rFonts w:cs="Arial"/>
          <w:b/>
          <w:bCs/>
          <w:iCs/>
          <w:sz w:val="22"/>
          <w:szCs w:val="22"/>
          <w:lang w:val="es-ES" w:eastAsia="es-ES"/>
        </w:rPr>
        <w:t>SGV-A-</w:t>
      </w:r>
      <w:r w:rsidR="00971A6A" w:rsidRPr="00A71D8A">
        <w:rPr>
          <w:rFonts w:cs="Arial"/>
          <w:b/>
          <w:bCs/>
          <w:iCs/>
          <w:sz w:val="22"/>
          <w:szCs w:val="22"/>
          <w:lang w:val="es-ES" w:eastAsia="es-ES"/>
        </w:rPr>
        <w:t>244</w:t>
      </w:r>
      <w:r w:rsidRPr="00A71D8A">
        <w:rPr>
          <w:rFonts w:cs="Arial"/>
          <w:b/>
          <w:bCs/>
          <w:iCs/>
          <w:sz w:val="22"/>
          <w:szCs w:val="22"/>
          <w:lang w:val="es-ES" w:eastAsia="es-ES"/>
        </w:rPr>
        <w:t>. MODIFICACIÓN AL ACUERDO SGV-A-188. DIRECTRIZ PARA LA IMPLEMENTACIÓN DEL SISTEMA DE MENSAJERÍA DE DOCUMENTOS ELECTRÓNICOS (MENDOCEL)</w:t>
      </w:r>
    </w:p>
    <w:p w14:paraId="47EC730B" w14:textId="77777777" w:rsidR="003C5A63" w:rsidRPr="00A71D8A" w:rsidRDefault="003C5A63" w:rsidP="007D5A4E">
      <w:pPr>
        <w:jc w:val="both"/>
        <w:rPr>
          <w:rFonts w:cs="Arial"/>
          <w:iCs/>
          <w:sz w:val="22"/>
          <w:szCs w:val="22"/>
          <w:lang w:val="es-ES"/>
        </w:rPr>
      </w:pPr>
    </w:p>
    <w:p w14:paraId="550636F3" w14:textId="77777777" w:rsidR="003C5A63" w:rsidRPr="00A71D8A" w:rsidRDefault="007B1E87" w:rsidP="003C5A63">
      <w:pPr>
        <w:jc w:val="both"/>
        <w:rPr>
          <w:rFonts w:cs="Arial"/>
          <w:sz w:val="22"/>
          <w:szCs w:val="22"/>
        </w:rPr>
      </w:pPr>
      <w:r w:rsidRPr="00A71D8A">
        <w:rPr>
          <w:rFonts w:cs="Arial"/>
          <w:b/>
          <w:bCs/>
          <w:sz w:val="22"/>
          <w:szCs w:val="22"/>
        </w:rPr>
        <w:t xml:space="preserve">Artículo </w:t>
      </w:r>
      <w:r w:rsidR="003C5A63" w:rsidRPr="00A71D8A">
        <w:rPr>
          <w:rFonts w:cs="Arial"/>
          <w:b/>
          <w:bCs/>
          <w:sz w:val="22"/>
          <w:szCs w:val="22"/>
        </w:rPr>
        <w:t>1</w:t>
      </w:r>
      <w:r w:rsidR="003C5A63" w:rsidRPr="00A71D8A">
        <w:rPr>
          <w:rFonts w:cs="Arial"/>
          <w:sz w:val="22"/>
          <w:szCs w:val="22"/>
        </w:rPr>
        <w:t xml:space="preserve">- Incorporar un Transitorio 3 al </w:t>
      </w:r>
      <w:r w:rsidR="003C5A63" w:rsidRPr="00A71D8A">
        <w:rPr>
          <w:rFonts w:cs="Arial"/>
          <w:i/>
          <w:iCs/>
          <w:sz w:val="22"/>
          <w:szCs w:val="22"/>
        </w:rPr>
        <w:t>Acuerdo SGV-A-188</w:t>
      </w:r>
      <w:r w:rsidR="003C5A63" w:rsidRPr="00A71D8A">
        <w:rPr>
          <w:rFonts w:cs="Arial"/>
          <w:sz w:val="22"/>
          <w:szCs w:val="22"/>
        </w:rPr>
        <w:t>, el cual se leerá de la siguiente manera:</w:t>
      </w:r>
    </w:p>
    <w:p w14:paraId="6A76ECD4" w14:textId="77777777" w:rsidR="003C5A63" w:rsidRPr="00A71D8A" w:rsidRDefault="003C5A63" w:rsidP="007D5A4E">
      <w:pPr>
        <w:jc w:val="both"/>
        <w:rPr>
          <w:rFonts w:cs="Arial"/>
          <w:iCs/>
          <w:sz w:val="22"/>
          <w:szCs w:val="22"/>
        </w:rPr>
      </w:pPr>
    </w:p>
    <w:p w14:paraId="6F687813" w14:textId="77777777" w:rsidR="003C5A63" w:rsidRPr="00A71D8A" w:rsidRDefault="003C5A63" w:rsidP="007D5A4E">
      <w:pPr>
        <w:jc w:val="both"/>
        <w:rPr>
          <w:rFonts w:cs="Arial"/>
          <w:b/>
          <w:bCs/>
          <w:iCs/>
          <w:sz w:val="22"/>
          <w:szCs w:val="22"/>
        </w:rPr>
      </w:pPr>
      <w:r w:rsidRPr="00A71D8A">
        <w:rPr>
          <w:rFonts w:cs="Arial"/>
          <w:iCs/>
          <w:sz w:val="22"/>
          <w:szCs w:val="22"/>
        </w:rPr>
        <w:t>“</w:t>
      </w:r>
      <w:r w:rsidRPr="00A71D8A">
        <w:rPr>
          <w:rFonts w:cs="Arial"/>
          <w:b/>
          <w:bCs/>
          <w:iCs/>
          <w:sz w:val="22"/>
          <w:szCs w:val="22"/>
        </w:rPr>
        <w:t>Transitorio 3. Mecanismos de Contingencia ante la declaratoria de Estado de Emergencia Nacional</w:t>
      </w:r>
    </w:p>
    <w:p w14:paraId="15D362CC" w14:textId="77777777" w:rsidR="003C5A63" w:rsidRPr="00A71D8A" w:rsidRDefault="003C5A63" w:rsidP="007D5A4E">
      <w:pPr>
        <w:jc w:val="both"/>
        <w:rPr>
          <w:rFonts w:cs="Arial"/>
          <w:iCs/>
          <w:sz w:val="22"/>
          <w:szCs w:val="22"/>
        </w:rPr>
      </w:pPr>
      <w:bookmarkStart w:id="0" w:name="_GoBack"/>
      <w:bookmarkEnd w:id="0"/>
    </w:p>
    <w:p w14:paraId="6981E32E" w14:textId="77777777" w:rsidR="00DA1C8F" w:rsidRPr="00A71D8A" w:rsidRDefault="00D54406" w:rsidP="003833D5">
      <w:pPr>
        <w:pStyle w:val="CNV"/>
        <w:widowControl w:val="0"/>
        <w:tabs>
          <w:tab w:val="left" w:pos="8910"/>
        </w:tabs>
        <w:rPr>
          <w:rFonts w:ascii="Arial" w:hAnsi="Arial" w:cs="Arial"/>
          <w:sz w:val="22"/>
          <w:szCs w:val="22"/>
          <w:lang w:val="es-CR"/>
        </w:rPr>
      </w:pPr>
      <w:r w:rsidRPr="00A71D8A">
        <w:rPr>
          <w:rFonts w:ascii="Arial" w:hAnsi="Arial" w:cs="Arial"/>
          <w:sz w:val="22"/>
          <w:szCs w:val="22"/>
          <w:lang w:val="es-CR"/>
        </w:rPr>
        <w:t>A</w:t>
      </w:r>
      <w:r w:rsidR="003833D5" w:rsidRPr="00A71D8A">
        <w:rPr>
          <w:rFonts w:ascii="Arial" w:hAnsi="Arial" w:cs="Arial"/>
          <w:sz w:val="22"/>
          <w:szCs w:val="22"/>
          <w:lang w:val="es-CR"/>
        </w:rPr>
        <w:t xml:space="preserve">nte la necesidad de acatar las medidas de alerta sanitaria </w:t>
      </w:r>
      <w:r w:rsidR="00DA1C8F" w:rsidRPr="00A71D8A">
        <w:rPr>
          <w:rFonts w:ascii="Arial" w:hAnsi="Arial" w:cs="Arial"/>
          <w:sz w:val="22"/>
          <w:szCs w:val="22"/>
          <w:lang w:val="es-CR"/>
        </w:rPr>
        <w:t>generadas por la Pandemia Covid-19</w:t>
      </w:r>
      <w:r w:rsidR="003833D5" w:rsidRPr="00A71D8A">
        <w:rPr>
          <w:rFonts w:ascii="Arial" w:hAnsi="Arial" w:cs="Arial"/>
          <w:sz w:val="22"/>
          <w:szCs w:val="22"/>
          <w:lang w:val="es-CR"/>
        </w:rPr>
        <w:t xml:space="preserve"> y basados en el principio legal de proporcionalidad, razonabilidad y fuerza mayor, </w:t>
      </w:r>
      <w:r w:rsidR="00DA1C8F" w:rsidRPr="00A71D8A">
        <w:rPr>
          <w:rFonts w:ascii="Arial" w:hAnsi="Arial" w:cs="Arial"/>
          <w:sz w:val="22"/>
          <w:szCs w:val="22"/>
          <w:lang w:val="es-CR"/>
        </w:rPr>
        <w:t>se incorpora en forma temporal como medio alterno de remisión de información a la SUGEVAL el envío por medio de correo electrónico de los documentos firmados de puño y letra, que sean remitidos mediante imagen digitalizada a la cuenta oficial de la Superintendencia (</w:t>
      </w:r>
      <w:hyperlink r:id="rId12" w:history="1">
        <w:r w:rsidR="00DA1C8F" w:rsidRPr="00A71D8A">
          <w:rPr>
            <w:rFonts w:ascii="Arial" w:hAnsi="Arial" w:cs="Arial"/>
            <w:sz w:val="22"/>
            <w:szCs w:val="22"/>
            <w:lang w:val="es-CR"/>
          </w:rPr>
          <w:t>ventanillaoficial@sugeval.fi.cr</w:t>
        </w:r>
      </w:hyperlink>
      <w:r w:rsidR="00DA1C8F" w:rsidRPr="00A71D8A">
        <w:rPr>
          <w:rFonts w:ascii="Arial" w:hAnsi="Arial" w:cs="Arial"/>
          <w:sz w:val="22"/>
          <w:szCs w:val="22"/>
          <w:lang w:val="es-CR"/>
        </w:rPr>
        <w:t xml:space="preserve">), en aquellos casos en que </w:t>
      </w:r>
      <w:r w:rsidR="00B40F9F" w:rsidRPr="00A71D8A">
        <w:rPr>
          <w:rFonts w:ascii="Arial" w:hAnsi="Arial" w:cs="Arial"/>
          <w:sz w:val="22"/>
          <w:szCs w:val="22"/>
          <w:lang w:val="es-CR"/>
        </w:rPr>
        <w:t xml:space="preserve">al </w:t>
      </w:r>
      <w:r w:rsidR="00DA1C8F" w:rsidRPr="00A71D8A">
        <w:rPr>
          <w:rFonts w:ascii="Arial" w:hAnsi="Arial" w:cs="Arial"/>
          <w:sz w:val="22"/>
          <w:szCs w:val="22"/>
          <w:lang w:val="es-CR"/>
        </w:rPr>
        <w:t xml:space="preserve"> representante legal o demás empleados autorizados para la remisión de información para los trámites con la Superintendencia, </w:t>
      </w:r>
      <w:r w:rsidR="00B40F9F" w:rsidRPr="00A71D8A">
        <w:rPr>
          <w:rFonts w:ascii="Arial" w:hAnsi="Arial" w:cs="Arial"/>
          <w:sz w:val="22"/>
          <w:szCs w:val="22"/>
          <w:lang w:val="es-CR"/>
        </w:rPr>
        <w:t xml:space="preserve">se </w:t>
      </w:r>
      <w:r w:rsidR="00DA1C8F" w:rsidRPr="00A71D8A">
        <w:rPr>
          <w:rFonts w:ascii="Arial" w:hAnsi="Arial" w:cs="Arial"/>
          <w:sz w:val="22"/>
          <w:szCs w:val="22"/>
          <w:lang w:val="es-CR"/>
        </w:rPr>
        <w:t xml:space="preserve">les haya vencido los certificados de firma digital, avalados por el Sistema Nacional de Certificación Digital, y </w:t>
      </w:r>
      <w:r w:rsidR="00B40F9F" w:rsidRPr="00A71D8A">
        <w:rPr>
          <w:rFonts w:ascii="Arial" w:hAnsi="Arial" w:cs="Arial"/>
          <w:sz w:val="22"/>
          <w:szCs w:val="22"/>
          <w:lang w:val="es-CR"/>
        </w:rPr>
        <w:t xml:space="preserve">se </w:t>
      </w:r>
      <w:r w:rsidR="00DA1C8F" w:rsidRPr="00A71D8A">
        <w:rPr>
          <w:rFonts w:ascii="Arial" w:hAnsi="Arial" w:cs="Arial"/>
          <w:sz w:val="22"/>
          <w:szCs w:val="22"/>
          <w:lang w:val="es-CR"/>
        </w:rPr>
        <w:t xml:space="preserve">encuentren impedimentos demostrables para su renovación. </w:t>
      </w:r>
    </w:p>
    <w:p w14:paraId="36F548F5" w14:textId="77777777" w:rsidR="00DA1C8F" w:rsidRPr="00A71D8A" w:rsidRDefault="00DA1C8F" w:rsidP="003833D5">
      <w:pPr>
        <w:pStyle w:val="CNV"/>
        <w:widowControl w:val="0"/>
        <w:tabs>
          <w:tab w:val="left" w:pos="8910"/>
        </w:tabs>
        <w:rPr>
          <w:rFonts w:ascii="Arial" w:hAnsi="Arial" w:cs="Arial"/>
          <w:iCs/>
          <w:sz w:val="22"/>
          <w:szCs w:val="22"/>
          <w:lang w:val="es-CR"/>
        </w:rPr>
      </w:pPr>
    </w:p>
    <w:p w14:paraId="7AFCB265" w14:textId="77777777" w:rsidR="00D54406" w:rsidRPr="00A71D8A" w:rsidRDefault="00D54406" w:rsidP="00D54406">
      <w:pPr>
        <w:jc w:val="both"/>
        <w:rPr>
          <w:rFonts w:eastAsia="Calibri" w:cs="Arial"/>
          <w:sz w:val="22"/>
          <w:szCs w:val="22"/>
        </w:rPr>
      </w:pPr>
      <w:r w:rsidRPr="00A71D8A">
        <w:rPr>
          <w:rFonts w:eastAsia="Calibri" w:cs="Arial"/>
          <w:color w:val="000000"/>
          <w:sz w:val="22"/>
          <w:szCs w:val="22"/>
        </w:rPr>
        <w:t xml:space="preserve">Se deberá conservar el documento físico, debiendo la entidad presentar el documento original cuando le sea requerido específicamente </w:t>
      </w:r>
      <w:r w:rsidR="00433252" w:rsidRPr="00A71D8A">
        <w:rPr>
          <w:rFonts w:eastAsia="Calibri" w:cs="Arial"/>
          <w:color w:val="000000"/>
          <w:sz w:val="22"/>
          <w:szCs w:val="22"/>
        </w:rPr>
        <w:t>por parte de este órgano de supervisión</w:t>
      </w:r>
      <w:r w:rsidRPr="00A71D8A">
        <w:rPr>
          <w:rFonts w:eastAsia="Calibri" w:cs="Arial"/>
          <w:color w:val="000000"/>
          <w:sz w:val="22"/>
          <w:szCs w:val="22"/>
        </w:rPr>
        <w:t>.</w:t>
      </w:r>
    </w:p>
    <w:p w14:paraId="4B54D343" w14:textId="77777777" w:rsidR="00DA1C8F" w:rsidRPr="00A71D8A" w:rsidRDefault="00DA1C8F" w:rsidP="00D54406">
      <w:pPr>
        <w:rPr>
          <w:rFonts w:eastAsia="Calibri" w:cs="Arial"/>
          <w:b/>
          <w:sz w:val="22"/>
          <w:szCs w:val="22"/>
        </w:rPr>
      </w:pPr>
    </w:p>
    <w:p w14:paraId="103993E0" w14:textId="77777777" w:rsidR="00D54406" w:rsidRPr="00A71D8A" w:rsidRDefault="00D54406" w:rsidP="00D54406">
      <w:pPr>
        <w:rPr>
          <w:rFonts w:eastAsia="Calibri" w:cs="Arial"/>
          <w:sz w:val="22"/>
          <w:szCs w:val="22"/>
        </w:rPr>
      </w:pPr>
      <w:r w:rsidRPr="00A71D8A">
        <w:rPr>
          <w:rFonts w:eastAsia="Calibri" w:cs="Arial"/>
          <w:b/>
          <w:sz w:val="22"/>
          <w:szCs w:val="22"/>
        </w:rPr>
        <w:t>Artículo 2.</w:t>
      </w:r>
      <w:r w:rsidR="007B1E87" w:rsidRPr="00A71D8A">
        <w:rPr>
          <w:rFonts w:eastAsia="Calibri" w:cs="Arial"/>
          <w:b/>
          <w:sz w:val="22"/>
          <w:szCs w:val="22"/>
        </w:rPr>
        <w:t>- Vigencia</w:t>
      </w:r>
    </w:p>
    <w:p w14:paraId="0BEAA662" w14:textId="77777777" w:rsidR="00433252" w:rsidRPr="00A71D8A" w:rsidRDefault="00433252" w:rsidP="00D54406">
      <w:pPr>
        <w:rPr>
          <w:rFonts w:eastAsia="Calibri" w:cs="Arial"/>
          <w:sz w:val="22"/>
          <w:szCs w:val="22"/>
        </w:rPr>
      </w:pPr>
    </w:p>
    <w:p w14:paraId="43FDC54F" w14:textId="77777777" w:rsidR="00D54406" w:rsidRPr="00A71D8A" w:rsidRDefault="00D54406" w:rsidP="00D54406">
      <w:pPr>
        <w:rPr>
          <w:rFonts w:eastAsia="Calibri" w:cs="Arial"/>
          <w:sz w:val="22"/>
          <w:szCs w:val="22"/>
        </w:rPr>
      </w:pPr>
      <w:r w:rsidRPr="00A71D8A">
        <w:rPr>
          <w:rFonts w:eastAsia="Calibri" w:cs="Arial"/>
          <w:sz w:val="22"/>
          <w:szCs w:val="22"/>
        </w:rPr>
        <w:t xml:space="preserve">Rige a partir del </w:t>
      </w:r>
      <w:r w:rsidR="00971A6A" w:rsidRPr="00A71D8A">
        <w:rPr>
          <w:rFonts w:eastAsia="Calibri" w:cs="Arial"/>
          <w:sz w:val="22"/>
          <w:szCs w:val="22"/>
        </w:rPr>
        <w:t>6</w:t>
      </w:r>
      <w:r w:rsidR="0074347F" w:rsidRPr="00A71D8A">
        <w:rPr>
          <w:rFonts w:eastAsia="Calibri" w:cs="Arial"/>
          <w:sz w:val="22"/>
          <w:szCs w:val="22"/>
        </w:rPr>
        <w:t xml:space="preserve"> </w:t>
      </w:r>
      <w:r w:rsidRPr="00A71D8A">
        <w:rPr>
          <w:rFonts w:eastAsia="Calibri" w:cs="Arial"/>
          <w:sz w:val="22"/>
          <w:szCs w:val="22"/>
        </w:rPr>
        <w:t xml:space="preserve">de </w:t>
      </w:r>
      <w:r w:rsidR="00433252" w:rsidRPr="00A71D8A">
        <w:rPr>
          <w:rFonts w:eastAsia="Calibri" w:cs="Arial"/>
          <w:sz w:val="22"/>
          <w:szCs w:val="22"/>
        </w:rPr>
        <w:t xml:space="preserve">noviembre </w:t>
      </w:r>
      <w:r w:rsidRPr="00A71D8A">
        <w:rPr>
          <w:rFonts w:eastAsia="Calibri" w:cs="Arial"/>
          <w:sz w:val="22"/>
          <w:szCs w:val="22"/>
        </w:rPr>
        <w:t>del 2020.</w:t>
      </w:r>
    </w:p>
    <w:p w14:paraId="79873B04" w14:textId="77777777" w:rsidR="00D54406" w:rsidRPr="00A71D8A" w:rsidRDefault="00D54406" w:rsidP="003833D5">
      <w:pPr>
        <w:pStyle w:val="CNV"/>
        <w:widowControl w:val="0"/>
        <w:tabs>
          <w:tab w:val="left" w:pos="8910"/>
        </w:tabs>
        <w:rPr>
          <w:rFonts w:ascii="Arial" w:hAnsi="Arial" w:cs="Arial"/>
          <w:sz w:val="22"/>
          <w:szCs w:val="22"/>
          <w:lang w:val="es-CR"/>
        </w:rPr>
      </w:pPr>
    </w:p>
    <w:p w14:paraId="53F0080E" w14:textId="77777777" w:rsidR="003833D5" w:rsidRPr="00A71D8A" w:rsidRDefault="00971A6A" w:rsidP="003833D5">
      <w:pPr>
        <w:jc w:val="both"/>
        <w:rPr>
          <w:rFonts w:cs="Arial"/>
          <w:iCs/>
          <w:sz w:val="22"/>
          <w:szCs w:val="22"/>
        </w:rPr>
      </w:pPr>
      <w:r w:rsidRPr="00A71D8A">
        <w:rPr>
          <w:rFonts w:eastAsia="Calibri" w:cs="Arial"/>
          <w:noProof/>
          <w:sz w:val="22"/>
          <w:szCs w:val="22"/>
        </w:rPr>
        <w:drawing>
          <wp:inline distT="0" distB="0" distL="0" distR="0" wp14:anchorId="56FC8F26" wp14:editId="320C8D1B">
            <wp:extent cx="2733675" cy="33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3A71E7D0" w14:textId="77777777" w:rsidR="003C5A63" w:rsidRPr="00A71D8A" w:rsidRDefault="003C5A63" w:rsidP="007D5A4E">
      <w:pPr>
        <w:jc w:val="both"/>
        <w:rPr>
          <w:rFonts w:cs="Arial"/>
          <w:iCs/>
          <w:sz w:val="22"/>
          <w:szCs w:val="22"/>
        </w:rPr>
      </w:pPr>
    </w:p>
    <w:p w14:paraId="3ED6F187" w14:textId="77777777" w:rsidR="003C5A63" w:rsidRPr="00A71D8A" w:rsidRDefault="003C5A63" w:rsidP="007D5A4E">
      <w:pPr>
        <w:jc w:val="both"/>
        <w:rPr>
          <w:rFonts w:cs="Arial"/>
          <w:iCs/>
          <w:sz w:val="22"/>
          <w:szCs w:val="22"/>
        </w:rPr>
      </w:pPr>
    </w:p>
    <w:sectPr w:rsidR="003C5A63" w:rsidRPr="00A71D8A" w:rsidSect="00696F86">
      <w:headerReference w:type="default" r:id="rId14"/>
      <w:footerReference w:type="default" r:id="rId15"/>
      <w:footerReference w:type="first" r:id="rId16"/>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1521E" w14:textId="77777777" w:rsidR="00054EA3" w:rsidRDefault="00054EA3" w:rsidP="00207AFC">
      <w:r>
        <w:separator/>
      </w:r>
    </w:p>
  </w:endnote>
  <w:endnote w:type="continuationSeparator" w:id="0">
    <w:p w14:paraId="0827ADED" w14:textId="77777777" w:rsidR="00054EA3" w:rsidRDefault="00054EA3" w:rsidP="002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882035"/>
      <w:docPartObj>
        <w:docPartGallery w:val="Page Numbers (Bottom of Page)"/>
        <w:docPartUnique/>
      </w:docPartObj>
    </w:sdtPr>
    <w:sdtEndPr>
      <w:rPr>
        <w:rFonts w:ascii="Arial" w:eastAsia="Times New Roman" w:hAnsi="Arial" w:cs="Arial"/>
        <w:b/>
        <w:bCs/>
        <w:noProof/>
        <w:color w:val="1B75BB"/>
        <w:szCs w:val="24"/>
        <w:lang w:val="en-US"/>
      </w:rPr>
    </w:sdtEndPr>
    <w:sdtContent>
      <w:p w14:paraId="2F78B001" w14:textId="66775CA2" w:rsidR="00696F86" w:rsidRPr="00696F86" w:rsidRDefault="00696F86">
        <w:pPr>
          <w:pStyle w:val="Piedepgina"/>
          <w:pBdr>
            <w:top w:val="single" w:sz="4" w:space="1" w:color="D9D9D9" w:themeColor="background1" w:themeShade="D9"/>
          </w:pBdr>
          <w:rPr>
            <w:rFonts w:ascii="Arial" w:eastAsia="Times New Roman" w:hAnsi="Arial" w:cs="Arial"/>
            <w:b/>
            <w:bCs/>
            <w:noProof/>
            <w:color w:val="1B75BB"/>
            <w:szCs w:val="24"/>
            <w:lang w:val="en-US"/>
          </w:rPr>
        </w:pPr>
        <w:r w:rsidRPr="00696F86">
          <w:rPr>
            <w:rFonts w:ascii="Arial" w:eastAsia="Times New Roman" w:hAnsi="Arial" w:cs="Arial"/>
            <w:b/>
            <w:bCs/>
            <w:noProof/>
            <w:color w:val="1B75BB"/>
            <w:szCs w:val="24"/>
            <w:lang w:val="en-US"/>
          </w:rPr>
          <w:fldChar w:fldCharType="begin"/>
        </w:r>
        <w:r w:rsidRPr="00696F86">
          <w:rPr>
            <w:rFonts w:ascii="Arial" w:eastAsia="Times New Roman" w:hAnsi="Arial" w:cs="Arial"/>
            <w:b/>
            <w:bCs/>
            <w:noProof/>
            <w:color w:val="1B75BB"/>
            <w:szCs w:val="24"/>
            <w:lang w:val="en-US"/>
          </w:rPr>
          <w:instrText>PAGE   \* MERGEFORMAT</w:instrText>
        </w:r>
        <w:r w:rsidRPr="00696F86">
          <w:rPr>
            <w:rFonts w:ascii="Arial" w:eastAsia="Times New Roman" w:hAnsi="Arial" w:cs="Arial"/>
            <w:b/>
            <w:bCs/>
            <w:noProof/>
            <w:color w:val="1B75BB"/>
            <w:szCs w:val="24"/>
            <w:lang w:val="en-US"/>
          </w:rPr>
          <w:fldChar w:fldCharType="separate"/>
        </w:r>
        <w:r w:rsidRPr="00696F86">
          <w:rPr>
            <w:rFonts w:ascii="Arial" w:eastAsia="Times New Roman" w:hAnsi="Arial" w:cs="Arial"/>
            <w:b/>
            <w:bCs/>
            <w:noProof/>
            <w:color w:val="1B75BB"/>
            <w:szCs w:val="24"/>
            <w:lang w:val="en-US"/>
          </w:rPr>
          <w:t>2</w:t>
        </w:r>
        <w:r w:rsidRPr="00696F86">
          <w:rPr>
            <w:rFonts w:ascii="Arial" w:eastAsia="Times New Roman" w:hAnsi="Arial" w:cs="Arial"/>
            <w:b/>
            <w:bCs/>
            <w:noProof/>
            <w:color w:val="1B75BB"/>
            <w:szCs w:val="24"/>
            <w:lang w:val="en-US"/>
          </w:rPr>
          <w:fldChar w:fldCharType="end"/>
        </w:r>
        <w:r w:rsidRPr="00696F86">
          <w:rPr>
            <w:rFonts w:ascii="Arial" w:eastAsia="Times New Roman" w:hAnsi="Arial" w:cs="Arial"/>
            <w:b/>
            <w:bCs/>
            <w:noProof/>
            <w:color w:val="1B75BB"/>
            <w:szCs w:val="24"/>
            <w:lang w:val="en-US"/>
          </w:rPr>
          <w:t xml:space="preserve"> | </w:t>
        </w:r>
      </w:p>
    </w:sdtContent>
  </w:sdt>
  <w:p w14:paraId="0EF9B81B" w14:textId="77777777" w:rsidR="00241B69" w:rsidRDefault="00241B69" w:rsidP="00207AFC">
    <w:pPr>
      <w:pStyle w:val="Piedepgina"/>
      <w:tabs>
        <w:tab w:val="right" w:pos="9498"/>
      </w:tabs>
      <w:ind w:left="-993" w:right="-999"/>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431007"/>
      <w:docPartObj>
        <w:docPartGallery w:val="Page Numbers (Bottom of Page)"/>
        <w:docPartUnique/>
      </w:docPartObj>
    </w:sdtPr>
    <w:sdtEndPr>
      <w:rPr>
        <w:rFonts w:ascii="Arial" w:eastAsia="Times New Roman" w:hAnsi="Arial" w:cs="Arial"/>
        <w:b/>
        <w:bCs/>
        <w:noProof/>
        <w:color w:val="1B75BB"/>
        <w:szCs w:val="24"/>
        <w:lang w:val="en-US"/>
      </w:rPr>
    </w:sdtEndPr>
    <w:sdtContent>
      <w:p w14:paraId="2CB0A246" w14:textId="4B993E13" w:rsidR="00A71D8A" w:rsidRPr="00A71D8A" w:rsidRDefault="00A71D8A">
        <w:pPr>
          <w:pStyle w:val="Piedepgina"/>
          <w:pBdr>
            <w:top w:val="single" w:sz="4" w:space="1" w:color="D9D9D9" w:themeColor="background1" w:themeShade="D9"/>
          </w:pBdr>
          <w:rPr>
            <w:rFonts w:ascii="Arial" w:eastAsia="Times New Roman" w:hAnsi="Arial" w:cs="Arial"/>
            <w:b/>
            <w:bCs/>
            <w:noProof/>
            <w:color w:val="1B75BB"/>
            <w:szCs w:val="24"/>
            <w:lang w:val="en-US"/>
          </w:rPr>
        </w:pPr>
        <w:r w:rsidRPr="00A71D8A">
          <w:rPr>
            <w:rFonts w:ascii="Arial" w:eastAsia="Times New Roman" w:hAnsi="Arial" w:cs="Arial"/>
            <w:b/>
            <w:bCs/>
            <w:noProof/>
            <w:color w:val="1B75BB"/>
            <w:szCs w:val="24"/>
            <w:lang w:val="en-US"/>
          </w:rPr>
          <w:fldChar w:fldCharType="begin"/>
        </w:r>
        <w:r w:rsidRPr="00A71D8A">
          <w:rPr>
            <w:rFonts w:ascii="Arial" w:eastAsia="Times New Roman" w:hAnsi="Arial" w:cs="Arial"/>
            <w:b/>
            <w:bCs/>
            <w:noProof/>
            <w:color w:val="1B75BB"/>
            <w:szCs w:val="24"/>
            <w:lang w:val="en-US"/>
          </w:rPr>
          <w:instrText>PAGE   \* MERGEFORMAT</w:instrText>
        </w:r>
        <w:r w:rsidRPr="00A71D8A">
          <w:rPr>
            <w:rFonts w:ascii="Arial" w:eastAsia="Times New Roman" w:hAnsi="Arial" w:cs="Arial"/>
            <w:b/>
            <w:bCs/>
            <w:noProof/>
            <w:color w:val="1B75BB"/>
            <w:szCs w:val="24"/>
            <w:lang w:val="en-US"/>
          </w:rPr>
          <w:fldChar w:fldCharType="separate"/>
        </w:r>
        <w:r w:rsidRPr="00A71D8A">
          <w:rPr>
            <w:rFonts w:ascii="Arial" w:eastAsia="Times New Roman" w:hAnsi="Arial" w:cs="Arial"/>
            <w:b/>
            <w:bCs/>
            <w:noProof/>
            <w:color w:val="1B75BB"/>
            <w:szCs w:val="24"/>
            <w:lang w:val="en-US"/>
          </w:rPr>
          <w:t>2</w:t>
        </w:r>
        <w:r w:rsidRPr="00A71D8A">
          <w:rPr>
            <w:rFonts w:ascii="Arial" w:eastAsia="Times New Roman" w:hAnsi="Arial" w:cs="Arial"/>
            <w:b/>
            <w:bCs/>
            <w:noProof/>
            <w:color w:val="1B75BB"/>
            <w:szCs w:val="24"/>
            <w:lang w:val="en-US"/>
          </w:rPr>
          <w:fldChar w:fldCharType="end"/>
        </w:r>
        <w:r w:rsidRPr="00A71D8A">
          <w:rPr>
            <w:rFonts w:ascii="Arial" w:eastAsia="Times New Roman" w:hAnsi="Arial" w:cs="Arial"/>
            <w:b/>
            <w:bCs/>
            <w:noProof/>
            <w:color w:val="1B75BB"/>
            <w:szCs w:val="24"/>
            <w:lang w:val="en-US"/>
          </w:rPr>
          <w:t xml:space="preserve"> | </w:t>
        </w:r>
      </w:p>
    </w:sdtContent>
  </w:sdt>
  <w:p w14:paraId="56510DB1" w14:textId="77777777" w:rsidR="007D5A4E" w:rsidRPr="00971A6A" w:rsidRDefault="007D5A4E">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D2F6" w14:textId="77777777" w:rsidR="00054EA3" w:rsidRDefault="00054EA3" w:rsidP="00207AFC">
      <w:r>
        <w:separator/>
      </w:r>
    </w:p>
  </w:footnote>
  <w:footnote w:type="continuationSeparator" w:id="0">
    <w:p w14:paraId="3DA5AEEE" w14:textId="77777777" w:rsidR="00054EA3" w:rsidRDefault="00054EA3" w:rsidP="00207AFC">
      <w:r>
        <w:continuationSeparator/>
      </w:r>
    </w:p>
  </w:footnote>
  <w:footnote w:id="1">
    <w:p w14:paraId="469BE9E9" w14:textId="77777777" w:rsidR="00A71D8A" w:rsidRPr="00EB7E38" w:rsidRDefault="00A71D8A" w:rsidP="00A71D8A">
      <w:pPr>
        <w:keepNext/>
        <w:jc w:val="both"/>
        <w:outlineLvl w:val="1"/>
        <w:rPr>
          <w:rFonts w:cs="Arial"/>
          <w:sz w:val="22"/>
          <w:szCs w:val="22"/>
        </w:rPr>
      </w:pPr>
      <w:r>
        <w:rPr>
          <w:rStyle w:val="Refdenotaalpie"/>
        </w:rPr>
        <w:footnoteRef/>
      </w:r>
      <w:r>
        <w:t xml:space="preserve"> </w:t>
      </w:r>
      <w:r w:rsidRPr="00EB7E38">
        <w:rPr>
          <w:rFonts w:cs="Arial"/>
          <w:sz w:val="22"/>
          <w:szCs w:val="22"/>
        </w:rPr>
        <w:t>Superintendencia Ge</w:t>
      </w:r>
      <w:r>
        <w:rPr>
          <w:rFonts w:cs="Arial"/>
          <w:sz w:val="22"/>
          <w:szCs w:val="22"/>
        </w:rPr>
        <w:t xml:space="preserve">neral de Valores. Despacho de la </w:t>
      </w:r>
      <w:r w:rsidRPr="00EB7E38">
        <w:rPr>
          <w:rFonts w:cs="Arial"/>
          <w:sz w:val="22"/>
          <w:szCs w:val="22"/>
        </w:rPr>
        <w:t xml:space="preserve">Superintendente. A las </w:t>
      </w:r>
      <w:r>
        <w:rPr>
          <w:rFonts w:cs="Arial"/>
          <w:sz w:val="22"/>
          <w:szCs w:val="22"/>
        </w:rPr>
        <w:t xml:space="preserve">diecisiete </w:t>
      </w:r>
      <w:r w:rsidRPr="00EB7E38">
        <w:rPr>
          <w:rFonts w:cs="Arial"/>
          <w:sz w:val="22"/>
          <w:szCs w:val="22"/>
        </w:rPr>
        <w:t xml:space="preserve">horas del </w:t>
      </w:r>
      <w:r>
        <w:rPr>
          <w:rFonts w:cs="Arial"/>
          <w:sz w:val="22"/>
          <w:szCs w:val="22"/>
        </w:rPr>
        <w:t xml:space="preserve">seis </w:t>
      </w:r>
      <w:r w:rsidRPr="00EB7E38">
        <w:rPr>
          <w:rFonts w:cs="Arial"/>
          <w:sz w:val="22"/>
          <w:szCs w:val="22"/>
        </w:rPr>
        <w:t xml:space="preserve">de </w:t>
      </w:r>
      <w:r>
        <w:rPr>
          <w:rFonts w:cs="Arial"/>
          <w:sz w:val="22"/>
          <w:szCs w:val="22"/>
        </w:rPr>
        <w:t>noviembre de dos mil veinte</w:t>
      </w:r>
      <w:r w:rsidRPr="00EB7E38">
        <w:rPr>
          <w:rFonts w:cs="Arial"/>
          <w:sz w:val="22"/>
          <w:szCs w:val="22"/>
        </w:rPr>
        <w:t>.</w:t>
      </w:r>
    </w:p>
    <w:p w14:paraId="1F3B3884" w14:textId="66696656" w:rsidR="00A71D8A" w:rsidRDefault="00A71D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2B4C" w14:textId="0B418AC8" w:rsidR="00696F86" w:rsidRDefault="00696F86" w:rsidP="00696F86">
    <w:pPr>
      <w:pStyle w:val="Encabezado"/>
      <w:jc w:val="right"/>
      <w:rPr>
        <w:rFonts w:ascii="Calibri" w:hAnsi="Calibri" w:cs="Arial"/>
        <w:i/>
        <w:noProof/>
        <w:sz w:val="20"/>
        <w:szCs w:val="20"/>
        <w:lang w:eastAsia="es-CR"/>
      </w:rPr>
    </w:pPr>
    <w:r w:rsidRPr="00E47B91">
      <w:rPr>
        <w:rFonts w:ascii="Calibri" w:hAnsi="Calibri" w:cs="Arial"/>
        <w:i/>
        <w:noProof/>
        <w:sz w:val="20"/>
        <w:szCs w:val="20"/>
        <w:lang w:eastAsia="es-CR"/>
      </w:rPr>
      <w:drawing>
        <wp:inline distT="0" distB="0" distL="0" distR="0" wp14:anchorId="18C60B02" wp14:editId="73152599">
          <wp:extent cx="1581150" cy="393700"/>
          <wp:effectExtent l="0" t="0" r="0" b="635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3700"/>
                  </a:xfrm>
                  <a:prstGeom prst="rect">
                    <a:avLst/>
                  </a:prstGeom>
                  <a:noFill/>
                  <a:ln>
                    <a:noFill/>
                  </a:ln>
                </pic:spPr>
              </pic:pic>
            </a:graphicData>
          </a:graphic>
        </wp:inline>
      </w:drawing>
    </w:r>
  </w:p>
  <w:p w14:paraId="0172F507" w14:textId="6C75D9AB" w:rsidR="00696F86" w:rsidRDefault="00696F86" w:rsidP="00696F86">
    <w:pPr>
      <w:pStyle w:val="Encabezado"/>
    </w:pPr>
    <w:r>
      <w:rPr>
        <w:noProof/>
      </w:rPr>
      <mc:AlternateContent>
        <mc:Choice Requires="wps">
          <w:drawing>
            <wp:anchor distT="4294967292" distB="4294967292" distL="114300" distR="114300" simplePos="0" relativeHeight="251659264" behindDoc="0" locked="0" layoutInCell="1" allowOverlap="1" wp14:anchorId="48CC162D" wp14:editId="547AAA61">
              <wp:simplePos x="0" y="0"/>
              <wp:positionH relativeFrom="margin">
                <wp:align>right</wp:align>
              </wp:positionH>
              <wp:positionV relativeFrom="paragraph">
                <wp:posOffset>38100</wp:posOffset>
              </wp:positionV>
              <wp:extent cx="5467350" cy="1905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0" cy="190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7533" id="Conector recto 3" o:spid="_x0000_s1026" style="position:absolute;flip:y;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79.3pt,3pt" to="80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" strokecolor="#1b75bb"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A0C"/>
    <w:multiLevelType w:val="hybridMultilevel"/>
    <w:tmpl w:val="6C4AF00C"/>
    <w:lvl w:ilvl="0" w:tplc="819CD3D2">
      <w:start w:val="1"/>
      <w:numFmt w:val="decimal"/>
      <w:pStyle w:val="Numeracin"/>
      <w:lvlText w:val="%1."/>
      <w:lvlJc w:val="left"/>
      <w:pPr>
        <w:ind w:left="928" w:hanging="360"/>
      </w:pPr>
      <w:rPr>
        <w:b w:val="0"/>
        <w:lang w:val="es-CR"/>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FC"/>
    <w:rsid w:val="00004B51"/>
    <w:rsid w:val="00005DD0"/>
    <w:rsid w:val="0000654B"/>
    <w:rsid w:val="00007813"/>
    <w:rsid w:val="00047D76"/>
    <w:rsid w:val="0005371C"/>
    <w:rsid w:val="00054EA3"/>
    <w:rsid w:val="000821F9"/>
    <w:rsid w:val="0008780A"/>
    <w:rsid w:val="00090F31"/>
    <w:rsid w:val="000949B2"/>
    <w:rsid w:val="000C4E30"/>
    <w:rsid w:val="000F4E61"/>
    <w:rsid w:val="00100FAE"/>
    <w:rsid w:val="00104010"/>
    <w:rsid w:val="00110341"/>
    <w:rsid w:val="0017059B"/>
    <w:rsid w:val="00184021"/>
    <w:rsid w:val="00192A81"/>
    <w:rsid w:val="00197B17"/>
    <w:rsid w:val="001A7C59"/>
    <w:rsid w:val="001D62CE"/>
    <w:rsid w:val="001E0B3E"/>
    <w:rsid w:val="001E1F24"/>
    <w:rsid w:val="001E2E39"/>
    <w:rsid w:val="00207AFC"/>
    <w:rsid w:val="0021173A"/>
    <w:rsid w:val="00217AF6"/>
    <w:rsid w:val="00241B69"/>
    <w:rsid w:val="002505DA"/>
    <w:rsid w:val="00254B92"/>
    <w:rsid w:val="00276E91"/>
    <w:rsid w:val="002A586B"/>
    <w:rsid w:val="002A740B"/>
    <w:rsid w:val="002B3959"/>
    <w:rsid w:val="003039ED"/>
    <w:rsid w:val="00350FB1"/>
    <w:rsid w:val="00361ADE"/>
    <w:rsid w:val="00364301"/>
    <w:rsid w:val="00375816"/>
    <w:rsid w:val="00383394"/>
    <w:rsid w:val="003833D5"/>
    <w:rsid w:val="003B69EA"/>
    <w:rsid w:val="003C5A63"/>
    <w:rsid w:val="00423255"/>
    <w:rsid w:val="00430DA2"/>
    <w:rsid w:val="00433252"/>
    <w:rsid w:val="0045244E"/>
    <w:rsid w:val="004715AD"/>
    <w:rsid w:val="00471DF0"/>
    <w:rsid w:val="004741B2"/>
    <w:rsid w:val="00477B30"/>
    <w:rsid w:val="00481020"/>
    <w:rsid w:val="004810C0"/>
    <w:rsid w:val="00482689"/>
    <w:rsid w:val="004A0517"/>
    <w:rsid w:val="004A5B60"/>
    <w:rsid w:val="004A7097"/>
    <w:rsid w:val="004B5A93"/>
    <w:rsid w:val="004B6A84"/>
    <w:rsid w:val="004E29DB"/>
    <w:rsid w:val="004F0283"/>
    <w:rsid w:val="005620F5"/>
    <w:rsid w:val="00565492"/>
    <w:rsid w:val="00621817"/>
    <w:rsid w:val="0063135E"/>
    <w:rsid w:val="00642BBF"/>
    <w:rsid w:val="00642CB4"/>
    <w:rsid w:val="00644D4B"/>
    <w:rsid w:val="006959DB"/>
    <w:rsid w:val="00696F86"/>
    <w:rsid w:val="006B561B"/>
    <w:rsid w:val="006C5EA0"/>
    <w:rsid w:val="006D6171"/>
    <w:rsid w:val="00716470"/>
    <w:rsid w:val="00724E93"/>
    <w:rsid w:val="0074347F"/>
    <w:rsid w:val="00756FA2"/>
    <w:rsid w:val="0076110E"/>
    <w:rsid w:val="007902D3"/>
    <w:rsid w:val="007914F4"/>
    <w:rsid w:val="00794028"/>
    <w:rsid w:val="007A6225"/>
    <w:rsid w:val="007B1E87"/>
    <w:rsid w:val="007D5A4E"/>
    <w:rsid w:val="008126CB"/>
    <w:rsid w:val="008613B8"/>
    <w:rsid w:val="00863C01"/>
    <w:rsid w:val="008859A6"/>
    <w:rsid w:val="008959BC"/>
    <w:rsid w:val="008A3030"/>
    <w:rsid w:val="008D6A64"/>
    <w:rsid w:val="008E6F14"/>
    <w:rsid w:val="009113C1"/>
    <w:rsid w:val="00956C46"/>
    <w:rsid w:val="00964764"/>
    <w:rsid w:val="00971A6A"/>
    <w:rsid w:val="00994FEE"/>
    <w:rsid w:val="009B0F0E"/>
    <w:rsid w:val="009C37FF"/>
    <w:rsid w:val="009D47C0"/>
    <w:rsid w:val="009F134B"/>
    <w:rsid w:val="00A12938"/>
    <w:rsid w:val="00A17A57"/>
    <w:rsid w:val="00A545C6"/>
    <w:rsid w:val="00A700D8"/>
    <w:rsid w:val="00A71D8A"/>
    <w:rsid w:val="00A7524B"/>
    <w:rsid w:val="00AD2523"/>
    <w:rsid w:val="00AF7CF4"/>
    <w:rsid w:val="00B03177"/>
    <w:rsid w:val="00B10276"/>
    <w:rsid w:val="00B2044C"/>
    <w:rsid w:val="00B328D5"/>
    <w:rsid w:val="00B40F9F"/>
    <w:rsid w:val="00B5267A"/>
    <w:rsid w:val="00B65624"/>
    <w:rsid w:val="00B74757"/>
    <w:rsid w:val="00B938C8"/>
    <w:rsid w:val="00B97F72"/>
    <w:rsid w:val="00BD35A5"/>
    <w:rsid w:val="00BD5254"/>
    <w:rsid w:val="00C03BFE"/>
    <w:rsid w:val="00C0404A"/>
    <w:rsid w:val="00C2043D"/>
    <w:rsid w:val="00C26663"/>
    <w:rsid w:val="00C469D7"/>
    <w:rsid w:val="00C5626B"/>
    <w:rsid w:val="00C822D0"/>
    <w:rsid w:val="00C8402E"/>
    <w:rsid w:val="00C968A1"/>
    <w:rsid w:val="00CA3445"/>
    <w:rsid w:val="00CD3178"/>
    <w:rsid w:val="00CF6020"/>
    <w:rsid w:val="00CF73A1"/>
    <w:rsid w:val="00D30386"/>
    <w:rsid w:val="00D54406"/>
    <w:rsid w:val="00D72D47"/>
    <w:rsid w:val="00D91919"/>
    <w:rsid w:val="00DA1C8F"/>
    <w:rsid w:val="00DB42B2"/>
    <w:rsid w:val="00DC5365"/>
    <w:rsid w:val="00DD1BBD"/>
    <w:rsid w:val="00DE0178"/>
    <w:rsid w:val="00DF0847"/>
    <w:rsid w:val="00DF6F95"/>
    <w:rsid w:val="00E05526"/>
    <w:rsid w:val="00E07105"/>
    <w:rsid w:val="00E16C5C"/>
    <w:rsid w:val="00E2768F"/>
    <w:rsid w:val="00E33383"/>
    <w:rsid w:val="00E577B2"/>
    <w:rsid w:val="00E7279B"/>
    <w:rsid w:val="00E85992"/>
    <w:rsid w:val="00E96374"/>
    <w:rsid w:val="00E97E12"/>
    <w:rsid w:val="00EA5496"/>
    <w:rsid w:val="00EB4551"/>
    <w:rsid w:val="00EE0B15"/>
    <w:rsid w:val="00EF7E74"/>
    <w:rsid w:val="00F52578"/>
    <w:rsid w:val="00F5270E"/>
    <w:rsid w:val="00F55931"/>
    <w:rsid w:val="00F600B2"/>
    <w:rsid w:val="00F91C07"/>
    <w:rsid w:val="00F94A05"/>
    <w:rsid w:val="00F94DD5"/>
    <w:rsid w:val="00F96E18"/>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4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FC"/>
    <w:pPr>
      <w:spacing w:after="0" w:line="240" w:lineRule="auto"/>
    </w:pPr>
    <w:rPr>
      <w:rFonts w:ascii="Arial" w:eastAsia="Times New Roman" w:hAnsi="Arial" w:cs="Times New Roman"/>
      <w:sz w:val="24"/>
      <w:szCs w:val="20"/>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07AFC"/>
    <w:rPr>
      <w:lang w:val="es-CR"/>
    </w:rPr>
  </w:style>
  <w:style w:type="paragraph" w:styleId="Piedepgina">
    <w:name w:val="footer"/>
    <w:basedOn w:val="Normal"/>
    <w:link w:val="PiedepginaC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07AFC"/>
    <w:rPr>
      <w:lang w:val="es-CR"/>
    </w:rPr>
  </w:style>
  <w:style w:type="character" w:styleId="Hipervnculo">
    <w:name w:val="Hyperlink"/>
    <w:basedOn w:val="Fuentedeprrafopredeter"/>
    <w:uiPriority w:val="99"/>
    <w:unhideWhenUsed/>
    <w:rsid w:val="00207AFC"/>
    <w:rPr>
      <w:color w:val="0000FF" w:themeColor="hyperlink"/>
      <w:u w:val="single"/>
    </w:rPr>
  </w:style>
  <w:style w:type="table" w:styleId="Tablaconcuadrcula">
    <w:name w:val="Table Grid"/>
    <w:basedOn w:val="Tablanormal"/>
    <w:uiPriority w:val="59"/>
    <w:rsid w:val="00207AFC"/>
    <w:pPr>
      <w:spacing w:after="0" w:line="240" w:lineRule="auto"/>
    </w:pPr>
    <w:rPr>
      <w:rFonts w:ascii="Calibri" w:eastAsia="Calibri" w:hAnsi="Calibri" w:cs="Times New Roman"/>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07AFC"/>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AFC"/>
    <w:rPr>
      <w:rFonts w:ascii="Tahoma" w:eastAsia="Times New Roman" w:hAnsi="Tahoma" w:cs="Tahoma"/>
      <w:sz w:val="16"/>
      <w:szCs w:val="16"/>
      <w:lang w:val="es-CR" w:eastAsia="es-CR"/>
    </w:rPr>
  </w:style>
  <w:style w:type="character" w:styleId="Textoennegrita">
    <w:name w:val="Strong"/>
    <w:basedOn w:val="Fuentedeprrafopredeter"/>
    <w:uiPriority w:val="22"/>
    <w:qFormat/>
    <w:rsid w:val="00DC5365"/>
    <w:rPr>
      <w:b/>
      <w:bCs/>
    </w:rPr>
  </w:style>
  <w:style w:type="paragraph" w:customStyle="1" w:styleId="CNV">
    <w:name w:val="CNV"/>
    <w:basedOn w:val="Normal"/>
    <w:rsid w:val="003833D5"/>
    <w:pPr>
      <w:jc w:val="both"/>
    </w:pPr>
    <w:rPr>
      <w:rFonts w:ascii="Times New Roman" w:hAnsi="Times New Roman"/>
      <w:lang w:val="es-ES_tradnl" w:eastAsia="en-US"/>
    </w:rPr>
  </w:style>
  <w:style w:type="character" w:styleId="Mencinsinresolver">
    <w:name w:val="Unresolved Mention"/>
    <w:basedOn w:val="Fuentedeprrafopredeter"/>
    <w:uiPriority w:val="99"/>
    <w:semiHidden/>
    <w:unhideWhenUsed/>
    <w:rsid w:val="00DA1C8F"/>
    <w:rPr>
      <w:color w:val="605E5C"/>
      <w:shd w:val="clear" w:color="auto" w:fill="E1DFDD"/>
    </w:rPr>
  </w:style>
  <w:style w:type="paragraph" w:customStyle="1" w:styleId="Numeracin">
    <w:name w:val="Numeración"/>
    <w:basedOn w:val="Normal"/>
    <w:link w:val="NumeracinChar"/>
    <w:qFormat/>
    <w:rsid w:val="007B1E87"/>
    <w:pPr>
      <w:numPr>
        <w:numId w:val="1"/>
      </w:numPr>
      <w:spacing w:before="120"/>
      <w:jc w:val="both"/>
    </w:pPr>
    <w:rPr>
      <w:rFonts w:ascii="Times New Roman" w:hAnsi="Times New Roman"/>
      <w:sz w:val="22"/>
      <w:szCs w:val="24"/>
      <w:lang w:val="es-ES" w:eastAsia="es-ES"/>
    </w:rPr>
  </w:style>
  <w:style w:type="character" w:customStyle="1" w:styleId="NumeracinChar">
    <w:name w:val="Numeración Char"/>
    <w:link w:val="Numeracin"/>
    <w:rsid w:val="007B1E87"/>
    <w:rPr>
      <w:rFonts w:ascii="Times New Roman" w:eastAsia="Times New Roman" w:hAnsi="Times New Roman" w:cs="Times New Roman"/>
      <w:szCs w:val="24"/>
      <w:lang w:val="es-ES" w:eastAsia="es-ES"/>
    </w:rPr>
  </w:style>
  <w:style w:type="paragraph" w:styleId="Textonotapie">
    <w:name w:val="footnote text"/>
    <w:basedOn w:val="Normal"/>
    <w:link w:val="TextonotapieCar"/>
    <w:uiPriority w:val="99"/>
    <w:semiHidden/>
    <w:unhideWhenUsed/>
    <w:rsid w:val="00A71D8A"/>
    <w:rPr>
      <w:sz w:val="20"/>
    </w:rPr>
  </w:style>
  <w:style w:type="character" w:customStyle="1" w:styleId="TextonotapieCar">
    <w:name w:val="Texto nota pie Car"/>
    <w:basedOn w:val="Fuentedeprrafopredeter"/>
    <w:link w:val="Textonotapie"/>
    <w:uiPriority w:val="99"/>
    <w:semiHidden/>
    <w:rsid w:val="00A71D8A"/>
    <w:rPr>
      <w:rFonts w:ascii="Arial" w:eastAsia="Times New Roman" w:hAnsi="Arial" w:cs="Times New Roman"/>
      <w:sz w:val="20"/>
      <w:szCs w:val="20"/>
      <w:lang w:val="es-CR" w:eastAsia="es-CR"/>
    </w:rPr>
  </w:style>
  <w:style w:type="character" w:styleId="Refdenotaalpie">
    <w:name w:val="footnote reference"/>
    <w:basedOn w:val="Fuentedeprrafopredeter"/>
    <w:uiPriority w:val="99"/>
    <w:semiHidden/>
    <w:unhideWhenUsed/>
    <w:rsid w:val="00A71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4942">
      <w:bodyDiv w:val="1"/>
      <w:marLeft w:val="0"/>
      <w:marRight w:val="0"/>
      <w:marTop w:val="0"/>
      <w:marBottom w:val="0"/>
      <w:divBdr>
        <w:top w:val="none" w:sz="0" w:space="0" w:color="auto"/>
        <w:left w:val="none" w:sz="0" w:space="0" w:color="auto"/>
        <w:bottom w:val="none" w:sz="0" w:space="0" w:color="auto"/>
        <w:right w:val="none" w:sz="0" w:space="0" w:color="auto"/>
      </w:divBdr>
    </w:div>
    <w:div w:id="384334152">
      <w:bodyDiv w:val="1"/>
      <w:marLeft w:val="0"/>
      <w:marRight w:val="0"/>
      <w:marTop w:val="0"/>
      <w:marBottom w:val="0"/>
      <w:divBdr>
        <w:top w:val="none" w:sz="0" w:space="0" w:color="auto"/>
        <w:left w:val="none" w:sz="0" w:space="0" w:color="auto"/>
        <w:bottom w:val="none" w:sz="0" w:space="0" w:color="auto"/>
        <w:right w:val="none" w:sz="0" w:space="0" w:color="auto"/>
      </w:divBdr>
    </w:div>
    <w:div w:id="587806303">
      <w:bodyDiv w:val="1"/>
      <w:marLeft w:val="0"/>
      <w:marRight w:val="0"/>
      <w:marTop w:val="0"/>
      <w:marBottom w:val="0"/>
      <w:divBdr>
        <w:top w:val="none" w:sz="0" w:space="0" w:color="auto"/>
        <w:left w:val="none" w:sz="0" w:space="0" w:color="auto"/>
        <w:bottom w:val="none" w:sz="0" w:space="0" w:color="auto"/>
        <w:right w:val="none" w:sz="0" w:space="0" w:color="auto"/>
      </w:divBdr>
    </w:div>
    <w:div w:id="698119353">
      <w:bodyDiv w:val="1"/>
      <w:marLeft w:val="0"/>
      <w:marRight w:val="0"/>
      <w:marTop w:val="0"/>
      <w:marBottom w:val="0"/>
      <w:divBdr>
        <w:top w:val="none" w:sz="0" w:space="0" w:color="auto"/>
        <w:left w:val="none" w:sz="0" w:space="0" w:color="auto"/>
        <w:bottom w:val="none" w:sz="0" w:space="0" w:color="auto"/>
        <w:right w:val="none" w:sz="0" w:space="0" w:color="auto"/>
      </w:divBdr>
    </w:div>
    <w:div w:id="1238133675">
      <w:bodyDiv w:val="1"/>
      <w:marLeft w:val="0"/>
      <w:marRight w:val="0"/>
      <w:marTop w:val="0"/>
      <w:marBottom w:val="0"/>
      <w:divBdr>
        <w:top w:val="none" w:sz="0" w:space="0" w:color="auto"/>
        <w:left w:val="none" w:sz="0" w:space="0" w:color="auto"/>
        <w:bottom w:val="none" w:sz="0" w:space="0" w:color="auto"/>
        <w:right w:val="none" w:sz="0" w:space="0" w:color="auto"/>
      </w:divBdr>
    </w:div>
    <w:div w:id="1438795460">
      <w:bodyDiv w:val="1"/>
      <w:marLeft w:val="0"/>
      <w:marRight w:val="0"/>
      <w:marTop w:val="0"/>
      <w:marBottom w:val="0"/>
      <w:divBdr>
        <w:top w:val="none" w:sz="0" w:space="0" w:color="auto"/>
        <w:left w:val="none" w:sz="0" w:space="0" w:color="auto"/>
        <w:bottom w:val="none" w:sz="0" w:space="0" w:color="auto"/>
        <w:right w:val="none" w:sz="0" w:space="0" w:color="auto"/>
      </w:divBdr>
    </w:div>
    <w:div w:id="1479834750">
      <w:bodyDiv w:val="1"/>
      <w:marLeft w:val="0"/>
      <w:marRight w:val="0"/>
      <w:marTop w:val="0"/>
      <w:marBottom w:val="0"/>
      <w:divBdr>
        <w:top w:val="none" w:sz="0" w:space="0" w:color="auto"/>
        <w:left w:val="none" w:sz="0" w:space="0" w:color="auto"/>
        <w:bottom w:val="none" w:sz="0" w:space="0" w:color="auto"/>
        <w:right w:val="none" w:sz="0" w:space="0" w:color="auto"/>
      </w:divBdr>
    </w:div>
    <w:div w:id="1503355005">
      <w:bodyDiv w:val="1"/>
      <w:marLeft w:val="0"/>
      <w:marRight w:val="0"/>
      <w:marTop w:val="0"/>
      <w:marBottom w:val="0"/>
      <w:divBdr>
        <w:top w:val="none" w:sz="0" w:space="0" w:color="auto"/>
        <w:left w:val="none" w:sz="0" w:space="0" w:color="auto"/>
        <w:bottom w:val="none" w:sz="0" w:space="0" w:color="auto"/>
        <w:right w:val="none" w:sz="0" w:space="0" w:color="auto"/>
      </w:divBdr>
    </w:div>
    <w:div w:id="1756168521">
      <w:bodyDiv w:val="1"/>
      <w:marLeft w:val="0"/>
      <w:marRight w:val="0"/>
      <w:marTop w:val="0"/>
      <w:marBottom w:val="0"/>
      <w:divBdr>
        <w:top w:val="none" w:sz="0" w:space="0" w:color="auto"/>
        <w:left w:val="none" w:sz="0" w:space="0" w:color="auto"/>
        <w:bottom w:val="none" w:sz="0" w:space="0" w:color="auto"/>
        <w:right w:val="none" w:sz="0" w:space="0" w:color="auto"/>
      </w:divBdr>
    </w:div>
    <w:div w:id="2128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ntanillaoficial@sugeval.fi.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ntanillaoficial@sugeval.fi.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95C44-AF90-4393-9FD4-9E9926F53DF1}"/>
</file>

<file path=customXml/itemProps2.xml><?xml version="1.0" encoding="utf-8"?>
<ds:datastoreItem xmlns:ds="http://schemas.openxmlformats.org/officeDocument/2006/customXml" ds:itemID="{2209FAA6-EDA1-4D6C-ABF4-8C506988C605}"/>
</file>

<file path=customXml/itemProps3.xml><?xml version="1.0" encoding="utf-8"?>
<ds:datastoreItem xmlns:ds="http://schemas.openxmlformats.org/officeDocument/2006/customXml" ds:itemID="{2BB94EA8-31E4-4168-8909-72753EB99119}"/>
</file>

<file path=customXml/itemProps4.xml><?xml version="1.0" encoding="utf-8"?>
<ds:datastoreItem xmlns:ds="http://schemas.openxmlformats.org/officeDocument/2006/customXml" ds:itemID="{A93D6716-6A9E-468C-BC40-7CADC0F69C3F}"/>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6696</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2020-11-09T19:22:00Z</dcterms:created>
  <dcterms:modified xsi:type="dcterms:W3CDTF">2020-11-09T19:22:00Z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