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7970A" w14:textId="77777777" w:rsidR="006371CE" w:rsidRPr="00E2590A" w:rsidRDefault="006371CE" w:rsidP="006371CE">
      <w:pPr>
        <w:spacing w:after="0" w:line="240" w:lineRule="auto"/>
        <w:ind w:right="-193"/>
        <w:jc w:val="both"/>
        <w:rPr>
          <w:rFonts w:eastAsia="Times New Roman" w:cs="Arial"/>
          <w:b/>
          <w:lang w:eastAsia="es-ES"/>
        </w:rPr>
      </w:pPr>
      <w:r w:rsidRPr="00E2590A">
        <w:rPr>
          <w:rFonts w:eastAsia="Times New Roman" w:cs="Arial"/>
          <w:b/>
          <w:bCs/>
          <w:iCs/>
          <w:noProof/>
          <w:lang w:val="es-ES_tradnl" w:eastAsia="es-ES"/>
        </w:rPr>
        <w:t>SGV-A-</w:t>
      </w:r>
      <w:r w:rsidR="002B61C9">
        <w:rPr>
          <w:rFonts w:eastAsia="Times New Roman" w:cs="Arial"/>
          <w:b/>
          <w:bCs/>
          <w:iCs/>
          <w:noProof/>
          <w:lang w:val="es-ES_tradnl" w:eastAsia="es-ES"/>
        </w:rPr>
        <w:t>249</w:t>
      </w:r>
      <w:r w:rsidRPr="00E2590A">
        <w:rPr>
          <w:rFonts w:eastAsia="Times New Roman" w:cs="Arial"/>
          <w:b/>
          <w:bCs/>
          <w:iCs/>
          <w:noProof/>
          <w:lang w:val="es-ES_tradnl" w:eastAsia="es-ES"/>
        </w:rPr>
        <w:t xml:space="preserve">. </w:t>
      </w:r>
      <w:r w:rsidRPr="00E2590A">
        <w:rPr>
          <w:rFonts w:eastAsia="Times New Roman" w:cs="Arial"/>
          <w:b/>
          <w:lang w:eastAsia="es-ES"/>
        </w:rPr>
        <w:t xml:space="preserve">MODIFICACIÓN </w:t>
      </w:r>
      <w:r w:rsidR="00CA57F7" w:rsidRPr="00CA57F7">
        <w:rPr>
          <w:rFonts w:eastAsia="Times New Roman" w:cs="Arial"/>
          <w:b/>
          <w:lang w:eastAsia="es-ES"/>
        </w:rPr>
        <w:t>A LOS ACUERDOS SGV-A-75 “SUMINISTRO DE INFORMACIÓN PERIÓDICA” Y SGV-A-61 “</w:t>
      </w:r>
      <w:r w:rsidR="000D1C4C">
        <w:rPr>
          <w:rFonts w:eastAsia="Times New Roman" w:cs="Arial"/>
          <w:b/>
          <w:lang w:eastAsia="es-ES"/>
        </w:rPr>
        <w:t xml:space="preserve">ACUERDO </w:t>
      </w:r>
      <w:r w:rsidR="00CA57F7" w:rsidRPr="00CA57F7">
        <w:rPr>
          <w:rFonts w:eastAsia="Times New Roman" w:cs="Arial"/>
          <w:b/>
          <w:lang w:eastAsia="es-ES"/>
        </w:rPr>
        <w:t>SOBRE HECHOS RELEVANTES”</w:t>
      </w:r>
      <w:r w:rsidR="000335B8">
        <w:rPr>
          <w:rFonts w:eastAsia="Times New Roman" w:cs="Arial"/>
          <w:b/>
          <w:lang w:eastAsia="es-ES"/>
        </w:rPr>
        <w:t xml:space="preserve"> </w:t>
      </w:r>
      <w:r w:rsidR="000335B8">
        <w:rPr>
          <w:rStyle w:val="Refdenotaalpie"/>
          <w:rFonts w:eastAsia="Times New Roman" w:cs="Arial"/>
          <w:b/>
          <w:lang w:eastAsia="es-ES"/>
        </w:rPr>
        <w:footnoteReference w:id="1"/>
      </w:r>
    </w:p>
    <w:p w14:paraId="57F9037A" w14:textId="77777777" w:rsidR="006371CE" w:rsidRPr="00E2590A" w:rsidRDefault="006371CE" w:rsidP="006371CE">
      <w:pPr>
        <w:spacing w:after="0" w:line="240" w:lineRule="auto"/>
        <w:ind w:right="-193"/>
        <w:jc w:val="both"/>
        <w:rPr>
          <w:rFonts w:eastAsia="Times New Roman" w:cs="Arial"/>
          <w:bCs/>
        </w:rPr>
      </w:pPr>
    </w:p>
    <w:p w14:paraId="07074C58" w14:textId="77777777" w:rsidR="006371CE" w:rsidRPr="00E2590A" w:rsidRDefault="006371CE" w:rsidP="006371CE">
      <w:pPr>
        <w:spacing w:after="0" w:line="276" w:lineRule="auto"/>
        <w:ind w:right="-193"/>
        <w:jc w:val="both"/>
        <w:rPr>
          <w:rFonts w:eastAsia="Times New Roman" w:cs="Arial"/>
          <w:b/>
          <w:bCs/>
          <w:lang w:val="es-CR" w:eastAsia="es-ES"/>
        </w:rPr>
      </w:pPr>
      <w:r w:rsidRPr="00E2590A">
        <w:rPr>
          <w:rFonts w:eastAsia="Times New Roman" w:cs="Arial"/>
          <w:b/>
          <w:bCs/>
          <w:lang w:val="es-CR" w:eastAsia="es-ES"/>
        </w:rPr>
        <w:t>Considerando que:</w:t>
      </w:r>
    </w:p>
    <w:p w14:paraId="3E088A76" w14:textId="77777777" w:rsidR="006371CE" w:rsidRPr="00E2590A" w:rsidRDefault="006371CE" w:rsidP="006371CE">
      <w:pPr>
        <w:spacing w:after="0" w:line="276" w:lineRule="auto"/>
        <w:ind w:right="-193"/>
        <w:jc w:val="both"/>
        <w:rPr>
          <w:rFonts w:eastAsia="Times New Roman" w:cs="Arial"/>
          <w:b/>
          <w:bCs/>
          <w:lang w:val="es-CR" w:eastAsia="es-ES"/>
        </w:rPr>
      </w:pPr>
    </w:p>
    <w:p w14:paraId="68B49713" w14:textId="77777777" w:rsidR="006371CE" w:rsidRDefault="006371CE" w:rsidP="006371CE">
      <w:pPr>
        <w:numPr>
          <w:ilvl w:val="0"/>
          <w:numId w:val="1"/>
        </w:numPr>
        <w:tabs>
          <w:tab w:val="left" w:pos="567"/>
        </w:tabs>
        <w:spacing w:after="0" w:line="240" w:lineRule="auto"/>
        <w:ind w:left="567" w:right="-193" w:hanging="567"/>
        <w:jc w:val="both"/>
        <w:rPr>
          <w:rFonts w:eastAsia="Times New Roman" w:cs="Arial"/>
          <w:lang w:eastAsia="es-ES"/>
        </w:rPr>
      </w:pPr>
      <w:r w:rsidRPr="00A06661">
        <w:rPr>
          <w:rFonts w:eastAsia="Times New Roman" w:cs="Arial"/>
          <w:lang w:eastAsia="es-ES"/>
        </w:rPr>
        <w:t xml:space="preserve">El Artículo 8 inciso l) de la Ley Reguladora del Mercado de Valores, Ley 7732 faculta al Superintendente a exigir a los sujetos fiscalizados toda la información razonablemente necesaria, en las condiciones y periodicidad que la Superintendencia determine, para cumplir adecuadamente con sus funciones supervisoras del mercado de valores, según lo disponga el reglamento. </w:t>
      </w:r>
    </w:p>
    <w:p w14:paraId="7314954E" w14:textId="77777777" w:rsidR="006371CE" w:rsidRPr="00A06661" w:rsidRDefault="006371CE" w:rsidP="0045211C">
      <w:pPr>
        <w:tabs>
          <w:tab w:val="left" w:pos="567"/>
        </w:tabs>
        <w:spacing w:after="0" w:line="240" w:lineRule="auto"/>
        <w:ind w:left="567" w:right="-193"/>
        <w:jc w:val="both"/>
        <w:rPr>
          <w:rFonts w:eastAsia="Times New Roman" w:cs="Arial"/>
          <w:lang w:eastAsia="es-ES"/>
        </w:rPr>
      </w:pPr>
    </w:p>
    <w:p w14:paraId="77B0D6A1" w14:textId="77777777" w:rsidR="006371CE" w:rsidRPr="0045211C" w:rsidRDefault="006371CE" w:rsidP="006371CE">
      <w:pPr>
        <w:numPr>
          <w:ilvl w:val="0"/>
          <w:numId w:val="1"/>
        </w:numPr>
        <w:tabs>
          <w:tab w:val="left" w:pos="567"/>
        </w:tabs>
        <w:spacing w:after="0" w:line="240" w:lineRule="auto"/>
        <w:ind w:left="567" w:right="-193" w:hanging="567"/>
        <w:jc w:val="both"/>
        <w:rPr>
          <w:rFonts w:eastAsia="Times New Roman" w:cs="Arial"/>
          <w:lang w:eastAsia="es-ES"/>
        </w:rPr>
      </w:pPr>
      <w:r w:rsidRPr="0045211C">
        <w:rPr>
          <w:rFonts w:eastAsia="Times New Roman" w:cs="Arial"/>
          <w:lang w:eastAsia="es-ES"/>
        </w:rPr>
        <w:t>Mediante los artículos 6 y 5 de las actas de las sesiones 1442-2018 y 1443-2018, ambas celebradas el 11 de setiembre de 2018, el Consejo Nacional de Supervisión del Sistema Financiero aprobó el Reglamento de Información Financiera, que dispone los plazos para la presentación de la información financiera, y en donde se disponible que para las entidades supervisadas por SUGEVAL, la información se debe presentar de conformidad con el Reglamento sobre el suministro de información periódica, hechos relevantes y otras obligaciones de información y su Acuerdo respectivo.</w:t>
      </w:r>
    </w:p>
    <w:p w14:paraId="5626E416" w14:textId="77777777" w:rsidR="006371CE" w:rsidRPr="0045211C" w:rsidRDefault="006371CE" w:rsidP="0045211C">
      <w:pPr>
        <w:tabs>
          <w:tab w:val="left" w:pos="567"/>
        </w:tabs>
        <w:spacing w:after="0" w:line="240" w:lineRule="auto"/>
        <w:ind w:left="567" w:right="-193"/>
        <w:jc w:val="both"/>
        <w:rPr>
          <w:rFonts w:eastAsia="Times New Roman" w:cs="Arial"/>
          <w:lang w:eastAsia="es-ES"/>
        </w:rPr>
      </w:pPr>
    </w:p>
    <w:p w14:paraId="2D08F4BD" w14:textId="77777777" w:rsidR="006371CE" w:rsidRPr="0045211C" w:rsidRDefault="006371CE" w:rsidP="006371CE">
      <w:pPr>
        <w:numPr>
          <w:ilvl w:val="0"/>
          <w:numId w:val="1"/>
        </w:numPr>
        <w:tabs>
          <w:tab w:val="left" w:pos="567"/>
        </w:tabs>
        <w:spacing w:after="0" w:line="240" w:lineRule="auto"/>
        <w:ind w:left="567" w:right="-193" w:hanging="567"/>
        <w:jc w:val="both"/>
        <w:rPr>
          <w:rFonts w:eastAsia="Times New Roman" w:cs="Arial"/>
          <w:lang w:eastAsia="es-ES"/>
        </w:rPr>
      </w:pPr>
      <w:r w:rsidRPr="0045211C">
        <w:rPr>
          <w:rFonts w:eastAsia="Times New Roman" w:cs="Arial"/>
          <w:lang w:eastAsia="es-ES"/>
        </w:rPr>
        <w:t>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p>
    <w:p w14:paraId="4BA1BAD8" w14:textId="77777777" w:rsidR="006371CE" w:rsidRPr="0045211C" w:rsidRDefault="006371CE" w:rsidP="0045211C">
      <w:pPr>
        <w:tabs>
          <w:tab w:val="left" w:pos="567"/>
        </w:tabs>
        <w:spacing w:after="0" w:line="240" w:lineRule="auto"/>
        <w:ind w:left="567" w:right="-193"/>
        <w:jc w:val="both"/>
        <w:rPr>
          <w:rFonts w:eastAsia="Times New Roman" w:cs="Arial"/>
          <w:lang w:eastAsia="es-ES"/>
        </w:rPr>
      </w:pPr>
    </w:p>
    <w:p w14:paraId="1689D58D" w14:textId="77777777" w:rsidR="006371CE" w:rsidRPr="00A06661" w:rsidRDefault="006371CE" w:rsidP="006371CE">
      <w:pPr>
        <w:numPr>
          <w:ilvl w:val="0"/>
          <w:numId w:val="1"/>
        </w:numPr>
        <w:tabs>
          <w:tab w:val="left" w:pos="567"/>
        </w:tabs>
        <w:spacing w:after="0" w:line="240" w:lineRule="auto"/>
        <w:ind w:left="567" w:right="-193" w:hanging="567"/>
        <w:jc w:val="both"/>
        <w:rPr>
          <w:rFonts w:eastAsia="Times New Roman" w:cs="Arial"/>
          <w:lang w:eastAsia="es-ES"/>
        </w:rPr>
      </w:pPr>
      <w:r w:rsidRPr="00A06661">
        <w:rPr>
          <w:rFonts w:eastAsia="Times New Roman" w:cs="Arial"/>
          <w:lang w:eastAsia="es-ES"/>
        </w:rPr>
        <w:t xml:space="preserve">Este Reglamento confiere al Superintendente la potestad para definir el contenido, la periodicidad y los medios de suministro de la información </w:t>
      </w:r>
      <w:r w:rsidR="00EE7773" w:rsidRPr="00A06661">
        <w:rPr>
          <w:rFonts w:eastAsia="Times New Roman" w:cs="Arial"/>
          <w:lang w:eastAsia="es-ES"/>
        </w:rPr>
        <w:t>periódica,</w:t>
      </w:r>
      <w:r w:rsidRPr="00A06661">
        <w:rPr>
          <w:rFonts w:eastAsia="Times New Roman" w:cs="Arial"/>
          <w:lang w:eastAsia="es-ES"/>
        </w:rPr>
        <w:t xml:space="preserve"> </w:t>
      </w:r>
      <w:r w:rsidR="0097373A">
        <w:rPr>
          <w:rFonts w:eastAsia="Times New Roman" w:cs="Arial"/>
          <w:lang w:eastAsia="es-ES"/>
        </w:rPr>
        <w:t>así como cualquier ajuste o mejora que facilite la información que debe remitirse</w:t>
      </w:r>
      <w:r w:rsidRPr="00A06661">
        <w:rPr>
          <w:rFonts w:eastAsia="Times New Roman" w:cs="Arial"/>
          <w:lang w:eastAsia="es-ES"/>
        </w:rPr>
        <w:t xml:space="preserve"> a la Superintendencia General de Valores, por lo que emitió el SGV-A-75, Acuerdo sobre el Suministro de Información Periódica con fecha 24 de abril del 2003, y se ha retomado durante los últimos años para actualizar los deberes de información de las entidades</w:t>
      </w:r>
      <w:r w:rsidR="004049F3">
        <w:rPr>
          <w:rFonts w:eastAsia="Times New Roman" w:cs="Arial"/>
          <w:lang w:eastAsia="es-ES"/>
        </w:rPr>
        <w:t>.</w:t>
      </w:r>
    </w:p>
    <w:p w14:paraId="40D236F9" w14:textId="77777777" w:rsidR="006371CE" w:rsidRDefault="006371CE" w:rsidP="0045211C">
      <w:pPr>
        <w:tabs>
          <w:tab w:val="left" w:pos="567"/>
        </w:tabs>
        <w:spacing w:after="0" w:line="240" w:lineRule="auto"/>
        <w:ind w:left="567" w:right="-193"/>
        <w:jc w:val="both"/>
        <w:rPr>
          <w:rFonts w:eastAsia="Times New Roman" w:cs="Arial"/>
          <w:lang w:eastAsia="es-ES"/>
        </w:rPr>
      </w:pPr>
    </w:p>
    <w:p w14:paraId="5B93C380" w14:textId="77777777" w:rsidR="00685FED" w:rsidRPr="0045211C" w:rsidRDefault="00595D51" w:rsidP="00BA7C26">
      <w:pPr>
        <w:numPr>
          <w:ilvl w:val="0"/>
          <w:numId w:val="1"/>
        </w:numPr>
        <w:tabs>
          <w:tab w:val="left" w:pos="567"/>
        </w:tabs>
        <w:spacing w:after="0" w:line="240" w:lineRule="auto"/>
        <w:ind w:left="567" w:right="-193" w:hanging="567"/>
        <w:jc w:val="both"/>
        <w:rPr>
          <w:rFonts w:eastAsia="Times New Roman" w:cs="Arial"/>
          <w:lang w:eastAsia="es-ES"/>
        </w:rPr>
      </w:pPr>
      <w:r w:rsidRPr="0045211C">
        <w:rPr>
          <w:rFonts w:eastAsia="Times New Roman" w:cs="Arial"/>
          <w:lang w:eastAsia="es-ES"/>
        </w:rPr>
        <w:t xml:space="preserve">El Consejo Nacional de Supervisión del Sistema Financiero, en </w:t>
      </w:r>
      <w:r w:rsidR="00916F53" w:rsidRPr="0045211C">
        <w:rPr>
          <w:rFonts w:eastAsia="Times New Roman" w:cs="Arial"/>
          <w:lang w:eastAsia="es-ES"/>
        </w:rPr>
        <w:t>artículos 6 y 5 de las actas de las sesiones 1442-2018 y 1443-2018, ambas celebradas el 11 de setiembre de 2018.  Publicado en el Alcance digital No. 188 del 24 de octubre del 2018</w:t>
      </w:r>
      <w:r w:rsidRPr="0045211C">
        <w:rPr>
          <w:rFonts w:eastAsia="Times New Roman" w:cs="Arial"/>
          <w:lang w:eastAsia="es-ES"/>
        </w:rPr>
        <w:t xml:space="preserve">, </w:t>
      </w:r>
      <w:r w:rsidR="00916F53" w:rsidRPr="0045211C">
        <w:rPr>
          <w:rFonts w:eastAsia="Times New Roman" w:cs="Arial"/>
          <w:lang w:eastAsia="es-ES"/>
        </w:rPr>
        <w:t xml:space="preserve">aprobó el Reglamento de Información Financiera (RIF) mediante el cual se establecen los lineamientos contables de acuerdo con estándares internacionales relacionados con las Normas de Información Financiera </w:t>
      </w:r>
      <w:r w:rsidR="00320277" w:rsidRPr="0045211C">
        <w:rPr>
          <w:rFonts w:eastAsia="Times New Roman" w:cs="Arial"/>
          <w:lang w:eastAsia="es-ES"/>
        </w:rPr>
        <w:t>(</w:t>
      </w:r>
      <w:r w:rsidR="00916F53" w:rsidRPr="0045211C">
        <w:rPr>
          <w:rFonts w:eastAsia="Times New Roman" w:cs="Arial"/>
          <w:lang w:eastAsia="es-ES"/>
        </w:rPr>
        <w:t>NIIF)</w:t>
      </w:r>
      <w:r w:rsidR="00320277" w:rsidRPr="0045211C">
        <w:rPr>
          <w:rFonts w:eastAsia="Times New Roman" w:cs="Arial"/>
          <w:lang w:eastAsia="es-ES"/>
        </w:rPr>
        <w:t>, sobre los cuales se estableció un catálogo de cuentas homologado para las superintendencias</w:t>
      </w:r>
      <w:r w:rsidR="001814DF" w:rsidRPr="0045211C">
        <w:rPr>
          <w:rFonts w:eastAsia="Times New Roman" w:cs="Arial"/>
          <w:lang w:eastAsia="es-ES"/>
        </w:rPr>
        <w:t>, que incluye el catálogo contable con la revelación de las cuentas de deterioro</w:t>
      </w:r>
      <w:r w:rsidR="004049F3" w:rsidRPr="0045211C">
        <w:rPr>
          <w:rFonts w:eastAsia="Times New Roman" w:cs="Arial"/>
          <w:lang w:eastAsia="es-ES"/>
        </w:rPr>
        <w:t>. C</w:t>
      </w:r>
      <w:r w:rsidR="001814DF" w:rsidRPr="0045211C">
        <w:rPr>
          <w:rFonts w:eastAsia="Times New Roman" w:cs="Arial"/>
          <w:lang w:eastAsia="es-ES"/>
        </w:rPr>
        <w:t xml:space="preserve">on el propósito de llevar </w:t>
      </w:r>
      <w:r w:rsidR="000C5812" w:rsidRPr="0045211C">
        <w:rPr>
          <w:rFonts w:eastAsia="Times New Roman" w:cs="Arial"/>
          <w:lang w:eastAsia="es-ES"/>
        </w:rPr>
        <w:t xml:space="preserve">un </w:t>
      </w:r>
      <w:r w:rsidR="001814DF" w:rsidRPr="0045211C">
        <w:rPr>
          <w:rFonts w:eastAsia="Times New Roman" w:cs="Arial"/>
          <w:lang w:eastAsia="es-ES"/>
        </w:rPr>
        <w:t>control de</w:t>
      </w:r>
      <w:r w:rsidR="004049F3" w:rsidRPr="0045211C">
        <w:rPr>
          <w:rFonts w:eastAsia="Times New Roman" w:cs="Arial"/>
          <w:lang w:eastAsia="es-ES"/>
        </w:rPr>
        <w:t xml:space="preserve">l deterioro </w:t>
      </w:r>
      <w:r w:rsidR="000C5812" w:rsidRPr="0045211C">
        <w:rPr>
          <w:rFonts w:eastAsia="Times New Roman" w:cs="Arial"/>
          <w:lang w:eastAsia="es-ES"/>
        </w:rPr>
        <w:t xml:space="preserve">por inmueble, procede la actualización de la información de las </w:t>
      </w:r>
      <w:r w:rsidR="004049F3" w:rsidRPr="0045211C">
        <w:rPr>
          <w:rFonts w:eastAsia="Times New Roman" w:cs="Arial"/>
          <w:lang w:eastAsia="es-ES"/>
        </w:rPr>
        <w:t>carteras inmobiliarias</w:t>
      </w:r>
      <w:r w:rsidR="00773D13">
        <w:rPr>
          <w:rFonts w:eastAsia="Times New Roman" w:cs="Arial"/>
          <w:lang w:eastAsia="es-ES"/>
        </w:rPr>
        <w:t xml:space="preserve"> para que sea consistente con las cuentas contables del estado de situación financiera</w:t>
      </w:r>
      <w:r w:rsidR="004049F3" w:rsidRPr="0045211C">
        <w:rPr>
          <w:rFonts w:eastAsia="Times New Roman" w:cs="Arial"/>
          <w:lang w:eastAsia="es-ES"/>
        </w:rPr>
        <w:t xml:space="preserve">. </w:t>
      </w:r>
      <w:r w:rsidR="001814DF" w:rsidRPr="0045211C">
        <w:rPr>
          <w:rFonts w:eastAsia="Times New Roman" w:cs="Arial"/>
          <w:lang w:eastAsia="es-ES"/>
        </w:rPr>
        <w:t xml:space="preserve"> </w:t>
      </w:r>
    </w:p>
    <w:p w14:paraId="4EBFE58F" w14:textId="77777777" w:rsidR="00B916C4" w:rsidRPr="0045211C" w:rsidRDefault="00B916C4" w:rsidP="0045211C">
      <w:pPr>
        <w:tabs>
          <w:tab w:val="left" w:pos="567"/>
        </w:tabs>
        <w:spacing w:after="0" w:line="240" w:lineRule="auto"/>
        <w:ind w:left="567" w:right="-193"/>
        <w:jc w:val="both"/>
        <w:rPr>
          <w:rFonts w:eastAsia="Times New Roman" w:cs="Arial"/>
          <w:lang w:eastAsia="es-ES"/>
        </w:rPr>
      </w:pPr>
    </w:p>
    <w:p w14:paraId="32D6738B" w14:textId="77777777" w:rsidR="00B916C4" w:rsidRPr="0045211C" w:rsidRDefault="00B916C4" w:rsidP="009F6FEC">
      <w:pPr>
        <w:numPr>
          <w:ilvl w:val="0"/>
          <w:numId w:val="1"/>
        </w:numPr>
        <w:tabs>
          <w:tab w:val="left" w:pos="567"/>
        </w:tabs>
        <w:spacing w:after="0" w:line="240" w:lineRule="auto"/>
        <w:ind w:left="567" w:right="-193" w:hanging="567"/>
        <w:jc w:val="both"/>
        <w:rPr>
          <w:rFonts w:eastAsia="Times New Roman" w:cs="Arial"/>
          <w:lang w:eastAsia="es-ES"/>
        </w:rPr>
      </w:pPr>
      <w:r w:rsidRPr="0045211C">
        <w:rPr>
          <w:rFonts w:eastAsia="Times New Roman" w:cs="Arial"/>
          <w:lang w:eastAsia="es-ES"/>
        </w:rPr>
        <w:lastRenderedPageBreak/>
        <w:t>Los objetivos y principios para la regulación de los mercados de valores, emitidos por la Organización Internacional de Comisiones de Valores</w:t>
      </w:r>
      <w:r w:rsidR="009F6FEC" w:rsidRPr="0045211C">
        <w:rPr>
          <w:rFonts w:eastAsia="Times New Roman" w:cs="Arial"/>
          <w:lang w:eastAsia="es-ES"/>
        </w:rPr>
        <w:t xml:space="preserve"> (IOSCO)</w:t>
      </w:r>
      <w:r w:rsidRPr="0045211C">
        <w:rPr>
          <w:rFonts w:eastAsia="Times New Roman" w:cs="Arial"/>
          <w:lang w:eastAsia="es-ES"/>
        </w:rPr>
        <w:t>, establecen como parte el principio 30</w:t>
      </w:r>
      <w:r w:rsidR="00773D13">
        <w:rPr>
          <w:rFonts w:eastAsia="Times New Roman" w:cs="Arial"/>
          <w:lang w:eastAsia="es-ES"/>
        </w:rPr>
        <w:t xml:space="preserve"> que</w:t>
      </w:r>
      <w:r w:rsidRPr="0045211C">
        <w:rPr>
          <w:rFonts w:eastAsia="Times New Roman" w:cs="Arial"/>
          <w:lang w:eastAsia="es-ES"/>
        </w:rPr>
        <w:t xml:space="preserve"> </w:t>
      </w:r>
      <w:r w:rsidRPr="00773D13">
        <w:rPr>
          <w:rFonts w:eastAsia="Times New Roman" w:cs="Arial"/>
          <w:i/>
          <w:iCs/>
          <w:lang w:eastAsia="es-ES"/>
        </w:rPr>
        <w:t>“</w:t>
      </w:r>
      <w:r w:rsidR="00773D13" w:rsidRPr="00773D13">
        <w:rPr>
          <w:rFonts w:eastAsia="Times New Roman" w:cs="Arial"/>
          <w:i/>
          <w:iCs/>
          <w:lang w:eastAsia="es-ES"/>
        </w:rPr>
        <w:t>Deben existir unos requerimientos iniciales y permanentes de capital y otros requisitos prudenciales para los intermediarios de mercado, que reflejen los riesgos asumidos por los intermediarios</w:t>
      </w:r>
      <w:r w:rsidRPr="00773D13">
        <w:rPr>
          <w:rFonts w:eastAsia="Times New Roman" w:cs="Arial"/>
          <w:i/>
          <w:iCs/>
          <w:lang w:eastAsia="es-ES"/>
        </w:rPr>
        <w:t>”</w:t>
      </w:r>
      <w:r w:rsidRPr="0045211C">
        <w:rPr>
          <w:rFonts w:eastAsia="Times New Roman" w:cs="Arial"/>
          <w:lang w:eastAsia="es-ES"/>
        </w:rPr>
        <w:t>.</w:t>
      </w:r>
    </w:p>
    <w:p w14:paraId="681B781B" w14:textId="77777777" w:rsidR="00B916C4" w:rsidRPr="0045211C" w:rsidRDefault="00B916C4" w:rsidP="0045211C">
      <w:pPr>
        <w:tabs>
          <w:tab w:val="left" w:pos="567"/>
        </w:tabs>
        <w:spacing w:after="0" w:line="240" w:lineRule="auto"/>
        <w:ind w:left="567" w:right="-193"/>
        <w:jc w:val="both"/>
        <w:rPr>
          <w:rFonts w:eastAsia="Times New Roman" w:cs="Arial"/>
          <w:lang w:eastAsia="es-ES"/>
        </w:rPr>
      </w:pPr>
    </w:p>
    <w:p w14:paraId="00DB9122" w14:textId="77777777" w:rsidR="004049F3" w:rsidRPr="0045211C" w:rsidRDefault="009F6FEC" w:rsidP="0045211C">
      <w:pPr>
        <w:numPr>
          <w:ilvl w:val="0"/>
          <w:numId w:val="1"/>
        </w:numPr>
        <w:tabs>
          <w:tab w:val="left" w:pos="567"/>
        </w:tabs>
        <w:spacing w:after="0" w:line="240" w:lineRule="auto"/>
        <w:ind w:left="567" w:right="-193" w:hanging="567"/>
        <w:jc w:val="both"/>
        <w:rPr>
          <w:rFonts w:eastAsia="Times New Roman" w:cs="Arial"/>
          <w:lang w:eastAsia="es-ES"/>
        </w:rPr>
      </w:pPr>
      <w:r w:rsidRPr="0045211C">
        <w:rPr>
          <w:rFonts w:eastAsia="Times New Roman" w:cs="Arial"/>
          <w:lang w:eastAsia="es-ES"/>
        </w:rPr>
        <w:t xml:space="preserve">El artículo 54 de la Ley Reguladora del Mercado de Valores </w:t>
      </w:r>
      <w:r w:rsidR="006B7D3C" w:rsidRPr="0045211C">
        <w:rPr>
          <w:rFonts w:eastAsia="Times New Roman" w:cs="Arial"/>
          <w:lang w:eastAsia="es-ES"/>
        </w:rPr>
        <w:t>No</w:t>
      </w:r>
      <w:r w:rsidRPr="0045211C">
        <w:rPr>
          <w:rFonts w:eastAsia="Times New Roman" w:cs="Arial"/>
          <w:lang w:eastAsia="es-ES"/>
        </w:rPr>
        <w:t xml:space="preserve"> 7732 establece como parte de los requisitos de los puestos de bolsa, cumplir con los niveles mínimos de capital proporcionales al volumen de actividad y los riesgos asumidos. De la misma forma, el artículo 66 de la citada ley señala que las sociedades administradoras de fondos de inversión deben cumplir con un nivel de capital mínimo de acuerdo con lo que establezca reglamentariamente la Superintendencia General de Valores. En este sentido, mediante artículo 10 del acta de la sesión 772-2009 de 13 de febrero de 2009, se aprobó el Reglamento de Gestión de Riesgos, el cual establece las normas de capital que deben cumplir las entidades supervisadas por SUGEVAL. </w:t>
      </w:r>
    </w:p>
    <w:p w14:paraId="025B795B" w14:textId="77777777" w:rsidR="00E30847" w:rsidRPr="0045211C" w:rsidRDefault="00E30847" w:rsidP="0045211C">
      <w:pPr>
        <w:tabs>
          <w:tab w:val="left" w:pos="567"/>
        </w:tabs>
        <w:spacing w:after="0" w:line="240" w:lineRule="auto"/>
        <w:ind w:left="567" w:right="-193"/>
        <w:jc w:val="both"/>
        <w:rPr>
          <w:rFonts w:eastAsia="Times New Roman" w:cs="Arial"/>
          <w:lang w:eastAsia="es-ES"/>
        </w:rPr>
      </w:pPr>
    </w:p>
    <w:p w14:paraId="0A4B4DC9" w14:textId="77777777" w:rsidR="00E30847" w:rsidRPr="0045211C" w:rsidRDefault="00E30847" w:rsidP="0045211C">
      <w:pPr>
        <w:numPr>
          <w:ilvl w:val="0"/>
          <w:numId w:val="1"/>
        </w:numPr>
        <w:tabs>
          <w:tab w:val="left" w:pos="567"/>
        </w:tabs>
        <w:spacing w:after="0" w:line="240" w:lineRule="auto"/>
        <w:ind w:left="567" w:right="-193" w:hanging="567"/>
        <w:jc w:val="both"/>
        <w:rPr>
          <w:rFonts w:eastAsia="Times New Roman" w:cs="Arial"/>
          <w:lang w:eastAsia="es-ES"/>
        </w:rPr>
      </w:pPr>
      <w:r w:rsidRPr="0045211C">
        <w:rPr>
          <w:rFonts w:eastAsia="Times New Roman" w:cs="Arial"/>
          <w:lang w:eastAsia="es-ES"/>
        </w:rPr>
        <w:t xml:space="preserve">Las normas contables señalan el tratamiento a brindar a diversas partidas de activos, pasivos, ingresos y gastos, algunos de los cuales </w:t>
      </w:r>
      <w:r w:rsidR="00773D13">
        <w:rPr>
          <w:rFonts w:eastAsia="Times New Roman" w:cs="Arial"/>
          <w:lang w:eastAsia="es-ES"/>
        </w:rPr>
        <w:t xml:space="preserve">por su dinámica </w:t>
      </w:r>
      <w:r w:rsidRPr="0045211C">
        <w:rPr>
          <w:rFonts w:eastAsia="Times New Roman" w:cs="Arial"/>
          <w:lang w:eastAsia="es-ES"/>
        </w:rPr>
        <w:t>son de registro mensual para l</w:t>
      </w:r>
      <w:r w:rsidR="00773D13">
        <w:rPr>
          <w:rFonts w:eastAsia="Times New Roman" w:cs="Arial"/>
          <w:lang w:eastAsia="es-ES"/>
        </w:rPr>
        <w:t>os puestos de bolsa y sociedades administradoras de fondos de inversión</w:t>
      </w:r>
      <w:r w:rsidRPr="0045211C">
        <w:rPr>
          <w:rFonts w:eastAsia="Times New Roman" w:cs="Arial"/>
          <w:lang w:eastAsia="es-ES"/>
        </w:rPr>
        <w:t xml:space="preserve">, </w:t>
      </w:r>
      <w:r w:rsidR="00773D13">
        <w:rPr>
          <w:rFonts w:eastAsia="Times New Roman" w:cs="Arial"/>
          <w:lang w:eastAsia="es-ES"/>
        </w:rPr>
        <w:t xml:space="preserve">este elemento tiene </w:t>
      </w:r>
      <w:r w:rsidR="00773D13" w:rsidRPr="0045211C">
        <w:rPr>
          <w:rFonts w:eastAsia="Times New Roman" w:cs="Arial"/>
          <w:lang w:eastAsia="es-ES"/>
        </w:rPr>
        <w:t xml:space="preserve">como inconveniente </w:t>
      </w:r>
      <w:r w:rsidR="00773D13">
        <w:rPr>
          <w:rFonts w:eastAsia="Times New Roman" w:cs="Arial"/>
          <w:lang w:eastAsia="es-ES"/>
        </w:rPr>
        <w:t xml:space="preserve">una mayor </w:t>
      </w:r>
      <w:r w:rsidR="00773D13" w:rsidRPr="0045211C">
        <w:rPr>
          <w:rFonts w:eastAsia="Times New Roman" w:cs="Arial"/>
          <w:lang w:eastAsia="es-ES"/>
        </w:rPr>
        <w:t xml:space="preserve">volatilidad </w:t>
      </w:r>
      <w:r w:rsidR="00773D13">
        <w:rPr>
          <w:rFonts w:eastAsia="Times New Roman" w:cs="Arial"/>
          <w:lang w:eastAsia="es-ES"/>
        </w:rPr>
        <w:t xml:space="preserve">en </w:t>
      </w:r>
      <w:r w:rsidRPr="0045211C">
        <w:rPr>
          <w:rFonts w:eastAsia="Times New Roman" w:cs="Arial"/>
          <w:lang w:eastAsia="es-ES"/>
        </w:rPr>
        <w:t xml:space="preserve">el cálculo </w:t>
      </w:r>
      <w:r w:rsidR="00773D13" w:rsidRPr="0045211C">
        <w:rPr>
          <w:rFonts w:eastAsia="Times New Roman" w:cs="Arial"/>
          <w:lang w:eastAsia="es-ES"/>
        </w:rPr>
        <w:t xml:space="preserve">sobre una base diaria </w:t>
      </w:r>
      <w:r w:rsidRPr="0045211C">
        <w:rPr>
          <w:rFonts w:eastAsia="Times New Roman" w:cs="Arial"/>
          <w:lang w:eastAsia="es-ES"/>
        </w:rPr>
        <w:t xml:space="preserve">de las normas sobre suficiencia de capital.  Aunado a lo anterior, la SUGEVAL requiere que las entidades realicen pruebas de estrés y análisis de escenarios apropiadas a la naturaleza, escala y complejidad de las fuentes más importantes de riesgo de la entidad, ejercicios que se han realizado con base </w:t>
      </w:r>
      <w:r w:rsidR="00773D13">
        <w:rPr>
          <w:rFonts w:eastAsia="Times New Roman" w:cs="Arial"/>
          <w:lang w:eastAsia="es-ES"/>
        </w:rPr>
        <w:t>información al cierre de cada mes</w:t>
      </w:r>
      <w:r w:rsidRPr="0045211C">
        <w:rPr>
          <w:rFonts w:eastAsia="Times New Roman" w:cs="Arial"/>
          <w:lang w:eastAsia="es-ES"/>
        </w:rPr>
        <w:t>, con el fin de incorporar integralmente todos los elementos que influyen en la situación patrimonial de las entidades. Por lo anterior, resulta razonable modificar a una periodicidad mensual el resultado de las normas sobre suficiencia de capital.</w:t>
      </w:r>
    </w:p>
    <w:p w14:paraId="05F3E011" w14:textId="77777777" w:rsidR="0045211C" w:rsidRDefault="0045211C" w:rsidP="0045211C">
      <w:pPr>
        <w:tabs>
          <w:tab w:val="left" w:pos="567"/>
        </w:tabs>
        <w:spacing w:after="0" w:line="240" w:lineRule="auto"/>
        <w:ind w:left="567" w:right="-193"/>
        <w:jc w:val="both"/>
        <w:rPr>
          <w:rFonts w:eastAsia="Times New Roman" w:cs="Arial"/>
          <w:lang w:eastAsia="es-ES"/>
        </w:rPr>
      </w:pPr>
    </w:p>
    <w:p w14:paraId="77E78E50" w14:textId="77777777" w:rsidR="00547CD7" w:rsidRDefault="0044460A" w:rsidP="0045211C">
      <w:pPr>
        <w:numPr>
          <w:ilvl w:val="0"/>
          <w:numId w:val="1"/>
        </w:numPr>
        <w:tabs>
          <w:tab w:val="left" w:pos="567"/>
        </w:tabs>
        <w:spacing w:after="0" w:line="240" w:lineRule="auto"/>
        <w:ind w:left="567" w:right="-193" w:hanging="567"/>
        <w:jc w:val="both"/>
        <w:rPr>
          <w:rFonts w:eastAsia="Times New Roman" w:cs="Arial"/>
          <w:lang w:eastAsia="es-ES"/>
        </w:rPr>
      </w:pPr>
      <w:r w:rsidRPr="0045211C">
        <w:rPr>
          <w:rFonts w:eastAsia="Times New Roman" w:cs="Arial"/>
          <w:lang w:eastAsia="es-ES"/>
        </w:rPr>
        <w:t xml:space="preserve">El Consejo Nacional de Supervisión del Sistema Financiero mediante el artículo 12 del acta de la sesión 1620-2020 celebrada el 16 de noviembre de 2020, aprobó el Reglamento sobre fondos de inversión de capital de riesgo, el cual establece las disposiciones para la autorización de la oferta pública de los fondos de inversión de capital de riesgo, administrados por sociedades administradoras de fondos de inversión inscritas en el Registro Nacional de Valores e Intermediarios. La fecha de entrada en vigencia de dicho reglamento es el 19 de noviembre de 2020 a partir de la publicación en el Alcance N°306 de La Gaceta N°276. Por lo que se incorpora el requerimiento de </w:t>
      </w:r>
      <w:r w:rsidR="00D345D2" w:rsidRPr="0045211C">
        <w:rPr>
          <w:rFonts w:eastAsia="Times New Roman" w:cs="Arial"/>
          <w:lang w:eastAsia="es-ES"/>
        </w:rPr>
        <w:t>información financiera</w:t>
      </w:r>
      <w:r w:rsidRPr="0045211C">
        <w:rPr>
          <w:rFonts w:eastAsia="Times New Roman" w:cs="Arial"/>
          <w:lang w:eastAsia="es-ES"/>
        </w:rPr>
        <w:t xml:space="preserve"> para este tipo de fondo.</w:t>
      </w:r>
      <w:r w:rsidR="00547CD7" w:rsidRPr="0045211C">
        <w:rPr>
          <w:rFonts w:eastAsia="Times New Roman" w:cs="Arial"/>
          <w:lang w:eastAsia="es-ES"/>
        </w:rPr>
        <w:t xml:space="preserve"> Adicionalmente, se realiza una reforma al SGV-A-61 Acuerdo sobre Hechos Relevantes, para que cuando el fondo realice la convocatoria a la asamblea de inversionistas, así como los acuerdos que se hayan tomado en dicha asamblea deben ser informados a los inversionistas del fondo de inversión de capital de riesgo mediante la comunicación de un Hecho Relevante. </w:t>
      </w:r>
    </w:p>
    <w:p w14:paraId="094B8544" w14:textId="77777777" w:rsidR="00F22011" w:rsidRDefault="00F22011" w:rsidP="00F22011">
      <w:pPr>
        <w:pStyle w:val="Prrafodelista"/>
        <w:rPr>
          <w:rFonts w:eastAsia="Times New Roman" w:cs="Arial"/>
          <w:lang w:eastAsia="es-ES"/>
        </w:rPr>
      </w:pPr>
    </w:p>
    <w:p w14:paraId="31443D92" w14:textId="77777777" w:rsidR="00F22011" w:rsidRPr="0045211C" w:rsidRDefault="00F22011" w:rsidP="0045211C">
      <w:pPr>
        <w:numPr>
          <w:ilvl w:val="0"/>
          <w:numId w:val="1"/>
        </w:numPr>
        <w:tabs>
          <w:tab w:val="left" w:pos="567"/>
        </w:tabs>
        <w:spacing w:after="0" w:line="240" w:lineRule="auto"/>
        <w:ind w:left="567" w:right="-193" w:hanging="567"/>
        <w:jc w:val="both"/>
        <w:rPr>
          <w:rFonts w:eastAsia="Times New Roman" w:cs="Arial"/>
          <w:lang w:eastAsia="es-ES"/>
        </w:rPr>
      </w:pPr>
      <w:r w:rsidRPr="00F22011">
        <w:rPr>
          <w:rFonts w:eastAsia="Times New Roman" w:cs="Arial"/>
          <w:lang w:eastAsia="es-ES"/>
        </w:rPr>
        <w:t xml:space="preserve">De conformidad con el artículo 1 de la Ley de Certificados, Firmas Digitales y Documentos Electrónicos, Ley 8454, la firma digital se “aplicará a toda clase de transacciones y actos jurídicos, públicos o privados, salvo disposición legal en contrario, o que la naturaleza o los requisitos particulares del acto o negocio concretos resulten incompatibles…”; adicionalmente, en el artículo 9 de dicha Ley dispone que “Los </w:t>
      </w:r>
      <w:r w:rsidRPr="00F22011">
        <w:rPr>
          <w:rFonts w:eastAsia="Times New Roman" w:cs="Arial"/>
          <w:lang w:eastAsia="es-ES"/>
        </w:rPr>
        <w:lastRenderedPageBreak/>
        <w:t>documentos y las comunicaciones suscritos mediante firma digital, tendrán el mismo valor y la eficacia probatoria de su equivalente firmado en manuscrito. En cualquier norma jurídica que se exija la presencia de una firma, se reconocerá de igual manera tanto la digital como la manuscrita…” Incorporando el cambio a la Certificación de bienes de registro público, considerando los beneficios sobre trazabilidad, eficiencia y seguridad jurídica de la información.</w:t>
      </w:r>
    </w:p>
    <w:p w14:paraId="21FAE8E7" w14:textId="77777777" w:rsidR="0080424D" w:rsidRPr="0045211C" w:rsidRDefault="0080424D" w:rsidP="0045211C">
      <w:pPr>
        <w:tabs>
          <w:tab w:val="left" w:pos="567"/>
        </w:tabs>
        <w:spacing w:after="0" w:line="240" w:lineRule="auto"/>
        <w:ind w:left="567" w:right="-193"/>
        <w:jc w:val="both"/>
        <w:rPr>
          <w:rFonts w:eastAsia="Times New Roman" w:cs="Arial"/>
          <w:lang w:eastAsia="es-ES"/>
        </w:rPr>
      </w:pPr>
    </w:p>
    <w:p w14:paraId="31C597BF" w14:textId="77777777" w:rsidR="006371CE" w:rsidRPr="002511B9" w:rsidRDefault="002511B9" w:rsidP="008156D4">
      <w:pPr>
        <w:numPr>
          <w:ilvl w:val="0"/>
          <w:numId w:val="1"/>
        </w:numPr>
        <w:tabs>
          <w:tab w:val="left" w:pos="567"/>
        </w:tabs>
        <w:spacing w:after="0" w:line="240" w:lineRule="auto"/>
        <w:ind w:left="567" w:right="-193" w:hanging="567"/>
        <w:jc w:val="both"/>
        <w:rPr>
          <w:rFonts w:eastAsia="Times New Roman" w:cs="Arial"/>
          <w:lang w:eastAsia="es-ES"/>
        </w:rPr>
      </w:pPr>
      <w:r w:rsidRPr="002511B9">
        <w:rPr>
          <w:rFonts w:eastAsia="Times New Roman" w:cs="Arial"/>
          <w:lang w:eastAsia="es-ES"/>
        </w:rPr>
        <w:t>El presente Acuerdo fue sometido al trámite de consulta, de conformidad con el artículo 361 de la Ley General de Administración Pública.</w:t>
      </w:r>
      <w:r>
        <w:rPr>
          <w:rFonts w:eastAsia="Times New Roman" w:cs="Arial"/>
          <w:lang w:eastAsia="es-ES"/>
        </w:rPr>
        <w:t xml:space="preserve"> </w:t>
      </w:r>
      <w:r w:rsidRPr="002511B9">
        <w:rPr>
          <w:rFonts w:eastAsia="Times New Roman" w:cs="Arial"/>
          <w:lang w:eastAsia="es-ES"/>
        </w:rPr>
        <w:t>Del análisis realizado a las observaciones planteadas, se procedió a la incorporación de las modificaciones que resultaron pertinentes</w:t>
      </w:r>
      <w:r>
        <w:rPr>
          <w:rFonts w:eastAsia="Times New Roman" w:cs="Arial"/>
          <w:lang w:eastAsia="es-ES"/>
        </w:rPr>
        <w:t>.</w:t>
      </w:r>
    </w:p>
    <w:p w14:paraId="045B4C36" w14:textId="77777777" w:rsidR="00E2590A" w:rsidRPr="00E2590A" w:rsidRDefault="00E2590A" w:rsidP="00E2590A">
      <w:pPr>
        <w:rPr>
          <w:rFonts w:eastAsia="Calibri" w:cs="Arial"/>
          <w:color w:val="000000"/>
          <w:sz w:val="20"/>
          <w:szCs w:val="20"/>
          <w:lang w:eastAsia="es-CR"/>
        </w:rPr>
      </w:pPr>
    </w:p>
    <w:p w14:paraId="3D877495" w14:textId="77777777" w:rsidR="00E2590A" w:rsidRDefault="00E2590A" w:rsidP="00E2590A">
      <w:pPr>
        <w:jc w:val="both"/>
        <w:rPr>
          <w:rFonts w:eastAsia="Calibri" w:cs="Arial"/>
        </w:rPr>
      </w:pPr>
      <w:r w:rsidRPr="00E2590A">
        <w:rPr>
          <w:rFonts w:eastAsia="Calibri" w:cs="Arial"/>
        </w:rPr>
        <w:t xml:space="preserve">Por </w:t>
      </w:r>
      <w:r w:rsidR="007C2772" w:rsidRPr="00E2590A">
        <w:rPr>
          <w:rFonts w:eastAsia="Calibri" w:cs="Arial"/>
        </w:rPr>
        <w:t>tanto,</w:t>
      </w:r>
      <w:r w:rsidRPr="00E2590A">
        <w:rPr>
          <w:rFonts w:eastAsia="Calibri" w:cs="Arial"/>
        </w:rPr>
        <w:t xml:space="preserve"> dispone el presente acuerdo:</w:t>
      </w:r>
    </w:p>
    <w:p w14:paraId="10903E1D" w14:textId="77777777" w:rsidR="00F22011" w:rsidRPr="00E2590A" w:rsidRDefault="00F22011" w:rsidP="00E2590A">
      <w:pPr>
        <w:jc w:val="both"/>
        <w:rPr>
          <w:rFonts w:eastAsia="Calibri" w:cs="Arial"/>
        </w:rPr>
      </w:pPr>
    </w:p>
    <w:p w14:paraId="08ABAB0A" w14:textId="77777777" w:rsidR="00F22011" w:rsidRPr="00E2590A" w:rsidRDefault="00A938CA" w:rsidP="00A938CA">
      <w:pPr>
        <w:jc w:val="center"/>
        <w:rPr>
          <w:rFonts w:eastAsia="Times New Roman" w:cs="Arial"/>
          <w:b/>
          <w:lang w:eastAsia="es-ES"/>
        </w:rPr>
      </w:pPr>
      <w:r>
        <w:rPr>
          <w:rFonts w:eastAsia="Times New Roman" w:cs="Arial"/>
          <w:b/>
          <w:lang w:eastAsia="es-ES"/>
        </w:rPr>
        <w:t>S</w:t>
      </w:r>
      <w:r w:rsidR="00F22011" w:rsidRPr="00E2590A">
        <w:rPr>
          <w:rFonts w:eastAsia="Times New Roman" w:cs="Arial"/>
          <w:b/>
          <w:lang w:eastAsia="es-ES"/>
        </w:rPr>
        <w:t>GV-A-</w:t>
      </w:r>
      <w:r w:rsidR="002B61C9">
        <w:rPr>
          <w:rFonts w:eastAsia="Times New Roman" w:cs="Arial"/>
          <w:b/>
          <w:lang w:eastAsia="es-ES"/>
        </w:rPr>
        <w:t>249</w:t>
      </w:r>
      <w:r w:rsidR="00F22011" w:rsidRPr="00E2590A">
        <w:rPr>
          <w:rFonts w:eastAsia="Times New Roman" w:cs="Arial"/>
          <w:b/>
          <w:lang w:eastAsia="es-ES"/>
        </w:rPr>
        <w:t>.  MODIFICACIÓN A</w:t>
      </w:r>
      <w:r w:rsidR="00F22011">
        <w:rPr>
          <w:rFonts w:eastAsia="Times New Roman" w:cs="Arial"/>
          <w:b/>
          <w:lang w:eastAsia="es-ES"/>
        </w:rPr>
        <w:t xml:space="preserve"> </w:t>
      </w:r>
      <w:r w:rsidR="00F22011" w:rsidRPr="00E2590A">
        <w:rPr>
          <w:rFonts w:eastAsia="Times New Roman" w:cs="Arial"/>
          <w:b/>
          <w:lang w:eastAsia="es-ES"/>
        </w:rPr>
        <w:t>L</w:t>
      </w:r>
      <w:r w:rsidR="00F22011">
        <w:rPr>
          <w:rFonts w:eastAsia="Times New Roman" w:cs="Arial"/>
          <w:b/>
          <w:lang w:eastAsia="es-ES"/>
        </w:rPr>
        <w:t>OS</w:t>
      </w:r>
      <w:r w:rsidR="00F22011" w:rsidRPr="00E2590A">
        <w:rPr>
          <w:rFonts w:eastAsia="Times New Roman" w:cs="Arial"/>
          <w:b/>
          <w:lang w:eastAsia="es-ES"/>
        </w:rPr>
        <w:t xml:space="preserve"> ACUERDO</w:t>
      </w:r>
      <w:r w:rsidR="00F22011">
        <w:rPr>
          <w:rFonts w:eastAsia="Times New Roman" w:cs="Arial"/>
          <w:b/>
          <w:lang w:eastAsia="es-ES"/>
        </w:rPr>
        <w:t>S</w:t>
      </w:r>
      <w:r w:rsidR="00F22011" w:rsidRPr="00E2590A">
        <w:rPr>
          <w:rFonts w:eastAsia="Times New Roman" w:cs="Arial"/>
          <w:b/>
          <w:lang w:eastAsia="es-ES"/>
        </w:rPr>
        <w:t xml:space="preserve"> SGV-A-75 “SUMINISTRO DE INFORMACIÓN PERIÓDICA”</w:t>
      </w:r>
      <w:r w:rsidR="00F22011">
        <w:rPr>
          <w:rFonts w:eastAsia="Times New Roman" w:cs="Arial"/>
          <w:b/>
          <w:lang w:eastAsia="es-ES"/>
        </w:rPr>
        <w:t xml:space="preserve"> Y SGV-A-61 “</w:t>
      </w:r>
      <w:r>
        <w:rPr>
          <w:rFonts w:eastAsia="Times New Roman" w:cs="Arial"/>
          <w:b/>
          <w:lang w:eastAsia="es-ES"/>
        </w:rPr>
        <w:t xml:space="preserve">ACEURDO </w:t>
      </w:r>
      <w:r w:rsidR="00F22011">
        <w:rPr>
          <w:rFonts w:eastAsia="Times New Roman" w:cs="Arial"/>
          <w:b/>
          <w:lang w:eastAsia="es-ES"/>
        </w:rPr>
        <w:t>SOBRE HECHOS RELEVANTES”</w:t>
      </w:r>
    </w:p>
    <w:p w14:paraId="3CCD6391" w14:textId="77777777" w:rsidR="00F22011" w:rsidRPr="00E2590A" w:rsidRDefault="00F22011" w:rsidP="00F22011">
      <w:pPr>
        <w:rPr>
          <w:rFonts w:eastAsia="Calibri" w:cs="Arial"/>
          <w:color w:val="000000"/>
          <w:sz w:val="20"/>
          <w:szCs w:val="20"/>
          <w:lang w:eastAsia="es-CR"/>
        </w:rPr>
      </w:pPr>
    </w:p>
    <w:p w14:paraId="2E718FB6" w14:textId="77777777" w:rsidR="00F22011" w:rsidRDefault="00F22011" w:rsidP="00F22011">
      <w:pPr>
        <w:jc w:val="both"/>
        <w:rPr>
          <w:rFonts w:eastAsia="Calibri" w:cs="Arial"/>
          <w:b/>
          <w:color w:val="000000"/>
          <w:lang w:eastAsia="es-CR"/>
        </w:rPr>
      </w:pPr>
      <w:r w:rsidRPr="00E2590A">
        <w:rPr>
          <w:rFonts w:eastAsia="Calibri" w:cs="Arial"/>
          <w:b/>
          <w:color w:val="000000"/>
          <w:lang w:eastAsia="es-CR"/>
        </w:rPr>
        <w:t>Artículo 1.-</w:t>
      </w:r>
      <w:r w:rsidRPr="00E2590A">
        <w:rPr>
          <w:rFonts w:eastAsia="Calibri" w:cs="Arial"/>
          <w:b/>
          <w:color w:val="000000"/>
          <w:lang w:eastAsia="es-CR"/>
        </w:rPr>
        <w:tab/>
      </w:r>
      <w:r>
        <w:rPr>
          <w:rFonts w:eastAsia="Calibri" w:cs="Arial"/>
          <w:b/>
          <w:color w:val="000000"/>
          <w:lang w:eastAsia="es-CR"/>
        </w:rPr>
        <w:t xml:space="preserve">Adiciones al </w:t>
      </w:r>
      <w:r w:rsidRPr="008611A2">
        <w:rPr>
          <w:rFonts w:eastAsia="Calibri" w:cs="Arial"/>
          <w:b/>
          <w:color w:val="000000"/>
          <w:lang w:eastAsia="es-CR"/>
        </w:rPr>
        <w:t>SGV-A-75 Acuerdo sobre el Suministro de Información Periódica</w:t>
      </w:r>
      <w:r>
        <w:rPr>
          <w:rFonts w:eastAsia="Calibri" w:cs="Arial"/>
          <w:b/>
          <w:color w:val="000000"/>
          <w:lang w:eastAsia="es-CR"/>
        </w:rPr>
        <w:t>:</w:t>
      </w:r>
    </w:p>
    <w:p w14:paraId="55A31162" w14:textId="77777777" w:rsidR="00F22011" w:rsidRDefault="00F22011" w:rsidP="00F22011">
      <w:pPr>
        <w:pStyle w:val="Prrafodelista"/>
        <w:numPr>
          <w:ilvl w:val="0"/>
          <w:numId w:val="36"/>
        </w:numPr>
        <w:jc w:val="both"/>
        <w:rPr>
          <w:rFonts w:eastAsia="Calibri" w:cs="Arial"/>
          <w:color w:val="000000"/>
          <w:lang w:eastAsia="es-CR"/>
        </w:rPr>
      </w:pPr>
      <w:r w:rsidRPr="00736370">
        <w:rPr>
          <w:rFonts w:eastAsia="Calibri" w:cs="Arial"/>
          <w:color w:val="000000"/>
          <w:lang w:eastAsia="es-CR"/>
        </w:rPr>
        <w:t xml:space="preserve">Se incorpora al </w:t>
      </w:r>
      <w:r w:rsidRPr="00736370">
        <w:rPr>
          <w:rFonts w:eastAsia="Calibri" w:cs="Arial"/>
          <w:i/>
          <w:iCs/>
          <w:color w:val="000000"/>
          <w:lang w:eastAsia="es-CR"/>
        </w:rPr>
        <w:t>Anexo 22</w:t>
      </w:r>
      <w:r w:rsidRPr="00736370">
        <w:rPr>
          <w:rFonts w:eastAsia="Calibri" w:cs="Arial"/>
          <w:color w:val="000000"/>
          <w:lang w:eastAsia="es-CR"/>
        </w:rPr>
        <w:t xml:space="preserve"> </w:t>
      </w:r>
      <w:r w:rsidRPr="00736370">
        <w:rPr>
          <w:rFonts w:eastAsia="Calibri" w:cs="Arial"/>
          <w:i/>
          <w:iCs/>
          <w:color w:val="000000"/>
          <w:lang w:eastAsia="es-CR"/>
        </w:rPr>
        <w:t>Reporte de Composición de Carteras de Fondos Inmobiliarios</w:t>
      </w:r>
      <w:r w:rsidRPr="00736370">
        <w:rPr>
          <w:rFonts w:eastAsia="Calibri" w:cs="Arial"/>
          <w:color w:val="000000"/>
          <w:lang w:eastAsia="es-CR"/>
        </w:rPr>
        <w:t xml:space="preserve"> los rubros de Deterioro y el Valor en libros del inmueble a la fecha valor de la cartera de acuerdo con lo siguiente:  </w:t>
      </w:r>
    </w:p>
    <w:p w14:paraId="6BDEB564" w14:textId="77777777" w:rsidR="002A1604" w:rsidRPr="00736370" w:rsidRDefault="002A1604" w:rsidP="002A1604">
      <w:pPr>
        <w:pStyle w:val="Prrafodelista"/>
        <w:ind w:left="1080"/>
        <w:jc w:val="both"/>
        <w:rPr>
          <w:rFonts w:eastAsia="Calibri" w:cs="Arial"/>
          <w:color w:val="000000"/>
          <w:lang w:eastAsia="es-CR"/>
        </w:rPr>
      </w:pPr>
    </w:p>
    <w:p w14:paraId="59E1A088" w14:textId="77777777" w:rsidR="00AA318B" w:rsidRPr="00AA318B" w:rsidRDefault="00AA318B" w:rsidP="00AA318B">
      <w:pPr>
        <w:spacing w:after="0" w:line="240" w:lineRule="auto"/>
        <w:ind w:left="360"/>
        <w:jc w:val="both"/>
        <w:rPr>
          <w:rFonts w:eastAsia="Times New Roman" w:cs="Arial"/>
          <w:b/>
          <w:lang w:val="es-CR"/>
        </w:rPr>
      </w:pPr>
      <w:r w:rsidRPr="00AA318B">
        <w:rPr>
          <w:rFonts w:eastAsia="Times New Roman" w:cs="Arial"/>
          <w:lang w:val="es-CR"/>
        </w:rPr>
        <w:tab/>
      </w:r>
      <w:r w:rsidRPr="00AA318B">
        <w:rPr>
          <w:rFonts w:eastAsia="Times New Roman" w:cs="Arial"/>
          <w:b/>
          <w:lang w:val="es-CR"/>
        </w:rPr>
        <w:t>ARCHIVO No. 1 - PLANTILLA DE INMUEBLES</w:t>
      </w:r>
    </w:p>
    <w:p w14:paraId="3FD86E21" w14:textId="77777777" w:rsidR="00AA318B" w:rsidRPr="00AA318B" w:rsidRDefault="00AA318B" w:rsidP="00AA318B">
      <w:pPr>
        <w:spacing w:after="0" w:line="240" w:lineRule="auto"/>
        <w:jc w:val="both"/>
        <w:rPr>
          <w:rFonts w:eastAsia="Times New Roman" w:cs="Arial"/>
          <w:lang w:val="es-C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682"/>
        <w:gridCol w:w="3608"/>
        <w:gridCol w:w="1234"/>
        <w:gridCol w:w="851"/>
        <w:gridCol w:w="709"/>
      </w:tblGrid>
      <w:tr w:rsidR="00AA318B" w:rsidRPr="00AA318B" w14:paraId="7B672A90" w14:textId="77777777" w:rsidTr="008611A2">
        <w:trPr>
          <w:trHeight w:val="331"/>
          <w:tblHeader/>
        </w:trPr>
        <w:tc>
          <w:tcPr>
            <w:tcW w:w="842" w:type="dxa"/>
          </w:tcPr>
          <w:p w14:paraId="6D05B0F7" w14:textId="77777777" w:rsidR="00AA318B" w:rsidRPr="00AA318B" w:rsidRDefault="00AA318B" w:rsidP="00786288">
            <w:pPr>
              <w:spacing w:after="0" w:line="240" w:lineRule="auto"/>
              <w:jc w:val="center"/>
              <w:rPr>
                <w:rFonts w:eastAsia="Times New Roman" w:cs="Arial"/>
                <w:b/>
                <w:bCs/>
                <w:lang w:val="es-CR"/>
              </w:rPr>
            </w:pPr>
            <w:r w:rsidRPr="00AA318B">
              <w:rPr>
                <w:rFonts w:eastAsia="Times New Roman" w:cs="Arial"/>
                <w:b/>
                <w:bCs/>
                <w:lang w:val="es-CR"/>
              </w:rPr>
              <w:t>No.</w:t>
            </w:r>
          </w:p>
        </w:tc>
        <w:tc>
          <w:tcPr>
            <w:tcW w:w="1682" w:type="dxa"/>
          </w:tcPr>
          <w:p w14:paraId="0E62F0CA" w14:textId="77777777" w:rsidR="00AA318B" w:rsidRPr="00AA318B" w:rsidRDefault="00AA318B" w:rsidP="00786288">
            <w:pPr>
              <w:spacing w:after="0" w:line="240" w:lineRule="auto"/>
              <w:jc w:val="center"/>
              <w:rPr>
                <w:rFonts w:eastAsia="Times New Roman" w:cs="Arial"/>
                <w:b/>
                <w:bCs/>
                <w:lang w:val="es-CR"/>
              </w:rPr>
            </w:pPr>
            <w:r w:rsidRPr="00AA318B">
              <w:rPr>
                <w:rFonts w:eastAsia="Times New Roman" w:cs="Arial"/>
                <w:b/>
                <w:bCs/>
                <w:lang w:val="es-CR"/>
              </w:rPr>
              <w:t>Nombre</w:t>
            </w:r>
          </w:p>
        </w:tc>
        <w:tc>
          <w:tcPr>
            <w:tcW w:w="3608" w:type="dxa"/>
          </w:tcPr>
          <w:p w14:paraId="04BC2F02" w14:textId="77777777" w:rsidR="00AA318B" w:rsidRPr="00AA318B" w:rsidRDefault="00AA318B" w:rsidP="00786288">
            <w:pPr>
              <w:spacing w:after="0" w:line="240" w:lineRule="auto"/>
              <w:jc w:val="center"/>
              <w:rPr>
                <w:rFonts w:eastAsia="Times New Roman" w:cs="Arial"/>
                <w:b/>
                <w:bCs/>
                <w:lang w:val="es-CR"/>
              </w:rPr>
            </w:pPr>
            <w:r w:rsidRPr="00AA318B">
              <w:rPr>
                <w:rFonts w:eastAsia="Times New Roman" w:cs="Arial"/>
                <w:b/>
                <w:bCs/>
                <w:lang w:val="es-CR"/>
              </w:rPr>
              <w:t>Descripción</w:t>
            </w:r>
          </w:p>
        </w:tc>
        <w:tc>
          <w:tcPr>
            <w:tcW w:w="1234" w:type="dxa"/>
          </w:tcPr>
          <w:p w14:paraId="426406FD" w14:textId="77777777" w:rsidR="00AA318B" w:rsidRPr="00AA318B" w:rsidRDefault="00AA318B" w:rsidP="00786288">
            <w:pPr>
              <w:spacing w:after="0" w:line="240" w:lineRule="auto"/>
              <w:jc w:val="center"/>
              <w:rPr>
                <w:rFonts w:eastAsia="Times New Roman" w:cs="Arial"/>
                <w:b/>
                <w:bCs/>
                <w:lang w:val="es-CR"/>
              </w:rPr>
            </w:pPr>
            <w:r w:rsidRPr="00AA318B">
              <w:rPr>
                <w:rFonts w:eastAsia="Times New Roman" w:cs="Arial"/>
                <w:b/>
                <w:bCs/>
                <w:lang w:val="es-CR"/>
              </w:rPr>
              <w:t>Formato</w:t>
            </w:r>
          </w:p>
        </w:tc>
        <w:tc>
          <w:tcPr>
            <w:tcW w:w="851" w:type="dxa"/>
          </w:tcPr>
          <w:p w14:paraId="126CF8A5" w14:textId="77777777" w:rsidR="00AA318B" w:rsidRPr="00AA318B" w:rsidRDefault="00AA318B" w:rsidP="00786288">
            <w:pPr>
              <w:spacing w:after="0" w:line="240" w:lineRule="auto"/>
              <w:jc w:val="center"/>
              <w:rPr>
                <w:rFonts w:eastAsia="Times New Roman" w:cs="Arial"/>
                <w:b/>
                <w:bCs/>
                <w:lang w:val="es-CR"/>
              </w:rPr>
            </w:pPr>
            <w:r w:rsidRPr="00AA318B">
              <w:rPr>
                <w:rFonts w:eastAsia="Times New Roman" w:cs="Arial"/>
                <w:b/>
                <w:bCs/>
                <w:lang w:val="es-CR"/>
              </w:rPr>
              <w:t>Long.</w:t>
            </w:r>
          </w:p>
        </w:tc>
        <w:tc>
          <w:tcPr>
            <w:tcW w:w="709" w:type="dxa"/>
          </w:tcPr>
          <w:p w14:paraId="798B9885" w14:textId="77777777" w:rsidR="00AA318B" w:rsidRPr="00AA318B" w:rsidRDefault="00AA318B" w:rsidP="00786288">
            <w:pPr>
              <w:spacing w:after="0" w:line="240" w:lineRule="auto"/>
              <w:jc w:val="center"/>
              <w:rPr>
                <w:rFonts w:eastAsia="Times New Roman" w:cs="Arial"/>
                <w:b/>
                <w:bCs/>
                <w:lang w:val="es-CR"/>
              </w:rPr>
            </w:pPr>
            <w:r w:rsidRPr="00AA318B">
              <w:rPr>
                <w:rFonts w:eastAsia="Times New Roman" w:cs="Arial"/>
                <w:b/>
                <w:bCs/>
                <w:lang w:val="es-CR"/>
              </w:rPr>
              <w:t>Dec.</w:t>
            </w:r>
          </w:p>
        </w:tc>
      </w:tr>
      <w:tr w:rsidR="00AA318B" w:rsidRPr="00C255EA" w14:paraId="64D9481D" w14:textId="77777777" w:rsidTr="008611A2">
        <w:trPr>
          <w:trHeight w:val="331"/>
        </w:trPr>
        <w:tc>
          <w:tcPr>
            <w:tcW w:w="842" w:type="dxa"/>
            <w:tcBorders>
              <w:top w:val="single" w:sz="4" w:space="0" w:color="auto"/>
              <w:left w:val="single" w:sz="4" w:space="0" w:color="auto"/>
              <w:bottom w:val="single" w:sz="4" w:space="0" w:color="auto"/>
              <w:right w:val="single" w:sz="4" w:space="0" w:color="auto"/>
            </w:tcBorders>
          </w:tcPr>
          <w:p w14:paraId="3FD8C714" w14:textId="77777777" w:rsidR="00AA318B" w:rsidRPr="00AA318B" w:rsidRDefault="00AA318B" w:rsidP="008611A2">
            <w:pPr>
              <w:rPr>
                <w:rFonts w:eastAsia="Times New Roman" w:cs="Arial"/>
                <w:lang w:val="es-CR"/>
              </w:rPr>
            </w:pPr>
            <w:r w:rsidRPr="00AA318B">
              <w:rPr>
                <w:rFonts w:eastAsia="Times New Roman" w:cs="Arial"/>
                <w:lang w:val="es-CR"/>
              </w:rPr>
              <w:t>4</w:t>
            </w:r>
          </w:p>
        </w:tc>
        <w:tc>
          <w:tcPr>
            <w:tcW w:w="1682" w:type="dxa"/>
            <w:tcBorders>
              <w:top w:val="single" w:sz="4" w:space="0" w:color="auto"/>
              <w:left w:val="single" w:sz="4" w:space="0" w:color="auto"/>
              <w:bottom w:val="single" w:sz="4" w:space="0" w:color="auto"/>
              <w:right w:val="single" w:sz="4" w:space="0" w:color="auto"/>
            </w:tcBorders>
          </w:tcPr>
          <w:p w14:paraId="7A5A3256" w14:textId="77777777" w:rsidR="00AA318B" w:rsidRPr="00AA318B" w:rsidRDefault="00AA318B" w:rsidP="008611A2">
            <w:pPr>
              <w:rPr>
                <w:rFonts w:eastAsia="Times New Roman" w:cs="Arial"/>
                <w:lang w:val="es-CR"/>
              </w:rPr>
            </w:pPr>
            <w:r w:rsidRPr="00AA318B">
              <w:rPr>
                <w:rFonts w:eastAsia="Times New Roman" w:cs="Arial"/>
                <w:lang w:val="es-CR"/>
              </w:rPr>
              <w:t xml:space="preserve">Deterioro de activos </w:t>
            </w:r>
          </w:p>
        </w:tc>
        <w:tc>
          <w:tcPr>
            <w:tcW w:w="3608" w:type="dxa"/>
            <w:tcBorders>
              <w:top w:val="single" w:sz="4" w:space="0" w:color="auto"/>
              <w:left w:val="single" w:sz="4" w:space="0" w:color="auto"/>
              <w:bottom w:val="single" w:sz="4" w:space="0" w:color="auto"/>
              <w:right w:val="single" w:sz="4" w:space="0" w:color="auto"/>
            </w:tcBorders>
          </w:tcPr>
          <w:p w14:paraId="714A18E8" w14:textId="77777777" w:rsidR="00AA318B" w:rsidRPr="00AA318B" w:rsidRDefault="00AA318B" w:rsidP="008611A2">
            <w:pPr>
              <w:jc w:val="both"/>
              <w:rPr>
                <w:rFonts w:eastAsia="Times New Roman" w:cs="Arial"/>
                <w:lang w:val="es-CR"/>
              </w:rPr>
            </w:pPr>
            <w:r w:rsidRPr="00AA318B">
              <w:rPr>
                <w:rFonts w:eastAsia="Times New Roman" w:cs="Arial"/>
                <w:lang w:val="es-CR"/>
              </w:rPr>
              <w:t>Corresponde al monto del deterioro, que debe coincidir con la</w:t>
            </w:r>
            <w:r>
              <w:rPr>
                <w:rFonts w:eastAsia="Times New Roman" w:cs="Arial"/>
                <w:lang w:val="es-CR"/>
              </w:rPr>
              <w:t>s cuentas bajo el mismo concepto en el Estado de Situación (</w:t>
            </w:r>
            <w:r w:rsidR="001814DF" w:rsidRPr="001814DF">
              <w:rPr>
                <w:rFonts w:eastAsia="Times New Roman" w:cs="Arial"/>
                <w:lang w:val="es-CR"/>
              </w:rPr>
              <w:t>70200501</w:t>
            </w:r>
            <w:r w:rsidR="0059203E">
              <w:rPr>
                <w:rFonts w:eastAsia="Times New Roman" w:cs="Arial"/>
                <w:lang w:val="es-CR"/>
              </w:rPr>
              <w:t>9</w:t>
            </w:r>
            <w:r w:rsidR="001814DF" w:rsidRPr="001814DF">
              <w:rPr>
                <w:rFonts w:eastAsia="Times New Roman" w:cs="Arial"/>
                <w:lang w:val="es-CR"/>
              </w:rPr>
              <w:t>000</w:t>
            </w:r>
            <w:r w:rsidR="001814DF">
              <w:rPr>
                <w:rFonts w:eastAsia="Times New Roman" w:cs="Arial"/>
                <w:lang w:val="es-CR"/>
              </w:rPr>
              <w:t xml:space="preserve"> o </w:t>
            </w:r>
            <w:r w:rsidRPr="00AA318B">
              <w:rPr>
                <w:rFonts w:eastAsia="Times New Roman" w:cs="Arial"/>
                <w:lang w:val="es-CR"/>
              </w:rPr>
              <w:t>702005029000</w:t>
            </w:r>
            <w:r w:rsidR="001814DF">
              <w:rPr>
                <w:rFonts w:eastAsia="Times New Roman" w:cs="Arial"/>
                <w:lang w:val="es-CR"/>
              </w:rPr>
              <w:t>)</w:t>
            </w:r>
            <w:r w:rsidRPr="00AA318B">
              <w:rPr>
                <w:rFonts w:eastAsia="Times New Roman" w:cs="Arial"/>
                <w:lang w:val="es-CR"/>
              </w:rPr>
              <w:t>.</w:t>
            </w:r>
          </w:p>
        </w:tc>
        <w:tc>
          <w:tcPr>
            <w:tcW w:w="1234" w:type="dxa"/>
            <w:tcBorders>
              <w:top w:val="single" w:sz="4" w:space="0" w:color="auto"/>
              <w:left w:val="single" w:sz="4" w:space="0" w:color="auto"/>
              <w:bottom w:val="single" w:sz="4" w:space="0" w:color="auto"/>
              <w:right w:val="single" w:sz="4" w:space="0" w:color="auto"/>
            </w:tcBorders>
          </w:tcPr>
          <w:p w14:paraId="42AA6C4D" w14:textId="77777777" w:rsidR="00AA318B" w:rsidRPr="00AA318B" w:rsidRDefault="00AA318B" w:rsidP="008611A2">
            <w:pPr>
              <w:rPr>
                <w:rFonts w:eastAsia="Times New Roman" w:cs="Arial"/>
                <w:lang w:val="es-CR"/>
              </w:rPr>
            </w:pPr>
            <w:r w:rsidRPr="00AA318B">
              <w:rPr>
                <w:rFonts w:eastAsia="Times New Roman" w:cs="Arial"/>
                <w:lang w:val="es-CR"/>
              </w:rPr>
              <w:t>Numérico</w:t>
            </w:r>
          </w:p>
        </w:tc>
        <w:tc>
          <w:tcPr>
            <w:tcW w:w="851" w:type="dxa"/>
            <w:tcBorders>
              <w:top w:val="single" w:sz="4" w:space="0" w:color="auto"/>
              <w:left w:val="single" w:sz="4" w:space="0" w:color="auto"/>
              <w:bottom w:val="single" w:sz="4" w:space="0" w:color="auto"/>
              <w:right w:val="single" w:sz="4" w:space="0" w:color="auto"/>
            </w:tcBorders>
          </w:tcPr>
          <w:p w14:paraId="1F098EBB" w14:textId="77777777" w:rsidR="00AA318B" w:rsidRPr="00AA318B" w:rsidRDefault="00AA318B" w:rsidP="008611A2">
            <w:pPr>
              <w:rPr>
                <w:rFonts w:eastAsia="Times New Roman" w:cs="Arial"/>
                <w:lang w:val="es-CR"/>
              </w:rPr>
            </w:pPr>
            <w:r w:rsidRPr="00AA318B">
              <w:rPr>
                <w:rFonts w:eastAsia="Times New Roman" w:cs="Arial"/>
                <w:lang w:val="es-CR"/>
              </w:rPr>
              <w:t>18</w:t>
            </w:r>
          </w:p>
        </w:tc>
        <w:tc>
          <w:tcPr>
            <w:tcW w:w="709" w:type="dxa"/>
            <w:tcBorders>
              <w:top w:val="single" w:sz="4" w:space="0" w:color="auto"/>
              <w:left w:val="single" w:sz="4" w:space="0" w:color="auto"/>
              <w:bottom w:val="single" w:sz="4" w:space="0" w:color="auto"/>
              <w:right w:val="single" w:sz="4" w:space="0" w:color="auto"/>
            </w:tcBorders>
          </w:tcPr>
          <w:p w14:paraId="4CB55DB8" w14:textId="77777777" w:rsidR="00AA318B" w:rsidRPr="00AA318B" w:rsidRDefault="00AA318B" w:rsidP="008611A2">
            <w:pPr>
              <w:rPr>
                <w:rFonts w:eastAsia="Times New Roman" w:cs="Arial"/>
                <w:lang w:val="es-CR"/>
              </w:rPr>
            </w:pPr>
            <w:r w:rsidRPr="00AA318B">
              <w:rPr>
                <w:rFonts w:eastAsia="Times New Roman" w:cs="Arial"/>
                <w:lang w:val="es-CR"/>
              </w:rPr>
              <w:t>2</w:t>
            </w:r>
          </w:p>
        </w:tc>
      </w:tr>
      <w:tr w:rsidR="004C31CA" w:rsidRPr="009F5253" w14:paraId="5D1DB03B" w14:textId="77777777" w:rsidTr="008611A2">
        <w:trPr>
          <w:trHeight w:val="331"/>
        </w:trPr>
        <w:tc>
          <w:tcPr>
            <w:tcW w:w="842" w:type="dxa"/>
            <w:tcBorders>
              <w:top w:val="single" w:sz="4" w:space="0" w:color="auto"/>
              <w:left w:val="single" w:sz="4" w:space="0" w:color="auto"/>
              <w:bottom w:val="single" w:sz="4" w:space="0" w:color="auto"/>
              <w:right w:val="single" w:sz="4" w:space="0" w:color="auto"/>
            </w:tcBorders>
          </w:tcPr>
          <w:p w14:paraId="7EB06C6E" w14:textId="77777777" w:rsidR="004C31CA" w:rsidRPr="00AA318B" w:rsidRDefault="004C31CA" w:rsidP="004C31CA">
            <w:pPr>
              <w:rPr>
                <w:rFonts w:eastAsia="Times New Roman" w:cs="Arial"/>
                <w:lang w:val="es-CR"/>
              </w:rPr>
            </w:pPr>
            <w:r>
              <w:rPr>
                <w:rFonts w:eastAsia="Times New Roman" w:cs="Arial"/>
                <w:lang w:val="es-CR"/>
              </w:rPr>
              <w:t>7</w:t>
            </w:r>
          </w:p>
        </w:tc>
        <w:tc>
          <w:tcPr>
            <w:tcW w:w="1682" w:type="dxa"/>
            <w:tcBorders>
              <w:top w:val="single" w:sz="4" w:space="0" w:color="auto"/>
              <w:left w:val="single" w:sz="4" w:space="0" w:color="auto"/>
              <w:bottom w:val="single" w:sz="4" w:space="0" w:color="auto"/>
              <w:right w:val="single" w:sz="4" w:space="0" w:color="auto"/>
            </w:tcBorders>
          </w:tcPr>
          <w:p w14:paraId="513CA761" w14:textId="77777777" w:rsidR="004C31CA" w:rsidRDefault="004C31CA" w:rsidP="004C31CA">
            <w:pPr>
              <w:rPr>
                <w:rFonts w:eastAsia="Times New Roman" w:cs="Arial"/>
                <w:lang w:val="es-CR"/>
              </w:rPr>
            </w:pPr>
            <w:r w:rsidRPr="00AA318B">
              <w:rPr>
                <w:rFonts w:eastAsia="Times New Roman" w:cs="Arial"/>
                <w:lang w:val="es-CR"/>
              </w:rPr>
              <w:t xml:space="preserve">Valor en libros </w:t>
            </w:r>
          </w:p>
          <w:p w14:paraId="1EEE11FA" w14:textId="77777777" w:rsidR="004C31CA" w:rsidRPr="00AA318B" w:rsidRDefault="004C31CA" w:rsidP="004C31CA">
            <w:pPr>
              <w:rPr>
                <w:rFonts w:eastAsia="Times New Roman" w:cs="Arial"/>
                <w:lang w:val="es-CR"/>
              </w:rPr>
            </w:pPr>
          </w:p>
        </w:tc>
        <w:tc>
          <w:tcPr>
            <w:tcW w:w="3608" w:type="dxa"/>
            <w:tcBorders>
              <w:top w:val="single" w:sz="4" w:space="0" w:color="auto"/>
              <w:left w:val="single" w:sz="4" w:space="0" w:color="auto"/>
              <w:bottom w:val="single" w:sz="4" w:space="0" w:color="auto"/>
              <w:right w:val="single" w:sz="4" w:space="0" w:color="auto"/>
            </w:tcBorders>
          </w:tcPr>
          <w:p w14:paraId="2E346037" w14:textId="77777777" w:rsidR="004C31CA" w:rsidRPr="004C31CA" w:rsidRDefault="004C31CA" w:rsidP="004C31CA">
            <w:pPr>
              <w:jc w:val="both"/>
              <w:rPr>
                <w:rFonts w:eastAsia="Times New Roman" w:cs="Arial"/>
                <w:lang w:val="es-CR"/>
              </w:rPr>
            </w:pPr>
            <w:r w:rsidRPr="004C31CA">
              <w:rPr>
                <w:rFonts w:eastAsia="Times New Roman" w:cs="Arial"/>
                <w:lang w:val="es-CR"/>
              </w:rPr>
              <w:t xml:space="preserve">Valor en libros del inmueble a la fecha valor de la cartera.  </w:t>
            </w:r>
          </w:p>
          <w:p w14:paraId="2A5BE0E5" w14:textId="77777777" w:rsidR="004C31CA" w:rsidRPr="00AA318B" w:rsidRDefault="004C31CA" w:rsidP="004C31CA">
            <w:pPr>
              <w:jc w:val="both"/>
              <w:rPr>
                <w:rFonts w:eastAsia="Times New Roman" w:cs="Arial"/>
                <w:lang w:val="es-CR"/>
              </w:rPr>
            </w:pPr>
            <w:r w:rsidRPr="004C31CA">
              <w:rPr>
                <w:rFonts w:eastAsia="Times New Roman" w:cs="Arial"/>
                <w:lang w:val="es-CR"/>
              </w:rPr>
              <w:t>Corresponde a la sumatoria del valor de adquisición, Estimación por valuación a valor razonable, Deterioro de Activos, Mejoras capitalizadas y Ampliaciones Capitalizadas (suma 2,3,4,5 y 6).</w:t>
            </w:r>
          </w:p>
        </w:tc>
        <w:tc>
          <w:tcPr>
            <w:tcW w:w="1234" w:type="dxa"/>
            <w:tcBorders>
              <w:top w:val="single" w:sz="4" w:space="0" w:color="auto"/>
              <w:left w:val="single" w:sz="4" w:space="0" w:color="auto"/>
              <w:bottom w:val="single" w:sz="4" w:space="0" w:color="auto"/>
              <w:right w:val="single" w:sz="4" w:space="0" w:color="auto"/>
            </w:tcBorders>
          </w:tcPr>
          <w:p w14:paraId="21CF6C89" w14:textId="77777777" w:rsidR="004C31CA" w:rsidRPr="00AA318B" w:rsidRDefault="004C31CA" w:rsidP="004C31CA">
            <w:pPr>
              <w:rPr>
                <w:rFonts w:eastAsia="Times New Roman" w:cs="Arial"/>
                <w:lang w:val="es-CR"/>
              </w:rPr>
            </w:pPr>
            <w:r w:rsidRPr="00AA318B">
              <w:rPr>
                <w:rFonts w:eastAsia="Times New Roman" w:cs="Arial"/>
                <w:lang w:val="es-CR"/>
              </w:rPr>
              <w:t>Numérico</w:t>
            </w:r>
          </w:p>
        </w:tc>
        <w:tc>
          <w:tcPr>
            <w:tcW w:w="851" w:type="dxa"/>
            <w:tcBorders>
              <w:top w:val="single" w:sz="4" w:space="0" w:color="auto"/>
              <w:left w:val="single" w:sz="4" w:space="0" w:color="auto"/>
              <w:bottom w:val="single" w:sz="4" w:space="0" w:color="auto"/>
              <w:right w:val="single" w:sz="4" w:space="0" w:color="auto"/>
            </w:tcBorders>
          </w:tcPr>
          <w:p w14:paraId="2D839837" w14:textId="77777777" w:rsidR="004C31CA" w:rsidRPr="00AA318B" w:rsidRDefault="004C31CA" w:rsidP="004C31CA">
            <w:pPr>
              <w:rPr>
                <w:rFonts w:eastAsia="Times New Roman" w:cs="Arial"/>
                <w:lang w:val="es-CR"/>
              </w:rPr>
            </w:pPr>
            <w:r w:rsidRPr="00AA318B">
              <w:rPr>
                <w:rFonts w:eastAsia="Times New Roman" w:cs="Arial"/>
                <w:lang w:val="es-CR"/>
              </w:rPr>
              <w:t>18</w:t>
            </w:r>
          </w:p>
        </w:tc>
        <w:tc>
          <w:tcPr>
            <w:tcW w:w="709" w:type="dxa"/>
            <w:tcBorders>
              <w:top w:val="single" w:sz="4" w:space="0" w:color="auto"/>
              <w:left w:val="single" w:sz="4" w:space="0" w:color="auto"/>
              <w:bottom w:val="single" w:sz="4" w:space="0" w:color="auto"/>
              <w:right w:val="single" w:sz="4" w:space="0" w:color="auto"/>
            </w:tcBorders>
          </w:tcPr>
          <w:p w14:paraId="2C7344A8" w14:textId="77777777" w:rsidR="004C31CA" w:rsidRPr="00AA318B" w:rsidRDefault="004C31CA" w:rsidP="004C31CA">
            <w:pPr>
              <w:rPr>
                <w:rFonts w:eastAsia="Times New Roman" w:cs="Arial"/>
                <w:lang w:val="es-CR"/>
              </w:rPr>
            </w:pPr>
            <w:r w:rsidRPr="00AA318B">
              <w:rPr>
                <w:rFonts w:eastAsia="Times New Roman" w:cs="Arial"/>
                <w:lang w:val="es-CR"/>
              </w:rPr>
              <w:t>2</w:t>
            </w:r>
          </w:p>
        </w:tc>
      </w:tr>
    </w:tbl>
    <w:p w14:paraId="56FEA10C" w14:textId="77777777" w:rsidR="00AA318B" w:rsidRDefault="00AA318B" w:rsidP="00AF22E5">
      <w:pPr>
        <w:jc w:val="both"/>
        <w:rPr>
          <w:rFonts w:eastAsia="Calibri" w:cs="Arial"/>
          <w:color w:val="000000"/>
          <w:lang w:eastAsia="es-CR"/>
        </w:rPr>
      </w:pPr>
    </w:p>
    <w:bookmarkStart w:id="0" w:name="_MON_1676981225"/>
    <w:bookmarkEnd w:id="0"/>
    <w:p w14:paraId="01752C7E" w14:textId="77777777" w:rsidR="00736370" w:rsidRDefault="0059203E" w:rsidP="00736370">
      <w:pPr>
        <w:pStyle w:val="Prrafodelista"/>
        <w:ind w:left="1080"/>
        <w:jc w:val="both"/>
        <w:rPr>
          <w:rFonts w:eastAsia="Calibri" w:cs="Arial"/>
          <w:color w:val="000000"/>
          <w:lang w:eastAsia="es-CR"/>
        </w:rPr>
      </w:pPr>
      <w:r>
        <w:rPr>
          <w:rFonts w:eastAsia="Calibri" w:cs="Arial"/>
          <w:color w:val="000000"/>
          <w:lang w:eastAsia="es-CR"/>
        </w:rPr>
        <w:object w:dxaOrig="1533" w:dyaOrig="990" w14:anchorId="4171E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691244268" r:id="rId14">
            <o:FieldCodes>\s</o:FieldCodes>
          </o:OLEObject>
        </w:object>
      </w:r>
    </w:p>
    <w:p w14:paraId="4D11E5DF" w14:textId="77777777" w:rsidR="002A1604" w:rsidRDefault="002A1604" w:rsidP="00736370">
      <w:pPr>
        <w:pStyle w:val="Prrafodelista"/>
        <w:ind w:left="1080"/>
        <w:jc w:val="both"/>
        <w:rPr>
          <w:rFonts w:eastAsia="Calibri" w:cs="Arial"/>
          <w:color w:val="000000"/>
          <w:lang w:eastAsia="es-CR"/>
        </w:rPr>
      </w:pPr>
    </w:p>
    <w:p w14:paraId="42AC8270" w14:textId="77777777" w:rsidR="00F15068" w:rsidRPr="00736370" w:rsidRDefault="00F15068" w:rsidP="00736370">
      <w:pPr>
        <w:pStyle w:val="Prrafodelista"/>
        <w:numPr>
          <w:ilvl w:val="0"/>
          <w:numId w:val="36"/>
        </w:numPr>
        <w:jc w:val="both"/>
        <w:rPr>
          <w:rFonts w:eastAsia="Calibri" w:cs="Arial"/>
          <w:color w:val="000000"/>
          <w:lang w:eastAsia="es-CR"/>
        </w:rPr>
      </w:pPr>
      <w:r w:rsidRPr="00736370">
        <w:rPr>
          <w:rFonts w:eastAsia="Calibri" w:cs="Arial"/>
          <w:color w:val="000000"/>
          <w:lang w:eastAsia="es-CR"/>
        </w:rPr>
        <w:t xml:space="preserve">Se incorpora al </w:t>
      </w:r>
      <w:r w:rsidR="00D5546E" w:rsidRPr="00736370">
        <w:rPr>
          <w:rFonts w:eastAsia="Calibri" w:cs="Arial"/>
          <w:color w:val="000000"/>
          <w:lang w:eastAsia="es-CR"/>
        </w:rPr>
        <w:t xml:space="preserve">Cuadro de Información Periódica </w:t>
      </w:r>
      <w:r w:rsidR="00736370">
        <w:rPr>
          <w:rFonts w:eastAsia="Calibri" w:cs="Arial"/>
          <w:color w:val="000000"/>
          <w:lang w:eastAsia="es-CR"/>
        </w:rPr>
        <w:t>e</w:t>
      </w:r>
      <w:r w:rsidR="0023600B" w:rsidRPr="00736370">
        <w:rPr>
          <w:rFonts w:eastAsia="Calibri" w:cs="Arial"/>
          <w:color w:val="000000"/>
          <w:lang w:eastAsia="es-CR"/>
        </w:rPr>
        <w:t>l requerimiento</w:t>
      </w:r>
      <w:r w:rsidR="00D5546E" w:rsidRPr="00736370">
        <w:rPr>
          <w:rFonts w:eastAsia="Calibri" w:cs="Arial"/>
          <w:color w:val="000000"/>
          <w:lang w:eastAsia="es-CR"/>
        </w:rPr>
        <w:t xml:space="preserve"> para la recepción de estados financieros no auditados para los fondos </w:t>
      </w:r>
      <w:r w:rsidR="0023600B" w:rsidRPr="00736370">
        <w:rPr>
          <w:rFonts w:eastAsia="Calibri" w:cs="Arial"/>
          <w:color w:val="000000"/>
          <w:lang w:eastAsia="es-CR"/>
        </w:rPr>
        <w:t xml:space="preserve">de inversión </w:t>
      </w:r>
      <w:r w:rsidR="00D5546E" w:rsidRPr="00736370">
        <w:rPr>
          <w:rFonts w:eastAsia="Calibri" w:cs="Arial"/>
          <w:color w:val="000000"/>
          <w:lang w:eastAsia="es-CR"/>
        </w:rPr>
        <w:t>de capital de riesgo</w:t>
      </w:r>
      <w:r w:rsidRPr="00736370">
        <w:rPr>
          <w:rFonts w:eastAsia="Calibri" w:cs="Arial"/>
          <w:color w:val="000000"/>
          <w:lang w:eastAsia="es-CR"/>
        </w:rPr>
        <w:t xml:space="preserve">:  </w:t>
      </w:r>
    </w:p>
    <w:tbl>
      <w:tblPr>
        <w:tblStyle w:val="Tablaconcuadrcula"/>
        <w:tblW w:w="0" w:type="auto"/>
        <w:tblInd w:w="-147" w:type="dxa"/>
        <w:tblLayout w:type="fixed"/>
        <w:tblLook w:val="04A0" w:firstRow="1" w:lastRow="0" w:firstColumn="1" w:lastColumn="0" w:noHBand="0" w:noVBand="1"/>
      </w:tblPr>
      <w:tblGrid>
        <w:gridCol w:w="1282"/>
        <w:gridCol w:w="1282"/>
        <w:gridCol w:w="1282"/>
        <w:gridCol w:w="1282"/>
        <w:gridCol w:w="1282"/>
        <w:gridCol w:w="1282"/>
        <w:gridCol w:w="1283"/>
      </w:tblGrid>
      <w:tr w:rsidR="002A1604" w:rsidRPr="00D5546E" w14:paraId="0417E379" w14:textId="77777777" w:rsidTr="00786288">
        <w:trPr>
          <w:trHeight w:val="522"/>
          <w:tblHeader/>
        </w:trPr>
        <w:tc>
          <w:tcPr>
            <w:tcW w:w="1282" w:type="dxa"/>
            <w:vAlign w:val="center"/>
          </w:tcPr>
          <w:p w14:paraId="6F14E823" w14:textId="77777777" w:rsidR="0006610B" w:rsidRPr="002A1604" w:rsidRDefault="0006610B" w:rsidP="00786288">
            <w:pPr>
              <w:spacing w:after="120"/>
              <w:jc w:val="center"/>
              <w:rPr>
                <w:rFonts w:eastAsia="Calibri" w:cs="Arial"/>
                <w:b/>
                <w:bCs/>
                <w:lang w:val="es-CR"/>
              </w:rPr>
            </w:pPr>
            <w:r w:rsidRPr="002A1604">
              <w:rPr>
                <w:rFonts w:eastAsia="Calibri" w:cs="Arial"/>
                <w:b/>
                <w:bCs/>
                <w:lang w:val="es-CR"/>
              </w:rPr>
              <w:t>Aplica a:</w:t>
            </w:r>
          </w:p>
        </w:tc>
        <w:tc>
          <w:tcPr>
            <w:tcW w:w="1282" w:type="dxa"/>
            <w:vAlign w:val="center"/>
          </w:tcPr>
          <w:p w14:paraId="101A84AC" w14:textId="77777777" w:rsidR="0006610B" w:rsidRPr="002A1604" w:rsidRDefault="0006610B" w:rsidP="00786288">
            <w:pPr>
              <w:spacing w:after="120"/>
              <w:jc w:val="center"/>
              <w:rPr>
                <w:rFonts w:eastAsia="Calibri" w:cs="Arial"/>
                <w:b/>
                <w:bCs/>
                <w:lang w:val="es-CR"/>
              </w:rPr>
            </w:pPr>
            <w:r w:rsidRPr="002A1604">
              <w:rPr>
                <w:rFonts w:eastAsia="Calibri" w:cs="Arial"/>
                <w:b/>
                <w:bCs/>
                <w:lang w:val="es-CR"/>
              </w:rPr>
              <w:t>Informe /o Reporte</w:t>
            </w:r>
          </w:p>
        </w:tc>
        <w:tc>
          <w:tcPr>
            <w:tcW w:w="1282" w:type="dxa"/>
            <w:vAlign w:val="center"/>
          </w:tcPr>
          <w:p w14:paraId="64607AFF" w14:textId="77777777" w:rsidR="0006610B" w:rsidRPr="002A1604" w:rsidRDefault="0006610B" w:rsidP="00786288">
            <w:pPr>
              <w:spacing w:after="120"/>
              <w:jc w:val="center"/>
              <w:rPr>
                <w:rFonts w:eastAsia="Calibri" w:cs="Arial"/>
                <w:b/>
                <w:bCs/>
                <w:lang w:val="es-CR"/>
              </w:rPr>
            </w:pPr>
            <w:r w:rsidRPr="002A1604">
              <w:rPr>
                <w:rFonts w:eastAsia="Calibri" w:cs="Arial"/>
                <w:b/>
                <w:bCs/>
                <w:lang w:val="es-CR"/>
              </w:rPr>
              <w:t>Periodicidad</w:t>
            </w:r>
          </w:p>
        </w:tc>
        <w:tc>
          <w:tcPr>
            <w:tcW w:w="1282" w:type="dxa"/>
            <w:vAlign w:val="center"/>
          </w:tcPr>
          <w:p w14:paraId="645B7189" w14:textId="77777777" w:rsidR="0006610B" w:rsidRPr="002A1604" w:rsidRDefault="0006610B" w:rsidP="00786288">
            <w:pPr>
              <w:spacing w:after="120"/>
              <w:jc w:val="center"/>
              <w:rPr>
                <w:rFonts w:eastAsia="Calibri" w:cs="Arial"/>
                <w:b/>
                <w:bCs/>
                <w:lang w:val="es-CR"/>
              </w:rPr>
            </w:pPr>
            <w:r w:rsidRPr="002A1604">
              <w:rPr>
                <w:rFonts w:eastAsia="Calibri" w:cs="Arial"/>
                <w:b/>
                <w:bCs/>
                <w:lang w:val="es-CR"/>
              </w:rPr>
              <w:t>Plazo máximo de entrega</w:t>
            </w:r>
          </w:p>
        </w:tc>
        <w:tc>
          <w:tcPr>
            <w:tcW w:w="1282" w:type="dxa"/>
            <w:vAlign w:val="center"/>
          </w:tcPr>
          <w:p w14:paraId="231F7A00" w14:textId="77777777" w:rsidR="0006610B" w:rsidRPr="002A1604" w:rsidRDefault="0006610B" w:rsidP="00786288">
            <w:pPr>
              <w:spacing w:after="120"/>
              <w:jc w:val="center"/>
              <w:rPr>
                <w:rFonts w:eastAsia="Calibri" w:cs="Arial"/>
                <w:b/>
                <w:bCs/>
                <w:lang w:val="es-CR"/>
              </w:rPr>
            </w:pPr>
            <w:r w:rsidRPr="002A1604">
              <w:rPr>
                <w:rFonts w:eastAsia="Calibri" w:cs="Arial"/>
                <w:b/>
                <w:bCs/>
                <w:lang w:val="es-CR"/>
              </w:rPr>
              <w:t>Formato o normas sobre el Contenido</w:t>
            </w:r>
          </w:p>
        </w:tc>
        <w:tc>
          <w:tcPr>
            <w:tcW w:w="1282" w:type="dxa"/>
            <w:vAlign w:val="center"/>
          </w:tcPr>
          <w:p w14:paraId="099814B1" w14:textId="77777777" w:rsidR="0006610B" w:rsidRPr="002A1604" w:rsidRDefault="0006610B" w:rsidP="00786288">
            <w:pPr>
              <w:spacing w:after="120"/>
              <w:jc w:val="center"/>
              <w:rPr>
                <w:rFonts w:eastAsia="Calibri" w:cs="Arial"/>
                <w:b/>
                <w:bCs/>
                <w:lang w:val="es-CR"/>
              </w:rPr>
            </w:pPr>
            <w:r w:rsidRPr="002A1604">
              <w:rPr>
                <w:rFonts w:eastAsia="Calibri" w:cs="Arial"/>
                <w:b/>
                <w:bCs/>
                <w:lang w:val="es-CR"/>
              </w:rPr>
              <w:t>Medio de envío</w:t>
            </w:r>
          </w:p>
        </w:tc>
        <w:tc>
          <w:tcPr>
            <w:tcW w:w="1283" w:type="dxa"/>
            <w:vAlign w:val="center"/>
          </w:tcPr>
          <w:p w14:paraId="2A5E70BE" w14:textId="77777777" w:rsidR="0006610B" w:rsidRPr="002A1604" w:rsidRDefault="0006610B" w:rsidP="00786288">
            <w:pPr>
              <w:spacing w:after="120"/>
              <w:jc w:val="center"/>
              <w:rPr>
                <w:rFonts w:eastAsia="Calibri" w:cs="Arial"/>
                <w:b/>
                <w:bCs/>
                <w:lang w:val="es-CR"/>
              </w:rPr>
            </w:pPr>
            <w:r w:rsidRPr="002A1604">
              <w:rPr>
                <w:rFonts w:eastAsia="Calibri" w:cs="Arial"/>
                <w:b/>
                <w:bCs/>
                <w:lang w:val="es-CR"/>
              </w:rPr>
              <w:t>Nota</w:t>
            </w:r>
            <w:r w:rsidR="002A1604">
              <w:rPr>
                <w:rFonts w:eastAsia="Calibri" w:cs="Arial"/>
                <w:b/>
                <w:bCs/>
                <w:lang w:val="es-CR"/>
              </w:rPr>
              <w:t xml:space="preserve"> </w:t>
            </w:r>
            <w:r w:rsidRPr="002A1604">
              <w:rPr>
                <w:rFonts w:eastAsia="Calibri" w:cs="Arial"/>
                <w:b/>
                <w:bCs/>
                <w:lang w:val="es-CR"/>
              </w:rPr>
              <w:t>Aclaratoria</w:t>
            </w:r>
          </w:p>
        </w:tc>
      </w:tr>
      <w:tr w:rsidR="002A1604" w:rsidRPr="00D5546E" w14:paraId="2557EC20" w14:textId="77777777" w:rsidTr="00786288">
        <w:trPr>
          <w:trHeight w:val="2025"/>
        </w:trPr>
        <w:tc>
          <w:tcPr>
            <w:tcW w:w="1282" w:type="dxa"/>
          </w:tcPr>
          <w:p w14:paraId="237E4026" w14:textId="77777777" w:rsidR="0006610B" w:rsidRPr="00786288" w:rsidRDefault="0006610B" w:rsidP="00786288">
            <w:pPr>
              <w:spacing w:after="120"/>
              <w:jc w:val="center"/>
              <w:rPr>
                <w:rFonts w:eastAsia="Calibri" w:cs="Arial"/>
                <w:b/>
                <w:bCs/>
                <w:lang w:val="es-CR"/>
              </w:rPr>
            </w:pPr>
            <w:r w:rsidRPr="00786288">
              <w:rPr>
                <w:rFonts w:eastAsia="Calibri" w:cs="Arial"/>
                <w:b/>
                <w:bCs/>
                <w:lang w:val="es-CR"/>
              </w:rPr>
              <w:t>Fondos de Inversión de Capital de Riesgo</w:t>
            </w:r>
          </w:p>
        </w:tc>
        <w:tc>
          <w:tcPr>
            <w:tcW w:w="1282" w:type="dxa"/>
          </w:tcPr>
          <w:p w14:paraId="3D6FA535" w14:textId="77777777" w:rsidR="0006610B" w:rsidRPr="002A1604" w:rsidRDefault="0006610B" w:rsidP="00D5546E">
            <w:pPr>
              <w:spacing w:after="120"/>
              <w:rPr>
                <w:rFonts w:eastAsia="Calibri" w:cs="Arial"/>
                <w:lang w:val="es-CR"/>
              </w:rPr>
            </w:pPr>
            <w:r w:rsidRPr="002A1604">
              <w:rPr>
                <w:rFonts w:eastAsia="Calibri" w:cs="Arial"/>
                <w:lang w:val="es-CR"/>
              </w:rPr>
              <w:t>Estados financieros no auditados trimestrales para los fondos de inversión de capital de riesgo</w:t>
            </w:r>
          </w:p>
        </w:tc>
        <w:tc>
          <w:tcPr>
            <w:tcW w:w="1282" w:type="dxa"/>
          </w:tcPr>
          <w:p w14:paraId="7F21ACF4" w14:textId="77777777" w:rsidR="0006610B" w:rsidRPr="002A1604" w:rsidRDefault="0006610B" w:rsidP="00D5546E">
            <w:pPr>
              <w:spacing w:after="120"/>
              <w:rPr>
                <w:rFonts w:eastAsia="Calibri" w:cs="Arial"/>
                <w:lang w:val="es-CR"/>
              </w:rPr>
            </w:pPr>
            <w:r w:rsidRPr="002A1604">
              <w:rPr>
                <w:rFonts w:eastAsia="Calibri" w:cs="Arial"/>
                <w:lang w:val="es-CR"/>
              </w:rPr>
              <w:t>Trimestrales</w:t>
            </w:r>
          </w:p>
        </w:tc>
        <w:tc>
          <w:tcPr>
            <w:tcW w:w="1282" w:type="dxa"/>
          </w:tcPr>
          <w:p w14:paraId="49F51084" w14:textId="77777777" w:rsidR="0006610B" w:rsidRPr="002A1604" w:rsidRDefault="0006610B" w:rsidP="00D5546E">
            <w:pPr>
              <w:spacing w:after="120"/>
              <w:rPr>
                <w:rFonts w:eastAsia="Calibri" w:cs="Arial"/>
                <w:lang w:val="es-CR"/>
              </w:rPr>
            </w:pPr>
            <w:r w:rsidRPr="002A1604">
              <w:rPr>
                <w:rFonts w:eastAsia="Calibri" w:cs="Arial"/>
                <w:lang w:val="es-CR"/>
              </w:rPr>
              <w:t xml:space="preserve">15 días </w:t>
            </w:r>
            <w:r w:rsidR="00BF1F73" w:rsidRPr="002A1604">
              <w:rPr>
                <w:rFonts w:eastAsia="Calibri" w:cs="Arial"/>
                <w:lang w:val="es-CR"/>
              </w:rPr>
              <w:t xml:space="preserve">hábiles </w:t>
            </w:r>
            <w:r w:rsidRPr="002A1604">
              <w:rPr>
                <w:rFonts w:eastAsia="Calibri" w:cs="Arial"/>
                <w:lang w:val="es-CR"/>
              </w:rPr>
              <w:t>después del cierre trimestral</w:t>
            </w:r>
          </w:p>
        </w:tc>
        <w:tc>
          <w:tcPr>
            <w:tcW w:w="1282" w:type="dxa"/>
          </w:tcPr>
          <w:p w14:paraId="598765CD" w14:textId="77777777" w:rsidR="0006610B" w:rsidRPr="002A1604" w:rsidRDefault="0006610B" w:rsidP="0023600B">
            <w:pPr>
              <w:spacing w:after="120"/>
              <w:rPr>
                <w:rFonts w:eastAsia="Calibri" w:cs="Arial"/>
                <w:lang w:val="es-CR"/>
              </w:rPr>
            </w:pPr>
            <w:r w:rsidRPr="002A1604">
              <w:rPr>
                <w:rFonts w:eastAsia="Calibri" w:cs="Arial"/>
                <w:lang w:val="es-CR"/>
              </w:rPr>
              <w:t xml:space="preserve">Anexo 15 </w:t>
            </w:r>
          </w:p>
        </w:tc>
        <w:tc>
          <w:tcPr>
            <w:tcW w:w="1282" w:type="dxa"/>
          </w:tcPr>
          <w:p w14:paraId="3A595F1C" w14:textId="77777777" w:rsidR="0006610B" w:rsidRPr="002A1604" w:rsidRDefault="0006610B" w:rsidP="00D5546E">
            <w:pPr>
              <w:spacing w:after="120"/>
              <w:rPr>
                <w:rFonts w:eastAsia="Calibri" w:cs="Arial"/>
                <w:lang w:val="es-CR"/>
              </w:rPr>
            </w:pPr>
            <w:r w:rsidRPr="002A1604">
              <w:rPr>
                <w:rFonts w:eastAsia="Calibri" w:cs="Arial"/>
                <w:lang w:val="es-CR"/>
              </w:rPr>
              <w:t>Sistema Ingresador</w:t>
            </w:r>
          </w:p>
        </w:tc>
        <w:tc>
          <w:tcPr>
            <w:tcW w:w="1283" w:type="dxa"/>
          </w:tcPr>
          <w:p w14:paraId="11A295C2" w14:textId="77777777" w:rsidR="0006610B" w:rsidRPr="002A1604" w:rsidRDefault="0006610B" w:rsidP="00D5546E">
            <w:pPr>
              <w:spacing w:after="120"/>
              <w:rPr>
                <w:rFonts w:eastAsia="Calibri" w:cs="Arial"/>
                <w:lang w:val="es-CR"/>
              </w:rPr>
            </w:pPr>
            <w:r w:rsidRPr="002A1604">
              <w:rPr>
                <w:rFonts w:eastAsia="Calibri" w:cs="Arial"/>
                <w:lang w:val="es-CR"/>
              </w:rPr>
              <w:t>Solo para fondos de inversión de capital de riesgo</w:t>
            </w:r>
          </w:p>
        </w:tc>
      </w:tr>
    </w:tbl>
    <w:p w14:paraId="390A4764" w14:textId="77777777" w:rsidR="00EA504D" w:rsidRPr="00EA504D" w:rsidRDefault="00EA504D" w:rsidP="00EA504D">
      <w:pPr>
        <w:jc w:val="both"/>
        <w:rPr>
          <w:rFonts w:eastAsia="Calibri" w:cs="Arial"/>
          <w:color w:val="000000"/>
          <w:lang w:eastAsia="es-CR"/>
        </w:rPr>
      </w:pPr>
      <w:r w:rsidRPr="00EA504D">
        <w:rPr>
          <w:rFonts w:eastAsia="Calibri" w:cs="Arial"/>
          <w:color w:val="000000"/>
          <w:lang w:eastAsia="es-CR"/>
        </w:rPr>
        <w:t xml:space="preserve">  </w:t>
      </w:r>
    </w:p>
    <w:bookmarkStart w:id="1" w:name="_MON_1682766152"/>
    <w:bookmarkEnd w:id="1"/>
    <w:p w14:paraId="5A6190E8" w14:textId="77777777" w:rsidR="00786288" w:rsidRDefault="000335B8" w:rsidP="000335B8">
      <w:pPr>
        <w:pStyle w:val="Prrafodelista"/>
        <w:jc w:val="both"/>
        <w:rPr>
          <w:rFonts w:eastAsia="Calibri" w:cs="Arial"/>
          <w:b/>
        </w:rPr>
      </w:pPr>
      <w:r>
        <w:rPr>
          <w:rFonts w:eastAsia="Calibri" w:cs="Arial"/>
          <w:color w:val="000000"/>
          <w:lang w:eastAsia="es-CR"/>
        </w:rPr>
        <w:object w:dxaOrig="1175" w:dyaOrig="760" w14:anchorId="5C9F2BA4">
          <v:shape id="_x0000_i1026" type="#_x0000_t75" style="width:58.5pt;height:38pt" o:ole="">
            <v:imagedata r:id="rId15" o:title=""/>
          </v:shape>
          <o:OLEObject Type="Embed" ProgID="Excel.Sheet.8" ShapeID="_x0000_i1026" DrawAspect="Icon" ObjectID="_1691244269" r:id="rId16"/>
        </w:object>
      </w:r>
    </w:p>
    <w:p w14:paraId="566AA0CE" w14:textId="77777777" w:rsidR="00A34C64" w:rsidRPr="00A34C64" w:rsidRDefault="00E2590A" w:rsidP="00664ECB">
      <w:pPr>
        <w:jc w:val="both"/>
        <w:rPr>
          <w:rFonts w:eastAsia="Calibri" w:cs="Arial"/>
        </w:rPr>
      </w:pPr>
      <w:r w:rsidRPr="00E2590A">
        <w:rPr>
          <w:rFonts w:eastAsia="Calibri" w:cs="Arial"/>
          <w:b/>
        </w:rPr>
        <w:t>Artículo 2.</w:t>
      </w:r>
      <w:r w:rsidR="00B66115" w:rsidRPr="00E2590A">
        <w:rPr>
          <w:rFonts w:eastAsia="Calibri" w:cs="Arial"/>
          <w:b/>
        </w:rPr>
        <w:t>- Modificaciones</w:t>
      </w:r>
      <w:r w:rsidR="008611A2">
        <w:rPr>
          <w:rFonts w:eastAsia="Calibri" w:cs="Arial"/>
          <w:b/>
        </w:rPr>
        <w:t xml:space="preserve"> al SGV-A-75 Acuerdo sobre el Suministro de Información Periódica</w:t>
      </w:r>
    </w:p>
    <w:p w14:paraId="53A7E70F" w14:textId="77777777" w:rsidR="00E2590A" w:rsidRPr="00553D2F" w:rsidRDefault="00722D04" w:rsidP="00A34C64">
      <w:pPr>
        <w:pStyle w:val="Prrafodelista"/>
        <w:numPr>
          <w:ilvl w:val="0"/>
          <w:numId w:val="10"/>
        </w:numPr>
        <w:jc w:val="both"/>
        <w:rPr>
          <w:rFonts w:eastAsia="Calibri" w:cs="Arial"/>
          <w:b/>
        </w:rPr>
      </w:pPr>
      <w:r>
        <w:rPr>
          <w:rFonts w:eastAsia="Calibri" w:cs="Arial"/>
        </w:rPr>
        <w:t>Se modifica</w:t>
      </w:r>
      <w:r w:rsidR="00056417">
        <w:rPr>
          <w:rFonts w:eastAsia="Calibri" w:cs="Arial"/>
        </w:rPr>
        <w:t xml:space="preserve">n </w:t>
      </w:r>
      <w:r w:rsidR="00B8489F">
        <w:rPr>
          <w:rFonts w:eastAsia="Calibri" w:cs="Arial"/>
        </w:rPr>
        <w:t xml:space="preserve">en el Manual descriptivo de Carteras de Inversión (Anexos 10 y 18) </w:t>
      </w:r>
      <w:r w:rsidR="00056417">
        <w:rPr>
          <w:rFonts w:eastAsia="Calibri" w:cs="Arial"/>
        </w:rPr>
        <w:t>las validaciones de los siguientes campos</w:t>
      </w:r>
      <w:r w:rsidR="00745198" w:rsidRPr="00A34C64">
        <w:rPr>
          <w:rFonts w:eastAsia="Calibri" w:cs="Arial"/>
        </w:rPr>
        <w:t>:</w:t>
      </w:r>
    </w:p>
    <w:p w14:paraId="6B581DB0" w14:textId="77777777" w:rsidR="00553D2F" w:rsidRPr="00A34C64" w:rsidRDefault="00553D2F" w:rsidP="00553D2F">
      <w:pPr>
        <w:pStyle w:val="Prrafodelista"/>
        <w:jc w:val="both"/>
        <w:rPr>
          <w:rFonts w:eastAsia="Calibri" w:cs="Arial"/>
          <w:b/>
        </w:rPr>
      </w:pPr>
    </w:p>
    <w:tbl>
      <w:tblPr>
        <w:tblW w:w="10353" w:type="dxa"/>
        <w:jc w:val="center"/>
        <w:tblLayout w:type="fixed"/>
        <w:tblCellMar>
          <w:left w:w="70" w:type="dxa"/>
          <w:right w:w="70" w:type="dxa"/>
        </w:tblCellMar>
        <w:tblLook w:val="04A0" w:firstRow="1" w:lastRow="0" w:firstColumn="1" w:lastColumn="0" w:noHBand="0" w:noVBand="1"/>
      </w:tblPr>
      <w:tblGrid>
        <w:gridCol w:w="2273"/>
        <w:gridCol w:w="4040"/>
        <w:gridCol w:w="4040"/>
      </w:tblGrid>
      <w:tr w:rsidR="00056417" w:rsidRPr="00745198" w14:paraId="006D3119" w14:textId="77777777" w:rsidTr="00773D13">
        <w:trPr>
          <w:trHeight w:val="684"/>
          <w:tblHeader/>
          <w:jc w:val="center"/>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7D0B7" w14:textId="77777777" w:rsidR="00056417" w:rsidRPr="00745198" w:rsidRDefault="00056417" w:rsidP="00773D13">
            <w:pPr>
              <w:spacing w:after="0" w:line="240" w:lineRule="auto"/>
              <w:jc w:val="center"/>
              <w:rPr>
                <w:rFonts w:eastAsia="Times New Roman" w:cs="Arial"/>
                <w:b/>
                <w:bCs/>
                <w:lang w:val="es-CR" w:eastAsia="es-CR"/>
              </w:rPr>
            </w:pPr>
            <w:r w:rsidRPr="00056417">
              <w:rPr>
                <w:rFonts w:eastAsia="Times New Roman" w:cs="Arial"/>
                <w:b/>
                <w:bCs/>
                <w:lang w:val="es-CR" w:eastAsia="es-CR"/>
              </w:rPr>
              <w:t>Nombre</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458EC5FC" w14:textId="77777777" w:rsidR="00056417" w:rsidRPr="00745198" w:rsidRDefault="00056417" w:rsidP="00745198">
            <w:pPr>
              <w:spacing w:after="0" w:line="240" w:lineRule="auto"/>
              <w:jc w:val="center"/>
              <w:rPr>
                <w:rFonts w:eastAsia="Times New Roman" w:cs="Arial"/>
                <w:b/>
                <w:bCs/>
                <w:lang w:val="es-CR" w:eastAsia="es-CR"/>
              </w:rPr>
            </w:pPr>
            <w:r>
              <w:rPr>
                <w:rFonts w:eastAsia="Times New Roman" w:cs="Arial"/>
                <w:b/>
                <w:bCs/>
                <w:lang w:val="es-CR" w:eastAsia="es-CR"/>
              </w:rPr>
              <w:t>Validación Vigente</w:t>
            </w:r>
          </w:p>
        </w:tc>
        <w:tc>
          <w:tcPr>
            <w:tcW w:w="4040" w:type="dxa"/>
            <w:tcBorders>
              <w:top w:val="single" w:sz="4" w:space="0" w:color="auto"/>
              <w:left w:val="nil"/>
              <w:bottom w:val="single" w:sz="4" w:space="0" w:color="auto"/>
              <w:right w:val="single" w:sz="4" w:space="0" w:color="auto"/>
            </w:tcBorders>
            <w:shd w:val="clear" w:color="auto" w:fill="auto"/>
            <w:vAlign w:val="center"/>
            <w:hideMark/>
          </w:tcPr>
          <w:p w14:paraId="114E35A8" w14:textId="77777777" w:rsidR="00056417" w:rsidRPr="00745198" w:rsidRDefault="00056417" w:rsidP="00745198">
            <w:pPr>
              <w:spacing w:after="0" w:line="240" w:lineRule="auto"/>
              <w:jc w:val="center"/>
              <w:rPr>
                <w:rFonts w:eastAsia="Times New Roman" w:cs="Arial"/>
                <w:b/>
                <w:bCs/>
                <w:lang w:val="es-CR" w:eastAsia="es-CR"/>
              </w:rPr>
            </w:pPr>
            <w:r>
              <w:rPr>
                <w:rFonts w:eastAsia="Times New Roman" w:cs="Arial"/>
                <w:b/>
                <w:bCs/>
                <w:lang w:val="es-CR" w:eastAsia="es-CR"/>
              </w:rPr>
              <w:t>Validación Propuesta</w:t>
            </w:r>
          </w:p>
        </w:tc>
      </w:tr>
      <w:tr w:rsidR="008D3B0B" w:rsidRPr="008D3B0B" w14:paraId="6FAFF067" w14:textId="77777777" w:rsidTr="00773D13">
        <w:trPr>
          <w:trHeight w:val="507"/>
          <w:jc w:val="cent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78012EFF" w14:textId="77777777" w:rsidR="008D3B0B" w:rsidRDefault="008D3B0B" w:rsidP="00773D13">
            <w:pPr>
              <w:pStyle w:val="Prrafodelista"/>
              <w:spacing w:after="0" w:line="240" w:lineRule="auto"/>
              <w:ind w:left="0"/>
              <w:jc w:val="center"/>
              <w:rPr>
                <w:rFonts w:eastAsia="Times New Roman" w:cs="Arial"/>
                <w:b/>
                <w:bCs/>
                <w:sz w:val="18"/>
                <w:szCs w:val="18"/>
                <w:lang w:val="es-CR" w:eastAsia="es-CR"/>
              </w:rPr>
            </w:pPr>
            <w:r w:rsidRPr="008D3B0B">
              <w:rPr>
                <w:rFonts w:eastAsia="Times New Roman" w:cs="Arial"/>
                <w:b/>
                <w:bCs/>
                <w:sz w:val="18"/>
                <w:szCs w:val="18"/>
                <w:lang w:val="es-CR" w:eastAsia="es-CR"/>
              </w:rPr>
              <w:t>Nemotécnico del emisor</w:t>
            </w:r>
          </w:p>
          <w:p w14:paraId="6074DF34" w14:textId="77777777" w:rsidR="009B4585" w:rsidRDefault="009B4585" w:rsidP="00773D13">
            <w:pPr>
              <w:pStyle w:val="Prrafodelista"/>
              <w:spacing w:after="0" w:line="240" w:lineRule="auto"/>
              <w:ind w:left="0"/>
              <w:jc w:val="center"/>
              <w:rPr>
                <w:rFonts w:eastAsia="Times New Roman" w:cs="Arial"/>
                <w:b/>
                <w:bCs/>
                <w:sz w:val="18"/>
                <w:szCs w:val="18"/>
                <w:lang w:val="es-CR" w:eastAsia="es-CR"/>
              </w:rPr>
            </w:pPr>
            <w:r>
              <w:rPr>
                <w:rFonts w:eastAsia="Times New Roman" w:cs="Arial"/>
                <w:b/>
                <w:bCs/>
                <w:sz w:val="18"/>
                <w:szCs w:val="18"/>
                <w:lang w:val="es-CR" w:eastAsia="es-CR"/>
              </w:rPr>
              <w:t>Y</w:t>
            </w:r>
          </w:p>
          <w:p w14:paraId="7EA3A8ED" w14:textId="77777777" w:rsidR="009B4585" w:rsidRPr="008D3B0B" w:rsidRDefault="009B4585" w:rsidP="00773D13">
            <w:pPr>
              <w:pStyle w:val="Prrafodelista"/>
              <w:spacing w:after="0" w:line="240" w:lineRule="auto"/>
              <w:ind w:left="0"/>
              <w:jc w:val="center"/>
              <w:rPr>
                <w:rFonts w:eastAsia="Times New Roman" w:cs="Arial"/>
                <w:b/>
                <w:bCs/>
                <w:sz w:val="18"/>
                <w:szCs w:val="18"/>
                <w:lang w:val="es-CR" w:eastAsia="es-CR"/>
              </w:rPr>
            </w:pPr>
            <w:r>
              <w:rPr>
                <w:rFonts w:eastAsia="Times New Roman" w:cs="Arial"/>
                <w:b/>
                <w:bCs/>
                <w:sz w:val="18"/>
                <w:szCs w:val="18"/>
                <w:lang w:val="es-CR" w:eastAsia="es-CR"/>
              </w:rPr>
              <w:t>Nombre del emisor</w:t>
            </w:r>
          </w:p>
        </w:tc>
        <w:tc>
          <w:tcPr>
            <w:tcW w:w="4040" w:type="dxa"/>
            <w:tcBorders>
              <w:top w:val="single" w:sz="4" w:space="0" w:color="auto"/>
              <w:left w:val="nil"/>
              <w:bottom w:val="single" w:sz="4" w:space="0" w:color="auto"/>
              <w:right w:val="single" w:sz="4" w:space="0" w:color="auto"/>
            </w:tcBorders>
            <w:shd w:val="clear" w:color="auto" w:fill="auto"/>
          </w:tcPr>
          <w:p w14:paraId="67948089" w14:textId="77777777" w:rsidR="008D3B0B" w:rsidRPr="00E34A30" w:rsidRDefault="008D3B0B" w:rsidP="008D3B0B">
            <w:pPr>
              <w:jc w:val="both"/>
              <w:rPr>
                <w:rFonts w:eastAsia="Times New Roman" w:cs="Arial"/>
                <w:sz w:val="18"/>
                <w:szCs w:val="18"/>
                <w:lang w:val="es-CR" w:eastAsia="es-CR"/>
              </w:rPr>
            </w:pPr>
            <w:r w:rsidRPr="00E34A30">
              <w:rPr>
                <w:rFonts w:eastAsia="Times New Roman" w:cs="Arial"/>
                <w:sz w:val="18"/>
                <w:szCs w:val="18"/>
                <w:lang w:val="es-CR" w:eastAsia="es-CR"/>
              </w:rPr>
              <w:t xml:space="preserve">No es requerido para títulos con código ISIN registrados en una bolsa de valores </w:t>
            </w:r>
            <w:r w:rsidRPr="00E34A30">
              <w:rPr>
                <w:rFonts w:cs="Arial"/>
                <w:bCs/>
                <w:sz w:val="18"/>
                <w:szCs w:val="18"/>
              </w:rPr>
              <w:t>costarricense</w:t>
            </w:r>
            <w:r w:rsidRPr="00E34A30">
              <w:rPr>
                <w:rFonts w:eastAsia="Times New Roman" w:cs="Arial"/>
                <w:sz w:val="18"/>
                <w:szCs w:val="18"/>
                <w:lang w:val="es-CR" w:eastAsia="es-CR"/>
              </w:rPr>
              <w:t xml:space="preserve"> que indiquen Canal de Venta ‘B’, ‘V’ o en operaciones del mercado de liquidez en donde el campo 14 (Estado de la inversión propia) es ‘MLV’. Es obligatorio para el resto de los instrumentos.</w:t>
            </w:r>
          </w:p>
          <w:p w14:paraId="4713EC19" w14:textId="77777777" w:rsidR="001D6724" w:rsidRPr="00E34A30" w:rsidRDefault="001D6724" w:rsidP="001D6724">
            <w:pPr>
              <w:spacing w:after="0" w:line="240" w:lineRule="auto"/>
              <w:jc w:val="both"/>
              <w:rPr>
                <w:rFonts w:eastAsia="Calibri" w:cs="Arial"/>
                <w:sz w:val="18"/>
                <w:szCs w:val="18"/>
                <w:lang w:val="es-ES_tradnl" w:eastAsia="es-CR"/>
              </w:rPr>
            </w:pPr>
            <w:r w:rsidRPr="00E34A30">
              <w:rPr>
                <w:rFonts w:eastAsia="Calibri" w:cs="Arial"/>
                <w:sz w:val="18"/>
                <w:szCs w:val="18"/>
                <w:lang w:val="es-ES_tradnl" w:eastAsia="es-CR"/>
              </w:rPr>
              <w:lastRenderedPageBreak/>
              <w:t>En el caso de operaciones de reporto tripartito se deberá indicar el emisor del título valor subyacente de la operación.</w:t>
            </w:r>
          </w:p>
          <w:p w14:paraId="62555D3C" w14:textId="77777777" w:rsidR="001D6724" w:rsidRPr="00E34A30" w:rsidRDefault="001D6724" w:rsidP="001D6724">
            <w:pPr>
              <w:spacing w:after="0" w:line="240" w:lineRule="auto"/>
              <w:jc w:val="both"/>
              <w:rPr>
                <w:rFonts w:eastAsia="Calibri" w:cs="Arial"/>
                <w:sz w:val="18"/>
                <w:szCs w:val="18"/>
                <w:lang w:val="es-ES_tradnl" w:eastAsia="es-CR"/>
              </w:rPr>
            </w:pPr>
          </w:p>
          <w:p w14:paraId="7FE6C50C" w14:textId="77777777" w:rsidR="001D6724" w:rsidRPr="00E34A30" w:rsidRDefault="001D6724" w:rsidP="001D6724">
            <w:pPr>
              <w:spacing w:after="0" w:line="240" w:lineRule="auto"/>
              <w:jc w:val="both"/>
              <w:rPr>
                <w:rFonts w:eastAsia="Calibri" w:cs="Arial"/>
                <w:sz w:val="18"/>
                <w:szCs w:val="18"/>
                <w:lang w:val="es-ES_tradnl" w:eastAsia="es-CR"/>
              </w:rPr>
            </w:pPr>
            <w:r w:rsidRPr="00E34A30">
              <w:rPr>
                <w:rFonts w:eastAsia="Calibri" w:cs="Arial"/>
                <w:sz w:val="18"/>
                <w:szCs w:val="18"/>
                <w:lang w:val="es-ES_tradnl" w:eastAsia="es-CR"/>
              </w:rPr>
              <w:t>En el caso de inversiones en valores de participación de fondos abiertos (tipo de título =4), que no hayan sido adquiridos en el exterior, el nemotécnico del emisor debe coincidir con el código del fondo, disponible en los reportes de fondos de inversión publicados en la página web de la Superintendencia General de Valores</w:t>
            </w:r>
          </w:p>
          <w:p w14:paraId="53226009" w14:textId="77777777" w:rsidR="008D3B0B" w:rsidRPr="00E34A30" w:rsidRDefault="008D3B0B" w:rsidP="008D3B0B">
            <w:pPr>
              <w:spacing w:after="0" w:line="240" w:lineRule="auto"/>
              <w:jc w:val="center"/>
              <w:rPr>
                <w:rFonts w:eastAsia="Times New Roman" w:cs="Arial"/>
                <w:sz w:val="18"/>
                <w:szCs w:val="18"/>
                <w:lang w:val="es-ES_tradnl" w:eastAsia="es-CR"/>
              </w:rPr>
            </w:pPr>
          </w:p>
          <w:p w14:paraId="68CB0AB7" w14:textId="77777777" w:rsidR="008D3B0B" w:rsidRPr="00E34A30" w:rsidRDefault="008D3B0B" w:rsidP="00A51899">
            <w:pPr>
              <w:spacing w:after="0" w:line="240" w:lineRule="auto"/>
              <w:jc w:val="both"/>
              <w:rPr>
                <w:rFonts w:eastAsia="Times New Roman" w:cs="Arial"/>
                <w:sz w:val="18"/>
                <w:szCs w:val="18"/>
                <w:lang w:val="es-CR" w:eastAsia="es-CR"/>
              </w:rPr>
            </w:pPr>
          </w:p>
        </w:tc>
        <w:tc>
          <w:tcPr>
            <w:tcW w:w="4040" w:type="dxa"/>
            <w:tcBorders>
              <w:top w:val="single" w:sz="4" w:space="0" w:color="auto"/>
              <w:bottom w:val="single" w:sz="4" w:space="0" w:color="auto"/>
              <w:right w:val="single" w:sz="4" w:space="0" w:color="auto"/>
            </w:tcBorders>
            <w:shd w:val="clear" w:color="auto" w:fill="auto"/>
          </w:tcPr>
          <w:p w14:paraId="5066F954" w14:textId="77777777" w:rsidR="00281B97" w:rsidRPr="00E34A30" w:rsidRDefault="00281B97" w:rsidP="00281B97">
            <w:pPr>
              <w:spacing w:after="0" w:line="240" w:lineRule="auto"/>
              <w:jc w:val="both"/>
              <w:rPr>
                <w:rFonts w:eastAsia="Calibri" w:cs="Arial"/>
                <w:sz w:val="18"/>
                <w:szCs w:val="18"/>
                <w:lang w:val="es-MX" w:eastAsia="es-CR"/>
              </w:rPr>
            </w:pPr>
            <w:r w:rsidRPr="00E34A30">
              <w:rPr>
                <w:rFonts w:eastAsia="Calibri" w:cs="Arial"/>
                <w:sz w:val="18"/>
                <w:szCs w:val="18"/>
                <w:lang w:val="es-MX" w:eastAsia="es-CR"/>
              </w:rPr>
              <w:lastRenderedPageBreak/>
              <w:t>No debe indicarse para títulos con código ISIN registrados en una bolsa de valores costarricense que indiquen Canal de Venta ‘B’, ‘V’ ni para operaciones del Mercado de Liquidez que utilizan el Canal de Venta ‘C’, tampoco debe indicarse en inversiones en reporto tripartito (Estado de la inversión RV). Es obligatorio para el resto de los instrumentos.</w:t>
            </w:r>
          </w:p>
          <w:p w14:paraId="1977E61B" w14:textId="77777777" w:rsidR="00281B97" w:rsidRPr="00E34A30" w:rsidRDefault="00281B97" w:rsidP="00BB5F20">
            <w:pPr>
              <w:spacing w:after="0" w:line="240" w:lineRule="auto"/>
              <w:jc w:val="both"/>
              <w:rPr>
                <w:rFonts w:eastAsia="Times New Roman" w:cs="Arial"/>
                <w:bCs/>
                <w:sz w:val="18"/>
                <w:szCs w:val="18"/>
                <w:lang w:val="es-MX"/>
              </w:rPr>
            </w:pPr>
          </w:p>
          <w:p w14:paraId="27C36470" w14:textId="77777777" w:rsidR="00BB5F20" w:rsidRPr="00E34A30" w:rsidRDefault="00BB5F20" w:rsidP="00BB5F20">
            <w:pPr>
              <w:spacing w:after="0" w:line="240" w:lineRule="auto"/>
              <w:jc w:val="both"/>
              <w:rPr>
                <w:rFonts w:eastAsia="Times New Roman" w:cs="Arial"/>
                <w:bCs/>
                <w:sz w:val="18"/>
                <w:szCs w:val="18"/>
                <w:lang w:val="es-ES_tradnl"/>
              </w:rPr>
            </w:pPr>
          </w:p>
          <w:p w14:paraId="0DF0F33C" w14:textId="77777777" w:rsidR="008D3B0B" w:rsidRPr="00E34A30" w:rsidRDefault="00281B97" w:rsidP="008D3B0B">
            <w:pPr>
              <w:jc w:val="both"/>
              <w:rPr>
                <w:rFonts w:cs="Arial"/>
                <w:sz w:val="18"/>
                <w:szCs w:val="18"/>
              </w:rPr>
            </w:pPr>
            <w:r w:rsidRPr="00E34A30">
              <w:rPr>
                <w:rFonts w:eastAsia="Times New Roman" w:cs="Arial"/>
                <w:bCs/>
                <w:sz w:val="18"/>
                <w:szCs w:val="18"/>
                <w:lang w:val="es-ES_tradnl"/>
              </w:rPr>
              <w:t>En el caso de inversiones en valores de participación de fondos abiertos (tipo de título =4), que no hayan sido adquiridos en el exterior, el nemotécnico del emisor debe coincidir con el código del fondo, disponible en los reportes de fondos de inversión publicados en la página web de la Superintendencia General de Valores</w:t>
            </w:r>
          </w:p>
        </w:tc>
      </w:tr>
      <w:tr w:rsidR="009B4585" w:rsidRPr="00434F7A" w14:paraId="0A6BEF83" w14:textId="77777777" w:rsidTr="00773D13">
        <w:trPr>
          <w:trHeight w:val="704"/>
          <w:jc w:val="cent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BA694AE" w14:textId="77777777" w:rsidR="009B4585" w:rsidRPr="00A51899" w:rsidRDefault="009B4585" w:rsidP="00773D13">
            <w:pPr>
              <w:pStyle w:val="Prrafodelista"/>
              <w:spacing w:after="0" w:line="240" w:lineRule="auto"/>
              <w:ind w:left="0"/>
              <w:jc w:val="center"/>
              <w:rPr>
                <w:rFonts w:eastAsia="Times New Roman" w:cs="Arial"/>
                <w:b/>
                <w:bCs/>
                <w:sz w:val="18"/>
                <w:szCs w:val="18"/>
                <w:lang w:val="es-CR" w:eastAsia="es-CR"/>
              </w:rPr>
            </w:pPr>
            <w:r w:rsidRPr="00A51899">
              <w:rPr>
                <w:rFonts w:eastAsia="Times New Roman" w:cs="Arial"/>
                <w:b/>
                <w:bCs/>
                <w:sz w:val="18"/>
                <w:szCs w:val="18"/>
                <w:lang w:val="es-CR" w:eastAsia="es-CR"/>
              </w:rPr>
              <w:lastRenderedPageBreak/>
              <w:t>Nemotécnico del instrumento</w:t>
            </w:r>
            <w:r w:rsidR="00A51899" w:rsidRPr="00A51899">
              <w:rPr>
                <w:rFonts w:eastAsia="Times New Roman" w:cs="Arial"/>
                <w:b/>
                <w:bCs/>
                <w:sz w:val="18"/>
                <w:szCs w:val="18"/>
                <w:lang w:val="es-CR" w:eastAsia="es-CR"/>
              </w:rPr>
              <w:t xml:space="preserve"> y</w:t>
            </w:r>
          </w:p>
          <w:p w14:paraId="50A2BB64" w14:textId="77777777" w:rsidR="00A51899" w:rsidRPr="00773D13" w:rsidRDefault="00A51899" w:rsidP="00773D13">
            <w:pPr>
              <w:pStyle w:val="Prrafodelista"/>
              <w:spacing w:after="0" w:line="240" w:lineRule="auto"/>
              <w:ind w:left="0"/>
              <w:jc w:val="center"/>
              <w:rPr>
                <w:rFonts w:eastAsia="Times New Roman" w:cs="Arial"/>
                <w:b/>
                <w:bCs/>
                <w:sz w:val="18"/>
                <w:szCs w:val="18"/>
                <w:lang w:val="es-CR" w:eastAsia="es-CR"/>
              </w:rPr>
            </w:pPr>
            <w:r w:rsidRPr="00A51899">
              <w:rPr>
                <w:rFonts w:eastAsia="Times New Roman" w:cs="Arial"/>
                <w:b/>
                <w:bCs/>
                <w:sz w:val="18"/>
                <w:szCs w:val="18"/>
                <w:lang w:val="es-CR" w:eastAsia="es-CR"/>
              </w:rPr>
              <w:t>Nombre del instrumento</w:t>
            </w:r>
          </w:p>
        </w:tc>
        <w:tc>
          <w:tcPr>
            <w:tcW w:w="4040" w:type="dxa"/>
            <w:tcBorders>
              <w:top w:val="single" w:sz="4" w:space="0" w:color="auto"/>
              <w:bottom w:val="single" w:sz="4" w:space="0" w:color="auto"/>
              <w:right w:val="single" w:sz="4" w:space="0" w:color="auto"/>
            </w:tcBorders>
            <w:shd w:val="clear" w:color="auto" w:fill="auto"/>
          </w:tcPr>
          <w:p w14:paraId="0DFBBF8D" w14:textId="77777777" w:rsidR="009B4585" w:rsidRPr="00E34A30" w:rsidRDefault="009B4585" w:rsidP="009B4585">
            <w:pPr>
              <w:pStyle w:val="Textoindependiente2"/>
              <w:rPr>
                <w:rFonts w:cs="Arial"/>
                <w:bCs/>
                <w:sz w:val="18"/>
                <w:szCs w:val="18"/>
              </w:rPr>
            </w:pPr>
            <w:r w:rsidRPr="00E34A30">
              <w:rPr>
                <w:rFonts w:cs="Arial"/>
                <w:bCs/>
                <w:sz w:val="18"/>
                <w:szCs w:val="18"/>
              </w:rPr>
              <w:t>No es requerido para títulos con código ISIN registrados en una bolsa de valores costarricense que indiquen Canal de Venta ‘B’ o ‘V’. o en operaciones del mercado de liquidez en donde el campo 14 (Estado de la inversión propia) es ‘MLV’. Es obligatorio para el resto de los instrumentos.</w:t>
            </w:r>
          </w:p>
          <w:p w14:paraId="0DF03DFF" w14:textId="77777777" w:rsidR="00A51899" w:rsidRPr="00E34A30" w:rsidRDefault="00A51899" w:rsidP="009B4585">
            <w:pPr>
              <w:pStyle w:val="Textoindependiente2"/>
              <w:rPr>
                <w:rFonts w:cs="Arial"/>
                <w:bCs/>
                <w:sz w:val="18"/>
                <w:szCs w:val="18"/>
              </w:rPr>
            </w:pPr>
          </w:p>
          <w:p w14:paraId="548714D6" w14:textId="77777777" w:rsidR="009B4585" w:rsidRPr="00E34A30" w:rsidRDefault="009B4585" w:rsidP="009B4585">
            <w:pPr>
              <w:jc w:val="both"/>
              <w:rPr>
                <w:rFonts w:cs="Arial"/>
                <w:bCs/>
                <w:sz w:val="18"/>
                <w:szCs w:val="18"/>
              </w:rPr>
            </w:pPr>
            <w:r w:rsidRPr="00E34A30">
              <w:rPr>
                <w:rFonts w:cs="Arial"/>
                <w:bCs/>
                <w:sz w:val="18"/>
                <w:szCs w:val="18"/>
              </w:rPr>
              <w:t>En el caso de operaciones de reporto tripartito se deberá indicar el nemotécnico del instrumento del título valor subyacente de la operación.</w:t>
            </w:r>
          </w:p>
          <w:p w14:paraId="5D372E3B" w14:textId="77777777" w:rsidR="009B4585" w:rsidRPr="00E34A30" w:rsidRDefault="009B4585" w:rsidP="009B4585">
            <w:pPr>
              <w:jc w:val="both"/>
              <w:rPr>
                <w:rFonts w:cs="Arial"/>
                <w:bCs/>
                <w:sz w:val="18"/>
                <w:szCs w:val="18"/>
              </w:rPr>
            </w:pPr>
            <w:r w:rsidRPr="00E34A30">
              <w:rPr>
                <w:rFonts w:cs="Arial"/>
                <w:bCs/>
                <w:sz w:val="18"/>
                <w:szCs w:val="18"/>
              </w:rPr>
              <w:t xml:space="preserve">Cuando se trata de una inversión en el mercado de dinero (se debe anotar el nemotécnico del instrumento); ésta se acepta si el “ID_Reporto” es RV. </w:t>
            </w:r>
          </w:p>
          <w:p w14:paraId="28F57B21" w14:textId="77777777" w:rsidR="009B4585" w:rsidRPr="00E34A30" w:rsidRDefault="009B4585" w:rsidP="008F0E1A">
            <w:pPr>
              <w:jc w:val="both"/>
              <w:rPr>
                <w:rFonts w:cs="Arial"/>
                <w:bCs/>
                <w:sz w:val="18"/>
                <w:szCs w:val="18"/>
              </w:rPr>
            </w:pPr>
            <w:r w:rsidRPr="00E34A30">
              <w:rPr>
                <w:rFonts w:cs="Arial"/>
                <w:bCs/>
                <w:sz w:val="18"/>
                <w:szCs w:val="18"/>
              </w:rPr>
              <w:t>En el caso de inversiones en valores de participación de fondos abiertos (tipo de título =4), que no hayan sido adquiridos en el exterior, el nemotécnico del instrumento debe coincidir con el código del fondo, disponible en los reportes de fondos de inversión publicados en la página web de la Superintendencia General de Valores.</w:t>
            </w:r>
          </w:p>
        </w:tc>
        <w:tc>
          <w:tcPr>
            <w:tcW w:w="4040" w:type="dxa"/>
            <w:tcBorders>
              <w:top w:val="single" w:sz="4" w:space="0" w:color="auto"/>
              <w:left w:val="single" w:sz="4" w:space="0" w:color="auto"/>
              <w:bottom w:val="single" w:sz="4" w:space="0" w:color="auto"/>
              <w:right w:val="single" w:sz="4" w:space="0" w:color="auto"/>
            </w:tcBorders>
            <w:shd w:val="clear" w:color="auto" w:fill="auto"/>
          </w:tcPr>
          <w:p w14:paraId="6C8177D4" w14:textId="77777777" w:rsidR="00281B97" w:rsidRPr="00E34A30" w:rsidRDefault="00281B97" w:rsidP="009B4585">
            <w:pPr>
              <w:spacing w:after="0" w:line="240" w:lineRule="auto"/>
              <w:jc w:val="both"/>
              <w:rPr>
                <w:rFonts w:eastAsia="Calibri" w:cs="Arial"/>
                <w:sz w:val="18"/>
                <w:szCs w:val="18"/>
                <w:lang w:val="es-CR" w:eastAsia="es-CR"/>
              </w:rPr>
            </w:pPr>
            <w:r w:rsidRPr="00E34A30">
              <w:rPr>
                <w:rFonts w:eastAsia="Calibri" w:cs="Arial"/>
                <w:sz w:val="18"/>
                <w:szCs w:val="18"/>
                <w:lang w:val="es-CR" w:eastAsia="es-CR"/>
              </w:rPr>
              <w:t>No debe indicarse para títulos con código ISIN registrados en una bolsa de valores costarricense que indiquen Canal de Venta ‘B’, ‘V’ ni para operaciones del Mercado de Liquidez que utilizan el Canal de Venta ‘C’, tampoco debe indicarse en inversiones en reporto tripartito (Estado de la inversión RV</w:t>
            </w:r>
            <w:r w:rsidR="00FF0E45" w:rsidRPr="00E34A30">
              <w:rPr>
                <w:rFonts w:eastAsia="Calibri" w:cs="Arial"/>
                <w:sz w:val="18"/>
                <w:szCs w:val="18"/>
                <w:lang w:val="es-CR" w:eastAsia="es-CR"/>
              </w:rPr>
              <w:t>). Es</w:t>
            </w:r>
            <w:r w:rsidRPr="00E34A30">
              <w:rPr>
                <w:rFonts w:eastAsia="Calibri" w:cs="Arial"/>
                <w:sz w:val="18"/>
                <w:szCs w:val="18"/>
                <w:lang w:val="es-CR" w:eastAsia="es-CR"/>
              </w:rPr>
              <w:t xml:space="preserve"> obligatorio para el resto de los instrumentos</w:t>
            </w:r>
          </w:p>
          <w:p w14:paraId="3DDEEDDC" w14:textId="77777777" w:rsidR="00281B97" w:rsidRPr="00E34A30" w:rsidRDefault="00281B97" w:rsidP="009B4585">
            <w:pPr>
              <w:spacing w:after="0" w:line="240" w:lineRule="auto"/>
              <w:jc w:val="both"/>
              <w:rPr>
                <w:rFonts w:eastAsia="Times New Roman" w:cs="Arial"/>
                <w:sz w:val="18"/>
                <w:szCs w:val="18"/>
                <w:lang w:val="es-ES_tradnl"/>
              </w:rPr>
            </w:pPr>
          </w:p>
          <w:p w14:paraId="2C57F5DA" w14:textId="77777777" w:rsidR="009B4585" w:rsidRPr="00E34A30" w:rsidRDefault="009B4585" w:rsidP="009B4585">
            <w:pPr>
              <w:spacing w:after="0" w:line="240" w:lineRule="auto"/>
              <w:jc w:val="both"/>
              <w:rPr>
                <w:rFonts w:eastAsia="Times New Roman" w:cs="Arial"/>
                <w:bCs/>
                <w:sz w:val="18"/>
                <w:szCs w:val="18"/>
                <w:lang w:val="es-ES_tradnl"/>
              </w:rPr>
            </w:pPr>
          </w:p>
          <w:p w14:paraId="457F795F" w14:textId="77777777" w:rsidR="009B4585" w:rsidRPr="00E34A30" w:rsidRDefault="009B4585" w:rsidP="009B4585">
            <w:pPr>
              <w:spacing w:after="0" w:line="240" w:lineRule="auto"/>
              <w:jc w:val="both"/>
              <w:rPr>
                <w:rFonts w:eastAsia="Times New Roman" w:cs="Arial"/>
                <w:bCs/>
                <w:sz w:val="18"/>
                <w:szCs w:val="18"/>
                <w:lang w:val="es-ES_tradnl"/>
              </w:rPr>
            </w:pPr>
            <w:r w:rsidRPr="00E34A30">
              <w:rPr>
                <w:rFonts w:eastAsia="Times New Roman" w:cs="Arial"/>
                <w:bCs/>
                <w:sz w:val="18"/>
                <w:szCs w:val="18"/>
                <w:lang w:val="es-ES_tradnl"/>
              </w:rPr>
              <w:t>En el caso de inversiones en valores de participación de fondos abiertos (Tipo de título =4), que no hayan sido adquiridos en el exterior, el nemotécnico del instrumento debe coincidir con el código del fondo, disponible en los reportes de fondos de inversión publicados en la página web de la Superintendencia General de Valores.</w:t>
            </w:r>
          </w:p>
          <w:p w14:paraId="46600ECC" w14:textId="77777777" w:rsidR="009B4585" w:rsidRPr="00E34A30" w:rsidRDefault="009B4585" w:rsidP="009B4585">
            <w:pPr>
              <w:spacing w:after="0" w:line="240" w:lineRule="auto"/>
              <w:jc w:val="both"/>
              <w:rPr>
                <w:rFonts w:eastAsia="Times New Roman" w:cs="Arial"/>
                <w:sz w:val="18"/>
                <w:szCs w:val="18"/>
                <w:lang w:val="es-ES_tradnl"/>
              </w:rPr>
            </w:pPr>
          </w:p>
          <w:p w14:paraId="6E24876A" w14:textId="77777777" w:rsidR="009B4585" w:rsidRPr="00E34A30" w:rsidRDefault="009B4585" w:rsidP="009B4585">
            <w:pPr>
              <w:spacing w:after="0" w:line="240" w:lineRule="auto"/>
              <w:jc w:val="center"/>
              <w:rPr>
                <w:rFonts w:eastAsia="Times New Roman" w:cs="Arial"/>
                <w:sz w:val="18"/>
                <w:szCs w:val="18"/>
                <w:lang w:val="es-ES_tradnl" w:eastAsia="es-CR"/>
              </w:rPr>
            </w:pPr>
          </w:p>
        </w:tc>
      </w:tr>
      <w:tr w:rsidR="008F0E1A" w:rsidRPr="00434F7A" w14:paraId="53361B6B" w14:textId="77777777" w:rsidTr="00773D13">
        <w:trPr>
          <w:trHeight w:val="543"/>
          <w:jc w:val="center"/>
        </w:trPr>
        <w:tc>
          <w:tcPr>
            <w:tcW w:w="2273" w:type="dxa"/>
            <w:tcBorders>
              <w:top w:val="single" w:sz="4" w:space="0" w:color="auto"/>
              <w:left w:val="single" w:sz="4" w:space="0" w:color="auto"/>
              <w:bottom w:val="single" w:sz="4" w:space="0" w:color="auto"/>
              <w:right w:val="single" w:sz="4" w:space="0" w:color="auto"/>
            </w:tcBorders>
            <w:vAlign w:val="center"/>
          </w:tcPr>
          <w:p w14:paraId="69D02DC2" w14:textId="77777777" w:rsidR="008F0E1A" w:rsidRPr="00A51899" w:rsidRDefault="008F0E1A" w:rsidP="00773D13">
            <w:pPr>
              <w:pStyle w:val="Prrafodelista"/>
              <w:spacing w:after="0" w:line="240" w:lineRule="auto"/>
              <w:ind w:left="0"/>
              <w:jc w:val="center"/>
              <w:rPr>
                <w:rFonts w:eastAsia="Times New Roman" w:cs="Arial"/>
                <w:b/>
                <w:bCs/>
                <w:sz w:val="18"/>
                <w:szCs w:val="18"/>
                <w:lang w:val="es-CR" w:eastAsia="es-CR"/>
              </w:rPr>
            </w:pPr>
            <w:r w:rsidRPr="00A51899">
              <w:rPr>
                <w:rFonts w:eastAsia="Times New Roman" w:cs="Arial"/>
                <w:b/>
                <w:bCs/>
                <w:sz w:val="18"/>
                <w:szCs w:val="18"/>
                <w:lang w:val="es-CR" w:eastAsia="es-CR"/>
              </w:rPr>
              <w:t>Indicador de estandarización</w:t>
            </w:r>
          </w:p>
        </w:tc>
        <w:tc>
          <w:tcPr>
            <w:tcW w:w="4040" w:type="dxa"/>
            <w:tcBorders>
              <w:top w:val="single" w:sz="4" w:space="0" w:color="auto"/>
              <w:bottom w:val="single" w:sz="4" w:space="0" w:color="auto"/>
              <w:right w:val="single" w:sz="4" w:space="0" w:color="auto"/>
            </w:tcBorders>
            <w:shd w:val="clear" w:color="auto" w:fill="auto"/>
          </w:tcPr>
          <w:p w14:paraId="72785C04" w14:textId="77777777" w:rsidR="008F0E1A" w:rsidRPr="00E34A30" w:rsidRDefault="008F0E1A" w:rsidP="008F0E1A">
            <w:pPr>
              <w:jc w:val="both"/>
              <w:rPr>
                <w:rFonts w:cs="Arial"/>
                <w:bCs/>
                <w:sz w:val="18"/>
                <w:szCs w:val="18"/>
                <w:lang w:val="es-ES_tradnl"/>
              </w:rPr>
            </w:pPr>
            <w:r w:rsidRPr="00E34A30">
              <w:rPr>
                <w:rFonts w:cs="Arial"/>
                <w:bCs/>
                <w:sz w:val="18"/>
                <w:szCs w:val="18"/>
                <w:lang w:val="es-ES_tradnl"/>
              </w:rPr>
              <w:t>No es requerido para títulos con código ISIN registrados en una bolsa de valores costarricense que indiquen Canal de Venta ‘B’, ‘V’ o en operaciones del mercado de liquidez en donde el campo 14 (Estado de la inversión propia) es ‘MLV’. Es obligatorio para el resto de los instrumentos.</w:t>
            </w:r>
          </w:p>
        </w:tc>
        <w:tc>
          <w:tcPr>
            <w:tcW w:w="4040" w:type="dxa"/>
            <w:tcBorders>
              <w:top w:val="single" w:sz="4" w:space="0" w:color="auto"/>
              <w:bottom w:val="single" w:sz="4" w:space="0" w:color="auto"/>
              <w:right w:val="single" w:sz="4" w:space="0" w:color="auto"/>
            </w:tcBorders>
            <w:shd w:val="clear" w:color="auto" w:fill="auto"/>
          </w:tcPr>
          <w:p w14:paraId="0E6EFEEA" w14:textId="77777777" w:rsidR="008F0E1A" w:rsidRPr="00E34A30" w:rsidRDefault="00281B97" w:rsidP="008F0E1A">
            <w:pPr>
              <w:jc w:val="both"/>
              <w:rPr>
                <w:rFonts w:cs="Arial"/>
                <w:bCs/>
                <w:strike/>
                <w:sz w:val="18"/>
                <w:szCs w:val="18"/>
              </w:rPr>
            </w:pPr>
            <w:r w:rsidRPr="00E34A30">
              <w:rPr>
                <w:rFonts w:eastAsia="Calibri" w:cs="Arial"/>
                <w:sz w:val="18"/>
                <w:szCs w:val="18"/>
                <w:lang w:val="es-MX" w:eastAsia="es-CR"/>
              </w:rPr>
              <w:t>No debe indicarse para títulos con código ISIN registrados en una bolsa de valores costarricense que indiquen Canal de Venta ‘B’, ‘V’ ni para operaciones del Mercado de Liquidez que utilizan el Canal de Venta ‘C’, tampoco debe indicarse para inversiones en reporto tripartito (Estado de la inversión RV). Es obligatorio para el resto de los instrumentos.</w:t>
            </w:r>
          </w:p>
        </w:tc>
      </w:tr>
      <w:tr w:rsidR="008F0E1A" w:rsidRPr="00434F7A" w14:paraId="3871F633" w14:textId="77777777" w:rsidTr="00773D13">
        <w:trPr>
          <w:trHeight w:val="543"/>
          <w:jc w:val="center"/>
        </w:trPr>
        <w:tc>
          <w:tcPr>
            <w:tcW w:w="2273" w:type="dxa"/>
            <w:tcBorders>
              <w:top w:val="single" w:sz="4" w:space="0" w:color="auto"/>
              <w:left w:val="single" w:sz="4" w:space="0" w:color="auto"/>
              <w:bottom w:val="single" w:sz="4" w:space="0" w:color="auto"/>
              <w:right w:val="single" w:sz="4" w:space="0" w:color="auto"/>
            </w:tcBorders>
            <w:vAlign w:val="center"/>
          </w:tcPr>
          <w:p w14:paraId="5DC6AB7D" w14:textId="77777777" w:rsidR="008F0E1A" w:rsidRPr="00A51899" w:rsidRDefault="008F0E1A" w:rsidP="00773D13">
            <w:pPr>
              <w:pStyle w:val="Prrafodelista"/>
              <w:spacing w:after="0" w:line="240" w:lineRule="auto"/>
              <w:ind w:left="0"/>
              <w:jc w:val="center"/>
              <w:rPr>
                <w:rFonts w:eastAsia="Times New Roman" w:cs="Arial"/>
                <w:b/>
                <w:bCs/>
                <w:sz w:val="18"/>
                <w:szCs w:val="18"/>
                <w:lang w:val="es-CR" w:eastAsia="es-CR"/>
              </w:rPr>
            </w:pPr>
            <w:r w:rsidRPr="00A51899">
              <w:rPr>
                <w:rFonts w:eastAsia="Times New Roman" w:cs="Arial"/>
                <w:b/>
                <w:bCs/>
                <w:sz w:val="18"/>
                <w:szCs w:val="18"/>
                <w:lang w:val="es-CR" w:eastAsia="es-CR"/>
              </w:rPr>
              <w:t>Sector del emisor</w:t>
            </w:r>
          </w:p>
        </w:tc>
        <w:tc>
          <w:tcPr>
            <w:tcW w:w="4040" w:type="dxa"/>
            <w:tcBorders>
              <w:top w:val="single" w:sz="4" w:space="0" w:color="auto"/>
              <w:bottom w:val="single" w:sz="4" w:space="0" w:color="auto"/>
              <w:right w:val="single" w:sz="4" w:space="0" w:color="auto"/>
            </w:tcBorders>
            <w:shd w:val="clear" w:color="auto" w:fill="auto"/>
          </w:tcPr>
          <w:p w14:paraId="29ADCF86" w14:textId="77777777" w:rsidR="008F0E1A" w:rsidRPr="00E34A30" w:rsidRDefault="008F0E1A" w:rsidP="008F0E1A">
            <w:pPr>
              <w:jc w:val="both"/>
              <w:rPr>
                <w:rFonts w:cs="Arial"/>
                <w:bCs/>
                <w:sz w:val="18"/>
                <w:szCs w:val="18"/>
                <w:lang w:val="es-ES_tradnl"/>
              </w:rPr>
            </w:pPr>
            <w:r w:rsidRPr="00E34A30">
              <w:rPr>
                <w:rFonts w:cs="Arial"/>
                <w:bCs/>
                <w:sz w:val="18"/>
                <w:szCs w:val="18"/>
                <w:lang w:val="es-ES_tradnl"/>
              </w:rPr>
              <w:t xml:space="preserve">No es requerido para títulos con código ISIN registrados en una bolsa de valores costarricense que indiquen Canal de Venta ‘B’, ‘V’ o en operaciones del mercado de liquidez en donde el campo 14 (Estado de la inversión propia) es </w:t>
            </w:r>
            <w:r w:rsidRPr="00E34A30">
              <w:rPr>
                <w:rFonts w:cs="Arial"/>
                <w:bCs/>
                <w:sz w:val="18"/>
                <w:szCs w:val="18"/>
                <w:lang w:val="es-ES_tradnl"/>
              </w:rPr>
              <w:lastRenderedPageBreak/>
              <w:t>‘MLV’. Es obligatorio para el resto de los instrumentos.</w:t>
            </w:r>
          </w:p>
          <w:p w14:paraId="0BFF1DDA" w14:textId="77777777" w:rsidR="008F0E1A" w:rsidRPr="00E34A30" w:rsidRDefault="008F0E1A" w:rsidP="008F0E1A">
            <w:pPr>
              <w:pStyle w:val="Textoindependiente2"/>
              <w:rPr>
                <w:rFonts w:cs="Arial"/>
                <w:bCs/>
                <w:sz w:val="18"/>
                <w:szCs w:val="18"/>
              </w:rPr>
            </w:pPr>
            <w:r w:rsidRPr="00E34A30">
              <w:rPr>
                <w:rFonts w:cs="Arial"/>
                <w:bCs/>
                <w:sz w:val="18"/>
                <w:szCs w:val="18"/>
              </w:rPr>
              <w:t>Los valores válidos se encuentran en la tabla 4 del anexo.</w:t>
            </w:r>
          </w:p>
        </w:tc>
        <w:tc>
          <w:tcPr>
            <w:tcW w:w="4040" w:type="dxa"/>
            <w:tcBorders>
              <w:top w:val="single" w:sz="4" w:space="0" w:color="auto"/>
              <w:bottom w:val="single" w:sz="4" w:space="0" w:color="auto"/>
              <w:right w:val="single" w:sz="4" w:space="0" w:color="auto"/>
            </w:tcBorders>
            <w:shd w:val="clear" w:color="auto" w:fill="auto"/>
          </w:tcPr>
          <w:p w14:paraId="5528E353" w14:textId="77777777" w:rsidR="00281B97" w:rsidRPr="00E34A30" w:rsidRDefault="00281B97" w:rsidP="00281B97">
            <w:pPr>
              <w:spacing w:after="0" w:line="240" w:lineRule="auto"/>
              <w:jc w:val="both"/>
              <w:rPr>
                <w:rFonts w:eastAsia="Calibri" w:cs="Arial"/>
                <w:sz w:val="18"/>
                <w:szCs w:val="18"/>
                <w:lang w:val="es-MX" w:eastAsia="es-CR"/>
              </w:rPr>
            </w:pPr>
            <w:r w:rsidRPr="00E34A30">
              <w:rPr>
                <w:rFonts w:eastAsia="Calibri" w:cs="Arial"/>
                <w:sz w:val="18"/>
                <w:szCs w:val="18"/>
                <w:lang w:val="es-MX" w:eastAsia="es-CR"/>
              </w:rPr>
              <w:lastRenderedPageBreak/>
              <w:t>No debe indicarse para títulos inscritos en el Registro Nacional de Valores (RNVI) que indiquen Canal de Venta ‘B’, ‘V’ ni para operaciones del Mercado de Liquidez que utilizan el Canal de Venta ‘C’ tampoco debe indicarse para inversiones en reporto tripartito (Estado de la inversión RV). Es obligatorio para el resto de los instrumentos.</w:t>
            </w:r>
          </w:p>
          <w:p w14:paraId="1CA5CAA9" w14:textId="77777777" w:rsidR="00281B97" w:rsidRPr="00E34A30" w:rsidRDefault="00281B97" w:rsidP="008F0E1A">
            <w:pPr>
              <w:jc w:val="both"/>
              <w:rPr>
                <w:rFonts w:cs="Arial"/>
                <w:bCs/>
                <w:sz w:val="18"/>
                <w:szCs w:val="18"/>
              </w:rPr>
            </w:pPr>
          </w:p>
          <w:p w14:paraId="1F5C7144" w14:textId="77777777" w:rsidR="008F0E1A" w:rsidRPr="00E34A30" w:rsidRDefault="008F0E1A" w:rsidP="008F0E1A">
            <w:pPr>
              <w:jc w:val="both"/>
              <w:rPr>
                <w:rFonts w:cs="Arial"/>
                <w:bCs/>
                <w:sz w:val="18"/>
                <w:szCs w:val="18"/>
              </w:rPr>
            </w:pPr>
            <w:r w:rsidRPr="00E34A30">
              <w:rPr>
                <w:rFonts w:cs="Arial"/>
                <w:bCs/>
                <w:sz w:val="18"/>
                <w:szCs w:val="18"/>
              </w:rPr>
              <w:t>Los valores válidos se encuentran en la tabla 4 del anexo.</w:t>
            </w:r>
          </w:p>
        </w:tc>
      </w:tr>
      <w:tr w:rsidR="008F0E1A" w:rsidRPr="00434F7A" w14:paraId="63213E2D" w14:textId="77777777" w:rsidTr="00773D13">
        <w:trPr>
          <w:trHeight w:val="543"/>
          <w:jc w:val="cent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06FEDAB9" w14:textId="77777777" w:rsidR="008F0E1A" w:rsidRPr="00C4026D" w:rsidRDefault="008F0E1A" w:rsidP="00773D13">
            <w:pPr>
              <w:pStyle w:val="Prrafodelista"/>
              <w:spacing w:after="0" w:line="240" w:lineRule="auto"/>
              <w:ind w:left="0"/>
              <w:jc w:val="center"/>
              <w:rPr>
                <w:rFonts w:eastAsia="Times New Roman" w:cs="Arial"/>
                <w:b/>
                <w:lang w:val="es-CR" w:eastAsia="es-CR"/>
              </w:rPr>
            </w:pPr>
            <w:r w:rsidRPr="008F0E1A">
              <w:rPr>
                <w:rFonts w:eastAsia="Times New Roman" w:cs="Arial"/>
                <w:b/>
                <w:bCs/>
                <w:sz w:val="18"/>
                <w:szCs w:val="18"/>
                <w:lang w:val="es-CR" w:eastAsia="es-CR"/>
              </w:rPr>
              <w:lastRenderedPageBreak/>
              <w:t>Premio</w:t>
            </w:r>
          </w:p>
        </w:tc>
        <w:tc>
          <w:tcPr>
            <w:tcW w:w="4040" w:type="dxa"/>
            <w:tcBorders>
              <w:top w:val="single" w:sz="4" w:space="0" w:color="auto"/>
              <w:left w:val="nil"/>
              <w:bottom w:val="single" w:sz="4" w:space="0" w:color="auto"/>
              <w:right w:val="single" w:sz="4" w:space="0" w:color="auto"/>
            </w:tcBorders>
            <w:shd w:val="clear" w:color="auto" w:fill="auto"/>
            <w:vAlign w:val="center"/>
          </w:tcPr>
          <w:p w14:paraId="7A1996AA" w14:textId="77777777" w:rsidR="008F0E1A" w:rsidRPr="00E34A30" w:rsidRDefault="008F0E1A" w:rsidP="008F0E1A">
            <w:pPr>
              <w:jc w:val="both"/>
              <w:rPr>
                <w:rFonts w:cs="Arial"/>
                <w:bCs/>
                <w:sz w:val="18"/>
                <w:szCs w:val="18"/>
                <w:lang w:val="es-ES_tradnl"/>
              </w:rPr>
            </w:pPr>
            <w:r w:rsidRPr="00E34A30">
              <w:rPr>
                <w:rFonts w:cs="Arial"/>
                <w:bCs/>
                <w:sz w:val="18"/>
                <w:szCs w:val="18"/>
                <w:lang w:val="es-ES_tradnl"/>
              </w:rPr>
              <w:t>No es requerido para títulos con código ISIN registrados en una bolsa de valores costarricense que indiquen Canal de Venta ‘B’, ‘V’ o en operaciones del mercado de liquidez en donde el campo 14 (Estado de la inversión propia) es ‘MLV’.</w:t>
            </w:r>
          </w:p>
          <w:p w14:paraId="42B5DF16" w14:textId="77777777" w:rsidR="008F0E1A" w:rsidRPr="00E34A30" w:rsidRDefault="008F0E1A" w:rsidP="008F0E1A">
            <w:pPr>
              <w:jc w:val="both"/>
              <w:rPr>
                <w:rFonts w:cs="Arial"/>
                <w:bCs/>
                <w:sz w:val="18"/>
                <w:szCs w:val="18"/>
                <w:lang w:val="es-ES_tradnl"/>
              </w:rPr>
            </w:pPr>
          </w:p>
          <w:p w14:paraId="563C150D" w14:textId="77777777" w:rsidR="008F0E1A" w:rsidRPr="00E34A30" w:rsidRDefault="008F0E1A" w:rsidP="008F0E1A">
            <w:pPr>
              <w:jc w:val="both"/>
              <w:rPr>
                <w:rFonts w:eastAsia="Times New Roman" w:cs="Arial"/>
                <w:sz w:val="18"/>
                <w:szCs w:val="18"/>
                <w:lang w:val="es-CR" w:eastAsia="es-CR"/>
              </w:rPr>
            </w:pPr>
            <w:r w:rsidRPr="00E34A30">
              <w:rPr>
                <w:rFonts w:cs="Arial"/>
                <w:bCs/>
                <w:sz w:val="18"/>
                <w:szCs w:val="18"/>
                <w:lang w:val="es-ES_tradnl"/>
              </w:rPr>
              <w:t>Se utiliza en el caso de títulos valores de renta fija con cupón ajustable</w:t>
            </w:r>
          </w:p>
        </w:tc>
        <w:tc>
          <w:tcPr>
            <w:tcW w:w="4040" w:type="dxa"/>
            <w:tcBorders>
              <w:top w:val="single" w:sz="4" w:space="0" w:color="auto"/>
              <w:left w:val="nil"/>
              <w:bottom w:val="single" w:sz="4" w:space="0" w:color="auto"/>
              <w:right w:val="single" w:sz="4" w:space="0" w:color="auto"/>
            </w:tcBorders>
            <w:shd w:val="clear" w:color="auto" w:fill="auto"/>
          </w:tcPr>
          <w:p w14:paraId="5A006731" w14:textId="77777777" w:rsidR="00D13C09" w:rsidRPr="00E34A30" w:rsidRDefault="00D13C09" w:rsidP="00D13C09">
            <w:pPr>
              <w:spacing w:after="0" w:line="240" w:lineRule="auto"/>
              <w:jc w:val="both"/>
              <w:rPr>
                <w:rFonts w:eastAsia="Calibri" w:cs="Arial"/>
                <w:sz w:val="18"/>
                <w:szCs w:val="18"/>
                <w:lang w:val="es-ES_tradnl" w:eastAsia="es-CR"/>
              </w:rPr>
            </w:pPr>
            <w:r w:rsidRPr="00E34A30">
              <w:rPr>
                <w:rFonts w:eastAsia="Calibri" w:cs="Arial"/>
                <w:sz w:val="18"/>
                <w:szCs w:val="18"/>
                <w:lang w:val="es-ES_tradnl" w:eastAsia="es-CR"/>
              </w:rPr>
              <w:t>No debe indicarse para títulos con código ISIN registrados en una bolsa de valores costarricense que indiquen Canal de Venta ‘B’, ‘V’ ni para operaciones del Mercado de Liquidez que utilizan el Canal de Venta ‘C’, tampoco debe indicarse para inversiones en reporto tripartito (Estado de la inversión RV). Es obligatorio para el resto de los instrumentos.</w:t>
            </w:r>
          </w:p>
          <w:p w14:paraId="5C83A9FA" w14:textId="77777777" w:rsidR="00505CC8" w:rsidRPr="00E34A30" w:rsidRDefault="00505CC8" w:rsidP="008F0E1A">
            <w:pPr>
              <w:spacing w:after="0" w:line="240" w:lineRule="auto"/>
              <w:jc w:val="both"/>
              <w:rPr>
                <w:rFonts w:eastAsia="Times New Roman" w:cs="Arial"/>
                <w:bCs/>
                <w:sz w:val="18"/>
                <w:szCs w:val="18"/>
                <w:lang w:val="es-ES_tradnl"/>
              </w:rPr>
            </w:pPr>
          </w:p>
          <w:p w14:paraId="421CBA3B" w14:textId="77777777" w:rsidR="008F0E1A" w:rsidRPr="00E34A30" w:rsidRDefault="008F0E1A" w:rsidP="008F0E1A">
            <w:pPr>
              <w:spacing w:after="0" w:line="240" w:lineRule="auto"/>
              <w:jc w:val="both"/>
              <w:rPr>
                <w:rFonts w:eastAsia="Times New Roman" w:cs="Arial"/>
                <w:sz w:val="18"/>
                <w:szCs w:val="18"/>
                <w:lang w:val="es-CR" w:eastAsia="es-CR"/>
              </w:rPr>
            </w:pPr>
            <w:r w:rsidRPr="00E34A30">
              <w:rPr>
                <w:rFonts w:eastAsia="Times New Roman" w:cs="Arial"/>
                <w:bCs/>
                <w:sz w:val="18"/>
                <w:szCs w:val="18"/>
                <w:lang w:val="es-ES_tradnl"/>
              </w:rPr>
              <w:t>Se utiliza en el caso de títulos valores de renta fija con cupón ajustable</w:t>
            </w:r>
          </w:p>
        </w:tc>
      </w:tr>
    </w:tbl>
    <w:p w14:paraId="0D5B2EE6" w14:textId="77777777" w:rsidR="005B2114" w:rsidRDefault="005B2114" w:rsidP="00554968">
      <w:pPr>
        <w:jc w:val="both"/>
        <w:rPr>
          <w:rStyle w:val="Hipervnculo"/>
          <w:rFonts w:eastAsia="Calibri" w:cs="Arial"/>
          <w:sz w:val="20"/>
          <w:szCs w:val="20"/>
        </w:rPr>
      </w:pPr>
    </w:p>
    <w:bookmarkStart w:id="2" w:name="_MON_1682340348"/>
    <w:bookmarkEnd w:id="2"/>
    <w:p w14:paraId="7E22EC44" w14:textId="77777777" w:rsidR="00A95F43" w:rsidRDefault="003261EA" w:rsidP="00554968">
      <w:pPr>
        <w:jc w:val="both"/>
        <w:rPr>
          <w:rStyle w:val="Hipervnculo"/>
          <w:rFonts w:eastAsia="Calibri" w:cs="Arial"/>
          <w:sz w:val="20"/>
          <w:szCs w:val="20"/>
        </w:rPr>
      </w:pPr>
      <w:r>
        <w:rPr>
          <w:rStyle w:val="Hipervnculo"/>
          <w:rFonts w:eastAsia="Calibri" w:cs="Arial"/>
          <w:sz w:val="20"/>
          <w:szCs w:val="20"/>
        </w:rPr>
        <w:object w:dxaOrig="1175" w:dyaOrig="760" w14:anchorId="26C4B8B8">
          <v:shape id="_x0000_i1027" type="#_x0000_t75" style="width:58.5pt;height:38.5pt" o:ole="">
            <v:imagedata r:id="rId17" o:title=""/>
          </v:shape>
          <o:OLEObject Type="Embed" ProgID="Word.Document.12" ShapeID="_x0000_i1027" DrawAspect="Icon" ObjectID="_1691244270" r:id="rId18">
            <o:FieldCodes>\s</o:FieldCodes>
          </o:OLEObject>
        </w:object>
      </w:r>
      <w:r w:rsidR="000335B8">
        <w:rPr>
          <w:rStyle w:val="Hipervnculo"/>
          <w:rFonts w:eastAsia="Calibri" w:cs="Arial"/>
          <w:sz w:val="20"/>
          <w:szCs w:val="20"/>
        </w:rPr>
        <w:t xml:space="preserve">  </w:t>
      </w:r>
      <w:bookmarkStart w:id="3" w:name="_MON_1682340368"/>
      <w:bookmarkEnd w:id="3"/>
      <w:r w:rsidR="00C20CE4">
        <w:rPr>
          <w:rStyle w:val="Hipervnculo"/>
          <w:rFonts w:eastAsia="Calibri" w:cs="Arial"/>
          <w:sz w:val="20"/>
          <w:szCs w:val="20"/>
        </w:rPr>
        <w:object w:dxaOrig="1175" w:dyaOrig="760" w14:anchorId="764EAF6D">
          <v:shape id="_x0000_i1028" type="#_x0000_t75" style="width:58.5pt;height:38.5pt" o:ole="">
            <v:imagedata r:id="rId19" o:title=""/>
          </v:shape>
          <o:OLEObject Type="Embed" ProgID="Word.Document.12" ShapeID="_x0000_i1028" DrawAspect="Icon" ObjectID="_1691244271" r:id="rId20">
            <o:FieldCodes>\s</o:FieldCodes>
          </o:OLEObject>
        </w:object>
      </w:r>
    </w:p>
    <w:p w14:paraId="3D6D6D87" w14:textId="77777777" w:rsidR="00A95F43" w:rsidRDefault="00A95F43" w:rsidP="00554968">
      <w:pPr>
        <w:jc w:val="both"/>
        <w:rPr>
          <w:rStyle w:val="Hipervnculo"/>
          <w:rFonts w:eastAsia="Calibri" w:cs="Arial"/>
          <w:sz w:val="20"/>
          <w:szCs w:val="20"/>
        </w:rPr>
      </w:pPr>
    </w:p>
    <w:p w14:paraId="2A0FB022" w14:textId="77777777" w:rsidR="008E68C8" w:rsidRPr="00553D2F" w:rsidRDefault="008E68C8" w:rsidP="00553D2F">
      <w:pPr>
        <w:pStyle w:val="Prrafodelista"/>
        <w:numPr>
          <w:ilvl w:val="0"/>
          <w:numId w:val="10"/>
        </w:numPr>
        <w:jc w:val="both"/>
        <w:rPr>
          <w:rFonts w:eastAsia="Calibri" w:cs="Arial"/>
        </w:rPr>
      </w:pPr>
      <w:bookmarkStart w:id="4" w:name="_Hlk67391563"/>
      <w:r w:rsidRPr="008E68C8">
        <w:rPr>
          <w:rFonts w:eastAsia="Calibri" w:cs="Arial"/>
        </w:rPr>
        <w:t xml:space="preserve">Se modifica </w:t>
      </w:r>
      <w:r>
        <w:rPr>
          <w:rFonts w:eastAsia="Calibri" w:cs="Arial"/>
        </w:rPr>
        <w:t>la periodicidad d</w:t>
      </w:r>
      <w:r w:rsidRPr="008E68C8">
        <w:rPr>
          <w:rFonts w:eastAsia="Calibri" w:cs="Arial"/>
        </w:rPr>
        <w:t xml:space="preserve">e la </w:t>
      </w:r>
      <w:r>
        <w:rPr>
          <w:rFonts w:eastAsia="Calibri" w:cs="Arial"/>
        </w:rPr>
        <w:t>Suficiencia Patrimonial y Control de Límites</w:t>
      </w:r>
      <w:r w:rsidR="00096B0D">
        <w:rPr>
          <w:rFonts w:eastAsia="Calibri" w:cs="Arial"/>
        </w:rPr>
        <w:t xml:space="preserve"> (Anexo 31) </w:t>
      </w:r>
      <w:r>
        <w:rPr>
          <w:rFonts w:eastAsia="Calibri" w:cs="Arial"/>
        </w:rPr>
        <w:t>en el Cuadro de Información Periódica</w:t>
      </w:r>
      <w:r w:rsidRPr="008E68C8">
        <w:rPr>
          <w:rFonts w:eastAsia="Calibri" w:cs="Arial"/>
        </w:rPr>
        <w:t>:</w:t>
      </w:r>
    </w:p>
    <w:bookmarkEnd w:id="4"/>
    <w:p w14:paraId="36E4C4E5" w14:textId="77777777" w:rsidR="008E68C8" w:rsidRPr="008E68C8" w:rsidRDefault="008E68C8" w:rsidP="008E68C8">
      <w:pPr>
        <w:spacing w:line="256" w:lineRule="auto"/>
        <w:ind w:left="720"/>
        <w:contextualSpacing/>
        <w:jc w:val="both"/>
        <w:rPr>
          <w:rFonts w:eastAsia="Calibri" w:cs="Arial"/>
          <w:b/>
        </w:rPr>
      </w:pPr>
    </w:p>
    <w:tbl>
      <w:tblPr>
        <w:tblW w:w="10485" w:type="dxa"/>
        <w:jc w:val="center"/>
        <w:tblLayout w:type="fixed"/>
        <w:tblCellMar>
          <w:left w:w="70" w:type="dxa"/>
          <w:right w:w="70" w:type="dxa"/>
        </w:tblCellMar>
        <w:tblLook w:val="04A0" w:firstRow="1" w:lastRow="0" w:firstColumn="1" w:lastColumn="0" w:noHBand="0" w:noVBand="1"/>
      </w:tblPr>
      <w:tblGrid>
        <w:gridCol w:w="1959"/>
        <w:gridCol w:w="1590"/>
        <w:gridCol w:w="2358"/>
        <w:gridCol w:w="2235"/>
        <w:gridCol w:w="2343"/>
      </w:tblGrid>
      <w:tr w:rsidR="00A230BD" w:rsidRPr="008E68C8" w14:paraId="31EF80EC" w14:textId="77777777" w:rsidTr="005741AC">
        <w:trPr>
          <w:trHeight w:val="538"/>
          <w:tblHeader/>
          <w:jc w:val="center"/>
        </w:trPr>
        <w:tc>
          <w:tcPr>
            <w:tcW w:w="1959" w:type="dxa"/>
            <w:tcBorders>
              <w:top w:val="single" w:sz="4" w:space="0" w:color="auto"/>
              <w:left w:val="single" w:sz="4" w:space="0" w:color="auto"/>
              <w:bottom w:val="single" w:sz="4" w:space="0" w:color="auto"/>
              <w:right w:val="single" w:sz="4" w:space="0" w:color="auto"/>
            </w:tcBorders>
            <w:noWrap/>
            <w:vAlign w:val="center"/>
            <w:hideMark/>
          </w:tcPr>
          <w:p w14:paraId="0162560B" w14:textId="77777777" w:rsidR="00A230BD" w:rsidRPr="008E68C8" w:rsidRDefault="00A230BD" w:rsidP="008E68C8">
            <w:pPr>
              <w:spacing w:after="0" w:line="240" w:lineRule="auto"/>
              <w:jc w:val="center"/>
              <w:rPr>
                <w:rFonts w:eastAsia="Times New Roman" w:cs="Arial"/>
                <w:b/>
                <w:bCs/>
                <w:lang w:val="es-CR" w:eastAsia="es-CR"/>
              </w:rPr>
            </w:pPr>
            <w:bookmarkStart w:id="5" w:name="_Hlk67391742"/>
            <w:r>
              <w:rPr>
                <w:rFonts w:eastAsia="Times New Roman" w:cs="Arial"/>
                <w:b/>
                <w:bCs/>
                <w:lang w:val="es-CR" w:eastAsia="es-CR"/>
              </w:rPr>
              <w:t>Informe/Reporte</w:t>
            </w:r>
          </w:p>
        </w:tc>
        <w:tc>
          <w:tcPr>
            <w:tcW w:w="1590" w:type="dxa"/>
            <w:tcBorders>
              <w:top w:val="single" w:sz="4" w:space="0" w:color="auto"/>
              <w:left w:val="nil"/>
              <w:bottom w:val="single" w:sz="4" w:space="0" w:color="auto"/>
              <w:right w:val="single" w:sz="4" w:space="0" w:color="auto"/>
            </w:tcBorders>
            <w:vAlign w:val="center"/>
            <w:hideMark/>
          </w:tcPr>
          <w:p w14:paraId="348B9719" w14:textId="77777777" w:rsidR="00A230BD" w:rsidRPr="008E68C8" w:rsidRDefault="00A230BD" w:rsidP="008E68C8">
            <w:pPr>
              <w:spacing w:after="0" w:line="240" w:lineRule="auto"/>
              <w:jc w:val="center"/>
              <w:rPr>
                <w:rFonts w:eastAsia="Times New Roman" w:cs="Arial"/>
                <w:b/>
                <w:bCs/>
                <w:lang w:val="es-CR" w:eastAsia="es-CR"/>
              </w:rPr>
            </w:pPr>
            <w:r>
              <w:rPr>
                <w:rFonts w:eastAsia="Times New Roman" w:cs="Arial"/>
                <w:b/>
                <w:bCs/>
                <w:lang w:val="es-CR" w:eastAsia="es-CR"/>
              </w:rPr>
              <w:t>Periodicidad</w:t>
            </w:r>
            <w:r w:rsidRPr="008E68C8">
              <w:rPr>
                <w:rFonts w:eastAsia="Times New Roman" w:cs="Arial"/>
                <w:b/>
                <w:bCs/>
                <w:lang w:val="es-CR" w:eastAsia="es-CR"/>
              </w:rPr>
              <w:t xml:space="preserve"> vigente</w:t>
            </w:r>
          </w:p>
        </w:tc>
        <w:tc>
          <w:tcPr>
            <w:tcW w:w="2358" w:type="dxa"/>
            <w:tcBorders>
              <w:top w:val="single" w:sz="4" w:space="0" w:color="auto"/>
              <w:left w:val="nil"/>
              <w:bottom w:val="single" w:sz="4" w:space="0" w:color="auto"/>
              <w:right w:val="single" w:sz="4" w:space="0" w:color="auto"/>
            </w:tcBorders>
          </w:tcPr>
          <w:p w14:paraId="6A306F46" w14:textId="77777777" w:rsidR="00A230BD" w:rsidRPr="008E68C8" w:rsidRDefault="00A230BD" w:rsidP="008E68C8">
            <w:pPr>
              <w:spacing w:after="0" w:line="240" w:lineRule="auto"/>
              <w:jc w:val="center"/>
              <w:rPr>
                <w:rFonts w:eastAsia="Times New Roman" w:cs="Arial"/>
                <w:b/>
                <w:bCs/>
                <w:lang w:val="es-CR" w:eastAsia="es-CR"/>
              </w:rPr>
            </w:pPr>
            <w:r>
              <w:rPr>
                <w:rFonts w:eastAsia="Times New Roman" w:cs="Arial"/>
                <w:b/>
                <w:bCs/>
                <w:lang w:val="es-CR" w:eastAsia="es-CR"/>
              </w:rPr>
              <w:t>Plazo máximo de entrega vigente</w:t>
            </w:r>
          </w:p>
        </w:tc>
        <w:tc>
          <w:tcPr>
            <w:tcW w:w="2235" w:type="dxa"/>
            <w:tcBorders>
              <w:top w:val="single" w:sz="4" w:space="0" w:color="auto"/>
              <w:left w:val="single" w:sz="4" w:space="0" w:color="auto"/>
              <w:bottom w:val="single" w:sz="4" w:space="0" w:color="auto"/>
              <w:right w:val="single" w:sz="4" w:space="0" w:color="auto"/>
            </w:tcBorders>
          </w:tcPr>
          <w:p w14:paraId="5F29C9ED" w14:textId="77777777" w:rsidR="00A230BD" w:rsidRPr="008E68C8" w:rsidRDefault="00A230BD" w:rsidP="008E68C8">
            <w:pPr>
              <w:spacing w:after="0" w:line="240" w:lineRule="auto"/>
              <w:jc w:val="center"/>
              <w:rPr>
                <w:rFonts w:eastAsia="Times New Roman" w:cs="Arial"/>
                <w:b/>
                <w:bCs/>
                <w:lang w:val="es-CR" w:eastAsia="es-CR"/>
              </w:rPr>
            </w:pPr>
            <w:r>
              <w:rPr>
                <w:rFonts w:eastAsia="Times New Roman" w:cs="Arial"/>
                <w:b/>
                <w:bCs/>
                <w:lang w:val="es-CR" w:eastAsia="es-CR"/>
              </w:rPr>
              <w:t>Periodicidad</w:t>
            </w:r>
            <w:r w:rsidRPr="008E68C8">
              <w:rPr>
                <w:rFonts w:eastAsia="Times New Roman" w:cs="Arial"/>
                <w:b/>
                <w:bCs/>
                <w:lang w:val="es-CR" w:eastAsia="es-CR"/>
              </w:rPr>
              <w:t xml:space="preserve"> propuesta</w:t>
            </w:r>
          </w:p>
        </w:tc>
        <w:tc>
          <w:tcPr>
            <w:tcW w:w="2343" w:type="dxa"/>
            <w:tcBorders>
              <w:top w:val="single" w:sz="4" w:space="0" w:color="auto"/>
              <w:left w:val="single" w:sz="4" w:space="0" w:color="auto"/>
              <w:bottom w:val="single" w:sz="4" w:space="0" w:color="auto"/>
              <w:right w:val="single" w:sz="4" w:space="0" w:color="auto"/>
            </w:tcBorders>
            <w:hideMark/>
          </w:tcPr>
          <w:p w14:paraId="6134640F" w14:textId="77777777" w:rsidR="00A230BD" w:rsidRPr="008E68C8" w:rsidRDefault="00A230BD" w:rsidP="008E68C8">
            <w:pPr>
              <w:spacing w:after="0" w:line="240" w:lineRule="auto"/>
              <w:jc w:val="center"/>
              <w:rPr>
                <w:rFonts w:eastAsia="Times New Roman" w:cs="Arial"/>
                <w:b/>
                <w:bCs/>
                <w:lang w:val="es-CR" w:eastAsia="es-CR"/>
              </w:rPr>
            </w:pPr>
            <w:r w:rsidRPr="008E68C8">
              <w:rPr>
                <w:rFonts w:eastAsia="Times New Roman" w:cs="Arial"/>
                <w:b/>
                <w:bCs/>
                <w:lang w:val="es-CR" w:eastAsia="es-CR"/>
              </w:rPr>
              <w:t>Plazo máximo de entrega</w:t>
            </w:r>
            <w:r>
              <w:rPr>
                <w:rFonts w:eastAsia="Times New Roman" w:cs="Arial"/>
                <w:b/>
                <w:bCs/>
                <w:lang w:val="es-CR" w:eastAsia="es-CR"/>
              </w:rPr>
              <w:t xml:space="preserve"> propuesto</w:t>
            </w:r>
          </w:p>
        </w:tc>
      </w:tr>
      <w:tr w:rsidR="00A230BD" w:rsidRPr="008E68C8" w14:paraId="0F8BE65F" w14:textId="77777777" w:rsidTr="005741AC">
        <w:trPr>
          <w:trHeight w:val="1562"/>
          <w:jc w:val="center"/>
        </w:trPr>
        <w:tc>
          <w:tcPr>
            <w:tcW w:w="1959" w:type="dxa"/>
            <w:tcBorders>
              <w:top w:val="single" w:sz="4" w:space="0" w:color="auto"/>
              <w:left w:val="single" w:sz="4" w:space="0" w:color="auto"/>
              <w:bottom w:val="single" w:sz="4" w:space="0" w:color="auto"/>
              <w:right w:val="single" w:sz="4" w:space="0" w:color="auto"/>
            </w:tcBorders>
            <w:vAlign w:val="center"/>
            <w:hideMark/>
          </w:tcPr>
          <w:p w14:paraId="4C319FAC" w14:textId="77777777" w:rsidR="00A230BD" w:rsidRPr="00786288" w:rsidRDefault="00A230BD" w:rsidP="00786288">
            <w:pPr>
              <w:spacing w:after="0" w:line="240" w:lineRule="auto"/>
              <w:contextualSpacing/>
              <w:jc w:val="center"/>
              <w:rPr>
                <w:rFonts w:eastAsia="Times New Roman" w:cs="Arial"/>
                <w:b/>
                <w:bCs/>
                <w:lang w:val="es-CR" w:eastAsia="es-CR"/>
              </w:rPr>
            </w:pPr>
            <w:r w:rsidRPr="00786288">
              <w:rPr>
                <w:rFonts w:eastAsia="Times New Roman" w:cs="Arial"/>
                <w:b/>
                <w:bCs/>
                <w:lang w:val="es-CR" w:eastAsia="es-CR"/>
              </w:rPr>
              <w:t>Suficiencia patrimonial y control de límites</w:t>
            </w:r>
          </w:p>
        </w:tc>
        <w:tc>
          <w:tcPr>
            <w:tcW w:w="1590" w:type="dxa"/>
            <w:tcBorders>
              <w:top w:val="single" w:sz="4" w:space="0" w:color="auto"/>
              <w:left w:val="nil"/>
              <w:bottom w:val="single" w:sz="4" w:space="0" w:color="auto"/>
              <w:right w:val="single" w:sz="4" w:space="0" w:color="auto"/>
            </w:tcBorders>
            <w:vAlign w:val="center"/>
            <w:hideMark/>
          </w:tcPr>
          <w:p w14:paraId="26C75D55" w14:textId="77777777" w:rsidR="00A230BD" w:rsidRPr="008E68C8" w:rsidRDefault="00A230BD" w:rsidP="008E68C8">
            <w:pPr>
              <w:spacing w:after="0" w:line="240" w:lineRule="auto"/>
              <w:jc w:val="center"/>
              <w:rPr>
                <w:rFonts w:eastAsia="Times New Roman" w:cs="Arial"/>
                <w:lang w:val="es-CR" w:eastAsia="es-CR"/>
              </w:rPr>
            </w:pPr>
            <w:r>
              <w:rPr>
                <w:rFonts w:eastAsia="Times New Roman" w:cs="Arial"/>
                <w:lang w:val="es-CR" w:eastAsia="es-CR"/>
              </w:rPr>
              <w:t>Diaria</w:t>
            </w:r>
          </w:p>
        </w:tc>
        <w:tc>
          <w:tcPr>
            <w:tcW w:w="2358" w:type="dxa"/>
            <w:tcBorders>
              <w:top w:val="single" w:sz="4" w:space="0" w:color="auto"/>
              <w:left w:val="nil"/>
              <w:bottom w:val="single" w:sz="4" w:space="0" w:color="auto"/>
              <w:right w:val="single" w:sz="4" w:space="0" w:color="auto"/>
            </w:tcBorders>
            <w:vAlign w:val="center"/>
          </w:tcPr>
          <w:p w14:paraId="4954432C" w14:textId="77777777" w:rsidR="00A230BD" w:rsidRPr="008E68C8" w:rsidRDefault="00A230BD" w:rsidP="00387CAF">
            <w:pPr>
              <w:spacing w:after="0" w:line="240" w:lineRule="auto"/>
              <w:rPr>
                <w:rFonts w:eastAsia="Times New Roman" w:cs="Arial"/>
                <w:bCs/>
                <w:lang w:val="es-CR" w:eastAsia="es-CR"/>
              </w:rPr>
            </w:pPr>
            <w:r w:rsidRPr="008E68C8">
              <w:rPr>
                <w:rFonts w:eastAsia="Times New Roman" w:cs="Arial"/>
                <w:bCs/>
                <w:lang w:val="es-CR" w:eastAsia="es-CR"/>
              </w:rPr>
              <w:t>5  días hábiles después de cada día de reporte</w:t>
            </w:r>
          </w:p>
        </w:tc>
        <w:tc>
          <w:tcPr>
            <w:tcW w:w="2235" w:type="dxa"/>
            <w:tcBorders>
              <w:top w:val="single" w:sz="4" w:space="0" w:color="auto"/>
              <w:left w:val="single" w:sz="4" w:space="0" w:color="auto"/>
              <w:bottom w:val="single" w:sz="4" w:space="0" w:color="auto"/>
              <w:right w:val="single" w:sz="4" w:space="0" w:color="auto"/>
            </w:tcBorders>
          </w:tcPr>
          <w:p w14:paraId="40A1B8CA" w14:textId="77777777" w:rsidR="00A230BD" w:rsidRDefault="00A230BD" w:rsidP="008E68C8">
            <w:pPr>
              <w:spacing w:after="0" w:line="240" w:lineRule="auto"/>
              <w:jc w:val="both"/>
              <w:rPr>
                <w:rFonts w:eastAsia="Times New Roman" w:cs="Arial"/>
                <w:lang w:val="es-CR" w:eastAsia="es-CR"/>
              </w:rPr>
            </w:pPr>
          </w:p>
          <w:p w14:paraId="173AF401" w14:textId="77777777" w:rsidR="00A230BD" w:rsidRDefault="00A230BD" w:rsidP="008E68C8">
            <w:pPr>
              <w:spacing w:after="0" w:line="240" w:lineRule="auto"/>
              <w:jc w:val="both"/>
              <w:rPr>
                <w:rFonts w:eastAsia="Times New Roman" w:cs="Arial"/>
                <w:lang w:val="es-CR" w:eastAsia="es-CR"/>
              </w:rPr>
            </w:pPr>
          </w:p>
          <w:p w14:paraId="4BAF7CF1" w14:textId="77777777" w:rsidR="00A230BD" w:rsidRDefault="00A230BD" w:rsidP="00A230BD">
            <w:pPr>
              <w:spacing w:after="0" w:line="240" w:lineRule="auto"/>
              <w:jc w:val="center"/>
              <w:rPr>
                <w:rFonts w:eastAsia="Times New Roman" w:cs="Arial"/>
                <w:lang w:val="es-CR" w:eastAsia="es-CR"/>
              </w:rPr>
            </w:pPr>
          </w:p>
          <w:p w14:paraId="2658F455" w14:textId="77777777" w:rsidR="00A230BD" w:rsidRDefault="00A230BD" w:rsidP="00A230BD">
            <w:pPr>
              <w:spacing w:after="0" w:line="240" w:lineRule="auto"/>
              <w:jc w:val="center"/>
              <w:rPr>
                <w:rFonts w:eastAsia="Times New Roman" w:cs="Arial"/>
                <w:bCs/>
                <w:lang w:val="es-CR" w:eastAsia="es-CR"/>
              </w:rPr>
            </w:pPr>
            <w:r w:rsidRPr="008E68C8">
              <w:rPr>
                <w:rFonts w:eastAsia="Times New Roman" w:cs="Arial"/>
                <w:lang w:val="es-CR" w:eastAsia="es-CR"/>
              </w:rPr>
              <w:t>Mensual</w:t>
            </w:r>
          </w:p>
        </w:tc>
        <w:tc>
          <w:tcPr>
            <w:tcW w:w="2343" w:type="dxa"/>
            <w:tcBorders>
              <w:top w:val="single" w:sz="4" w:space="0" w:color="auto"/>
              <w:left w:val="single" w:sz="4" w:space="0" w:color="auto"/>
              <w:bottom w:val="single" w:sz="4" w:space="0" w:color="auto"/>
              <w:right w:val="single" w:sz="4" w:space="0" w:color="auto"/>
            </w:tcBorders>
            <w:vAlign w:val="center"/>
          </w:tcPr>
          <w:p w14:paraId="3DA21EFF" w14:textId="77777777" w:rsidR="00A230BD" w:rsidRPr="008E68C8" w:rsidRDefault="00A230BD" w:rsidP="00387CAF">
            <w:pPr>
              <w:spacing w:after="0" w:line="240" w:lineRule="auto"/>
              <w:rPr>
                <w:rFonts w:eastAsia="Times New Roman" w:cs="Arial"/>
                <w:bCs/>
                <w:lang w:val="es-CR" w:eastAsia="es-CR"/>
              </w:rPr>
            </w:pPr>
            <w:r>
              <w:rPr>
                <w:rFonts w:eastAsia="Times New Roman" w:cs="Arial"/>
                <w:bCs/>
                <w:lang w:val="es-CR" w:eastAsia="es-CR"/>
              </w:rPr>
              <w:t>5</w:t>
            </w:r>
            <w:r w:rsidRPr="008E68C8">
              <w:rPr>
                <w:rFonts w:eastAsia="Times New Roman" w:cs="Arial"/>
                <w:bCs/>
                <w:lang w:val="es-CR" w:eastAsia="es-CR"/>
              </w:rPr>
              <w:t xml:space="preserve"> días hábiles después del cierre mensual</w:t>
            </w:r>
          </w:p>
        </w:tc>
      </w:tr>
      <w:bookmarkEnd w:id="5"/>
    </w:tbl>
    <w:p w14:paraId="051173CD" w14:textId="77777777" w:rsidR="008F0E1A" w:rsidRDefault="008F0E1A" w:rsidP="00554968">
      <w:pPr>
        <w:jc w:val="both"/>
        <w:rPr>
          <w:rStyle w:val="Hipervnculo"/>
          <w:rFonts w:eastAsia="Calibri" w:cs="Arial"/>
          <w:sz w:val="20"/>
          <w:szCs w:val="20"/>
          <w:lang w:val="es-CR"/>
        </w:rPr>
      </w:pPr>
    </w:p>
    <w:p w14:paraId="0994362D" w14:textId="77777777" w:rsidR="00553D2F" w:rsidRDefault="00553D2F" w:rsidP="00553D2F">
      <w:pPr>
        <w:pStyle w:val="Prrafodelista"/>
        <w:numPr>
          <w:ilvl w:val="0"/>
          <w:numId w:val="10"/>
        </w:numPr>
        <w:jc w:val="both"/>
        <w:rPr>
          <w:rFonts w:eastAsia="Calibri" w:cs="Arial"/>
        </w:rPr>
      </w:pPr>
      <w:r w:rsidRPr="008E68C8">
        <w:rPr>
          <w:rFonts w:eastAsia="Calibri" w:cs="Arial"/>
        </w:rPr>
        <w:t xml:space="preserve">Se modifica </w:t>
      </w:r>
      <w:r>
        <w:rPr>
          <w:rFonts w:eastAsia="Calibri" w:cs="Arial"/>
        </w:rPr>
        <w:t xml:space="preserve">el medio de envío </w:t>
      </w:r>
      <w:r w:rsidR="00A230BD">
        <w:rPr>
          <w:rFonts w:eastAsia="Calibri" w:cs="Arial"/>
        </w:rPr>
        <w:t xml:space="preserve">y las notas aclaratorias </w:t>
      </w:r>
      <w:r>
        <w:rPr>
          <w:rFonts w:eastAsia="Calibri" w:cs="Arial"/>
        </w:rPr>
        <w:t xml:space="preserve">de la Certificación de Bienes de Registro </w:t>
      </w:r>
      <w:r w:rsidRPr="00072AD5">
        <w:rPr>
          <w:rFonts w:eastAsia="Calibri" w:cs="Arial"/>
        </w:rPr>
        <w:t>Público de acuerdo</w:t>
      </w:r>
      <w:r>
        <w:rPr>
          <w:rFonts w:eastAsia="Calibri" w:cs="Arial"/>
        </w:rPr>
        <w:t xml:space="preserve"> con lo siguiente</w:t>
      </w:r>
      <w:r w:rsidRPr="008E68C8">
        <w:rPr>
          <w:rFonts w:eastAsia="Calibri" w:cs="Arial"/>
        </w:rPr>
        <w:t>:</w:t>
      </w:r>
    </w:p>
    <w:p w14:paraId="15EF0064" w14:textId="77777777" w:rsidR="005741AC" w:rsidRPr="00553D2F" w:rsidRDefault="005741AC" w:rsidP="005741AC">
      <w:pPr>
        <w:pStyle w:val="Prrafodelista"/>
        <w:jc w:val="both"/>
        <w:rPr>
          <w:rFonts w:eastAsia="Calibri" w:cs="Arial"/>
        </w:rPr>
      </w:pPr>
    </w:p>
    <w:tbl>
      <w:tblPr>
        <w:tblW w:w="10524" w:type="dxa"/>
        <w:jc w:val="center"/>
        <w:tblLayout w:type="fixed"/>
        <w:tblCellMar>
          <w:left w:w="70" w:type="dxa"/>
          <w:right w:w="70" w:type="dxa"/>
        </w:tblCellMar>
        <w:tblLook w:val="04A0" w:firstRow="1" w:lastRow="0" w:firstColumn="1" w:lastColumn="0" w:noHBand="0" w:noVBand="1"/>
      </w:tblPr>
      <w:tblGrid>
        <w:gridCol w:w="2308"/>
        <w:gridCol w:w="1669"/>
        <w:gridCol w:w="2311"/>
        <w:gridCol w:w="1797"/>
        <w:gridCol w:w="2439"/>
      </w:tblGrid>
      <w:tr w:rsidR="00A230BD" w:rsidRPr="008E68C8" w14:paraId="5EF36408" w14:textId="77777777" w:rsidTr="00072AD5">
        <w:trPr>
          <w:trHeight w:val="603"/>
          <w:tblHeader/>
          <w:jc w:val="center"/>
        </w:trPr>
        <w:tc>
          <w:tcPr>
            <w:tcW w:w="2308" w:type="dxa"/>
            <w:tcBorders>
              <w:top w:val="single" w:sz="4" w:space="0" w:color="auto"/>
              <w:left w:val="single" w:sz="4" w:space="0" w:color="auto"/>
              <w:bottom w:val="single" w:sz="4" w:space="0" w:color="auto"/>
              <w:right w:val="single" w:sz="4" w:space="0" w:color="auto"/>
            </w:tcBorders>
            <w:noWrap/>
            <w:vAlign w:val="center"/>
            <w:hideMark/>
          </w:tcPr>
          <w:p w14:paraId="0CEEBDF8" w14:textId="77777777" w:rsidR="00A230BD" w:rsidRPr="008E68C8" w:rsidRDefault="00A230BD" w:rsidP="00A230BD">
            <w:pPr>
              <w:spacing w:after="0" w:line="240" w:lineRule="auto"/>
              <w:jc w:val="center"/>
              <w:rPr>
                <w:rFonts w:eastAsia="Times New Roman" w:cs="Arial"/>
                <w:b/>
                <w:bCs/>
                <w:lang w:val="es-CR" w:eastAsia="es-CR"/>
              </w:rPr>
            </w:pPr>
            <w:r>
              <w:rPr>
                <w:rFonts w:eastAsia="Times New Roman" w:cs="Arial"/>
                <w:b/>
                <w:bCs/>
                <w:lang w:val="es-CR" w:eastAsia="es-CR"/>
              </w:rPr>
              <w:t>Informe/Reporte</w:t>
            </w:r>
          </w:p>
        </w:tc>
        <w:tc>
          <w:tcPr>
            <w:tcW w:w="1669" w:type="dxa"/>
            <w:tcBorders>
              <w:top w:val="single" w:sz="4" w:space="0" w:color="auto"/>
              <w:left w:val="nil"/>
              <w:bottom w:val="single" w:sz="4" w:space="0" w:color="auto"/>
              <w:right w:val="single" w:sz="4" w:space="0" w:color="auto"/>
            </w:tcBorders>
            <w:vAlign w:val="center"/>
            <w:hideMark/>
          </w:tcPr>
          <w:p w14:paraId="3DFA8B11" w14:textId="77777777" w:rsidR="00A230BD" w:rsidRPr="008E68C8" w:rsidRDefault="00A230BD" w:rsidP="00A230BD">
            <w:pPr>
              <w:spacing w:after="0" w:line="240" w:lineRule="auto"/>
              <w:jc w:val="center"/>
              <w:rPr>
                <w:rFonts w:eastAsia="Times New Roman" w:cs="Arial"/>
                <w:b/>
                <w:bCs/>
                <w:lang w:val="es-CR" w:eastAsia="es-CR"/>
              </w:rPr>
            </w:pPr>
            <w:r>
              <w:rPr>
                <w:rFonts w:eastAsia="Times New Roman" w:cs="Arial"/>
                <w:b/>
                <w:bCs/>
                <w:lang w:val="es-CR" w:eastAsia="es-CR"/>
              </w:rPr>
              <w:t>Medio de envío</w:t>
            </w:r>
            <w:r w:rsidRPr="008E68C8">
              <w:rPr>
                <w:rFonts w:eastAsia="Times New Roman" w:cs="Arial"/>
                <w:b/>
                <w:bCs/>
                <w:lang w:val="es-CR" w:eastAsia="es-CR"/>
              </w:rPr>
              <w:t xml:space="preserve"> vigente</w:t>
            </w:r>
          </w:p>
        </w:tc>
        <w:tc>
          <w:tcPr>
            <w:tcW w:w="2311" w:type="dxa"/>
            <w:tcBorders>
              <w:top w:val="single" w:sz="4" w:space="0" w:color="auto"/>
              <w:left w:val="nil"/>
              <w:bottom w:val="single" w:sz="4" w:space="0" w:color="auto"/>
              <w:right w:val="single" w:sz="4" w:space="0" w:color="auto"/>
            </w:tcBorders>
            <w:vAlign w:val="center"/>
            <w:hideMark/>
          </w:tcPr>
          <w:p w14:paraId="4FB5D8F3" w14:textId="77777777" w:rsidR="00A230BD" w:rsidRPr="008E68C8" w:rsidRDefault="00A230BD" w:rsidP="00A230BD">
            <w:pPr>
              <w:spacing w:after="0" w:line="240" w:lineRule="auto"/>
              <w:jc w:val="center"/>
              <w:rPr>
                <w:rFonts w:eastAsia="Times New Roman" w:cs="Arial"/>
                <w:b/>
                <w:bCs/>
                <w:lang w:val="es-CR" w:eastAsia="es-CR"/>
              </w:rPr>
            </w:pPr>
            <w:r w:rsidRPr="00A230BD">
              <w:rPr>
                <w:rFonts w:eastAsia="Times New Roman" w:cs="Arial"/>
                <w:b/>
                <w:bCs/>
                <w:lang w:val="es-CR" w:eastAsia="es-CR"/>
              </w:rPr>
              <w:t>Notas aclaratorias</w:t>
            </w:r>
            <w:r>
              <w:rPr>
                <w:rFonts w:eastAsia="Times New Roman" w:cs="Arial"/>
                <w:b/>
                <w:bCs/>
                <w:lang w:val="es-CR" w:eastAsia="es-CR"/>
              </w:rPr>
              <w:t xml:space="preserve"> vigente</w:t>
            </w:r>
            <w:r w:rsidR="00786288">
              <w:rPr>
                <w:rFonts w:eastAsia="Times New Roman" w:cs="Arial"/>
                <w:b/>
                <w:bCs/>
                <w:lang w:val="es-CR" w:eastAsia="es-CR"/>
              </w:rPr>
              <w:t>s</w:t>
            </w:r>
          </w:p>
        </w:tc>
        <w:tc>
          <w:tcPr>
            <w:tcW w:w="1797" w:type="dxa"/>
            <w:tcBorders>
              <w:top w:val="single" w:sz="4" w:space="0" w:color="auto"/>
              <w:left w:val="nil"/>
              <w:bottom w:val="single" w:sz="4" w:space="0" w:color="auto"/>
              <w:right w:val="single" w:sz="4" w:space="0" w:color="auto"/>
            </w:tcBorders>
          </w:tcPr>
          <w:p w14:paraId="0E50D0F3" w14:textId="77777777" w:rsidR="00A230BD" w:rsidRDefault="00A230BD" w:rsidP="00A230BD">
            <w:pPr>
              <w:spacing w:after="0" w:line="240" w:lineRule="auto"/>
              <w:jc w:val="center"/>
              <w:rPr>
                <w:rFonts w:eastAsia="Times New Roman" w:cs="Arial"/>
                <w:b/>
                <w:bCs/>
                <w:lang w:val="es-CR" w:eastAsia="es-CR"/>
              </w:rPr>
            </w:pPr>
            <w:r w:rsidRPr="00A230BD">
              <w:rPr>
                <w:rFonts w:eastAsia="Times New Roman" w:cs="Arial"/>
                <w:b/>
                <w:bCs/>
                <w:lang w:val="es-CR" w:eastAsia="es-CR"/>
              </w:rPr>
              <w:t>Medio de envío propuesto</w:t>
            </w:r>
          </w:p>
        </w:tc>
        <w:tc>
          <w:tcPr>
            <w:tcW w:w="2439" w:type="dxa"/>
            <w:tcBorders>
              <w:top w:val="single" w:sz="4" w:space="0" w:color="auto"/>
              <w:left w:val="single" w:sz="4" w:space="0" w:color="auto"/>
              <w:bottom w:val="single" w:sz="4" w:space="0" w:color="auto"/>
              <w:right w:val="single" w:sz="4" w:space="0" w:color="auto"/>
            </w:tcBorders>
          </w:tcPr>
          <w:p w14:paraId="4D6CB89E" w14:textId="77777777" w:rsidR="00A230BD" w:rsidRDefault="00A230BD" w:rsidP="00A230BD">
            <w:pPr>
              <w:spacing w:after="0" w:line="240" w:lineRule="auto"/>
              <w:jc w:val="center"/>
              <w:rPr>
                <w:rFonts w:eastAsia="Times New Roman" w:cs="Arial"/>
                <w:b/>
                <w:bCs/>
                <w:lang w:val="es-CR" w:eastAsia="es-CR"/>
              </w:rPr>
            </w:pPr>
            <w:r>
              <w:rPr>
                <w:rFonts w:eastAsia="Times New Roman" w:cs="Arial"/>
                <w:b/>
                <w:bCs/>
                <w:lang w:val="es-CR" w:eastAsia="es-CR"/>
              </w:rPr>
              <w:t>Nota</w:t>
            </w:r>
            <w:r w:rsidR="00786288">
              <w:rPr>
                <w:rFonts w:eastAsia="Times New Roman" w:cs="Arial"/>
                <w:b/>
                <w:bCs/>
                <w:lang w:val="es-CR" w:eastAsia="es-CR"/>
              </w:rPr>
              <w:t>s</w:t>
            </w:r>
            <w:r>
              <w:rPr>
                <w:rFonts w:eastAsia="Times New Roman" w:cs="Arial"/>
                <w:b/>
                <w:bCs/>
                <w:lang w:val="es-CR" w:eastAsia="es-CR"/>
              </w:rPr>
              <w:t xml:space="preserve"> aclaratoria</w:t>
            </w:r>
            <w:r w:rsidR="00786288">
              <w:rPr>
                <w:rFonts w:eastAsia="Times New Roman" w:cs="Arial"/>
                <w:b/>
                <w:bCs/>
                <w:lang w:val="es-CR" w:eastAsia="es-CR"/>
              </w:rPr>
              <w:t xml:space="preserve">s </w:t>
            </w:r>
            <w:r>
              <w:rPr>
                <w:rFonts w:eastAsia="Times New Roman" w:cs="Arial"/>
                <w:b/>
                <w:bCs/>
                <w:lang w:val="es-CR" w:eastAsia="es-CR"/>
              </w:rPr>
              <w:t>propuesta</w:t>
            </w:r>
            <w:r w:rsidR="00786288">
              <w:rPr>
                <w:rFonts w:eastAsia="Times New Roman" w:cs="Arial"/>
                <w:b/>
                <w:bCs/>
                <w:lang w:val="es-CR" w:eastAsia="es-CR"/>
              </w:rPr>
              <w:t>s</w:t>
            </w:r>
          </w:p>
        </w:tc>
      </w:tr>
      <w:tr w:rsidR="00A230BD" w:rsidRPr="008E68C8" w14:paraId="692B63A7" w14:textId="77777777" w:rsidTr="00072AD5">
        <w:trPr>
          <w:trHeight w:val="605"/>
          <w:jc w:val="center"/>
        </w:trPr>
        <w:tc>
          <w:tcPr>
            <w:tcW w:w="2308" w:type="dxa"/>
            <w:tcBorders>
              <w:top w:val="single" w:sz="4" w:space="0" w:color="auto"/>
              <w:left w:val="single" w:sz="4" w:space="0" w:color="auto"/>
              <w:bottom w:val="single" w:sz="4" w:space="0" w:color="auto"/>
              <w:right w:val="single" w:sz="4" w:space="0" w:color="auto"/>
            </w:tcBorders>
            <w:vAlign w:val="center"/>
            <w:hideMark/>
          </w:tcPr>
          <w:p w14:paraId="3A51708E" w14:textId="77777777" w:rsidR="00A230BD" w:rsidRPr="00786288" w:rsidRDefault="00A230BD" w:rsidP="00786288">
            <w:pPr>
              <w:spacing w:after="0" w:line="240" w:lineRule="auto"/>
              <w:contextualSpacing/>
              <w:jc w:val="center"/>
              <w:rPr>
                <w:rFonts w:eastAsia="Times New Roman" w:cs="Arial"/>
                <w:b/>
                <w:bCs/>
                <w:lang w:val="es-CR" w:eastAsia="es-CR"/>
              </w:rPr>
            </w:pPr>
            <w:r w:rsidRPr="00786288">
              <w:rPr>
                <w:rFonts w:eastAsia="Times New Roman" w:cs="Arial"/>
                <w:b/>
                <w:bCs/>
                <w:lang w:val="es-CR" w:eastAsia="es-CR"/>
              </w:rPr>
              <w:t>Certificación de bienes del Registro Público</w:t>
            </w:r>
          </w:p>
        </w:tc>
        <w:tc>
          <w:tcPr>
            <w:tcW w:w="1669" w:type="dxa"/>
            <w:tcBorders>
              <w:top w:val="single" w:sz="4" w:space="0" w:color="auto"/>
              <w:left w:val="nil"/>
              <w:bottom w:val="single" w:sz="4" w:space="0" w:color="auto"/>
              <w:right w:val="single" w:sz="4" w:space="0" w:color="auto"/>
            </w:tcBorders>
            <w:vAlign w:val="center"/>
            <w:hideMark/>
          </w:tcPr>
          <w:p w14:paraId="6157D5C5" w14:textId="77777777" w:rsidR="00A230BD" w:rsidRPr="008E68C8" w:rsidRDefault="00A230BD" w:rsidP="00786288">
            <w:pPr>
              <w:spacing w:after="0" w:line="240" w:lineRule="auto"/>
              <w:jc w:val="center"/>
              <w:rPr>
                <w:rFonts w:eastAsia="Times New Roman" w:cs="Arial"/>
                <w:lang w:val="es-CR" w:eastAsia="es-CR"/>
              </w:rPr>
            </w:pPr>
            <w:r w:rsidRPr="00F70B88">
              <w:rPr>
                <w:rFonts w:eastAsia="Times New Roman" w:cs="Arial"/>
                <w:lang w:val="es-CR" w:eastAsia="es-CR"/>
              </w:rPr>
              <w:t>Papel</w:t>
            </w:r>
          </w:p>
        </w:tc>
        <w:tc>
          <w:tcPr>
            <w:tcW w:w="2311" w:type="dxa"/>
            <w:tcBorders>
              <w:top w:val="single" w:sz="4" w:space="0" w:color="auto"/>
              <w:left w:val="nil"/>
              <w:bottom w:val="single" w:sz="4" w:space="0" w:color="auto"/>
              <w:right w:val="single" w:sz="4" w:space="0" w:color="auto"/>
            </w:tcBorders>
            <w:vAlign w:val="center"/>
            <w:hideMark/>
          </w:tcPr>
          <w:p w14:paraId="01B0CCC6" w14:textId="77777777" w:rsidR="00A230BD" w:rsidRPr="008E68C8" w:rsidRDefault="00A230BD" w:rsidP="00786288">
            <w:pPr>
              <w:spacing w:after="0" w:line="240" w:lineRule="auto"/>
              <w:jc w:val="center"/>
              <w:rPr>
                <w:rFonts w:eastAsia="Times New Roman" w:cs="Arial"/>
                <w:lang w:val="es-CR" w:eastAsia="es-CR"/>
              </w:rPr>
            </w:pPr>
            <w:r w:rsidRPr="00A230BD">
              <w:rPr>
                <w:rFonts w:eastAsia="Times New Roman" w:cs="Arial"/>
                <w:lang w:val="es-CR" w:eastAsia="es-CR"/>
              </w:rPr>
              <w:t xml:space="preserve">Aplica para los casos de emisiones con garantías reales y fideicomisos de garantía a los cuales </w:t>
            </w:r>
            <w:r w:rsidRPr="00A230BD">
              <w:rPr>
                <w:rFonts w:eastAsia="Times New Roman" w:cs="Arial"/>
                <w:lang w:val="es-CR" w:eastAsia="es-CR"/>
              </w:rPr>
              <w:lastRenderedPageBreak/>
              <w:t>se les han traspasado bienes inmuebles.   La certificación no debe tener más de tres meses de emitida</w:t>
            </w:r>
          </w:p>
        </w:tc>
        <w:tc>
          <w:tcPr>
            <w:tcW w:w="1797" w:type="dxa"/>
            <w:tcBorders>
              <w:top w:val="single" w:sz="4" w:space="0" w:color="auto"/>
              <w:left w:val="nil"/>
              <w:bottom w:val="single" w:sz="4" w:space="0" w:color="auto"/>
              <w:right w:val="single" w:sz="4" w:space="0" w:color="auto"/>
            </w:tcBorders>
            <w:vAlign w:val="center"/>
          </w:tcPr>
          <w:p w14:paraId="76AC721C" w14:textId="77777777" w:rsidR="00A230BD" w:rsidRDefault="00A230BD" w:rsidP="00786288">
            <w:pPr>
              <w:spacing w:after="0" w:line="240" w:lineRule="auto"/>
              <w:jc w:val="center"/>
            </w:pPr>
            <w:r w:rsidRPr="00746ECF">
              <w:lastRenderedPageBreak/>
              <w:t>MENDOCEL</w:t>
            </w:r>
          </w:p>
          <w:p w14:paraId="50A2A67E" w14:textId="77777777" w:rsidR="00786288" w:rsidRPr="00F70B88" w:rsidRDefault="00786288" w:rsidP="00786288">
            <w:pPr>
              <w:spacing w:after="0" w:line="240" w:lineRule="auto"/>
              <w:jc w:val="center"/>
              <w:rPr>
                <w:rFonts w:eastAsia="Times New Roman" w:cs="Arial"/>
                <w:lang w:val="es-CR" w:eastAsia="es-CR"/>
              </w:rPr>
            </w:pPr>
            <w:r>
              <w:t>SGV-A-188</w:t>
            </w:r>
          </w:p>
        </w:tc>
        <w:tc>
          <w:tcPr>
            <w:tcW w:w="2439" w:type="dxa"/>
            <w:tcBorders>
              <w:top w:val="single" w:sz="4" w:space="0" w:color="auto"/>
              <w:left w:val="single" w:sz="4" w:space="0" w:color="auto"/>
              <w:bottom w:val="single" w:sz="4" w:space="0" w:color="auto"/>
              <w:right w:val="single" w:sz="4" w:space="0" w:color="auto"/>
            </w:tcBorders>
            <w:vAlign w:val="center"/>
          </w:tcPr>
          <w:p w14:paraId="0ADA062B" w14:textId="77777777" w:rsidR="00A230BD" w:rsidRPr="00F70B88" w:rsidRDefault="00A230BD" w:rsidP="00786288">
            <w:pPr>
              <w:spacing w:after="0" w:line="240" w:lineRule="auto"/>
              <w:jc w:val="center"/>
              <w:rPr>
                <w:rFonts w:eastAsia="Times New Roman" w:cs="Arial"/>
                <w:lang w:val="es-CR" w:eastAsia="es-CR"/>
              </w:rPr>
            </w:pPr>
            <w:r w:rsidRPr="00F70B88">
              <w:rPr>
                <w:rFonts w:eastAsia="Times New Roman" w:cs="Arial"/>
                <w:lang w:val="es-CR" w:eastAsia="es-CR"/>
              </w:rPr>
              <w:t xml:space="preserve">Aplica para los casos de emisiones con garantías reales y fideicomisos de garantía a los cuales </w:t>
            </w:r>
            <w:r w:rsidRPr="00F70B88">
              <w:rPr>
                <w:rFonts w:eastAsia="Times New Roman" w:cs="Arial"/>
                <w:lang w:val="es-CR" w:eastAsia="es-CR"/>
              </w:rPr>
              <w:lastRenderedPageBreak/>
              <w:t>se les han traspasado bienes inmuebles.   La certificación no debe tener más de tres meses de emitida</w:t>
            </w:r>
            <w:r>
              <w:rPr>
                <w:rFonts w:eastAsia="Times New Roman" w:cs="Arial"/>
                <w:lang w:val="es-CR" w:eastAsia="es-CR"/>
              </w:rPr>
              <w:t xml:space="preserve"> </w:t>
            </w:r>
            <w:r w:rsidRPr="00A230BD">
              <w:rPr>
                <w:rFonts w:eastAsia="Times New Roman" w:cs="Arial"/>
                <w:lang w:val="es-CR" w:eastAsia="es-CR"/>
              </w:rPr>
              <w:t>y debe remitirse mediante firma digital avanzada.</w:t>
            </w:r>
          </w:p>
        </w:tc>
      </w:tr>
    </w:tbl>
    <w:p w14:paraId="409AFB2C" w14:textId="77777777" w:rsidR="00553D2F" w:rsidRDefault="00553D2F" w:rsidP="00554968">
      <w:pPr>
        <w:jc w:val="both"/>
        <w:rPr>
          <w:rStyle w:val="Hipervnculo"/>
          <w:rFonts w:eastAsia="Calibri" w:cs="Arial"/>
          <w:sz w:val="20"/>
          <w:szCs w:val="20"/>
        </w:rPr>
      </w:pPr>
    </w:p>
    <w:p w14:paraId="14A2AA58" w14:textId="77777777" w:rsidR="007C3415" w:rsidRPr="007C3415" w:rsidRDefault="007C3415" w:rsidP="007C3415">
      <w:pPr>
        <w:pStyle w:val="Prrafodelista"/>
        <w:numPr>
          <w:ilvl w:val="0"/>
          <w:numId w:val="10"/>
        </w:numPr>
        <w:jc w:val="both"/>
        <w:rPr>
          <w:rFonts w:eastAsia="Times New Roman" w:cs="Arial"/>
          <w:lang w:eastAsia="es-ES"/>
        </w:rPr>
      </w:pPr>
      <w:r w:rsidRPr="007C3415">
        <w:rPr>
          <w:rFonts w:eastAsia="Times New Roman" w:cs="Arial"/>
          <w:lang w:eastAsia="es-ES"/>
        </w:rPr>
        <w:t xml:space="preserve">Se </w:t>
      </w:r>
      <w:r>
        <w:rPr>
          <w:rFonts w:eastAsia="Times New Roman" w:cs="Arial"/>
          <w:lang w:eastAsia="es-ES"/>
        </w:rPr>
        <w:t>modifica</w:t>
      </w:r>
      <w:r w:rsidR="00903B3A">
        <w:rPr>
          <w:rFonts w:eastAsia="Times New Roman" w:cs="Arial"/>
          <w:lang w:eastAsia="es-ES"/>
        </w:rPr>
        <w:t>n las notas aclaratorias para indicar cuáles reportes no aplican a</w:t>
      </w:r>
      <w:r w:rsidRPr="007C3415">
        <w:rPr>
          <w:rFonts w:eastAsia="Times New Roman" w:cs="Arial"/>
          <w:lang w:eastAsia="es-ES"/>
        </w:rPr>
        <w:t xml:space="preserve"> los Fondos de Inversión de Capital de Riesgo:</w:t>
      </w:r>
    </w:p>
    <w:p w14:paraId="3F6D9FE6" w14:textId="77777777" w:rsidR="007C3415" w:rsidRPr="007C3415" w:rsidRDefault="007C3415" w:rsidP="007C3415">
      <w:pPr>
        <w:spacing w:after="120" w:line="240" w:lineRule="auto"/>
        <w:ind w:left="567" w:right="-193"/>
        <w:contextualSpacing/>
        <w:jc w:val="both"/>
        <w:rPr>
          <w:rFonts w:eastAsia="Times New Roman" w:cs="Arial"/>
          <w:lang w:eastAsia="es-ES"/>
        </w:rPr>
      </w:pPr>
    </w:p>
    <w:tbl>
      <w:tblPr>
        <w:tblStyle w:val="Tablaconcuadrcula1"/>
        <w:tblW w:w="8926" w:type="dxa"/>
        <w:tblLook w:val="04A0" w:firstRow="1" w:lastRow="0" w:firstColumn="1" w:lastColumn="0" w:noHBand="0" w:noVBand="1"/>
      </w:tblPr>
      <w:tblGrid>
        <w:gridCol w:w="3823"/>
        <w:gridCol w:w="5103"/>
      </w:tblGrid>
      <w:tr w:rsidR="007C3415" w:rsidRPr="007C3415" w14:paraId="7D7957E5" w14:textId="77777777" w:rsidTr="005741AC">
        <w:trPr>
          <w:trHeight w:val="315"/>
        </w:trPr>
        <w:tc>
          <w:tcPr>
            <w:tcW w:w="3823" w:type="dxa"/>
            <w:hideMark/>
          </w:tcPr>
          <w:p w14:paraId="6B9C21A7" w14:textId="77777777" w:rsidR="007C3415" w:rsidRPr="007C3415" w:rsidRDefault="007C3415" w:rsidP="007C3415">
            <w:pPr>
              <w:jc w:val="center"/>
              <w:rPr>
                <w:rFonts w:eastAsia="Calibri" w:cs="Arial"/>
                <w:b/>
                <w:bCs/>
                <w:color w:val="000000"/>
                <w:lang w:val="es-CR" w:eastAsia="es-CR"/>
              </w:rPr>
            </w:pPr>
            <w:r w:rsidRPr="007C3415">
              <w:rPr>
                <w:rFonts w:eastAsia="Calibri" w:cs="Arial"/>
                <w:b/>
                <w:bCs/>
                <w:color w:val="000000"/>
                <w:lang w:val="es-CR" w:eastAsia="es-CR"/>
              </w:rPr>
              <w:t>Informe</w:t>
            </w:r>
          </w:p>
        </w:tc>
        <w:tc>
          <w:tcPr>
            <w:tcW w:w="5103" w:type="dxa"/>
            <w:hideMark/>
          </w:tcPr>
          <w:p w14:paraId="5FC40179" w14:textId="77777777" w:rsidR="007C3415" w:rsidRPr="007C3415" w:rsidRDefault="007C3415" w:rsidP="007C3415">
            <w:pPr>
              <w:jc w:val="center"/>
              <w:rPr>
                <w:rFonts w:eastAsia="Calibri" w:cs="Arial"/>
                <w:b/>
                <w:bCs/>
                <w:color w:val="000000"/>
                <w:lang w:val="es-CR" w:eastAsia="es-CR"/>
              </w:rPr>
            </w:pPr>
            <w:r w:rsidRPr="007C3415">
              <w:rPr>
                <w:rFonts w:eastAsia="Calibri" w:cs="Arial"/>
                <w:b/>
                <w:bCs/>
                <w:color w:val="000000"/>
                <w:lang w:val="es-CR" w:eastAsia="es-CR"/>
              </w:rPr>
              <w:t>Notas aclaratorias</w:t>
            </w:r>
          </w:p>
        </w:tc>
      </w:tr>
      <w:tr w:rsidR="007C3415" w:rsidRPr="007C3415" w14:paraId="2F8154E5" w14:textId="77777777" w:rsidTr="005741AC">
        <w:trPr>
          <w:trHeight w:val="868"/>
        </w:trPr>
        <w:tc>
          <w:tcPr>
            <w:tcW w:w="3823" w:type="dxa"/>
          </w:tcPr>
          <w:p w14:paraId="332DDD56" w14:textId="77777777" w:rsidR="007C3415" w:rsidRPr="007C3415" w:rsidRDefault="007C3415" w:rsidP="007C3415">
            <w:pPr>
              <w:rPr>
                <w:rFonts w:eastAsia="Calibri" w:cs="Arial"/>
                <w:bCs/>
                <w:lang w:val="es-CR" w:eastAsia="es-CR"/>
              </w:rPr>
            </w:pPr>
            <w:r w:rsidRPr="007C3415">
              <w:rPr>
                <w:rFonts w:eastAsia="Calibri" w:cs="Arial"/>
                <w:bCs/>
                <w:lang w:val="es-CR" w:eastAsia="es-CR"/>
              </w:rPr>
              <w:t>Informe Trimestral de fondos de inversión</w:t>
            </w:r>
          </w:p>
        </w:tc>
        <w:tc>
          <w:tcPr>
            <w:tcW w:w="5103" w:type="dxa"/>
          </w:tcPr>
          <w:p w14:paraId="0190EA83" w14:textId="77777777" w:rsidR="007C3415" w:rsidRPr="007C3415" w:rsidRDefault="007C3415" w:rsidP="007C3415">
            <w:pPr>
              <w:jc w:val="center"/>
              <w:rPr>
                <w:rFonts w:eastAsia="Calibri" w:cs="Arial"/>
                <w:lang w:val="es-CR" w:eastAsia="es-CR"/>
              </w:rPr>
            </w:pPr>
            <w:r w:rsidRPr="007C3415">
              <w:rPr>
                <w:rFonts w:eastAsia="Calibri" w:cs="Arial"/>
                <w:lang w:val="es-CR" w:eastAsia="es-CR"/>
              </w:rPr>
              <w:t>(…) No es aplicable a los fondos de inversión de capital de riesgo.</w:t>
            </w:r>
          </w:p>
        </w:tc>
      </w:tr>
      <w:tr w:rsidR="007C3415" w:rsidRPr="007C3415" w14:paraId="00D05D34" w14:textId="77777777" w:rsidTr="005741AC">
        <w:trPr>
          <w:trHeight w:val="868"/>
        </w:trPr>
        <w:tc>
          <w:tcPr>
            <w:tcW w:w="3823" w:type="dxa"/>
          </w:tcPr>
          <w:p w14:paraId="0FA29C9A" w14:textId="77777777" w:rsidR="007C3415" w:rsidRPr="007C3415" w:rsidRDefault="007C3415" w:rsidP="007C3415">
            <w:pPr>
              <w:rPr>
                <w:rFonts w:eastAsia="Calibri" w:cs="Arial"/>
                <w:bCs/>
                <w:lang w:val="es-CR" w:eastAsia="es-CR"/>
              </w:rPr>
            </w:pPr>
            <w:r w:rsidRPr="007C3415">
              <w:rPr>
                <w:rFonts w:eastAsia="Calibri" w:cs="Arial"/>
                <w:bCs/>
                <w:lang w:val="es-CR" w:eastAsia="es-CR"/>
              </w:rPr>
              <w:t>Estados financieros no auditados mensuales</w:t>
            </w:r>
          </w:p>
        </w:tc>
        <w:tc>
          <w:tcPr>
            <w:tcW w:w="5103" w:type="dxa"/>
          </w:tcPr>
          <w:p w14:paraId="6C5E82E4" w14:textId="77777777" w:rsidR="007C3415" w:rsidRPr="007C3415" w:rsidRDefault="007C3415" w:rsidP="007C3415">
            <w:pPr>
              <w:jc w:val="center"/>
              <w:rPr>
                <w:rFonts w:eastAsia="Calibri" w:cs="Arial"/>
                <w:lang w:val="es-CR" w:eastAsia="es-CR"/>
              </w:rPr>
            </w:pPr>
            <w:r w:rsidRPr="007C3415">
              <w:rPr>
                <w:rFonts w:eastAsia="Calibri" w:cs="Arial"/>
                <w:lang w:val="es-CR" w:eastAsia="es-CR"/>
              </w:rPr>
              <w:t>(…) No es aplicable a los fondos de inversión de capital de riesgo.</w:t>
            </w:r>
          </w:p>
        </w:tc>
      </w:tr>
      <w:tr w:rsidR="007C3415" w:rsidRPr="007C3415" w14:paraId="5B8861DE" w14:textId="77777777" w:rsidTr="005741AC">
        <w:trPr>
          <w:trHeight w:val="868"/>
        </w:trPr>
        <w:tc>
          <w:tcPr>
            <w:tcW w:w="3823" w:type="dxa"/>
          </w:tcPr>
          <w:p w14:paraId="54945334" w14:textId="77777777" w:rsidR="007C3415" w:rsidRPr="007C3415" w:rsidRDefault="007C3415" w:rsidP="007C3415">
            <w:pPr>
              <w:rPr>
                <w:rFonts w:eastAsia="Calibri" w:cs="Arial"/>
                <w:bCs/>
                <w:lang w:val="es-CR" w:eastAsia="es-CR"/>
              </w:rPr>
            </w:pPr>
            <w:r w:rsidRPr="007C3415">
              <w:rPr>
                <w:rFonts w:eastAsia="Calibri" w:cs="Arial"/>
                <w:bCs/>
                <w:lang w:val="es-CR" w:eastAsia="es-CR"/>
              </w:rPr>
              <w:t>Reporte de composición de cartera de inversionistas</w:t>
            </w:r>
          </w:p>
        </w:tc>
        <w:tc>
          <w:tcPr>
            <w:tcW w:w="5103" w:type="dxa"/>
          </w:tcPr>
          <w:p w14:paraId="5948DE63" w14:textId="77777777" w:rsidR="007C3415" w:rsidRPr="007C3415" w:rsidRDefault="007C3415" w:rsidP="007C3415">
            <w:pPr>
              <w:jc w:val="center"/>
              <w:rPr>
                <w:rFonts w:eastAsia="Calibri" w:cs="Arial"/>
                <w:lang w:val="es-CR" w:eastAsia="es-CR"/>
              </w:rPr>
            </w:pPr>
            <w:r w:rsidRPr="007C3415">
              <w:rPr>
                <w:rFonts w:eastAsia="Calibri" w:cs="Arial"/>
                <w:lang w:val="es-CR" w:eastAsia="es-CR"/>
              </w:rPr>
              <w:t>(…) No es aplicable a los fondos de inversión de capital de riesgo.</w:t>
            </w:r>
          </w:p>
        </w:tc>
      </w:tr>
      <w:tr w:rsidR="007C3415" w:rsidRPr="007C3415" w14:paraId="16A84946" w14:textId="77777777" w:rsidTr="005741AC">
        <w:trPr>
          <w:trHeight w:val="868"/>
        </w:trPr>
        <w:tc>
          <w:tcPr>
            <w:tcW w:w="3823" w:type="dxa"/>
          </w:tcPr>
          <w:p w14:paraId="1A1F5CB0" w14:textId="77777777" w:rsidR="007C3415" w:rsidRPr="007C3415" w:rsidRDefault="007C3415" w:rsidP="007C3415">
            <w:pPr>
              <w:rPr>
                <w:rFonts w:eastAsia="Calibri" w:cs="Arial"/>
                <w:bCs/>
                <w:lang w:val="es-CR" w:eastAsia="es-CR"/>
              </w:rPr>
            </w:pPr>
            <w:r w:rsidRPr="007C3415">
              <w:rPr>
                <w:rFonts w:eastAsia="Calibri" w:cs="Arial"/>
                <w:bCs/>
                <w:lang w:val="es-CR" w:eastAsia="es-CR"/>
              </w:rPr>
              <w:t>Reporte quincenal de composición de las carteras de valores financieros</w:t>
            </w:r>
          </w:p>
        </w:tc>
        <w:tc>
          <w:tcPr>
            <w:tcW w:w="5103" w:type="dxa"/>
          </w:tcPr>
          <w:p w14:paraId="40339A03" w14:textId="77777777" w:rsidR="007C3415" w:rsidRPr="007C3415" w:rsidRDefault="007C3415" w:rsidP="007C3415">
            <w:pPr>
              <w:jc w:val="center"/>
              <w:rPr>
                <w:rFonts w:eastAsia="Calibri" w:cs="Arial"/>
                <w:lang w:val="es-CR" w:eastAsia="es-CR"/>
              </w:rPr>
            </w:pPr>
            <w:r w:rsidRPr="007C3415">
              <w:rPr>
                <w:rFonts w:eastAsia="Calibri" w:cs="Arial"/>
                <w:lang w:val="es-CR"/>
              </w:rPr>
              <w:t>Se exceptúa de la remisión de esta información a los fondos de inversión de capital de riesgo.</w:t>
            </w:r>
          </w:p>
        </w:tc>
      </w:tr>
      <w:tr w:rsidR="007C3415" w:rsidRPr="007C3415" w14:paraId="05EDA23C" w14:textId="77777777" w:rsidTr="005741AC">
        <w:trPr>
          <w:trHeight w:val="868"/>
        </w:trPr>
        <w:tc>
          <w:tcPr>
            <w:tcW w:w="3823" w:type="dxa"/>
          </w:tcPr>
          <w:p w14:paraId="510FB049" w14:textId="77777777" w:rsidR="007C3415" w:rsidRPr="007C3415" w:rsidRDefault="007C3415" w:rsidP="007C3415">
            <w:pPr>
              <w:tabs>
                <w:tab w:val="left" w:pos="2356"/>
              </w:tabs>
              <w:rPr>
                <w:rFonts w:eastAsia="Calibri" w:cs="Arial"/>
                <w:lang w:val="es-CR" w:eastAsia="es-CR"/>
              </w:rPr>
            </w:pPr>
            <w:r w:rsidRPr="007C3415">
              <w:rPr>
                <w:rFonts w:eastAsia="Calibri" w:cs="Arial"/>
                <w:lang w:val="es-CR" w:eastAsia="es-CR"/>
              </w:rPr>
              <w:t>Indicadores de riesgo</w:t>
            </w:r>
          </w:p>
        </w:tc>
        <w:tc>
          <w:tcPr>
            <w:tcW w:w="5103" w:type="dxa"/>
          </w:tcPr>
          <w:p w14:paraId="61EAC0A7" w14:textId="77777777" w:rsidR="007C3415" w:rsidRPr="007C3415" w:rsidRDefault="007C3415" w:rsidP="007C3415">
            <w:pPr>
              <w:jc w:val="center"/>
              <w:rPr>
                <w:rFonts w:eastAsia="Calibri" w:cs="Arial"/>
                <w:lang w:val="es-CR"/>
              </w:rPr>
            </w:pPr>
            <w:r w:rsidRPr="007C3415">
              <w:rPr>
                <w:rFonts w:eastAsia="Calibri" w:cs="Arial"/>
                <w:lang w:val="es-CR"/>
              </w:rPr>
              <w:t>No es aplicable a los fondos de inversión de capital de riesgo.</w:t>
            </w:r>
          </w:p>
        </w:tc>
      </w:tr>
      <w:tr w:rsidR="007C3415" w:rsidRPr="007C3415" w14:paraId="483822CD" w14:textId="77777777" w:rsidTr="005741AC">
        <w:trPr>
          <w:trHeight w:val="868"/>
        </w:trPr>
        <w:tc>
          <w:tcPr>
            <w:tcW w:w="3823" w:type="dxa"/>
          </w:tcPr>
          <w:p w14:paraId="087589ED" w14:textId="77777777" w:rsidR="007C3415" w:rsidRPr="007C3415" w:rsidRDefault="007C3415" w:rsidP="007C3415">
            <w:pPr>
              <w:rPr>
                <w:rFonts w:eastAsia="Calibri" w:cs="Arial"/>
                <w:bCs/>
                <w:lang w:val="es-CR" w:eastAsia="es-CR"/>
              </w:rPr>
            </w:pPr>
            <w:r w:rsidRPr="007C3415">
              <w:rPr>
                <w:rFonts w:eastAsia="Calibri" w:cs="Arial"/>
                <w:bCs/>
                <w:lang w:val="es-CR" w:eastAsia="es-CR"/>
              </w:rPr>
              <w:t>Reporte diario de fondos</w:t>
            </w:r>
          </w:p>
        </w:tc>
        <w:tc>
          <w:tcPr>
            <w:tcW w:w="5103" w:type="dxa"/>
          </w:tcPr>
          <w:p w14:paraId="2039106F" w14:textId="77777777" w:rsidR="007C3415" w:rsidRPr="007C3415" w:rsidRDefault="007C3415" w:rsidP="007C3415">
            <w:pPr>
              <w:jc w:val="center"/>
              <w:rPr>
                <w:rFonts w:eastAsia="Calibri" w:cs="Arial"/>
                <w:lang w:val="es-CR"/>
              </w:rPr>
            </w:pPr>
            <w:r w:rsidRPr="007C3415">
              <w:rPr>
                <w:rFonts w:eastAsia="Calibri" w:cs="Arial"/>
                <w:lang w:val="es-CR"/>
              </w:rPr>
              <w:t>No es aplicable a los fondos de inversión de capital de riesgo.</w:t>
            </w:r>
          </w:p>
        </w:tc>
      </w:tr>
      <w:tr w:rsidR="007C3415" w:rsidRPr="007C3415" w14:paraId="5CD8987E" w14:textId="77777777" w:rsidTr="005741AC">
        <w:trPr>
          <w:trHeight w:val="868"/>
        </w:trPr>
        <w:tc>
          <w:tcPr>
            <w:tcW w:w="3823" w:type="dxa"/>
          </w:tcPr>
          <w:p w14:paraId="2C9C0052" w14:textId="77777777" w:rsidR="007C3415" w:rsidRPr="007C3415" w:rsidRDefault="007C3415" w:rsidP="007C3415">
            <w:pPr>
              <w:rPr>
                <w:rFonts w:eastAsia="Calibri" w:cs="Arial"/>
                <w:bCs/>
                <w:lang w:val="es-CR" w:eastAsia="es-CR"/>
              </w:rPr>
            </w:pPr>
            <w:r w:rsidRPr="007C3415">
              <w:rPr>
                <w:rFonts w:eastAsia="Calibri" w:cs="Arial"/>
                <w:bCs/>
                <w:lang w:val="es-CR" w:eastAsia="es-CR"/>
              </w:rPr>
              <w:t>Reporte de Colocaciones</w:t>
            </w:r>
          </w:p>
        </w:tc>
        <w:tc>
          <w:tcPr>
            <w:tcW w:w="5103" w:type="dxa"/>
          </w:tcPr>
          <w:p w14:paraId="77C50834" w14:textId="77777777" w:rsidR="007C3415" w:rsidRPr="007C3415" w:rsidRDefault="007C3415" w:rsidP="007C3415">
            <w:pPr>
              <w:jc w:val="center"/>
              <w:rPr>
                <w:rFonts w:eastAsia="Calibri" w:cs="Arial"/>
                <w:lang w:val="es-CR"/>
              </w:rPr>
            </w:pPr>
            <w:r w:rsidRPr="007C3415">
              <w:rPr>
                <w:rFonts w:eastAsia="Calibri" w:cs="Arial"/>
                <w:lang w:val="es-CR"/>
              </w:rPr>
              <w:t xml:space="preserve">(…) Aplicable a los fondos de inversión de capital de riesgo a partir del momento en que se registren sus participaciones </w:t>
            </w:r>
            <w:r w:rsidRPr="007C3415">
              <w:rPr>
                <w:rFonts w:eastAsia="Calibri" w:cs="Arial"/>
                <w:noProof/>
                <w:color w:val="000000"/>
                <w:spacing w:val="5"/>
                <w:kern w:val="28"/>
                <w:lang w:val="es-CR"/>
              </w:rPr>
              <w:t>para negociación en un mercado secundario organizado</w:t>
            </w:r>
            <w:r w:rsidRPr="007C3415">
              <w:rPr>
                <w:rFonts w:eastAsia="Calibri" w:cs="Arial"/>
                <w:lang w:val="es-CR"/>
              </w:rPr>
              <w:t xml:space="preserve">. </w:t>
            </w:r>
          </w:p>
        </w:tc>
      </w:tr>
    </w:tbl>
    <w:p w14:paraId="7C5EFF4C" w14:textId="77777777" w:rsidR="00387CAF" w:rsidRDefault="00387CAF" w:rsidP="00387CAF">
      <w:pPr>
        <w:pStyle w:val="Prrafodelista"/>
        <w:jc w:val="both"/>
        <w:rPr>
          <w:rFonts w:eastAsia="Calibri" w:cs="Arial"/>
          <w:b/>
        </w:rPr>
      </w:pPr>
    </w:p>
    <w:p w14:paraId="63750B88" w14:textId="77777777" w:rsidR="008611A2" w:rsidRPr="00766D33" w:rsidRDefault="008611A2" w:rsidP="00404210">
      <w:pPr>
        <w:tabs>
          <w:tab w:val="center" w:pos="4419"/>
        </w:tabs>
        <w:rPr>
          <w:rFonts w:eastAsia="Calibri" w:cs="Arial"/>
          <w:b/>
          <w:bCs/>
        </w:rPr>
      </w:pPr>
      <w:r w:rsidRPr="00963C09">
        <w:rPr>
          <w:rFonts w:eastAsia="Calibri" w:cs="Arial"/>
          <w:b/>
        </w:rPr>
        <w:t>Artículo</w:t>
      </w:r>
      <w:r>
        <w:rPr>
          <w:rFonts w:eastAsia="Calibri" w:cs="Arial"/>
          <w:b/>
        </w:rPr>
        <w:t xml:space="preserve"> 3</w:t>
      </w:r>
      <w:r w:rsidRPr="00963C09">
        <w:rPr>
          <w:rFonts w:eastAsia="Calibri" w:cs="Arial"/>
          <w:b/>
        </w:rPr>
        <w:t>.-</w:t>
      </w:r>
      <w:r>
        <w:rPr>
          <w:rFonts w:eastAsia="Calibri" w:cs="Arial"/>
        </w:rPr>
        <w:t xml:space="preserve"> </w:t>
      </w:r>
      <w:r w:rsidRPr="00766D33">
        <w:rPr>
          <w:rFonts w:eastAsia="Calibri" w:cs="Arial"/>
          <w:b/>
          <w:bCs/>
        </w:rPr>
        <w:t>Modificaciones al SGV-A-61 Acuerdo sobre Hechos Relevantes</w:t>
      </w:r>
    </w:p>
    <w:p w14:paraId="1C48433D" w14:textId="77777777" w:rsidR="00766D33" w:rsidRPr="00766D33" w:rsidRDefault="00766D33" w:rsidP="00766D33">
      <w:pPr>
        <w:spacing w:after="120" w:line="240" w:lineRule="auto"/>
        <w:contextualSpacing/>
        <w:jc w:val="both"/>
        <w:rPr>
          <w:rFonts w:eastAsia="Calibri" w:cs="Arial"/>
          <w:lang w:val="es-CR" w:eastAsia="es-ES"/>
        </w:rPr>
      </w:pPr>
      <w:r w:rsidRPr="00766D33">
        <w:rPr>
          <w:rFonts w:eastAsia="Calibri" w:cs="Arial"/>
          <w:lang w:val="es-CR" w:eastAsia="es-ES"/>
        </w:rPr>
        <w:t>Se adicionan los numerales 1.28 Bis y 1.29 bis, al Anexo N°1 del Acuerdo SGV-A-61 “Acuerdo sobre hechos relevantes”, según se indica:</w:t>
      </w:r>
    </w:p>
    <w:p w14:paraId="1B48450B" w14:textId="77777777" w:rsidR="00766D33" w:rsidRPr="00766D33" w:rsidRDefault="00766D33" w:rsidP="00766D33">
      <w:pPr>
        <w:spacing w:after="120" w:line="240" w:lineRule="auto"/>
        <w:contextualSpacing/>
        <w:jc w:val="both"/>
        <w:rPr>
          <w:rFonts w:eastAsia="Calibri" w:cs="Arial"/>
          <w:sz w:val="24"/>
          <w:szCs w:val="24"/>
          <w:lang w:val="es-CR"/>
        </w:rPr>
      </w:pPr>
    </w:p>
    <w:tbl>
      <w:tblPr>
        <w:tblW w:w="8926" w:type="dxa"/>
        <w:jc w:val="center"/>
        <w:tblLayout w:type="fixed"/>
        <w:tblLook w:val="04A0" w:firstRow="1" w:lastRow="0" w:firstColumn="1" w:lastColumn="0" w:noHBand="0" w:noVBand="1"/>
      </w:tblPr>
      <w:tblGrid>
        <w:gridCol w:w="4815"/>
        <w:gridCol w:w="1417"/>
        <w:gridCol w:w="1701"/>
        <w:gridCol w:w="993"/>
      </w:tblGrid>
      <w:tr w:rsidR="00766D33" w:rsidRPr="00766D33" w14:paraId="5BAF7458" w14:textId="77777777" w:rsidTr="005741AC">
        <w:trPr>
          <w:cantSplit/>
          <w:trHeight w:val="1072"/>
          <w:tblHeader/>
          <w:jc w:val="center"/>
        </w:trPr>
        <w:tc>
          <w:tcPr>
            <w:tcW w:w="4815" w:type="dxa"/>
            <w:tcBorders>
              <w:top w:val="single" w:sz="4" w:space="0" w:color="auto"/>
              <w:left w:val="single" w:sz="4" w:space="0" w:color="auto"/>
              <w:bottom w:val="single" w:sz="4" w:space="0" w:color="auto"/>
              <w:right w:val="single" w:sz="2" w:space="0" w:color="auto"/>
            </w:tcBorders>
            <w:vAlign w:val="center"/>
          </w:tcPr>
          <w:p w14:paraId="3E8D6E38" w14:textId="77777777" w:rsidR="00766D33" w:rsidRPr="00766D33" w:rsidRDefault="00766D33" w:rsidP="00766D33">
            <w:pPr>
              <w:tabs>
                <w:tab w:val="left" w:pos="540"/>
              </w:tabs>
              <w:spacing w:after="120" w:line="240" w:lineRule="auto"/>
              <w:contextualSpacing/>
              <w:jc w:val="center"/>
              <w:rPr>
                <w:rFonts w:eastAsia="Calibri" w:cs="Arial"/>
                <w:b/>
                <w:lang w:val="es-CR"/>
              </w:rPr>
            </w:pPr>
            <w:r w:rsidRPr="00766D33">
              <w:rPr>
                <w:rFonts w:eastAsia="Calibri" w:cs="Arial"/>
                <w:b/>
                <w:lang w:val="es-CR"/>
              </w:rPr>
              <w:lastRenderedPageBreak/>
              <w:br w:type="page"/>
              <w:t>ANEXO</w:t>
            </w:r>
          </w:p>
          <w:p w14:paraId="52CA2F29" w14:textId="77777777" w:rsidR="00766D33" w:rsidRPr="00766D33" w:rsidRDefault="00766D33" w:rsidP="00766D33">
            <w:pPr>
              <w:tabs>
                <w:tab w:val="left" w:pos="540"/>
              </w:tabs>
              <w:spacing w:after="120" w:line="240" w:lineRule="auto"/>
              <w:contextualSpacing/>
              <w:jc w:val="center"/>
              <w:rPr>
                <w:rFonts w:eastAsia="Calibri" w:cs="Arial"/>
                <w:b/>
                <w:lang w:val="es-CR"/>
              </w:rPr>
            </w:pPr>
            <w:r w:rsidRPr="00766D33">
              <w:rPr>
                <w:rFonts w:eastAsia="Calibri" w:cs="Arial"/>
                <w:b/>
                <w:lang w:val="es-CR"/>
              </w:rPr>
              <w:t>LISTA NO EXHAUSTIVA DE HECHOS RELEVANTES</w:t>
            </w:r>
          </w:p>
        </w:tc>
        <w:tc>
          <w:tcPr>
            <w:tcW w:w="1417" w:type="dxa"/>
            <w:tcBorders>
              <w:top w:val="single" w:sz="4" w:space="0" w:color="auto"/>
              <w:left w:val="single" w:sz="2" w:space="0" w:color="auto"/>
              <w:bottom w:val="single" w:sz="4" w:space="0" w:color="auto"/>
              <w:right w:val="single" w:sz="2" w:space="0" w:color="auto"/>
            </w:tcBorders>
            <w:vAlign w:val="center"/>
          </w:tcPr>
          <w:p w14:paraId="31802969" w14:textId="77777777" w:rsidR="00766D33" w:rsidRPr="00766D33" w:rsidRDefault="00766D33" w:rsidP="00766D33">
            <w:pPr>
              <w:tabs>
                <w:tab w:val="left" w:pos="540"/>
              </w:tabs>
              <w:spacing w:after="120" w:line="240" w:lineRule="auto"/>
              <w:contextualSpacing/>
              <w:jc w:val="center"/>
              <w:rPr>
                <w:rFonts w:eastAsia="Calibri" w:cs="Arial"/>
                <w:b/>
                <w:lang w:val="es-CR"/>
              </w:rPr>
            </w:pPr>
            <w:r w:rsidRPr="00766D33">
              <w:rPr>
                <w:rFonts w:eastAsia="Calibri" w:cs="Arial"/>
                <w:b/>
                <w:lang w:val="es-CR"/>
              </w:rPr>
              <w:t>EMISORES DE DEUDA</w:t>
            </w:r>
          </w:p>
        </w:tc>
        <w:tc>
          <w:tcPr>
            <w:tcW w:w="1701" w:type="dxa"/>
            <w:tcBorders>
              <w:top w:val="single" w:sz="4" w:space="0" w:color="auto"/>
              <w:left w:val="single" w:sz="2" w:space="0" w:color="auto"/>
              <w:bottom w:val="single" w:sz="4" w:space="0" w:color="auto"/>
              <w:right w:val="single" w:sz="4" w:space="0" w:color="auto"/>
            </w:tcBorders>
            <w:vAlign w:val="center"/>
          </w:tcPr>
          <w:p w14:paraId="1CC1821B" w14:textId="77777777" w:rsidR="00766D33" w:rsidRPr="00766D33" w:rsidRDefault="00766D33" w:rsidP="00766D33">
            <w:pPr>
              <w:tabs>
                <w:tab w:val="left" w:pos="540"/>
              </w:tabs>
              <w:spacing w:after="120" w:line="240" w:lineRule="auto"/>
              <w:contextualSpacing/>
              <w:jc w:val="center"/>
              <w:rPr>
                <w:rFonts w:eastAsia="Calibri" w:cs="Arial"/>
                <w:b/>
                <w:lang w:val="es-CR"/>
              </w:rPr>
            </w:pPr>
            <w:r w:rsidRPr="00766D33">
              <w:rPr>
                <w:rFonts w:eastAsia="Calibri" w:cs="Arial"/>
                <w:b/>
                <w:lang w:val="es-CR"/>
              </w:rPr>
              <w:t>EMISORES DE VALORES DE CONTENIDO PATRIMONIAL O MIXTO</w:t>
            </w:r>
          </w:p>
        </w:tc>
        <w:tc>
          <w:tcPr>
            <w:tcW w:w="993" w:type="dxa"/>
            <w:tcBorders>
              <w:top w:val="single" w:sz="4" w:space="0" w:color="auto"/>
              <w:left w:val="single" w:sz="4" w:space="0" w:color="auto"/>
              <w:bottom w:val="single" w:sz="4" w:space="0" w:color="auto"/>
              <w:right w:val="single" w:sz="4" w:space="0" w:color="auto"/>
            </w:tcBorders>
            <w:vAlign w:val="center"/>
          </w:tcPr>
          <w:p w14:paraId="46A8FAEF" w14:textId="77777777" w:rsidR="00766D33" w:rsidRPr="00766D33" w:rsidRDefault="00766D33" w:rsidP="00766D33">
            <w:pPr>
              <w:tabs>
                <w:tab w:val="left" w:pos="540"/>
              </w:tabs>
              <w:spacing w:after="120" w:line="240" w:lineRule="auto"/>
              <w:contextualSpacing/>
              <w:jc w:val="center"/>
              <w:rPr>
                <w:rFonts w:eastAsia="Calibri" w:cs="Arial"/>
                <w:b/>
                <w:lang w:val="es-CR"/>
              </w:rPr>
            </w:pPr>
            <w:r w:rsidRPr="00766D33">
              <w:rPr>
                <w:rFonts w:eastAsia="Calibri" w:cs="Arial"/>
                <w:b/>
                <w:lang w:val="es-CR"/>
              </w:rPr>
              <w:t>OTROS</w:t>
            </w:r>
          </w:p>
        </w:tc>
      </w:tr>
      <w:tr w:rsidR="00766D33" w:rsidRPr="00766D33" w14:paraId="7C21078D" w14:textId="77777777" w:rsidTr="005741AC">
        <w:trPr>
          <w:jc w:val="center"/>
        </w:trPr>
        <w:tc>
          <w:tcPr>
            <w:tcW w:w="4815" w:type="dxa"/>
            <w:tcBorders>
              <w:top w:val="single" w:sz="2" w:space="0" w:color="auto"/>
              <w:left w:val="single" w:sz="4" w:space="0" w:color="auto"/>
              <w:bottom w:val="single" w:sz="2" w:space="0" w:color="auto"/>
              <w:right w:val="single" w:sz="2" w:space="0" w:color="auto"/>
            </w:tcBorders>
          </w:tcPr>
          <w:p w14:paraId="750F45C8" w14:textId="77777777" w:rsidR="00766D33" w:rsidRPr="00766D33" w:rsidRDefault="00766D33" w:rsidP="00766D33">
            <w:pPr>
              <w:spacing w:after="120" w:line="240" w:lineRule="auto"/>
              <w:ind w:left="201"/>
              <w:contextualSpacing/>
              <w:jc w:val="both"/>
              <w:rPr>
                <w:rFonts w:eastAsia="Calibri" w:cs="Arial"/>
                <w:lang w:val="es-ES_tradnl"/>
              </w:rPr>
            </w:pPr>
            <w:bookmarkStart w:id="6" w:name="_Hlk52366400"/>
            <w:r w:rsidRPr="00766D33">
              <w:rPr>
                <w:rFonts w:eastAsia="Calibri" w:cs="Arial"/>
                <w:lang w:val="es-ES_tradnl"/>
              </w:rPr>
              <w:t>1.28 Bis Convocatoria a asamblea de inversionistas de los fondos de inversión de capital de riesgo cuyas participaciones estén registradas para su negociación en un mercado secundario organizado. Deberá indicarse la fecha de cierre del libro de accionistas o inversionistas para efectos de determinar cuáles tendrán derecho de asistir a la asamblea</w:t>
            </w:r>
            <w:bookmarkEnd w:id="6"/>
            <w:r w:rsidRPr="00766D33">
              <w:rPr>
                <w:rFonts w:eastAsia="Calibri" w:cs="Arial"/>
                <w:lang w:val="es-ES_tradnl"/>
              </w:rPr>
              <w:t xml:space="preserve">. </w:t>
            </w:r>
          </w:p>
        </w:tc>
        <w:tc>
          <w:tcPr>
            <w:tcW w:w="1417" w:type="dxa"/>
            <w:tcBorders>
              <w:top w:val="single" w:sz="2" w:space="0" w:color="auto"/>
              <w:left w:val="single" w:sz="2" w:space="0" w:color="auto"/>
              <w:bottom w:val="single" w:sz="2" w:space="0" w:color="auto"/>
              <w:right w:val="single" w:sz="2" w:space="0" w:color="auto"/>
            </w:tcBorders>
          </w:tcPr>
          <w:p w14:paraId="65F5067C" w14:textId="77777777" w:rsidR="00766D33" w:rsidRPr="00766D33" w:rsidRDefault="00766D33" w:rsidP="00766D33">
            <w:pPr>
              <w:spacing w:after="120" w:line="240" w:lineRule="auto"/>
              <w:contextualSpacing/>
              <w:jc w:val="center"/>
              <w:rPr>
                <w:rFonts w:eastAsia="Calibri" w:cs="Arial"/>
              </w:rPr>
            </w:pPr>
            <w:r w:rsidRPr="00766D33">
              <w:rPr>
                <w:rFonts w:eastAsia="Calibri" w:cs="Arial"/>
              </w:rPr>
              <w:t>-</w:t>
            </w:r>
          </w:p>
        </w:tc>
        <w:tc>
          <w:tcPr>
            <w:tcW w:w="1701" w:type="dxa"/>
            <w:tcBorders>
              <w:top w:val="single" w:sz="2" w:space="0" w:color="auto"/>
              <w:left w:val="single" w:sz="2" w:space="0" w:color="auto"/>
              <w:bottom w:val="single" w:sz="2" w:space="0" w:color="auto"/>
              <w:right w:val="single" w:sz="2" w:space="0" w:color="auto"/>
            </w:tcBorders>
          </w:tcPr>
          <w:p w14:paraId="0406B491" w14:textId="77777777" w:rsidR="00766D33" w:rsidRPr="00766D33" w:rsidRDefault="00766D33" w:rsidP="00766D33">
            <w:pPr>
              <w:spacing w:after="120" w:line="240" w:lineRule="auto"/>
              <w:contextualSpacing/>
              <w:jc w:val="center"/>
              <w:rPr>
                <w:rFonts w:eastAsia="Calibri" w:cs="Arial"/>
              </w:rPr>
            </w:pPr>
            <w:r w:rsidRPr="00766D33">
              <w:rPr>
                <w:rFonts w:eastAsia="Calibri" w:cs="Arial"/>
              </w:rPr>
              <w:t>X</w:t>
            </w:r>
          </w:p>
        </w:tc>
        <w:tc>
          <w:tcPr>
            <w:tcW w:w="993" w:type="dxa"/>
            <w:tcBorders>
              <w:top w:val="single" w:sz="2" w:space="0" w:color="auto"/>
              <w:left w:val="single" w:sz="2" w:space="0" w:color="auto"/>
              <w:bottom w:val="single" w:sz="2" w:space="0" w:color="auto"/>
              <w:right w:val="single" w:sz="4" w:space="0" w:color="auto"/>
            </w:tcBorders>
          </w:tcPr>
          <w:p w14:paraId="1049D946" w14:textId="77777777" w:rsidR="00766D33" w:rsidRPr="00766D33" w:rsidRDefault="00766D33" w:rsidP="00766D33">
            <w:pPr>
              <w:spacing w:after="120" w:line="240" w:lineRule="auto"/>
              <w:contextualSpacing/>
              <w:jc w:val="center"/>
              <w:rPr>
                <w:rFonts w:eastAsia="Calibri" w:cs="Arial"/>
              </w:rPr>
            </w:pPr>
            <w:r w:rsidRPr="00766D33">
              <w:rPr>
                <w:rFonts w:eastAsia="Calibri" w:cs="Arial"/>
              </w:rPr>
              <w:t>-</w:t>
            </w:r>
          </w:p>
        </w:tc>
      </w:tr>
      <w:tr w:rsidR="00766D33" w:rsidRPr="00766D33" w14:paraId="2CBE8CBB" w14:textId="77777777" w:rsidTr="005741AC">
        <w:trPr>
          <w:jc w:val="center"/>
        </w:trPr>
        <w:tc>
          <w:tcPr>
            <w:tcW w:w="4815" w:type="dxa"/>
            <w:tcBorders>
              <w:top w:val="single" w:sz="2" w:space="0" w:color="auto"/>
              <w:left w:val="single" w:sz="4" w:space="0" w:color="auto"/>
              <w:bottom w:val="single" w:sz="2" w:space="0" w:color="auto"/>
              <w:right w:val="single" w:sz="2" w:space="0" w:color="auto"/>
            </w:tcBorders>
          </w:tcPr>
          <w:p w14:paraId="1A2BA41C" w14:textId="77777777" w:rsidR="00766D33" w:rsidRPr="00766D33" w:rsidRDefault="00766D33" w:rsidP="00766D33">
            <w:pPr>
              <w:spacing w:after="120" w:line="240" w:lineRule="auto"/>
              <w:ind w:left="201"/>
              <w:contextualSpacing/>
              <w:jc w:val="both"/>
              <w:rPr>
                <w:rFonts w:eastAsia="Calibri" w:cs="Arial"/>
                <w:lang w:val="es-ES_tradnl"/>
              </w:rPr>
            </w:pPr>
            <w:bookmarkStart w:id="7" w:name="_Hlk52366412"/>
            <w:r w:rsidRPr="00766D33">
              <w:rPr>
                <w:rFonts w:eastAsia="Calibri" w:cs="Arial"/>
                <w:lang w:val="es-ES_tradnl"/>
              </w:rPr>
              <w:t xml:space="preserve">1.29 Bis Resumen de acuerdos de asamblea de inversionistas, ordinarias y extraordinarias, de los fondos de inversión de capital de riesgo cuyas participaciones estén registradas para su negociación en un mercado secundario organizado. </w:t>
            </w:r>
            <w:bookmarkEnd w:id="7"/>
          </w:p>
        </w:tc>
        <w:tc>
          <w:tcPr>
            <w:tcW w:w="1417" w:type="dxa"/>
            <w:tcBorders>
              <w:top w:val="single" w:sz="2" w:space="0" w:color="auto"/>
              <w:left w:val="single" w:sz="2" w:space="0" w:color="auto"/>
              <w:bottom w:val="single" w:sz="2" w:space="0" w:color="auto"/>
              <w:right w:val="single" w:sz="2" w:space="0" w:color="auto"/>
            </w:tcBorders>
          </w:tcPr>
          <w:p w14:paraId="174391A1" w14:textId="77777777" w:rsidR="00766D33" w:rsidRPr="00766D33" w:rsidRDefault="00766D33" w:rsidP="00766D33">
            <w:pPr>
              <w:spacing w:after="120" w:line="240" w:lineRule="auto"/>
              <w:contextualSpacing/>
              <w:jc w:val="center"/>
              <w:rPr>
                <w:rFonts w:eastAsia="Calibri" w:cs="Arial"/>
              </w:rPr>
            </w:pPr>
            <w:r w:rsidRPr="00766D33">
              <w:rPr>
                <w:rFonts w:eastAsia="Calibri" w:cs="Arial"/>
              </w:rPr>
              <w:t>-</w:t>
            </w:r>
          </w:p>
        </w:tc>
        <w:tc>
          <w:tcPr>
            <w:tcW w:w="1701" w:type="dxa"/>
            <w:tcBorders>
              <w:top w:val="single" w:sz="2" w:space="0" w:color="auto"/>
              <w:left w:val="single" w:sz="2" w:space="0" w:color="auto"/>
              <w:bottom w:val="single" w:sz="2" w:space="0" w:color="auto"/>
              <w:right w:val="single" w:sz="2" w:space="0" w:color="auto"/>
            </w:tcBorders>
          </w:tcPr>
          <w:p w14:paraId="16367D98" w14:textId="77777777" w:rsidR="00766D33" w:rsidRPr="00766D33" w:rsidRDefault="00766D33" w:rsidP="00766D33">
            <w:pPr>
              <w:spacing w:after="120" w:line="240" w:lineRule="auto"/>
              <w:contextualSpacing/>
              <w:jc w:val="center"/>
              <w:rPr>
                <w:rFonts w:eastAsia="Calibri" w:cs="Arial"/>
              </w:rPr>
            </w:pPr>
            <w:r w:rsidRPr="00766D33">
              <w:rPr>
                <w:rFonts w:eastAsia="Calibri" w:cs="Arial"/>
              </w:rPr>
              <w:t>X</w:t>
            </w:r>
          </w:p>
        </w:tc>
        <w:tc>
          <w:tcPr>
            <w:tcW w:w="993" w:type="dxa"/>
            <w:tcBorders>
              <w:top w:val="single" w:sz="2" w:space="0" w:color="auto"/>
              <w:left w:val="single" w:sz="2" w:space="0" w:color="auto"/>
              <w:bottom w:val="single" w:sz="2" w:space="0" w:color="auto"/>
              <w:right w:val="single" w:sz="4" w:space="0" w:color="auto"/>
            </w:tcBorders>
          </w:tcPr>
          <w:p w14:paraId="437CFB39" w14:textId="77777777" w:rsidR="00766D33" w:rsidRPr="00766D33" w:rsidRDefault="00766D33" w:rsidP="00766D33">
            <w:pPr>
              <w:spacing w:after="120" w:line="240" w:lineRule="auto"/>
              <w:contextualSpacing/>
              <w:jc w:val="center"/>
              <w:rPr>
                <w:rFonts w:eastAsia="Calibri" w:cs="Arial"/>
              </w:rPr>
            </w:pPr>
            <w:r w:rsidRPr="00766D33">
              <w:rPr>
                <w:rFonts w:eastAsia="Calibri" w:cs="Arial"/>
              </w:rPr>
              <w:t>-</w:t>
            </w:r>
          </w:p>
        </w:tc>
      </w:tr>
    </w:tbl>
    <w:p w14:paraId="25299F4D" w14:textId="77777777" w:rsidR="008611A2" w:rsidRDefault="008611A2" w:rsidP="00404210">
      <w:pPr>
        <w:tabs>
          <w:tab w:val="center" w:pos="4419"/>
        </w:tabs>
        <w:rPr>
          <w:rFonts w:eastAsia="Calibri" w:cs="Arial"/>
          <w:b/>
        </w:rPr>
      </w:pPr>
    </w:p>
    <w:p w14:paraId="48D11DBF" w14:textId="77777777" w:rsidR="00963C09" w:rsidRDefault="00963C09" w:rsidP="00404210">
      <w:pPr>
        <w:tabs>
          <w:tab w:val="center" w:pos="4419"/>
        </w:tabs>
        <w:rPr>
          <w:rFonts w:eastAsia="Calibri" w:cs="Arial"/>
        </w:rPr>
      </w:pPr>
      <w:bookmarkStart w:id="8" w:name="_Hlk67579283"/>
      <w:r w:rsidRPr="00963C09">
        <w:rPr>
          <w:rFonts w:eastAsia="Calibri" w:cs="Arial"/>
          <w:b/>
        </w:rPr>
        <w:t>Artículo</w:t>
      </w:r>
      <w:r w:rsidR="00DE4FFC">
        <w:rPr>
          <w:rFonts w:eastAsia="Calibri" w:cs="Arial"/>
          <w:b/>
        </w:rPr>
        <w:t xml:space="preserve"> </w:t>
      </w:r>
      <w:r w:rsidR="008611A2">
        <w:rPr>
          <w:rFonts w:eastAsia="Calibri" w:cs="Arial"/>
          <w:b/>
        </w:rPr>
        <w:t>4</w:t>
      </w:r>
      <w:r w:rsidRPr="00963C09">
        <w:rPr>
          <w:rFonts w:eastAsia="Calibri" w:cs="Arial"/>
          <w:b/>
        </w:rPr>
        <w:t>.-</w:t>
      </w:r>
      <w:r>
        <w:rPr>
          <w:rFonts w:eastAsia="Calibri" w:cs="Arial"/>
        </w:rPr>
        <w:t xml:space="preserve"> Vigencia</w:t>
      </w:r>
      <w:bookmarkEnd w:id="8"/>
      <w:r w:rsidR="00404210">
        <w:rPr>
          <w:rFonts w:eastAsia="Calibri" w:cs="Arial"/>
        </w:rPr>
        <w:tab/>
      </w:r>
    </w:p>
    <w:p w14:paraId="196EFAE3" w14:textId="77777777" w:rsidR="00786288" w:rsidRPr="00E2590A" w:rsidRDefault="00E2590A" w:rsidP="00786288">
      <w:pPr>
        <w:tabs>
          <w:tab w:val="left" w:pos="567"/>
        </w:tabs>
        <w:spacing w:after="0" w:line="240" w:lineRule="auto"/>
        <w:ind w:right="-193"/>
        <w:jc w:val="both"/>
        <w:rPr>
          <w:rFonts w:eastAsia="Times New Roman" w:cs="Arial"/>
          <w:b/>
          <w:lang w:eastAsia="es-ES"/>
        </w:rPr>
      </w:pPr>
      <w:r w:rsidRPr="00C85E64">
        <w:rPr>
          <w:rFonts w:eastAsia="Calibri" w:cs="Arial"/>
        </w:rPr>
        <w:t>Rige a partir de</w:t>
      </w:r>
      <w:r w:rsidR="00547CD7" w:rsidRPr="00C85E64">
        <w:rPr>
          <w:rFonts w:eastAsia="Calibri" w:cs="Arial"/>
        </w:rPr>
        <w:t xml:space="preserve">l 1 de </w:t>
      </w:r>
      <w:r w:rsidR="00C85E64" w:rsidRPr="00C85E64">
        <w:rPr>
          <w:rFonts w:eastAsia="Calibri" w:cs="Arial"/>
        </w:rPr>
        <w:t>setiembre</w:t>
      </w:r>
      <w:r w:rsidR="00547CD7" w:rsidRPr="00C85E64">
        <w:rPr>
          <w:rFonts w:eastAsia="Calibri" w:cs="Arial"/>
        </w:rPr>
        <w:t xml:space="preserve"> del 2021.</w:t>
      </w:r>
      <w:r w:rsidR="00786288" w:rsidRPr="00C85E64">
        <w:rPr>
          <w:rFonts w:eastAsia="Times New Roman" w:cs="Arial"/>
          <w:b/>
          <w:lang w:eastAsia="es-ES"/>
        </w:rPr>
        <w:t xml:space="preserve"> </w:t>
      </w:r>
    </w:p>
    <w:p w14:paraId="519B896A" w14:textId="77777777" w:rsidR="00E2590A" w:rsidRPr="00E2590A" w:rsidRDefault="00E2590A" w:rsidP="00E2590A">
      <w:pPr>
        <w:rPr>
          <w:rFonts w:eastAsia="Calibri" w:cs="Arial"/>
        </w:rPr>
      </w:pPr>
    </w:p>
    <w:p w14:paraId="56F39520" w14:textId="77777777" w:rsidR="00E2590A" w:rsidRPr="00E2590A" w:rsidRDefault="002B61C9" w:rsidP="00E2590A">
      <w:pPr>
        <w:tabs>
          <w:tab w:val="left" w:pos="567"/>
        </w:tabs>
        <w:spacing w:after="0" w:line="240" w:lineRule="auto"/>
        <w:ind w:right="-193"/>
        <w:jc w:val="both"/>
        <w:rPr>
          <w:rFonts w:eastAsia="Times New Roman" w:cs="Arial"/>
          <w:b/>
          <w:lang w:eastAsia="es-ES"/>
        </w:rPr>
      </w:pPr>
      <w:r w:rsidRPr="00B97F72">
        <w:rPr>
          <w:rFonts w:eastAsia="Calibri" w:cs="Arial"/>
          <w:noProof/>
          <w:szCs w:val="24"/>
        </w:rPr>
        <w:drawing>
          <wp:inline distT="0" distB="0" distL="0" distR="0" wp14:anchorId="6A66E8CA" wp14:editId="08FD8DBD">
            <wp:extent cx="2732405" cy="3295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p w14:paraId="59ACE2DC" w14:textId="77777777" w:rsidR="00786288" w:rsidRDefault="00786288">
      <w:pPr>
        <w:tabs>
          <w:tab w:val="left" w:pos="567"/>
        </w:tabs>
        <w:spacing w:after="0" w:line="240" w:lineRule="auto"/>
        <w:ind w:right="-193"/>
        <w:jc w:val="both"/>
        <w:rPr>
          <w:rFonts w:eastAsia="Times New Roman" w:cs="Arial"/>
          <w:b/>
          <w:lang w:eastAsia="es-ES"/>
        </w:rPr>
      </w:pPr>
    </w:p>
    <w:p w14:paraId="588803E3" w14:textId="77777777" w:rsidR="006C12DD" w:rsidRPr="00531A9C" w:rsidRDefault="006C12DD" w:rsidP="00531A9C">
      <w:pPr>
        <w:rPr>
          <w:rFonts w:eastAsia="Times New Roman" w:cs="Arial"/>
          <w:lang w:eastAsia="es-ES"/>
        </w:rPr>
      </w:pPr>
    </w:p>
    <w:p w14:paraId="7509FFDE" w14:textId="77777777" w:rsidR="006C12DD" w:rsidRPr="00531A9C" w:rsidRDefault="006C12DD" w:rsidP="00531A9C">
      <w:pPr>
        <w:rPr>
          <w:rFonts w:eastAsia="Times New Roman" w:cs="Arial"/>
          <w:lang w:eastAsia="es-ES"/>
        </w:rPr>
      </w:pPr>
    </w:p>
    <w:p w14:paraId="1BA9D0C6" w14:textId="77777777" w:rsidR="006C12DD" w:rsidRPr="00531A9C" w:rsidRDefault="006C12DD" w:rsidP="00531A9C">
      <w:pPr>
        <w:rPr>
          <w:rFonts w:eastAsia="Times New Roman" w:cs="Arial"/>
          <w:lang w:eastAsia="es-ES"/>
        </w:rPr>
      </w:pPr>
    </w:p>
    <w:p w14:paraId="5CBB0FC6" w14:textId="77777777" w:rsidR="006C12DD" w:rsidRPr="00531A9C" w:rsidRDefault="006C12DD" w:rsidP="00531A9C">
      <w:pPr>
        <w:rPr>
          <w:rFonts w:eastAsia="Times New Roman" w:cs="Arial"/>
          <w:lang w:eastAsia="es-ES"/>
        </w:rPr>
      </w:pPr>
    </w:p>
    <w:p w14:paraId="0F590296" w14:textId="77777777" w:rsidR="006C12DD" w:rsidRPr="00531A9C" w:rsidRDefault="006C12DD" w:rsidP="00531A9C">
      <w:pPr>
        <w:rPr>
          <w:rFonts w:eastAsia="Times New Roman" w:cs="Arial"/>
          <w:lang w:eastAsia="es-ES"/>
        </w:rPr>
      </w:pPr>
    </w:p>
    <w:p w14:paraId="64C4FE4B" w14:textId="77777777" w:rsidR="006C12DD" w:rsidRPr="00531A9C" w:rsidRDefault="006C12DD" w:rsidP="00531A9C">
      <w:pPr>
        <w:rPr>
          <w:rFonts w:eastAsia="Times New Roman" w:cs="Arial"/>
          <w:lang w:eastAsia="es-ES"/>
        </w:rPr>
      </w:pPr>
    </w:p>
    <w:p w14:paraId="745C8039" w14:textId="77777777" w:rsidR="006C12DD" w:rsidRPr="00531A9C" w:rsidRDefault="006C12DD" w:rsidP="00531A9C">
      <w:pPr>
        <w:rPr>
          <w:rFonts w:eastAsia="Times New Roman" w:cs="Arial"/>
          <w:lang w:eastAsia="es-ES"/>
        </w:rPr>
      </w:pPr>
    </w:p>
    <w:p w14:paraId="1BB00A03" w14:textId="77777777" w:rsidR="006C12DD" w:rsidRPr="00531A9C" w:rsidRDefault="006C12DD" w:rsidP="00531A9C">
      <w:pPr>
        <w:rPr>
          <w:rFonts w:eastAsia="Times New Roman" w:cs="Arial"/>
          <w:lang w:eastAsia="es-ES"/>
        </w:rPr>
      </w:pPr>
    </w:p>
    <w:p w14:paraId="4B7CDFF1" w14:textId="77777777" w:rsidR="006C12DD" w:rsidRPr="00531A9C" w:rsidRDefault="006C12DD" w:rsidP="00531A9C">
      <w:pPr>
        <w:rPr>
          <w:rFonts w:eastAsia="Times New Roman" w:cs="Arial"/>
          <w:lang w:eastAsia="es-ES"/>
        </w:rPr>
      </w:pPr>
    </w:p>
    <w:p w14:paraId="10A80C00" w14:textId="77777777" w:rsidR="006C12DD" w:rsidRPr="00531A9C" w:rsidRDefault="006C12DD" w:rsidP="00531A9C">
      <w:pPr>
        <w:rPr>
          <w:rFonts w:eastAsia="Times New Roman" w:cs="Arial"/>
          <w:lang w:eastAsia="es-ES"/>
        </w:rPr>
      </w:pPr>
    </w:p>
    <w:p w14:paraId="19E1219C" w14:textId="77777777" w:rsidR="006C12DD" w:rsidRPr="00531A9C" w:rsidRDefault="006C12DD" w:rsidP="00531A9C">
      <w:pPr>
        <w:tabs>
          <w:tab w:val="left" w:pos="2570"/>
        </w:tabs>
        <w:rPr>
          <w:rFonts w:eastAsia="Times New Roman" w:cs="Arial"/>
          <w:lang w:eastAsia="es-ES"/>
        </w:rPr>
      </w:pPr>
      <w:r>
        <w:rPr>
          <w:rFonts w:eastAsia="Times New Roman" w:cs="Arial"/>
          <w:lang w:eastAsia="es-ES"/>
        </w:rPr>
        <w:tab/>
      </w:r>
    </w:p>
    <w:sectPr w:rsidR="006C12DD" w:rsidRPr="00531A9C" w:rsidSect="002B61C9">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1BAA4" w14:textId="77777777" w:rsidR="00FF2DAB" w:rsidRDefault="00FF2DAB" w:rsidP="00C21337">
      <w:pPr>
        <w:spacing w:after="0" w:line="240" w:lineRule="auto"/>
      </w:pPr>
      <w:r>
        <w:separator/>
      </w:r>
    </w:p>
  </w:endnote>
  <w:endnote w:type="continuationSeparator" w:id="0">
    <w:p w14:paraId="2362184C" w14:textId="77777777" w:rsidR="00FF2DAB" w:rsidRDefault="00FF2DAB" w:rsidP="00C2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E294" w14:textId="77777777" w:rsidR="00DD47A1" w:rsidRDefault="00DD47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EastAsia" w:hAnsiTheme="minorHAnsi" w:cs="Times New Roman"/>
      </w:rPr>
      <w:id w:val="-1835289693"/>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14:paraId="77F56A11" w14:textId="77777777" w:rsidR="006C12DD" w:rsidRPr="009A7635" w:rsidRDefault="006C12DD" w:rsidP="006C12DD">
        <w:pPr>
          <w:pStyle w:val="Piedepgina"/>
          <w:rPr>
            <w:rFonts w:cs="Arial"/>
            <w:color w:val="1B75BB"/>
          </w:rPr>
        </w:pPr>
        <w:r w:rsidRPr="009A7635">
          <w:rPr>
            <w:rFonts w:cs="Arial"/>
            <w:color w:val="1B75BB"/>
          </w:rPr>
          <w:t>|</w:t>
        </w:r>
        <w:r>
          <w:rPr>
            <w:rFonts w:cs="Arial"/>
            <w:color w:val="1B75BB"/>
          </w:rPr>
          <w:t xml:space="preserve"> </w:t>
        </w:r>
        <w:r w:rsidRPr="009A7635">
          <w:rPr>
            <w:rFonts w:cs="Arial"/>
            <w:color w:val="1B75BB"/>
          </w:rPr>
          <w:fldChar w:fldCharType="begin"/>
        </w:r>
        <w:r w:rsidRPr="009A7635">
          <w:rPr>
            <w:rFonts w:cs="Arial"/>
            <w:color w:val="1B75BB"/>
          </w:rPr>
          <w:instrText xml:space="preserve"> PAGE   \* MERGEFORMAT </w:instrText>
        </w:r>
        <w:r w:rsidRPr="009A7635">
          <w:rPr>
            <w:rFonts w:cs="Arial"/>
            <w:color w:val="1B75BB"/>
          </w:rPr>
          <w:fldChar w:fldCharType="separate"/>
        </w:r>
        <w:r>
          <w:rPr>
            <w:rFonts w:cs="Arial"/>
            <w:color w:val="1B75BB"/>
          </w:rPr>
          <w:t>2</w:t>
        </w:r>
        <w:r w:rsidRPr="009A7635">
          <w:rPr>
            <w:rFonts w:cs="Arial"/>
            <w:noProof/>
            <w:color w:val="1B75BB"/>
          </w:rPr>
          <w:fldChar w:fldCharType="end"/>
        </w:r>
      </w:p>
      <w:p w14:paraId="1CF30AA2" w14:textId="77777777" w:rsidR="006C12DD" w:rsidRDefault="006C12DD" w:rsidP="00531A9C">
        <w:pPr>
          <w:pStyle w:val="Piedepgina"/>
          <w:tabs>
            <w:tab w:val="clear" w:pos="4419"/>
            <w:tab w:val="clear" w:pos="8838"/>
            <w:tab w:val="left" w:pos="3840"/>
          </w:tabs>
          <w:rPr>
            <w:rFonts w:asciiTheme="majorHAnsi" w:eastAsiaTheme="majorEastAsia" w:hAnsiTheme="majorHAnsi" w:cstheme="majorBidi"/>
            <w:color w:val="5B9BD5" w:themeColor="accent1"/>
            <w:sz w:val="40"/>
            <w:szCs w:val="40"/>
          </w:rPr>
        </w:pPr>
        <w:r>
          <w:rPr>
            <w:rFonts w:asciiTheme="majorHAnsi" w:eastAsiaTheme="majorEastAsia" w:hAnsiTheme="majorHAnsi" w:cstheme="majorBidi"/>
            <w:color w:val="5B9BD5" w:themeColor="accent1"/>
            <w:sz w:val="40"/>
            <w:szCs w:val="40"/>
          </w:rPr>
          <w:tab/>
        </w:r>
      </w:p>
    </w:sdtContent>
  </w:sdt>
  <w:p w14:paraId="32EBB774" w14:textId="77777777" w:rsidR="005C6820" w:rsidRDefault="005C68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EF1F9" w14:textId="77777777" w:rsidR="00DD47A1" w:rsidRDefault="00DD47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9A560" w14:textId="77777777" w:rsidR="00FF2DAB" w:rsidRDefault="00FF2DAB" w:rsidP="00C21337">
      <w:pPr>
        <w:spacing w:after="0" w:line="240" w:lineRule="auto"/>
      </w:pPr>
      <w:r>
        <w:separator/>
      </w:r>
    </w:p>
  </w:footnote>
  <w:footnote w:type="continuationSeparator" w:id="0">
    <w:p w14:paraId="797A0B3E" w14:textId="77777777" w:rsidR="00FF2DAB" w:rsidRDefault="00FF2DAB" w:rsidP="00C21337">
      <w:pPr>
        <w:spacing w:after="0" w:line="240" w:lineRule="auto"/>
      </w:pPr>
      <w:r>
        <w:continuationSeparator/>
      </w:r>
    </w:p>
  </w:footnote>
  <w:footnote w:id="1">
    <w:p w14:paraId="5A0E52A4" w14:textId="3060EE67" w:rsidR="000335B8" w:rsidRPr="00B42C03" w:rsidRDefault="000335B8" w:rsidP="000335B8">
      <w:pPr>
        <w:jc w:val="both"/>
        <w:rPr>
          <w:rFonts w:cs="Arial"/>
          <w:lang w:val="es-MX"/>
        </w:rPr>
      </w:pPr>
      <w:r>
        <w:rPr>
          <w:rStyle w:val="Refdenotaalpie"/>
        </w:rPr>
        <w:footnoteRef/>
      </w:r>
      <w:r>
        <w:t xml:space="preserve"> </w:t>
      </w:r>
      <w:r w:rsidRPr="00B42C03">
        <w:rPr>
          <w:rFonts w:cs="Arial"/>
          <w:lang w:val="es-MX"/>
        </w:rPr>
        <w:t xml:space="preserve">Superintendencia General de Valores.  Despacho del Superintendente.  A las </w:t>
      </w:r>
      <w:r>
        <w:rPr>
          <w:rFonts w:cs="Arial"/>
          <w:lang w:val="es-MX"/>
        </w:rPr>
        <w:t xml:space="preserve">trece horas </w:t>
      </w:r>
      <w:r w:rsidRPr="00B42C03">
        <w:rPr>
          <w:rFonts w:cs="Arial"/>
          <w:lang w:val="es-MX"/>
        </w:rPr>
        <w:t xml:space="preserve">del </w:t>
      </w:r>
      <w:r>
        <w:rPr>
          <w:rFonts w:cs="Arial"/>
          <w:lang w:val="es-MX"/>
        </w:rPr>
        <w:t xml:space="preserve">diecisiete de mayo </w:t>
      </w:r>
      <w:r w:rsidRPr="00B42C03">
        <w:rPr>
          <w:rFonts w:cs="Arial"/>
          <w:lang w:val="es-MX"/>
        </w:rPr>
        <w:t>del dos</w:t>
      </w:r>
      <w:r w:rsidR="003419B9">
        <w:rPr>
          <w:rFonts w:cs="Arial"/>
          <w:lang w:val="es-MX"/>
        </w:rPr>
        <w:t xml:space="preserve"> </w:t>
      </w:r>
      <w:r w:rsidRPr="00B42C03">
        <w:rPr>
          <w:rFonts w:cs="Arial"/>
          <w:lang w:val="es-MX"/>
        </w:rPr>
        <w:t xml:space="preserve">mil </w:t>
      </w:r>
      <w:r>
        <w:rPr>
          <w:rFonts w:cs="Arial"/>
          <w:lang w:val="es-MX"/>
        </w:rPr>
        <w:t>veintiuno</w:t>
      </w:r>
      <w:r w:rsidRPr="00B42C03">
        <w:rPr>
          <w:rFonts w:cs="Arial"/>
          <w:lang w:val="es-MX"/>
        </w:rPr>
        <w:t>.</w:t>
      </w:r>
      <w:r w:rsidR="00DD47A1">
        <w:rPr>
          <w:rFonts w:cs="Arial"/>
          <w:lang w:val="es-MX"/>
        </w:rPr>
        <w:t xml:space="preserve"> Publicado en el Alcance 123 del Diario Oficial la Gaceta No. 119 del 22 de junio del 2021.</w:t>
      </w:r>
    </w:p>
    <w:p w14:paraId="72854700" w14:textId="77777777" w:rsidR="000335B8" w:rsidRPr="000335B8" w:rsidRDefault="000335B8">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33072" w14:textId="77777777" w:rsidR="00DD47A1" w:rsidRDefault="00DD47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DF33" w14:textId="77777777" w:rsidR="000335B8" w:rsidRPr="00363C4C" w:rsidRDefault="000335B8" w:rsidP="000335B8">
    <w:pPr>
      <w:pStyle w:val="Encabezado"/>
      <w:jc w:val="right"/>
      <w:rPr>
        <w:lang w:val="es-CR"/>
      </w:rPr>
    </w:pPr>
    <w:r w:rsidRPr="00E72720">
      <w:rPr>
        <w:rFonts w:ascii="Calibri" w:hAnsi="Calibri" w:cs="Arial"/>
        <w:i/>
        <w:noProof/>
        <w:sz w:val="20"/>
        <w:szCs w:val="20"/>
        <w:lang w:val="es-CR" w:eastAsia="es-CR"/>
      </w:rPr>
      <w:drawing>
        <wp:inline distT="0" distB="0" distL="0" distR="0" wp14:anchorId="32759222" wp14:editId="6373F06D">
          <wp:extent cx="1581150" cy="393700"/>
          <wp:effectExtent l="0" t="0" r="0" b="6350"/>
          <wp:docPr id="2" name="Imagen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3700"/>
                  </a:xfrm>
                  <a:prstGeom prst="rect">
                    <a:avLst/>
                  </a:prstGeom>
                  <a:noFill/>
                  <a:ln>
                    <a:noFill/>
                  </a:ln>
                </pic:spPr>
              </pic:pic>
            </a:graphicData>
          </a:graphic>
        </wp:inline>
      </w:drawing>
    </w:r>
  </w:p>
  <w:p w14:paraId="435BAA21" w14:textId="77777777" w:rsidR="000335B8" w:rsidRPr="00363C4C" w:rsidRDefault="000335B8" w:rsidP="000335B8">
    <w:pPr>
      <w:pStyle w:val="Encabezado"/>
      <w:rPr>
        <w:lang w:val="es-CR"/>
      </w:rPr>
    </w:pPr>
    <w:r>
      <w:rPr>
        <w:noProof/>
      </w:rPr>
      <mc:AlternateContent>
        <mc:Choice Requires="wps">
          <w:drawing>
            <wp:anchor distT="4294967293" distB="4294967293" distL="114300" distR="114300" simplePos="0" relativeHeight="251659264" behindDoc="0" locked="0" layoutInCell="1" allowOverlap="1" wp14:anchorId="71DB7547" wp14:editId="0B2F07B4">
              <wp:simplePos x="0" y="0"/>
              <wp:positionH relativeFrom="margin">
                <wp:posOffset>-635</wp:posOffset>
              </wp:positionH>
              <wp:positionV relativeFrom="paragraph">
                <wp:posOffset>7619</wp:posOffset>
              </wp:positionV>
              <wp:extent cx="5695950" cy="9525"/>
              <wp:effectExtent l="0" t="0" r="19050" b="2857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5950" cy="9525"/>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618" id="Conector recto 1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6pt" to="44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" strokecolor="#0070c0"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6652" w14:textId="77777777" w:rsidR="00DD47A1" w:rsidRDefault="00DD47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7DCF"/>
    <w:multiLevelType w:val="hybridMultilevel"/>
    <w:tmpl w:val="377E488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87F"/>
    <w:multiLevelType w:val="hybridMultilevel"/>
    <w:tmpl w:val="55D657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E32A0C"/>
    <w:multiLevelType w:val="hybridMultilevel"/>
    <w:tmpl w:val="AB22CBF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177E1"/>
    <w:multiLevelType w:val="hybridMultilevel"/>
    <w:tmpl w:val="A99086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58A3CCB"/>
    <w:multiLevelType w:val="hybridMultilevel"/>
    <w:tmpl w:val="BABC612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690698B"/>
    <w:multiLevelType w:val="hybridMultilevel"/>
    <w:tmpl w:val="AF164DC4"/>
    <w:lvl w:ilvl="0" w:tplc="BDBEA8B8">
      <w:start w:val="1"/>
      <w:numFmt w:val="lowerLetter"/>
      <w:lvlText w:val="%1."/>
      <w:lvlJc w:val="left"/>
      <w:pPr>
        <w:ind w:left="1272" w:hanging="705"/>
      </w:pPr>
      <w:rPr>
        <w:rFonts w:ascii="Arial" w:hAnsi="Arial" w:cs="Arial" w:hint="default"/>
        <w:b w:val="0"/>
        <w:i w:val="0"/>
      </w:rPr>
    </w:lvl>
    <w:lvl w:ilvl="1" w:tplc="04090019">
      <w:start w:val="1"/>
      <w:numFmt w:val="lowerLetter"/>
      <w:lvlText w:val="%2."/>
      <w:lvlJc w:val="left"/>
      <w:pPr>
        <w:ind w:left="1440" w:hanging="360"/>
      </w:pPr>
    </w:lvl>
    <w:lvl w:ilvl="2" w:tplc="1F22B38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44904"/>
    <w:multiLevelType w:val="hybridMultilevel"/>
    <w:tmpl w:val="F88CC302"/>
    <w:lvl w:ilvl="0" w:tplc="A114F658">
      <w:start w:val="1"/>
      <w:numFmt w:val="lowerLetter"/>
      <w:lvlText w:val="%1."/>
      <w:lvlJc w:val="left"/>
      <w:pPr>
        <w:ind w:left="360" w:hanging="360"/>
      </w:pPr>
      <w:rPr>
        <w:rFonts w:ascii="Arial" w:hAnsi="Arial" w:cs="Arial"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0768428E"/>
    <w:multiLevelType w:val="hybridMultilevel"/>
    <w:tmpl w:val="0596C8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14D2714"/>
    <w:multiLevelType w:val="hybridMultilevel"/>
    <w:tmpl w:val="47E4776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3590C3D"/>
    <w:multiLevelType w:val="hybridMultilevel"/>
    <w:tmpl w:val="4156CA24"/>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3D0C2A42"/>
    <w:multiLevelType w:val="hybridMultilevel"/>
    <w:tmpl w:val="E05E12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5D24C8A"/>
    <w:multiLevelType w:val="hybridMultilevel"/>
    <w:tmpl w:val="BB6CABFA"/>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D4B0075"/>
    <w:multiLevelType w:val="hybridMultilevel"/>
    <w:tmpl w:val="7F2C23BC"/>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4EAB3A78"/>
    <w:multiLevelType w:val="hybridMultilevel"/>
    <w:tmpl w:val="C278EF0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53F52896"/>
    <w:multiLevelType w:val="hybridMultilevel"/>
    <w:tmpl w:val="8CC4D9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852038D"/>
    <w:multiLevelType w:val="hybridMultilevel"/>
    <w:tmpl w:val="E286D02E"/>
    <w:lvl w:ilvl="0" w:tplc="140A000F">
      <w:start w:val="1"/>
      <w:numFmt w:val="decimal"/>
      <w:lvlText w:val="%1."/>
      <w:lvlJc w:val="left"/>
      <w:pPr>
        <w:ind w:left="786" w:hanging="360"/>
      </w:p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6" w15:restartNumberingAfterBreak="0">
    <w:nsid w:val="591F3D53"/>
    <w:multiLevelType w:val="hybridMultilevel"/>
    <w:tmpl w:val="9DB818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BE64075"/>
    <w:multiLevelType w:val="hybridMultilevel"/>
    <w:tmpl w:val="1D4C53A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623554EF"/>
    <w:multiLevelType w:val="hybridMultilevel"/>
    <w:tmpl w:val="1750AD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2BF7740"/>
    <w:multiLevelType w:val="hybridMultilevel"/>
    <w:tmpl w:val="B1F23EB0"/>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53B5431"/>
    <w:multiLevelType w:val="hybridMultilevel"/>
    <w:tmpl w:val="25801C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96D4130"/>
    <w:multiLevelType w:val="hybridMultilevel"/>
    <w:tmpl w:val="ECAC1924"/>
    <w:lvl w:ilvl="0" w:tplc="FFC61E30">
      <w:start w:val="8"/>
      <w:numFmt w:val="decimal"/>
      <w:lvlText w:val="%1."/>
      <w:lvlJc w:val="left"/>
      <w:pPr>
        <w:ind w:left="643" w:hanging="360"/>
      </w:pPr>
      <w:rPr>
        <w:rFonts w:hint="default"/>
        <w:b w:val="0"/>
        <w:strike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33D8C"/>
    <w:multiLevelType w:val="hybridMultilevel"/>
    <w:tmpl w:val="3624758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1"/>
  </w:num>
  <w:num w:numId="10">
    <w:abstractNumId w:val="19"/>
  </w:num>
  <w:num w:numId="11">
    <w:abstractNumId w:val="22"/>
  </w:num>
  <w:num w:numId="12">
    <w:abstractNumId w:val="20"/>
  </w:num>
  <w:num w:numId="13">
    <w:abstractNumId w:val="16"/>
  </w:num>
  <w:num w:numId="14">
    <w:abstractNumId w:val="0"/>
  </w:num>
  <w:num w:numId="15">
    <w:abstractNumId w:val="2"/>
  </w:num>
  <w:num w:numId="16">
    <w:abstractNumId w:val="13"/>
  </w:num>
  <w:num w:numId="17">
    <w:abstractNumId w:val="7"/>
  </w:num>
  <w:num w:numId="18">
    <w:abstractNumId w:val="14"/>
  </w:num>
  <w:num w:numId="19">
    <w:abstractNumId w:val="10"/>
  </w:num>
  <w:num w:numId="20">
    <w:abstractNumId w:val="3"/>
  </w:num>
  <w:num w:numId="21">
    <w:abstractNumId w:val="18"/>
  </w:num>
  <w:num w:numId="22">
    <w:abstractNumId w:val="17"/>
  </w:num>
  <w:num w:numId="23">
    <w:abstractNumId w:val="4"/>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num>
  <w:num w:numId="28">
    <w:abstractNumId w:val="22"/>
  </w:num>
  <w:num w:numId="29">
    <w:abstractNumId w:val="11"/>
  </w:num>
  <w:num w:numId="30">
    <w:abstractNumId w:val="12"/>
  </w:num>
  <w:num w:numId="31">
    <w:abstractNumId w:val="5"/>
  </w:num>
  <w:num w:numId="32">
    <w:abstractNumId w:val="21"/>
  </w:num>
  <w:num w:numId="33">
    <w:abstractNumId w:val="15"/>
  </w:num>
  <w:num w:numId="34">
    <w:abstractNumId w:val="2"/>
    <w:lvlOverride w:ilvl="0">
      <w:startOverride w:val="1"/>
    </w:lvlOverride>
  </w:num>
  <w:num w:numId="35">
    <w:abstractNumId w:val="2"/>
    <w:lvlOverride w:ilvl="0">
      <w:startOverride w:val="1"/>
    </w:lvlOverride>
  </w:num>
  <w:num w:numId="36">
    <w:abstractNumId w:val="9"/>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21F"/>
    <w:rsid w:val="00015D68"/>
    <w:rsid w:val="000271D8"/>
    <w:rsid w:val="000335B8"/>
    <w:rsid w:val="000342DD"/>
    <w:rsid w:val="00042C48"/>
    <w:rsid w:val="00056417"/>
    <w:rsid w:val="0006610B"/>
    <w:rsid w:val="00072AD5"/>
    <w:rsid w:val="0007318B"/>
    <w:rsid w:val="00092C47"/>
    <w:rsid w:val="00096B0D"/>
    <w:rsid w:val="000976A9"/>
    <w:rsid w:val="000A6C6B"/>
    <w:rsid w:val="000B495A"/>
    <w:rsid w:val="000C5812"/>
    <w:rsid w:val="000D1C4C"/>
    <w:rsid w:val="000D6D24"/>
    <w:rsid w:val="000E5184"/>
    <w:rsid w:val="000E592E"/>
    <w:rsid w:val="000F0C4F"/>
    <w:rsid w:val="000F170A"/>
    <w:rsid w:val="00105F92"/>
    <w:rsid w:val="00125F47"/>
    <w:rsid w:val="001375B1"/>
    <w:rsid w:val="001459EE"/>
    <w:rsid w:val="00147887"/>
    <w:rsid w:val="00174A6A"/>
    <w:rsid w:val="00176855"/>
    <w:rsid w:val="0018092A"/>
    <w:rsid w:val="001814DF"/>
    <w:rsid w:val="001A2D92"/>
    <w:rsid w:val="001A7857"/>
    <w:rsid w:val="001B1343"/>
    <w:rsid w:val="001C2383"/>
    <w:rsid w:val="001D1D54"/>
    <w:rsid w:val="001D6724"/>
    <w:rsid w:val="001E1FCB"/>
    <w:rsid w:val="001F33CD"/>
    <w:rsid w:val="001F4CFD"/>
    <w:rsid w:val="002052BC"/>
    <w:rsid w:val="002072B6"/>
    <w:rsid w:val="00211F1E"/>
    <w:rsid w:val="00216843"/>
    <w:rsid w:val="002236D8"/>
    <w:rsid w:val="00226786"/>
    <w:rsid w:val="00235F6C"/>
    <w:rsid w:val="0023600B"/>
    <w:rsid w:val="00241E88"/>
    <w:rsid w:val="0024594E"/>
    <w:rsid w:val="002511B9"/>
    <w:rsid w:val="00251FA3"/>
    <w:rsid w:val="00276BB5"/>
    <w:rsid w:val="00281B97"/>
    <w:rsid w:val="00282678"/>
    <w:rsid w:val="0029393E"/>
    <w:rsid w:val="002A1604"/>
    <w:rsid w:val="002A2C79"/>
    <w:rsid w:val="002B1BBD"/>
    <w:rsid w:val="002B61C9"/>
    <w:rsid w:val="002B61F2"/>
    <w:rsid w:val="002B68C1"/>
    <w:rsid w:val="002B7FA0"/>
    <w:rsid w:val="002C47AE"/>
    <w:rsid w:val="003055E5"/>
    <w:rsid w:val="0030786D"/>
    <w:rsid w:val="00314937"/>
    <w:rsid w:val="00316F51"/>
    <w:rsid w:val="00320277"/>
    <w:rsid w:val="003261EA"/>
    <w:rsid w:val="00330717"/>
    <w:rsid w:val="003419B9"/>
    <w:rsid w:val="00343448"/>
    <w:rsid w:val="0035157B"/>
    <w:rsid w:val="00370A7E"/>
    <w:rsid w:val="00370E18"/>
    <w:rsid w:val="003776A4"/>
    <w:rsid w:val="003800FF"/>
    <w:rsid w:val="00387CAF"/>
    <w:rsid w:val="0039689F"/>
    <w:rsid w:val="003A3CD9"/>
    <w:rsid w:val="003A4CD2"/>
    <w:rsid w:val="003A5745"/>
    <w:rsid w:val="003C3CB3"/>
    <w:rsid w:val="003D552A"/>
    <w:rsid w:val="003E27ED"/>
    <w:rsid w:val="003E7C59"/>
    <w:rsid w:val="003F0F91"/>
    <w:rsid w:val="00404210"/>
    <w:rsid w:val="004049F3"/>
    <w:rsid w:val="004116D2"/>
    <w:rsid w:val="00414680"/>
    <w:rsid w:val="00414967"/>
    <w:rsid w:val="00417B32"/>
    <w:rsid w:val="00424767"/>
    <w:rsid w:val="00434F7A"/>
    <w:rsid w:val="004414C1"/>
    <w:rsid w:val="0044460A"/>
    <w:rsid w:val="0045211C"/>
    <w:rsid w:val="00483673"/>
    <w:rsid w:val="00491158"/>
    <w:rsid w:val="00496D49"/>
    <w:rsid w:val="004B14BE"/>
    <w:rsid w:val="004B1C58"/>
    <w:rsid w:val="004B44BB"/>
    <w:rsid w:val="004C31CA"/>
    <w:rsid w:val="004C3EA0"/>
    <w:rsid w:val="004C5163"/>
    <w:rsid w:val="004C532D"/>
    <w:rsid w:val="004D5685"/>
    <w:rsid w:val="004D7C53"/>
    <w:rsid w:val="00505CC8"/>
    <w:rsid w:val="005076F5"/>
    <w:rsid w:val="00531A9C"/>
    <w:rsid w:val="00532533"/>
    <w:rsid w:val="00532A3F"/>
    <w:rsid w:val="00535967"/>
    <w:rsid w:val="00535DB5"/>
    <w:rsid w:val="00540DA6"/>
    <w:rsid w:val="00547CD7"/>
    <w:rsid w:val="00553D2F"/>
    <w:rsid w:val="00554968"/>
    <w:rsid w:val="005553A4"/>
    <w:rsid w:val="00557E75"/>
    <w:rsid w:val="00562818"/>
    <w:rsid w:val="0056405E"/>
    <w:rsid w:val="005666E0"/>
    <w:rsid w:val="005741AC"/>
    <w:rsid w:val="00584790"/>
    <w:rsid w:val="00584806"/>
    <w:rsid w:val="005915F0"/>
    <w:rsid w:val="0059203E"/>
    <w:rsid w:val="00592118"/>
    <w:rsid w:val="00595D51"/>
    <w:rsid w:val="00597177"/>
    <w:rsid w:val="005A7ACA"/>
    <w:rsid w:val="005B2114"/>
    <w:rsid w:val="005B5936"/>
    <w:rsid w:val="005B5EDA"/>
    <w:rsid w:val="005C6820"/>
    <w:rsid w:val="005C6BCC"/>
    <w:rsid w:val="005D473B"/>
    <w:rsid w:val="005E00B3"/>
    <w:rsid w:val="005F0A50"/>
    <w:rsid w:val="005F4D3C"/>
    <w:rsid w:val="00601779"/>
    <w:rsid w:val="006109EE"/>
    <w:rsid w:val="0061397A"/>
    <w:rsid w:val="006371CE"/>
    <w:rsid w:val="0064021F"/>
    <w:rsid w:val="00650CA1"/>
    <w:rsid w:val="006518CD"/>
    <w:rsid w:val="00653BED"/>
    <w:rsid w:val="00664ECB"/>
    <w:rsid w:val="00670EDE"/>
    <w:rsid w:val="00672898"/>
    <w:rsid w:val="00685FED"/>
    <w:rsid w:val="006905E3"/>
    <w:rsid w:val="006929BC"/>
    <w:rsid w:val="00695023"/>
    <w:rsid w:val="00695412"/>
    <w:rsid w:val="006A698C"/>
    <w:rsid w:val="006A7B80"/>
    <w:rsid w:val="006B3BAB"/>
    <w:rsid w:val="006B7D3C"/>
    <w:rsid w:val="006C12DD"/>
    <w:rsid w:val="006C203D"/>
    <w:rsid w:val="006D0318"/>
    <w:rsid w:val="006E551F"/>
    <w:rsid w:val="006F0DA3"/>
    <w:rsid w:val="006F2EBD"/>
    <w:rsid w:val="006F30AD"/>
    <w:rsid w:val="006F4EEB"/>
    <w:rsid w:val="00703F46"/>
    <w:rsid w:val="0072179B"/>
    <w:rsid w:val="00722D04"/>
    <w:rsid w:val="007230E8"/>
    <w:rsid w:val="00733D83"/>
    <w:rsid w:val="00736370"/>
    <w:rsid w:val="007448A6"/>
    <w:rsid w:val="00745198"/>
    <w:rsid w:val="00752F6E"/>
    <w:rsid w:val="00766D33"/>
    <w:rsid w:val="00771485"/>
    <w:rsid w:val="00773D13"/>
    <w:rsid w:val="00786288"/>
    <w:rsid w:val="007B08BA"/>
    <w:rsid w:val="007B1E39"/>
    <w:rsid w:val="007B7172"/>
    <w:rsid w:val="007C2772"/>
    <w:rsid w:val="007C3415"/>
    <w:rsid w:val="007C4E40"/>
    <w:rsid w:val="007D54F2"/>
    <w:rsid w:val="007E6240"/>
    <w:rsid w:val="00800090"/>
    <w:rsid w:val="00803574"/>
    <w:rsid w:val="0080424D"/>
    <w:rsid w:val="0081252F"/>
    <w:rsid w:val="00813950"/>
    <w:rsid w:val="008149FA"/>
    <w:rsid w:val="00816A7C"/>
    <w:rsid w:val="00821583"/>
    <w:rsid w:val="0083787A"/>
    <w:rsid w:val="008437F9"/>
    <w:rsid w:val="008477FB"/>
    <w:rsid w:val="008505B5"/>
    <w:rsid w:val="00851186"/>
    <w:rsid w:val="00857CCF"/>
    <w:rsid w:val="00860F65"/>
    <w:rsid w:val="008611A2"/>
    <w:rsid w:val="0086570A"/>
    <w:rsid w:val="00875272"/>
    <w:rsid w:val="00875446"/>
    <w:rsid w:val="00881032"/>
    <w:rsid w:val="00883609"/>
    <w:rsid w:val="008858C1"/>
    <w:rsid w:val="00885AA4"/>
    <w:rsid w:val="008A07D1"/>
    <w:rsid w:val="008A1751"/>
    <w:rsid w:val="008B748C"/>
    <w:rsid w:val="008D3B0B"/>
    <w:rsid w:val="008D454B"/>
    <w:rsid w:val="008D58F8"/>
    <w:rsid w:val="008E0BFA"/>
    <w:rsid w:val="008E338F"/>
    <w:rsid w:val="008E629F"/>
    <w:rsid w:val="008E6780"/>
    <w:rsid w:val="008E68C8"/>
    <w:rsid w:val="008E727A"/>
    <w:rsid w:val="008F0E1A"/>
    <w:rsid w:val="008F3A9A"/>
    <w:rsid w:val="008F42D0"/>
    <w:rsid w:val="00903B3A"/>
    <w:rsid w:val="009150A3"/>
    <w:rsid w:val="00916F53"/>
    <w:rsid w:val="009365E1"/>
    <w:rsid w:val="0094011D"/>
    <w:rsid w:val="00946FF9"/>
    <w:rsid w:val="00963C09"/>
    <w:rsid w:val="009676C3"/>
    <w:rsid w:val="0097373A"/>
    <w:rsid w:val="00997B06"/>
    <w:rsid w:val="009A0C4C"/>
    <w:rsid w:val="009A615C"/>
    <w:rsid w:val="009B4585"/>
    <w:rsid w:val="009C51BB"/>
    <w:rsid w:val="009C5225"/>
    <w:rsid w:val="009E38F6"/>
    <w:rsid w:val="009F6FEC"/>
    <w:rsid w:val="00A02383"/>
    <w:rsid w:val="00A054D5"/>
    <w:rsid w:val="00A05A83"/>
    <w:rsid w:val="00A13819"/>
    <w:rsid w:val="00A20163"/>
    <w:rsid w:val="00A203F3"/>
    <w:rsid w:val="00A2283F"/>
    <w:rsid w:val="00A230BD"/>
    <w:rsid w:val="00A34C64"/>
    <w:rsid w:val="00A41650"/>
    <w:rsid w:val="00A42C90"/>
    <w:rsid w:val="00A467A0"/>
    <w:rsid w:val="00A51899"/>
    <w:rsid w:val="00A60891"/>
    <w:rsid w:val="00A6160A"/>
    <w:rsid w:val="00A67B6D"/>
    <w:rsid w:val="00A7226F"/>
    <w:rsid w:val="00A84D0A"/>
    <w:rsid w:val="00A938CA"/>
    <w:rsid w:val="00A95F43"/>
    <w:rsid w:val="00AA01A5"/>
    <w:rsid w:val="00AA21C1"/>
    <w:rsid w:val="00AA318B"/>
    <w:rsid w:val="00AA47F1"/>
    <w:rsid w:val="00AA799E"/>
    <w:rsid w:val="00AC16C1"/>
    <w:rsid w:val="00AF0969"/>
    <w:rsid w:val="00AF22E5"/>
    <w:rsid w:val="00AF3678"/>
    <w:rsid w:val="00B06AC8"/>
    <w:rsid w:val="00B07D83"/>
    <w:rsid w:val="00B12835"/>
    <w:rsid w:val="00B13096"/>
    <w:rsid w:val="00B172F5"/>
    <w:rsid w:val="00B217F2"/>
    <w:rsid w:val="00B21AE5"/>
    <w:rsid w:val="00B21D01"/>
    <w:rsid w:val="00B25B92"/>
    <w:rsid w:val="00B260E7"/>
    <w:rsid w:val="00B43AFA"/>
    <w:rsid w:val="00B45C3A"/>
    <w:rsid w:val="00B46B35"/>
    <w:rsid w:val="00B550E6"/>
    <w:rsid w:val="00B62524"/>
    <w:rsid w:val="00B66115"/>
    <w:rsid w:val="00B70528"/>
    <w:rsid w:val="00B8489F"/>
    <w:rsid w:val="00B84DAC"/>
    <w:rsid w:val="00B916C4"/>
    <w:rsid w:val="00BB49F7"/>
    <w:rsid w:val="00BB5F12"/>
    <w:rsid w:val="00BB5F20"/>
    <w:rsid w:val="00BC3768"/>
    <w:rsid w:val="00BF1F73"/>
    <w:rsid w:val="00C00424"/>
    <w:rsid w:val="00C004CE"/>
    <w:rsid w:val="00C00BC5"/>
    <w:rsid w:val="00C07182"/>
    <w:rsid w:val="00C07EBD"/>
    <w:rsid w:val="00C20CE4"/>
    <w:rsid w:val="00C21337"/>
    <w:rsid w:val="00C30563"/>
    <w:rsid w:val="00C4026D"/>
    <w:rsid w:val="00C41E49"/>
    <w:rsid w:val="00C436E3"/>
    <w:rsid w:val="00C471D5"/>
    <w:rsid w:val="00C506DE"/>
    <w:rsid w:val="00C63B1F"/>
    <w:rsid w:val="00C71E27"/>
    <w:rsid w:val="00C740DD"/>
    <w:rsid w:val="00C85C78"/>
    <w:rsid w:val="00C85E64"/>
    <w:rsid w:val="00C92DFB"/>
    <w:rsid w:val="00C93292"/>
    <w:rsid w:val="00CA57F7"/>
    <w:rsid w:val="00CA721C"/>
    <w:rsid w:val="00CC76E0"/>
    <w:rsid w:val="00CD3EE7"/>
    <w:rsid w:val="00CE18A9"/>
    <w:rsid w:val="00CE5CC5"/>
    <w:rsid w:val="00CF4EAD"/>
    <w:rsid w:val="00CF78DE"/>
    <w:rsid w:val="00D0027E"/>
    <w:rsid w:val="00D05F00"/>
    <w:rsid w:val="00D13C09"/>
    <w:rsid w:val="00D17792"/>
    <w:rsid w:val="00D33509"/>
    <w:rsid w:val="00D33515"/>
    <w:rsid w:val="00D345D2"/>
    <w:rsid w:val="00D42BA7"/>
    <w:rsid w:val="00D43C25"/>
    <w:rsid w:val="00D51D8F"/>
    <w:rsid w:val="00D5546E"/>
    <w:rsid w:val="00D7254D"/>
    <w:rsid w:val="00D80800"/>
    <w:rsid w:val="00D87E44"/>
    <w:rsid w:val="00DA511C"/>
    <w:rsid w:val="00DB6ED4"/>
    <w:rsid w:val="00DD47A1"/>
    <w:rsid w:val="00DE02BC"/>
    <w:rsid w:val="00DE4FFC"/>
    <w:rsid w:val="00DF62B0"/>
    <w:rsid w:val="00E01B13"/>
    <w:rsid w:val="00E03461"/>
    <w:rsid w:val="00E0602E"/>
    <w:rsid w:val="00E06DC5"/>
    <w:rsid w:val="00E07307"/>
    <w:rsid w:val="00E216C7"/>
    <w:rsid w:val="00E2590A"/>
    <w:rsid w:val="00E303F5"/>
    <w:rsid w:val="00E30847"/>
    <w:rsid w:val="00E34A30"/>
    <w:rsid w:val="00E35AAA"/>
    <w:rsid w:val="00E36335"/>
    <w:rsid w:val="00E434B2"/>
    <w:rsid w:val="00E50073"/>
    <w:rsid w:val="00E52888"/>
    <w:rsid w:val="00E67BF3"/>
    <w:rsid w:val="00E67C8D"/>
    <w:rsid w:val="00E76C76"/>
    <w:rsid w:val="00E962EA"/>
    <w:rsid w:val="00EA014E"/>
    <w:rsid w:val="00EA2FC7"/>
    <w:rsid w:val="00EA504D"/>
    <w:rsid w:val="00EB3677"/>
    <w:rsid w:val="00EC0A11"/>
    <w:rsid w:val="00EC4DF8"/>
    <w:rsid w:val="00EC6856"/>
    <w:rsid w:val="00ED239D"/>
    <w:rsid w:val="00ED42BE"/>
    <w:rsid w:val="00EE0DEA"/>
    <w:rsid w:val="00EE1B31"/>
    <w:rsid w:val="00EE206A"/>
    <w:rsid w:val="00EE2126"/>
    <w:rsid w:val="00EE2B8D"/>
    <w:rsid w:val="00EE7773"/>
    <w:rsid w:val="00EF2F16"/>
    <w:rsid w:val="00F02415"/>
    <w:rsid w:val="00F07E09"/>
    <w:rsid w:val="00F12229"/>
    <w:rsid w:val="00F13DB5"/>
    <w:rsid w:val="00F15068"/>
    <w:rsid w:val="00F22011"/>
    <w:rsid w:val="00F3489A"/>
    <w:rsid w:val="00F37F29"/>
    <w:rsid w:val="00F4419F"/>
    <w:rsid w:val="00F456AE"/>
    <w:rsid w:val="00F50330"/>
    <w:rsid w:val="00F523A7"/>
    <w:rsid w:val="00F70B88"/>
    <w:rsid w:val="00F91950"/>
    <w:rsid w:val="00F94B27"/>
    <w:rsid w:val="00FB1246"/>
    <w:rsid w:val="00FB366E"/>
    <w:rsid w:val="00FF0E45"/>
    <w:rsid w:val="00FF1FB7"/>
    <w:rsid w:val="00FF2DAB"/>
    <w:rsid w:val="00FF4747"/>
    <w:rsid w:val="00FF7A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2FF8A"/>
  <w15:chartTrackingRefBased/>
  <w15:docId w15:val="{74C5A646-7B1C-4B70-9FCE-4A9182BF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1F"/>
    <w:rPr>
      <w:rFonts w:ascii="Arial" w:hAnsi="Arial"/>
      <w:lang w:val="es-ES"/>
    </w:rPr>
  </w:style>
  <w:style w:type="paragraph" w:styleId="Ttulo2">
    <w:name w:val="heading 2"/>
    <w:aliases w:val="CAPÍTULO,Car10"/>
    <w:basedOn w:val="Normal"/>
    <w:next w:val="Normal"/>
    <w:link w:val="Ttulo2Car"/>
    <w:uiPriority w:val="1"/>
    <w:qFormat/>
    <w:rsid w:val="00535967"/>
    <w:pPr>
      <w:keepNext/>
      <w:spacing w:after="0" w:line="240" w:lineRule="auto"/>
      <w:jc w:val="both"/>
      <w:outlineLvl w:val="1"/>
    </w:pPr>
    <w:rPr>
      <w:rFonts w:ascii="Times New Roman" w:eastAsia="Times New Roman" w:hAnsi="Times New Roman" w:cs="Times New Roman"/>
      <w:b/>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64021F"/>
    <w:pPr>
      <w:spacing w:before="120" w:after="0" w:line="240" w:lineRule="auto"/>
      <w:jc w:val="both"/>
    </w:pPr>
    <w:rPr>
      <w:rFonts w:ascii="Times New Roman" w:eastAsia="Times New Roman" w:hAnsi="Times New Roman" w:cs="Times New Roman"/>
      <w:szCs w:val="24"/>
      <w:lang w:eastAsia="es-ES"/>
    </w:rPr>
  </w:style>
  <w:style w:type="paragraph" w:customStyle="1" w:styleId="Numeracin">
    <w:name w:val="Numeración"/>
    <w:basedOn w:val="Textodereglamento"/>
    <w:link w:val="NumeracinChar"/>
    <w:qFormat/>
    <w:rsid w:val="0064021F"/>
    <w:pPr>
      <w:numPr>
        <w:numId w:val="1"/>
      </w:numPr>
    </w:pPr>
  </w:style>
  <w:style w:type="character" w:customStyle="1" w:styleId="TextodereglamentoChar">
    <w:name w:val="Texto de reglamento Char"/>
    <w:link w:val="Textodereglamento"/>
    <w:rsid w:val="0064021F"/>
    <w:rPr>
      <w:rFonts w:ascii="Times New Roman" w:eastAsia="Times New Roman" w:hAnsi="Times New Roman" w:cs="Times New Roman"/>
      <w:szCs w:val="24"/>
      <w:lang w:val="es-ES" w:eastAsia="es-ES"/>
    </w:rPr>
  </w:style>
  <w:style w:type="character" w:customStyle="1" w:styleId="NumeracinChar">
    <w:name w:val="Numeración Char"/>
    <w:link w:val="Numeracin"/>
    <w:rsid w:val="0064021F"/>
    <w:rPr>
      <w:rFonts w:ascii="Times New Roman" w:eastAsia="Times New Roman" w:hAnsi="Times New Roman" w:cs="Times New Roman"/>
      <w:szCs w:val="24"/>
      <w:lang w:val="es-ES" w:eastAsia="es-ES"/>
    </w:rPr>
  </w:style>
  <w:style w:type="paragraph" w:styleId="Prrafodelista">
    <w:name w:val="List Paragraph"/>
    <w:aliases w:val="Titulo 2,Informe,Con viñetas,Normal con viñetas,3,Use Case List Paragraph,Bullet 1,List Paragraph 1,Numbered List Paragraph,Main numbered paragraph,Bullets,List Paragraph (numbered (a)),Akapit z listą BS,List_Paragraph,titulo 3,Viñetas"/>
    <w:basedOn w:val="Normal"/>
    <w:link w:val="PrrafodelistaCar"/>
    <w:uiPriority w:val="34"/>
    <w:qFormat/>
    <w:rsid w:val="0064021F"/>
    <w:pPr>
      <w:ind w:left="720"/>
      <w:contextualSpacing/>
    </w:pPr>
  </w:style>
  <w:style w:type="character" w:customStyle="1" w:styleId="PrrafodelistaCar">
    <w:name w:val="Párrafo de lista Car"/>
    <w:aliases w:val="Titulo 2 Car,Informe Car,Con viñetas Car,Normal con viñetas Car,3 Car,Use Case List Paragraph Car,Bullet 1 Car,List Paragraph 1 Car,Numbered List Paragraph Car,Main numbered paragraph Car,Bullets Car,Akapit z listą BS Car"/>
    <w:link w:val="Prrafodelista"/>
    <w:uiPriority w:val="34"/>
    <w:qFormat/>
    <w:locked/>
    <w:rsid w:val="0064021F"/>
    <w:rPr>
      <w:rFonts w:ascii="Arial" w:hAnsi="Arial"/>
      <w:lang w:val="es-ES"/>
    </w:rPr>
  </w:style>
  <w:style w:type="paragraph" w:styleId="Sinespaciado">
    <w:name w:val="No Spacing"/>
    <w:uiPriority w:val="1"/>
    <w:qFormat/>
    <w:rsid w:val="0064021F"/>
    <w:pPr>
      <w:spacing w:after="0" w:line="240" w:lineRule="auto"/>
    </w:pPr>
    <w:rPr>
      <w:rFonts w:ascii="Arial" w:hAnsi="Arial"/>
      <w:lang w:val="es-ES"/>
    </w:rPr>
  </w:style>
  <w:style w:type="character" w:customStyle="1" w:styleId="Ttulo2Car">
    <w:name w:val="Título 2 Car"/>
    <w:aliases w:val="CAPÍTULO Car,Car10 Car"/>
    <w:basedOn w:val="Fuentedeprrafopredeter"/>
    <w:link w:val="Ttulo2"/>
    <w:uiPriority w:val="1"/>
    <w:rsid w:val="00535967"/>
    <w:rPr>
      <w:rFonts w:ascii="Times New Roman" w:eastAsia="Times New Roman" w:hAnsi="Times New Roman" w:cs="Times New Roman"/>
      <w:b/>
      <w:sz w:val="28"/>
      <w:szCs w:val="20"/>
      <w:lang w:val="es-ES" w:eastAsia="es-ES"/>
    </w:rPr>
  </w:style>
  <w:style w:type="character" w:styleId="Hipervnculo">
    <w:name w:val="Hyperlink"/>
    <w:basedOn w:val="Fuentedeprrafopredeter"/>
    <w:uiPriority w:val="99"/>
    <w:unhideWhenUsed/>
    <w:rsid w:val="00554968"/>
    <w:rPr>
      <w:color w:val="0563C1" w:themeColor="hyperlink"/>
      <w:u w:val="single"/>
    </w:rPr>
  </w:style>
  <w:style w:type="character" w:styleId="Refdecomentario">
    <w:name w:val="annotation reference"/>
    <w:basedOn w:val="Fuentedeprrafopredeter"/>
    <w:uiPriority w:val="99"/>
    <w:semiHidden/>
    <w:unhideWhenUsed/>
    <w:rsid w:val="00BB5F12"/>
    <w:rPr>
      <w:sz w:val="16"/>
      <w:szCs w:val="16"/>
    </w:rPr>
  </w:style>
  <w:style w:type="paragraph" w:styleId="Textocomentario">
    <w:name w:val="annotation text"/>
    <w:basedOn w:val="Normal"/>
    <w:link w:val="TextocomentarioCar"/>
    <w:uiPriority w:val="99"/>
    <w:unhideWhenUsed/>
    <w:rsid w:val="00BB5F12"/>
    <w:pPr>
      <w:spacing w:line="240" w:lineRule="auto"/>
    </w:pPr>
    <w:rPr>
      <w:sz w:val="20"/>
      <w:szCs w:val="20"/>
    </w:rPr>
  </w:style>
  <w:style w:type="character" w:customStyle="1" w:styleId="TextocomentarioCar">
    <w:name w:val="Texto comentario Car"/>
    <w:basedOn w:val="Fuentedeprrafopredeter"/>
    <w:link w:val="Textocomentario"/>
    <w:uiPriority w:val="99"/>
    <w:rsid w:val="00BB5F12"/>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BB5F12"/>
    <w:rPr>
      <w:b/>
      <w:bCs/>
    </w:rPr>
  </w:style>
  <w:style w:type="character" w:customStyle="1" w:styleId="AsuntodelcomentarioCar">
    <w:name w:val="Asunto del comentario Car"/>
    <w:basedOn w:val="TextocomentarioCar"/>
    <w:link w:val="Asuntodelcomentario"/>
    <w:uiPriority w:val="99"/>
    <w:semiHidden/>
    <w:rsid w:val="00BB5F12"/>
    <w:rPr>
      <w:rFonts w:ascii="Arial" w:hAnsi="Arial"/>
      <w:b/>
      <w:bCs/>
      <w:sz w:val="20"/>
      <w:szCs w:val="20"/>
      <w:lang w:val="es-ES"/>
    </w:rPr>
  </w:style>
  <w:style w:type="paragraph" w:styleId="Textodeglobo">
    <w:name w:val="Balloon Text"/>
    <w:basedOn w:val="Normal"/>
    <w:link w:val="TextodegloboCar"/>
    <w:uiPriority w:val="99"/>
    <w:semiHidden/>
    <w:unhideWhenUsed/>
    <w:rsid w:val="00BB5F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F12"/>
    <w:rPr>
      <w:rFonts w:ascii="Segoe UI" w:hAnsi="Segoe UI" w:cs="Segoe UI"/>
      <w:sz w:val="18"/>
      <w:szCs w:val="18"/>
      <w:lang w:val="es-ES"/>
    </w:rPr>
  </w:style>
  <w:style w:type="paragraph" w:styleId="Encabezado">
    <w:name w:val="header"/>
    <w:basedOn w:val="Normal"/>
    <w:link w:val="EncabezadoCar"/>
    <w:uiPriority w:val="99"/>
    <w:unhideWhenUsed/>
    <w:rsid w:val="00C21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337"/>
    <w:rPr>
      <w:rFonts w:ascii="Arial" w:hAnsi="Arial"/>
      <w:lang w:val="es-ES"/>
    </w:rPr>
  </w:style>
  <w:style w:type="paragraph" w:styleId="Piedepgina">
    <w:name w:val="footer"/>
    <w:basedOn w:val="Normal"/>
    <w:link w:val="PiedepginaCar"/>
    <w:uiPriority w:val="99"/>
    <w:unhideWhenUsed/>
    <w:rsid w:val="00C21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337"/>
    <w:rPr>
      <w:rFonts w:ascii="Arial" w:hAnsi="Arial"/>
      <w:lang w:val="es-ES"/>
    </w:rPr>
  </w:style>
  <w:style w:type="table" w:styleId="Tablaconcuadrcula">
    <w:name w:val="Table Grid"/>
    <w:basedOn w:val="Tablanormal"/>
    <w:uiPriority w:val="39"/>
    <w:rsid w:val="0060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AA318B"/>
    <w:pPr>
      <w:spacing w:after="0" w:line="240" w:lineRule="auto"/>
    </w:pPr>
    <w:rPr>
      <w:rFonts w:eastAsia="Times New Roman" w:cs="Times New Roman"/>
      <w:sz w:val="20"/>
      <w:szCs w:val="20"/>
      <w:lang w:val="es-CR"/>
    </w:rPr>
  </w:style>
  <w:style w:type="character" w:customStyle="1" w:styleId="TextonotapieCar">
    <w:name w:val="Texto nota pie Car"/>
    <w:basedOn w:val="Fuentedeprrafopredeter"/>
    <w:link w:val="Textonotapie"/>
    <w:semiHidden/>
    <w:rsid w:val="00AA318B"/>
    <w:rPr>
      <w:rFonts w:ascii="Arial" w:eastAsia="Times New Roman" w:hAnsi="Arial" w:cs="Times New Roman"/>
      <w:sz w:val="20"/>
      <w:szCs w:val="20"/>
    </w:rPr>
  </w:style>
  <w:style w:type="character" w:styleId="Refdenotaalpie">
    <w:name w:val="footnote reference"/>
    <w:semiHidden/>
    <w:rsid w:val="00AA318B"/>
    <w:rPr>
      <w:vertAlign w:val="superscript"/>
    </w:rPr>
  </w:style>
  <w:style w:type="paragraph" w:styleId="Textoindependiente2">
    <w:name w:val="Body Text 2"/>
    <w:basedOn w:val="Normal"/>
    <w:link w:val="Textoindependiente2Car"/>
    <w:rsid w:val="00AA318B"/>
    <w:pPr>
      <w:spacing w:after="0" w:line="240" w:lineRule="auto"/>
      <w:jc w:val="both"/>
    </w:pPr>
    <w:rPr>
      <w:rFonts w:eastAsia="Times New Roman" w:cs="Times New Roman"/>
      <w:sz w:val="24"/>
      <w:szCs w:val="20"/>
      <w:lang w:val="es-CR"/>
    </w:rPr>
  </w:style>
  <w:style w:type="character" w:customStyle="1" w:styleId="Textoindependiente2Car">
    <w:name w:val="Texto independiente 2 Car"/>
    <w:basedOn w:val="Fuentedeprrafopredeter"/>
    <w:link w:val="Textoindependiente2"/>
    <w:rsid w:val="00AA318B"/>
    <w:rPr>
      <w:rFonts w:ascii="Arial" w:eastAsia="Times New Roman" w:hAnsi="Arial" w:cs="Times New Roman"/>
      <w:sz w:val="24"/>
      <w:szCs w:val="20"/>
    </w:rPr>
  </w:style>
  <w:style w:type="table" w:customStyle="1" w:styleId="Tablaconcuadrcula1">
    <w:name w:val="Tabla con cuadrícula1"/>
    <w:basedOn w:val="Tablanormal"/>
    <w:next w:val="Tablaconcuadrcula"/>
    <w:uiPriority w:val="39"/>
    <w:rsid w:val="007C3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641975">
      <w:bodyDiv w:val="1"/>
      <w:marLeft w:val="0"/>
      <w:marRight w:val="0"/>
      <w:marTop w:val="0"/>
      <w:marBottom w:val="0"/>
      <w:divBdr>
        <w:top w:val="none" w:sz="0" w:space="0" w:color="auto"/>
        <w:left w:val="none" w:sz="0" w:space="0" w:color="auto"/>
        <w:bottom w:val="none" w:sz="0" w:space="0" w:color="auto"/>
        <w:right w:val="none" w:sz="0" w:space="0" w:color="auto"/>
      </w:divBdr>
    </w:div>
    <w:div w:id="423186554">
      <w:bodyDiv w:val="1"/>
      <w:marLeft w:val="0"/>
      <w:marRight w:val="0"/>
      <w:marTop w:val="0"/>
      <w:marBottom w:val="0"/>
      <w:divBdr>
        <w:top w:val="none" w:sz="0" w:space="0" w:color="auto"/>
        <w:left w:val="none" w:sz="0" w:space="0" w:color="auto"/>
        <w:bottom w:val="none" w:sz="0" w:space="0" w:color="auto"/>
        <w:right w:val="none" w:sz="0" w:space="0" w:color="auto"/>
      </w:divBdr>
    </w:div>
    <w:div w:id="533277503">
      <w:bodyDiv w:val="1"/>
      <w:marLeft w:val="0"/>
      <w:marRight w:val="0"/>
      <w:marTop w:val="0"/>
      <w:marBottom w:val="0"/>
      <w:divBdr>
        <w:top w:val="none" w:sz="0" w:space="0" w:color="auto"/>
        <w:left w:val="none" w:sz="0" w:space="0" w:color="auto"/>
        <w:bottom w:val="none" w:sz="0" w:space="0" w:color="auto"/>
        <w:right w:val="none" w:sz="0" w:space="0" w:color="auto"/>
      </w:divBdr>
    </w:div>
    <w:div w:id="573441315">
      <w:bodyDiv w:val="1"/>
      <w:marLeft w:val="0"/>
      <w:marRight w:val="0"/>
      <w:marTop w:val="0"/>
      <w:marBottom w:val="0"/>
      <w:divBdr>
        <w:top w:val="none" w:sz="0" w:space="0" w:color="auto"/>
        <w:left w:val="none" w:sz="0" w:space="0" w:color="auto"/>
        <w:bottom w:val="none" w:sz="0" w:space="0" w:color="auto"/>
        <w:right w:val="none" w:sz="0" w:space="0" w:color="auto"/>
      </w:divBdr>
    </w:div>
    <w:div w:id="635528104">
      <w:bodyDiv w:val="1"/>
      <w:marLeft w:val="0"/>
      <w:marRight w:val="0"/>
      <w:marTop w:val="0"/>
      <w:marBottom w:val="0"/>
      <w:divBdr>
        <w:top w:val="none" w:sz="0" w:space="0" w:color="auto"/>
        <w:left w:val="none" w:sz="0" w:space="0" w:color="auto"/>
        <w:bottom w:val="none" w:sz="0" w:space="0" w:color="auto"/>
        <w:right w:val="none" w:sz="0" w:space="0" w:color="auto"/>
      </w:divBdr>
      <w:divsChild>
        <w:div w:id="1731345747">
          <w:marLeft w:val="0"/>
          <w:marRight w:val="0"/>
          <w:marTop w:val="0"/>
          <w:marBottom w:val="0"/>
          <w:divBdr>
            <w:top w:val="none" w:sz="0" w:space="0" w:color="auto"/>
            <w:left w:val="none" w:sz="0" w:space="0" w:color="auto"/>
            <w:bottom w:val="none" w:sz="0" w:space="0" w:color="auto"/>
            <w:right w:val="none" w:sz="0" w:space="0" w:color="auto"/>
          </w:divBdr>
        </w:div>
      </w:divsChild>
    </w:div>
    <w:div w:id="798182394">
      <w:bodyDiv w:val="1"/>
      <w:marLeft w:val="0"/>
      <w:marRight w:val="0"/>
      <w:marTop w:val="0"/>
      <w:marBottom w:val="0"/>
      <w:divBdr>
        <w:top w:val="none" w:sz="0" w:space="0" w:color="auto"/>
        <w:left w:val="none" w:sz="0" w:space="0" w:color="auto"/>
        <w:bottom w:val="none" w:sz="0" w:space="0" w:color="auto"/>
        <w:right w:val="none" w:sz="0" w:space="0" w:color="auto"/>
      </w:divBdr>
    </w:div>
    <w:div w:id="1219247337">
      <w:bodyDiv w:val="1"/>
      <w:marLeft w:val="0"/>
      <w:marRight w:val="0"/>
      <w:marTop w:val="0"/>
      <w:marBottom w:val="0"/>
      <w:divBdr>
        <w:top w:val="none" w:sz="0" w:space="0" w:color="auto"/>
        <w:left w:val="none" w:sz="0" w:space="0" w:color="auto"/>
        <w:bottom w:val="none" w:sz="0" w:space="0" w:color="auto"/>
        <w:right w:val="none" w:sz="0" w:space="0" w:color="auto"/>
      </w:divBdr>
    </w:div>
    <w:div w:id="1264920328">
      <w:bodyDiv w:val="1"/>
      <w:marLeft w:val="0"/>
      <w:marRight w:val="0"/>
      <w:marTop w:val="0"/>
      <w:marBottom w:val="0"/>
      <w:divBdr>
        <w:top w:val="none" w:sz="0" w:space="0" w:color="auto"/>
        <w:left w:val="none" w:sz="0" w:space="0" w:color="auto"/>
        <w:bottom w:val="none" w:sz="0" w:space="0" w:color="auto"/>
        <w:right w:val="none" w:sz="0" w:space="0" w:color="auto"/>
      </w:divBdr>
    </w:div>
    <w:div w:id="1371958878">
      <w:bodyDiv w:val="1"/>
      <w:marLeft w:val="0"/>
      <w:marRight w:val="0"/>
      <w:marTop w:val="0"/>
      <w:marBottom w:val="0"/>
      <w:divBdr>
        <w:top w:val="none" w:sz="0" w:space="0" w:color="auto"/>
        <w:left w:val="none" w:sz="0" w:space="0" w:color="auto"/>
        <w:bottom w:val="none" w:sz="0" w:space="0" w:color="auto"/>
        <w:right w:val="none" w:sz="0" w:space="0" w:color="auto"/>
      </w:divBdr>
    </w:div>
    <w:div w:id="1379621506">
      <w:bodyDiv w:val="1"/>
      <w:marLeft w:val="0"/>
      <w:marRight w:val="0"/>
      <w:marTop w:val="0"/>
      <w:marBottom w:val="0"/>
      <w:divBdr>
        <w:top w:val="none" w:sz="0" w:space="0" w:color="auto"/>
        <w:left w:val="none" w:sz="0" w:space="0" w:color="auto"/>
        <w:bottom w:val="none" w:sz="0" w:space="0" w:color="auto"/>
        <w:right w:val="none" w:sz="0" w:space="0" w:color="auto"/>
      </w:divBdr>
    </w:div>
    <w:div w:id="1618830356">
      <w:bodyDiv w:val="1"/>
      <w:marLeft w:val="0"/>
      <w:marRight w:val="0"/>
      <w:marTop w:val="0"/>
      <w:marBottom w:val="0"/>
      <w:divBdr>
        <w:top w:val="none" w:sz="0" w:space="0" w:color="auto"/>
        <w:left w:val="none" w:sz="0" w:space="0" w:color="auto"/>
        <w:bottom w:val="none" w:sz="0" w:space="0" w:color="auto"/>
        <w:right w:val="none" w:sz="0" w:space="0" w:color="auto"/>
      </w:divBdr>
    </w:div>
    <w:div w:id="1683697738">
      <w:bodyDiv w:val="1"/>
      <w:marLeft w:val="0"/>
      <w:marRight w:val="0"/>
      <w:marTop w:val="0"/>
      <w:marBottom w:val="0"/>
      <w:divBdr>
        <w:top w:val="none" w:sz="0" w:space="0" w:color="auto"/>
        <w:left w:val="none" w:sz="0" w:space="0" w:color="auto"/>
        <w:bottom w:val="none" w:sz="0" w:space="0" w:color="auto"/>
        <w:right w:val="none" w:sz="0" w:space="0" w:color="auto"/>
      </w:divBdr>
    </w:div>
    <w:div w:id="1687706577">
      <w:bodyDiv w:val="1"/>
      <w:marLeft w:val="0"/>
      <w:marRight w:val="0"/>
      <w:marTop w:val="0"/>
      <w:marBottom w:val="0"/>
      <w:divBdr>
        <w:top w:val="none" w:sz="0" w:space="0" w:color="auto"/>
        <w:left w:val="none" w:sz="0" w:space="0" w:color="auto"/>
        <w:bottom w:val="none" w:sz="0" w:space="0" w:color="auto"/>
        <w:right w:val="none" w:sz="0" w:space="0" w:color="auto"/>
      </w:divBdr>
    </w:div>
    <w:div w:id="1695426006">
      <w:bodyDiv w:val="1"/>
      <w:marLeft w:val="0"/>
      <w:marRight w:val="0"/>
      <w:marTop w:val="0"/>
      <w:marBottom w:val="0"/>
      <w:divBdr>
        <w:top w:val="none" w:sz="0" w:space="0" w:color="auto"/>
        <w:left w:val="none" w:sz="0" w:space="0" w:color="auto"/>
        <w:bottom w:val="none" w:sz="0" w:space="0" w:color="auto"/>
        <w:right w:val="none" w:sz="0" w:space="0" w:color="auto"/>
      </w:divBdr>
    </w:div>
    <w:div w:id="1711152173">
      <w:bodyDiv w:val="1"/>
      <w:marLeft w:val="0"/>
      <w:marRight w:val="0"/>
      <w:marTop w:val="0"/>
      <w:marBottom w:val="0"/>
      <w:divBdr>
        <w:top w:val="none" w:sz="0" w:space="0" w:color="auto"/>
        <w:left w:val="none" w:sz="0" w:space="0" w:color="auto"/>
        <w:bottom w:val="none" w:sz="0" w:space="0" w:color="auto"/>
        <w:right w:val="none" w:sz="0" w:space="0" w:color="auto"/>
      </w:divBdr>
    </w:div>
    <w:div w:id="1821069765">
      <w:bodyDiv w:val="1"/>
      <w:marLeft w:val="0"/>
      <w:marRight w:val="0"/>
      <w:marTop w:val="0"/>
      <w:marBottom w:val="0"/>
      <w:divBdr>
        <w:top w:val="none" w:sz="0" w:space="0" w:color="auto"/>
        <w:left w:val="none" w:sz="0" w:space="0" w:color="auto"/>
        <w:bottom w:val="none" w:sz="0" w:space="0" w:color="auto"/>
        <w:right w:val="none" w:sz="0" w:space="0" w:color="auto"/>
      </w:divBdr>
    </w:div>
    <w:div w:id="20689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package" Target="embeddings/Microsoft_Word_Document1.doc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package" Target="embeddings/Microsoft_Word_Document2.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p:properties xmlns:p="http://schemas.microsoft.com/office/2006/metadata/properties" xmlns:xsi="http://www.w3.org/2001/XMLSchema-instance">
  <documentManagement>
    <Estado xmlns="315842a7-4cff-4ca6-8fb0-a6562d7ae952">Consulta</Estado>
    <Derogado_x0020_por_x003a_ xmlns="315842a7-4cff-4ca6-8fb0-a6562d7ae9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6EFB3B3-3CAC-4296-A326-992059E17EC3}">
  <ds:schemaRefs>
    <ds:schemaRef ds:uri="http://schemas.microsoft.com/sharepoint/v3/contenttype/forms/url"/>
  </ds:schemaRefs>
</ds:datastoreItem>
</file>

<file path=customXml/itemProps2.xml><?xml version="1.0" encoding="utf-8"?>
<ds:datastoreItem xmlns:ds="http://schemas.openxmlformats.org/officeDocument/2006/customXml" ds:itemID="{C70F04D2-A636-441F-B9EC-7D582AF43C3B}">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fc66ef79-2d66-4fa3-90bd-e4f186d8d369"/>
    <ds:schemaRef ds:uri="http://purl.org/dc/terms/"/>
    <ds:schemaRef ds:uri="315842a7-4cff-4ca6-8fb0-a6562d7ae95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687EEA7-58C7-4381-9CFC-8296B6B97880}">
  <ds:schemaRefs>
    <ds:schemaRef ds:uri="http://schemas.openxmlformats.org/officeDocument/2006/bibliography"/>
  </ds:schemaRefs>
</ds:datastoreItem>
</file>

<file path=customXml/itemProps4.xml><?xml version="1.0" encoding="utf-8"?>
<ds:datastoreItem xmlns:ds="http://schemas.openxmlformats.org/officeDocument/2006/customXml" ds:itemID="{43E71C0C-9DEC-4F75-A4DD-EF4013580338}">
  <ds:schemaRefs>
    <ds:schemaRef ds:uri="http://schemas.microsoft.com/sharepoint/events"/>
  </ds:schemaRefs>
</ds:datastoreItem>
</file>

<file path=customXml/itemProps5.xml><?xml version="1.0" encoding="utf-8"?>
<ds:datastoreItem xmlns:ds="http://schemas.openxmlformats.org/officeDocument/2006/customXml" ds:itemID="{03C989AA-AD14-4635-BF55-A00F6AE54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C37F34-6E26-454D-AB58-C35D696D135F}">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2721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Propuesta de reforma al Acuerdo sobre el Suministro de Información Periódica a marzo 2021 para consulta interna</vt:lpstr>
    </vt:vector>
  </TitlesOfParts>
  <Company>BCCR</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reforma al Acuerdo sobre el Suministro de Información Periódica a marzo 2021 para consulta interna</dc:title>
  <dc:subject/>
  <dc:creator>ZUNIGA MONTERO MARIA DEL ROSARIO</dc:creator>
  <cp:keywords/>
  <dc:description/>
  <cp:lastModifiedBy>TAN CHAN ISABEL MARIA</cp:lastModifiedBy>
  <cp:revision>6</cp:revision>
  <dcterms:created xsi:type="dcterms:W3CDTF">2021-05-17T18:00:00Z</dcterms:created>
  <dcterms:modified xsi:type="dcterms:W3CDTF">2021-08-23T23:18:00Z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_dlc_DocIdItemGuid">
    <vt:lpwstr>e227fa88-debc-42cc-ae14-f27638d546e4</vt:lpwstr>
  </property>
</Properties>
</file>