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DD10A" w14:textId="6C340883" w:rsidR="00A911B4" w:rsidRPr="00326F51" w:rsidRDefault="00A911B4" w:rsidP="00A911B4">
      <w:pPr>
        <w:pStyle w:val="Style1"/>
        <w:numPr>
          <w:ilvl w:val="0"/>
          <w:numId w:val="0"/>
        </w:numPr>
        <w:spacing w:before="240" w:after="240"/>
        <w:outlineLvl w:val="9"/>
        <w:rPr>
          <w:rFonts w:cs="Arial"/>
          <w:color w:val="auto"/>
          <w:sz w:val="22"/>
          <w:szCs w:val="22"/>
          <w:u w:val="none"/>
        </w:rPr>
      </w:pPr>
      <w:r w:rsidRPr="00A911B4">
        <w:rPr>
          <w:rFonts w:cs="Arial"/>
          <w:color w:val="auto"/>
          <w:sz w:val="24"/>
          <w:szCs w:val="24"/>
          <w:u w:val="none"/>
        </w:rPr>
        <w:t>SGV-A-253. LINEAMIENTOS DE USO VOLUNTARIO DE REVELACION DE ASPECTOS AMBIENTALES, SOCIALES Y DE GOBERNANZA</w:t>
      </w:r>
      <w:r w:rsidRPr="00E614BF">
        <w:rPr>
          <w:rFonts w:eastAsia="Times New Roman" w:cs="Arial"/>
          <w:color w:val="auto"/>
          <w:u w:val="none"/>
          <w:lang w:val="es-ES" w:eastAsia="es-ES"/>
        </w:rPr>
        <w:t xml:space="preserve"> </w:t>
      </w:r>
      <w:r w:rsidRPr="00E614BF">
        <w:rPr>
          <w:rStyle w:val="Refdenotaalpie"/>
          <w:rFonts w:eastAsia="Times New Roman" w:cs="Arial"/>
          <w:color w:val="auto"/>
          <w:u w:val="none"/>
          <w:lang w:val="es-ES" w:eastAsia="es-ES"/>
        </w:rPr>
        <w:footnoteReference w:id="1"/>
      </w:r>
    </w:p>
    <w:p w14:paraId="1A0D8128" w14:textId="4D7BD5F4" w:rsidR="000135D5" w:rsidRDefault="000135D5" w:rsidP="000135D5">
      <w:pPr>
        <w:jc w:val="center"/>
        <w:rPr>
          <w:rFonts w:ascii="Arial" w:hAnsi="Arial" w:cs="Arial"/>
          <w:b/>
          <w:bCs/>
        </w:rPr>
      </w:pPr>
      <w:r w:rsidRPr="000E5BE8">
        <w:rPr>
          <w:rFonts w:ascii="Arial" w:hAnsi="Arial" w:cs="Arial"/>
          <w:b/>
          <w:bCs/>
        </w:rPr>
        <w:t>Tabla de contenido</w:t>
      </w:r>
    </w:p>
    <w:sdt>
      <w:sdtPr>
        <w:rPr>
          <w:rFonts w:asciiTheme="minorHAnsi" w:eastAsiaTheme="minorHAnsi" w:hAnsiTheme="minorHAnsi" w:cstheme="minorBidi"/>
          <w:color w:val="auto"/>
          <w:sz w:val="22"/>
          <w:szCs w:val="22"/>
          <w:lang w:val="es-CR"/>
        </w:rPr>
        <w:id w:val="211856511"/>
        <w:docPartObj>
          <w:docPartGallery w:val="Table of Contents"/>
          <w:docPartUnique/>
        </w:docPartObj>
      </w:sdtPr>
      <w:sdtEndPr>
        <w:rPr>
          <w:b/>
          <w:bCs/>
          <w:noProof/>
        </w:rPr>
      </w:sdtEndPr>
      <w:sdtContent>
        <w:p w14:paraId="13208D83" w14:textId="77777777" w:rsidR="000135D5" w:rsidRPr="00A911B4" w:rsidRDefault="000135D5" w:rsidP="000135D5">
          <w:pPr>
            <w:pStyle w:val="TtuloTDC"/>
            <w:rPr>
              <w:rFonts w:ascii="Arial" w:hAnsi="Arial" w:cs="Arial"/>
              <w:sz w:val="4"/>
              <w:szCs w:val="4"/>
            </w:rPr>
          </w:pPr>
        </w:p>
        <w:p w14:paraId="62E193FC" w14:textId="77777777" w:rsidR="000135D5" w:rsidRPr="00A911B4" w:rsidRDefault="000135D5" w:rsidP="000135D5">
          <w:pPr>
            <w:pStyle w:val="TDC1"/>
            <w:tabs>
              <w:tab w:val="right" w:leader="dot" w:pos="8828"/>
            </w:tabs>
            <w:rPr>
              <w:rFonts w:ascii="Arial" w:eastAsiaTheme="minorEastAsia" w:hAnsi="Arial" w:cs="Arial"/>
              <w:noProof/>
              <w:sz w:val="20"/>
              <w:szCs w:val="20"/>
              <w:lang w:val="en-US"/>
            </w:rPr>
          </w:pPr>
          <w:r w:rsidRPr="00A911B4">
            <w:rPr>
              <w:rFonts w:ascii="Arial" w:hAnsi="Arial" w:cs="Arial"/>
              <w:sz w:val="20"/>
              <w:szCs w:val="20"/>
            </w:rPr>
            <w:fldChar w:fldCharType="begin"/>
          </w:r>
          <w:r w:rsidRPr="00A911B4">
            <w:rPr>
              <w:rFonts w:ascii="Arial" w:hAnsi="Arial" w:cs="Arial"/>
              <w:sz w:val="20"/>
              <w:szCs w:val="20"/>
            </w:rPr>
            <w:instrText xml:space="preserve"> TOC \o "1-3" \h \z \u </w:instrText>
          </w:r>
          <w:r w:rsidRPr="00A911B4">
            <w:rPr>
              <w:rFonts w:ascii="Arial" w:hAnsi="Arial" w:cs="Arial"/>
              <w:sz w:val="20"/>
              <w:szCs w:val="20"/>
            </w:rPr>
            <w:fldChar w:fldCharType="separate"/>
          </w:r>
          <w:hyperlink w:anchor="_Toc82185415" w:history="1">
            <w:r w:rsidRPr="00A911B4">
              <w:rPr>
                <w:rStyle w:val="Hipervnculo"/>
                <w:rFonts w:ascii="Arial" w:hAnsi="Arial" w:cs="Arial"/>
                <w:noProof/>
                <w:sz w:val="20"/>
                <w:szCs w:val="20"/>
              </w:rPr>
              <w:t>Artículo 1. Objetivo</w:t>
            </w:r>
            <w:r w:rsidRPr="00A911B4">
              <w:rPr>
                <w:rFonts w:ascii="Arial" w:hAnsi="Arial" w:cs="Arial"/>
                <w:noProof/>
                <w:webHidden/>
                <w:sz w:val="20"/>
                <w:szCs w:val="20"/>
              </w:rPr>
              <w:tab/>
            </w:r>
            <w:r w:rsidRPr="00A911B4">
              <w:rPr>
                <w:rFonts w:ascii="Arial" w:hAnsi="Arial" w:cs="Arial"/>
                <w:noProof/>
                <w:webHidden/>
                <w:sz w:val="20"/>
                <w:szCs w:val="20"/>
              </w:rPr>
              <w:fldChar w:fldCharType="begin"/>
            </w:r>
            <w:r w:rsidRPr="00A911B4">
              <w:rPr>
                <w:rFonts w:ascii="Arial" w:hAnsi="Arial" w:cs="Arial"/>
                <w:noProof/>
                <w:webHidden/>
                <w:sz w:val="20"/>
                <w:szCs w:val="20"/>
              </w:rPr>
              <w:instrText xml:space="preserve"> PAGEREF _Toc82185415 \h </w:instrText>
            </w:r>
            <w:r w:rsidRPr="00A911B4">
              <w:rPr>
                <w:rFonts w:ascii="Arial" w:hAnsi="Arial" w:cs="Arial"/>
                <w:noProof/>
                <w:webHidden/>
                <w:sz w:val="20"/>
                <w:szCs w:val="20"/>
              </w:rPr>
            </w:r>
            <w:r w:rsidRPr="00A911B4">
              <w:rPr>
                <w:rFonts w:ascii="Arial" w:hAnsi="Arial" w:cs="Arial"/>
                <w:noProof/>
                <w:webHidden/>
                <w:sz w:val="20"/>
                <w:szCs w:val="20"/>
              </w:rPr>
              <w:fldChar w:fldCharType="separate"/>
            </w:r>
            <w:r w:rsidRPr="00A911B4">
              <w:rPr>
                <w:rFonts w:ascii="Arial" w:hAnsi="Arial" w:cs="Arial"/>
                <w:noProof/>
                <w:webHidden/>
                <w:sz w:val="20"/>
                <w:szCs w:val="20"/>
              </w:rPr>
              <w:t>5</w:t>
            </w:r>
            <w:r w:rsidRPr="00A911B4">
              <w:rPr>
                <w:rFonts w:ascii="Arial" w:hAnsi="Arial" w:cs="Arial"/>
                <w:noProof/>
                <w:webHidden/>
                <w:sz w:val="20"/>
                <w:szCs w:val="20"/>
              </w:rPr>
              <w:fldChar w:fldCharType="end"/>
            </w:r>
          </w:hyperlink>
        </w:p>
        <w:p w14:paraId="02F709A3"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16" w:history="1">
            <w:r w:rsidR="000135D5" w:rsidRPr="00A911B4">
              <w:rPr>
                <w:rStyle w:val="Hipervnculo"/>
                <w:rFonts w:ascii="Arial" w:hAnsi="Arial" w:cs="Arial"/>
                <w:noProof/>
                <w:sz w:val="20"/>
                <w:szCs w:val="20"/>
              </w:rPr>
              <w:t>Artículo 2. Alcance</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_Toc82185416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5</w:t>
            </w:r>
            <w:r w:rsidR="000135D5" w:rsidRPr="00A911B4">
              <w:rPr>
                <w:rFonts w:ascii="Arial" w:hAnsi="Arial" w:cs="Arial"/>
                <w:noProof/>
                <w:webHidden/>
                <w:sz w:val="20"/>
                <w:szCs w:val="20"/>
              </w:rPr>
              <w:fldChar w:fldCharType="end"/>
            </w:r>
          </w:hyperlink>
        </w:p>
        <w:p w14:paraId="5A395295"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17" w:history="1">
            <w:r w:rsidR="000135D5" w:rsidRPr="00A911B4">
              <w:rPr>
                <w:rStyle w:val="Hipervnculo"/>
                <w:rFonts w:ascii="Arial" w:hAnsi="Arial" w:cs="Arial"/>
                <w:noProof/>
                <w:sz w:val="20"/>
                <w:szCs w:val="20"/>
              </w:rPr>
              <w:t>Artículo 3. Prospecto y periodicidad de la información</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_Toc82185417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5</w:t>
            </w:r>
            <w:r w:rsidR="000135D5" w:rsidRPr="00A911B4">
              <w:rPr>
                <w:rFonts w:ascii="Arial" w:hAnsi="Arial" w:cs="Arial"/>
                <w:noProof/>
                <w:webHidden/>
                <w:sz w:val="20"/>
                <w:szCs w:val="20"/>
              </w:rPr>
              <w:fldChar w:fldCharType="end"/>
            </w:r>
          </w:hyperlink>
        </w:p>
        <w:p w14:paraId="642209F4"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18" w:history="1">
            <w:r w:rsidR="000135D5" w:rsidRPr="00A911B4">
              <w:rPr>
                <w:rStyle w:val="Hipervnculo"/>
                <w:rFonts w:ascii="Arial" w:hAnsi="Arial" w:cs="Arial"/>
                <w:noProof/>
                <w:sz w:val="20"/>
                <w:szCs w:val="20"/>
              </w:rPr>
              <w:t>Artículo 4. Concepto de aspectos ambientales, sociales y de gobernanza</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_Toc82185418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5</w:t>
            </w:r>
            <w:r w:rsidR="000135D5" w:rsidRPr="00A911B4">
              <w:rPr>
                <w:rFonts w:ascii="Arial" w:hAnsi="Arial" w:cs="Arial"/>
                <w:noProof/>
                <w:webHidden/>
                <w:sz w:val="20"/>
                <w:szCs w:val="20"/>
              </w:rPr>
              <w:fldChar w:fldCharType="end"/>
            </w:r>
          </w:hyperlink>
        </w:p>
        <w:p w14:paraId="08E4AEBC"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19" w:history="1">
            <w:r w:rsidR="000135D5" w:rsidRPr="00A911B4">
              <w:rPr>
                <w:rStyle w:val="Hipervnculo"/>
                <w:rFonts w:ascii="Arial" w:hAnsi="Arial" w:cs="Arial"/>
                <w:bCs/>
                <w:noProof/>
                <w:sz w:val="20"/>
                <w:szCs w:val="20"/>
              </w:rPr>
              <w:t>a)</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rPr>
              <w:t>Aspectos ambientales</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_Toc82185419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6</w:t>
            </w:r>
            <w:r w:rsidR="000135D5" w:rsidRPr="00A911B4">
              <w:rPr>
                <w:rFonts w:ascii="Arial" w:hAnsi="Arial" w:cs="Arial"/>
                <w:noProof/>
                <w:webHidden/>
                <w:sz w:val="20"/>
                <w:szCs w:val="20"/>
              </w:rPr>
              <w:fldChar w:fldCharType="end"/>
            </w:r>
          </w:hyperlink>
        </w:p>
        <w:p w14:paraId="481014A6"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0" w:history="1">
            <w:r w:rsidR="000135D5" w:rsidRPr="00A911B4">
              <w:rPr>
                <w:rStyle w:val="Hipervnculo"/>
                <w:rFonts w:ascii="Arial" w:hAnsi="Arial" w:cs="Arial"/>
                <w:bCs/>
                <w:noProof/>
                <w:sz w:val="20"/>
                <w:szCs w:val="20"/>
              </w:rPr>
              <w:t>b)</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rPr>
              <w:t>Aspectos sociales</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_Toc82185420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6</w:t>
            </w:r>
            <w:r w:rsidR="000135D5" w:rsidRPr="00A911B4">
              <w:rPr>
                <w:rFonts w:ascii="Arial" w:hAnsi="Arial" w:cs="Arial"/>
                <w:noProof/>
                <w:webHidden/>
                <w:sz w:val="20"/>
                <w:szCs w:val="20"/>
              </w:rPr>
              <w:fldChar w:fldCharType="end"/>
            </w:r>
          </w:hyperlink>
        </w:p>
        <w:p w14:paraId="2BF5008B"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1" w:history="1">
            <w:r w:rsidR="000135D5" w:rsidRPr="00A911B4">
              <w:rPr>
                <w:rStyle w:val="Hipervnculo"/>
                <w:rFonts w:ascii="Arial" w:hAnsi="Arial" w:cs="Arial"/>
                <w:bCs/>
                <w:noProof/>
                <w:sz w:val="20"/>
                <w:szCs w:val="20"/>
              </w:rPr>
              <w:t>c)</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rPr>
              <w:t>Aspectos de gobernanza</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_Toc82185421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6</w:t>
            </w:r>
            <w:r w:rsidR="000135D5" w:rsidRPr="00A911B4">
              <w:rPr>
                <w:rFonts w:ascii="Arial" w:hAnsi="Arial" w:cs="Arial"/>
                <w:noProof/>
                <w:webHidden/>
                <w:sz w:val="20"/>
                <w:szCs w:val="20"/>
              </w:rPr>
              <w:fldChar w:fldCharType="end"/>
            </w:r>
          </w:hyperlink>
        </w:p>
        <w:p w14:paraId="71229EF9"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22" w:history="1">
            <w:r w:rsidR="000135D5" w:rsidRPr="00A911B4">
              <w:rPr>
                <w:rStyle w:val="Hipervnculo"/>
                <w:rFonts w:ascii="Arial" w:hAnsi="Arial" w:cs="Arial"/>
                <w:noProof/>
                <w:sz w:val="20"/>
                <w:szCs w:val="20"/>
              </w:rPr>
              <w:t>Artículo 5. Principales beneficios de reportar aspectos ambientales, sociales y de gobernanza</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_Toc82185422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7</w:t>
            </w:r>
            <w:r w:rsidR="000135D5" w:rsidRPr="00A911B4">
              <w:rPr>
                <w:rFonts w:ascii="Arial" w:hAnsi="Arial" w:cs="Arial"/>
                <w:noProof/>
                <w:webHidden/>
                <w:sz w:val="20"/>
                <w:szCs w:val="20"/>
              </w:rPr>
              <w:fldChar w:fldCharType="end"/>
            </w:r>
          </w:hyperlink>
        </w:p>
        <w:p w14:paraId="5839A56D"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3" w:history="1">
            <w:r w:rsidR="000135D5" w:rsidRPr="00A911B4">
              <w:rPr>
                <w:rStyle w:val="Hipervnculo"/>
                <w:rFonts w:ascii="Arial" w:hAnsi="Arial" w:cs="Arial"/>
                <w:bCs/>
                <w:noProof/>
                <w:sz w:val="20"/>
                <w:szCs w:val="20"/>
              </w:rPr>
              <w:t>a)</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rPr>
              <w:t>Beneficios internos</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_Toc82185423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7</w:t>
            </w:r>
            <w:r w:rsidR="000135D5" w:rsidRPr="00A911B4">
              <w:rPr>
                <w:rFonts w:ascii="Arial" w:hAnsi="Arial" w:cs="Arial"/>
                <w:noProof/>
                <w:webHidden/>
                <w:sz w:val="20"/>
                <w:szCs w:val="20"/>
              </w:rPr>
              <w:fldChar w:fldCharType="end"/>
            </w:r>
          </w:hyperlink>
        </w:p>
        <w:p w14:paraId="368C20E3"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4" w:history="1">
            <w:r w:rsidR="000135D5" w:rsidRPr="00A911B4">
              <w:rPr>
                <w:rStyle w:val="Hipervnculo"/>
                <w:rFonts w:ascii="Arial" w:hAnsi="Arial" w:cs="Arial"/>
                <w:bCs/>
                <w:noProof/>
                <w:sz w:val="20"/>
                <w:szCs w:val="20"/>
              </w:rPr>
              <w:t>b)</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rPr>
              <w:t>Beneficios externos</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_Toc82185424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7</w:t>
            </w:r>
            <w:r w:rsidR="000135D5" w:rsidRPr="00A911B4">
              <w:rPr>
                <w:rFonts w:ascii="Arial" w:hAnsi="Arial" w:cs="Arial"/>
                <w:noProof/>
                <w:webHidden/>
                <w:sz w:val="20"/>
                <w:szCs w:val="20"/>
              </w:rPr>
              <w:fldChar w:fldCharType="end"/>
            </w:r>
          </w:hyperlink>
        </w:p>
        <w:p w14:paraId="38D67996"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25" w:history="1">
            <w:r w:rsidR="000135D5" w:rsidRPr="00A911B4">
              <w:rPr>
                <w:rStyle w:val="Hipervnculo"/>
                <w:rFonts w:ascii="Arial" w:hAnsi="Arial" w:cs="Arial"/>
                <w:noProof/>
                <w:sz w:val="20"/>
                <w:szCs w:val="20"/>
              </w:rPr>
              <w:t>Artículo 6. Recomendaciones para preparar un reporte de sostenibilidad</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_Toc82185425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8</w:t>
            </w:r>
            <w:r w:rsidR="000135D5" w:rsidRPr="00A911B4">
              <w:rPr>
                <w:rFonts w:ascii="Arial" w:hAnsi="Arial" w:cs="Arial"/>
                <w:noProof/>
                <w:webHidden/>
                <w:sz w:val="20"/>
                <w:szCs w:val="20"/>
              </w:rPr>
              <w:fldChar w:fldCharType="end"/>
            </w:r>
          </w:hyperlink>
        </w:p>
        <w:p w14:paraId="17033028"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6" w:history="1">
            <w:r w:rsidR="000135D5" w:rsidRPr="00A911B4">
              <w:rPr>
                <w:rStyle w:val="Hipervnculo"/>
                <w:rFonts w:ascii="Arial" w:hAnsi="Arial" w:cs="Arial"/>
                <w:noProof/>
                <w:sz w:val="20"/>
                <w:szCs w:val="20"/>
                <w:lang w:val="es-ES"/>
              </w:rPr>
              <w:t>a)</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Responsabilidad y supervisión</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_Toc82185426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8</w:t>
            </w:r>
            <w:r w:rsidR="000135D5" w:rsidRPr="00A911B4">
              <w:rPr>
                <w:rFonts w:ascii="Arial" w:hAnsi="Arial" w:cs="Arial"/>
                <w:noProof/>
                <w:webHidden/>
                <w:sz w:val="20"/>
                <w:szCs w:val="20"/>
              </w:rPr>
              <w:fldChar w:fldCharType="end"/>
            </w:r>
          </w:hyperlink>
        </w:p>
        <w:p w14:paraId="705B3F00"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7" w:history="1">
            <w:r w:rsidR="000135D5" w:rsidRPr="00A911B4">
              <w:rPr>
                <w:rStyle w:val="Hipervnculo"/>
                <w:rFonts w:ascii="Arial" w:hAnsi="Arial" w:cs="Arial"/>
                <w:noProof/>
                <w:sz w:val="20"/>
                <w:szCs w:val="20"/>
                <w:lang w:val="es-ES"/>
              </w:rPr>
              <w:t>b)</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Claridad en el propósito</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_Toc82185427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8</w:t>
            </w:r>
            <w:r w:rsidR="000135D5" w:rsidRPr="00A911B4">
              <w:rPr>
                <w:rFonts w:ascii="Arial" w:hAnsi="Arial" w:cs="Arial"/>
                <w:noProof/>
                <w:webHidden/>
                <w:sz w:val="20"/>
                <w:szCs w:val="20"/>
              </w:rPr>
              <w:fldChar w:fldCharType="end"/>
            </w:r>
          </w:hyperlink>
        </w:p>
        <w:p w14:paraId="778CE659"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8" w:history="1">
            <w:r w:rsidR="000135D5" w:rsidRPr="00A911B4">
              <w:rPr>
                <w:rStyle w:val="Hipervnculo"/>
                <w:rFonts w:ascii="Arial" w:hAnsi="Arial" w:cs="Arial"/>
                <w:noProof/>
                <w:sz w:val="20"/>
                <w:szCs w:val="20"/>
                <w:lang w:val="es-ES"/>
              </w:rPr>
              <w:t>c)</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Información relevante y material</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_Toc82185428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9</w:t>
            </w:r>
            <w:r w:rsidR="000135D5" w:rsidRPr="00A911B4">
              <w:rPr>
                <w:rFonts w:ascii="Arial" w:hAnsi="Arial" w:cs="Arial"/>
                <w:noProof/>
                <w:webHidden/>
                <w:sz w:val="20"/>
                <w:szCs w:val="20"/>
              </w:rPr>
              <w:fldChar w:fldCharType="end"/>
            </w:r>
          </w:hyperlink>
        </w:p>
        <w:p w14:paraId="736DCE34"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29" w:history="1">
            <w:r w:rsidR="000135D5" w:rsidRPr="00A911B4">
              <w:rPr>
                <w:rStyle w:val="Hipervnculo"/>
                <w:rFonts w:ascii="Arial" w:hAnsi="Arial" w:cs="Arial"/>
                <w:noProof/>
                <w:sz w:val="20"/>
                <w:szCs w:val="20"/>
                <w:lang w:val="es-ES"/>
              </w:rPr>
              <w:t>d)</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Accesibilidad</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_Toc82185429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9</w:t>
            </w:r>
            <w:r w:rsidR="000135D5" w:rsidRPr="00A911B4">
              <w:rPr>
                <w:rFonts w:ascii="Arial" w:hAnsi="Arial" w:cs="Arial"/>
                <w:noProof/>
                <w:webHidden/>
                <w:sz w:val="20"/>
                <w:szCs w:val="20"/>
              </w:rPr>
              <w:fldChar w:fldCharType="end"/>
            </w:r>
          </w:hyperlink>
        </w:p>
        <w:p w14:paraId="568C940E"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30" w:history="1">
            <w:r w:rsidR="000135D5" w:rsidRPr="00A911B4">
              <w:rPr>
                <w:rStyle w:val="Hipervnculo"/>
                <w:rFonts w:ascii="Arial" w:hAnsi="Arial" w:cs="Arial"/>
                <w:noProof/>
                <w:sz w:val="20"/>
                <w:szCs w:val="20"/>
                <w:lang w:val="es-ES"/>
              </w:rPr>
              <w:t>e)</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Precisión</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_Toc82185430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9</w:t>
            </w:r>
            <w:r w:rsidR="000135D5" w:rsidRPr="00A911B4">
              <w:rPr>
                <w:rFonts w:ascii="Arial" w:hAnsi="Arial" w:cs="Arial"/>
                <w:noProof/>
                <w:webHidden/>
                <w:sz w:val="20"/>
                <w:szCs w:val="20"/>
              </w:rPr>
              <w:fldChar w:fldCharType="end"/>
            </w:r>
          </w:hyperlink>
        </w:p>
        <w:p w14:paraId="6A18BDF7" w14:textId="77777777" w:rsidR="000135D5" w:rsidRPr="00A911B4" w:rsidRDefault="00412AA1" w:rsidP="000135D5">
          <w:pPr>
            <w:pStyle w:val="TDC1"/>
            <w:tabs>
              <w:tab w:val="right" w:leader="dot" w:pos="8828"/>
            </w:tabs>
            <w:rPr>
              <w:rFonts w:ascii="Arial" w:eastAsiaTheme="minorEastAsia" w:hAnsi="Arial" w:cs="Arial"/>
              <w:noProof/>
              <w:sz w:val="20"/>
              <w:szCs w:val="20"/>
              <w:lang w:val="en-US"/>
            </w:rPr>
          </w:pPr>
          <w:hyperlink w:anchor="_Toc82185431" w:history="1">
            <w:r w:rsidR="000135D5" w:rsidRPr="00A911B4">
              <w:rPr>
                <w:rStyle w:val="Hipervnculo"/>
                <w:rFonts w:ascii="Arial" w:hAnsi="Arial" w:cs="Arial"/>
                <w:noProof/>
                <w:sz w:val="20"/>
                <w:szCs w:val="20"/>
              </w:rPr>
              <w:t>Artículo 7. Estándares utilizados para comunicar aspectos ASG de emisores a nivel nacional e internacional</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_Toc82185431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10</w:t>
            </w:r>
            <w:r w:rsidR="000135D5" w:rsidRPr="00A911B4">
              <w:rPr>
                <w:rFonts w:ascii="Arial" w:hAnsi="Arial" w:cs="Arial"/>
                <w:noProof/>
                <w:webHidden/>
                <w:sz w:val="20"/>
                <w:szCs w:val="20"/>
              </w:rPr>
              <w:fldChar w:fldCharType="end"/>
            </w:r>
          </w:hyperlink>
        </w:p>
        <w:p w14:paraId="523CA79D"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32" w:history="1">
            <w:r w:rsidR="000135D5" w:rsidRPr="00A911B4">
              <w:rPr>
                <w:rStyle w:val="Hipervnculo"/>
                <w:rFonts w:ascii="Arial" w:hAnsi="Arial" w:cs="Arial"/>
                <w:bCs/>
                <w:noProof/>
                <w:sz w:val="20"/>
                <w:szCs w:val="20"/>
                <w:lang w:val="es-ES"/>
              </w:rPr>
              <w:t>I.</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Estándar de Global Reporting Initiative (GRI)</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_Toc82185432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10</w:t>
            </w:r>
            <w:r w:rsidR="000135D5" w:rsidRPr="00A911B4">
              <w:rPr>
                <w:rFonts w:ascii="Arial" w:hAnsi="Arial" w:cs="Arial"/>
                <w:noProof/>
                <w:webHidden/>
                <w:sz w:val="20"/>
                <w:szCs w:val="20"/>
              </w:rPr>
              <w:fldChar w:fldCharType="end"/>
            </w:r>
          </w:hyperlink>
        </w:p>
        <w:p w14:paraId="7BF707AD"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33" w:history="1">
            <w:r w:rsidR="000135D5" w:rsidRPr="00A911B4">
              <w:rPr>
                <w:rStyle w:val="Hipervnculo"/>
                <w:rFonts w:ascii="Arial" w:hAnsi="Arial" w:cs="Arial"/>
                <w:bCs/>
                <w:noProof/>
                <w:sz w:val="20"/>
                <w:szCs w:val="20"/>
                <w:lang w:val="es-ES"/>
              </w:rPr>
              <w:t>II.</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Marco Internacional de reporte integrado (IR)</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_Toc82185433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10</w:t>
            </w:r>
            <w:r w:rsidR="000135D5" w:rsidRPr="00A911B4">
              <w:rPr>
                <w:rFonts w:ascii="Arial" w:hAnsi="Arial" w:cs="Arial"/>
                <w:noProof/>
                <w:webHidden/>
                <w:sz w:val="20"/>
                <w:szCs w:val="20"/>
              </w:rPr>
              <w:fldChar w:fldCharType="end"/>
            </w:r>
          </w:hyperlink>
        </w:p>
        <w:p w14:paraId="4EEE694A" w14:textId="77777777" w:rsidR="000135D5" w:rsidRPr="00A911B4" w:rsidRDefault="00412AA1" w:rsidP="000135D5">
          <w:pPr>
            <w:pStyle w:val="TDC2"/>
            <w:tabs>
              <w:tab w:val="left" w:pos="880"/>
              <w:tab w:val="right" w:leader="dot" w:pos="8828"/>
            </w:tabs>
            <w:rPr>
              <w:rFonts w:ascii="Arial" w:eastAsiaTheme="minorEastAsia" w:hAnsi="Arial" w:cs="Arial"/>
              <w:noProof/>
              <w:sz w:val="20"/>
              <w:szCs w:val="20"/>
              <w:lang w:val="en-US"/>
            </w:rPr>
          </w:pPr>
          <w:hyperlink w:anchor="_Toc82185434" w:history="1">
            <w:r w:rsidR="000135D5" w:rsidRPr="00A911B4">
              <w:rPr>
                <w:rStyle w:val="Hipervnculo"/>
                <w:rFonts w:ascii="Arial" w:hAnsi="Arial" w:cs="Arial"/>
                <w:bCs/>
                <w:noProof/>
                <w:sz w:val="20"/>
                <w:szCs w:val="20"/>
                <w:lang w:val="en-US"/>
              </w:rPr>
              <w:t>III.</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n-US" w:eastAsia="es-CR"/>
              </w:rPr>
              <w:t>Estándares</w:t>
            </w:r>
            <w:r w:rsidR="000135D5" w:rsidRPr="00A911B4">
              <w:rPr>
                <w:rStyle w:val="Hipervnculo"/>
                <w:rFonts w:ascii="Arial" w:hAnsi="Arial" w:cs="Arial"/>
                <w:bCs/>
                <w:noProof/>
                <w:sz w:val="20"/>
                <w:szCs w:val="20"/>
                <w:lang w:val="en-US"/>
              </w:rPr>
              <w:t xml:space="preserve"> del Sustainability Accounting Standards Board (SASB)</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_Toc82185434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11</w:t>
            </w:r>
            <w:r w:rsidR="000135D5" w:rsidRPr="00A911B4">
              <w:rPr>
                <w:rFonts w:ascii="Arial" w:hAnsi="Arial" w:cs="Arial"/>
                <w:noProof/>
                <w:webHidden/>
                <w:sz w:val="20"/>
                <w:szCs w:val="20"/>
              </w:rPr>
              <w:fldChar w:fldCharType="end"/>
            </w:r>
          </w:hyperlink>
        </w:p>
        <w:p w14:paraId="2B4A1606" w14:textId="77777777" w:rsidR="000135D5" w:rsidRPr="00A911B4" w:rsidRDefault="00412AA1" w:rsidP="000135D5">
          <w:pPr>
            <w:pStyle w:val="TDC2"/>
            <w:tabs>
              <w:tab w:val="left" w:pos="880"/>
              <w:tab w:val="right" w:leader="dot" w:pos="8828"/>
            </w:tabs>
            <w:rPr>
              <w:rFonts w:ascii="Arial" w:eastAsiaTheme="minorEastAsia" w:hAnsi="Arial" w:cs="Arial"/>
              <w:noProof/>
              <w:sz w:val="20"/>
              <w:szCs w:val="20"/>
              <w:lang w:val="en-US"/>
            </w:rPr>
          </w:pPr>
          <w:hyperlink w:anchor="_Toc82185435" w:history="1">
            <w:r w:rsidR="000135D5" w:rsidRPr="00A911B4">
              <w:rPr>
                <w:rStyle w:val="Hipervnculo"/>
                <w:rFonts w:ascii="Arial" w:hAnsi="Arial" w:cs="Arial"/>
                <w:bCs/>
                <w:noProof/>
                <w:sz w:val="20"/>
                <w:szCs w:val="20"/>
                <w:lang w:val="en-US" w:eastAsia="es-CR"/>
              </w:rPr>
              <w:t>IV.</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lang w:val="en-US"/>
              </w:rPr>
              <w:t xml:space="preserve">Informe “Measuring Stakeholder Capitalism Towards Common Metrics and Consistent Reporting of Sustainable Value Creation” de World Economic Forum </w:t>
            </w:r>
            <w:r w:rsidR="000135D5" w:rsidRPr="00A911B4">
              <w:rPr>
                <w:rStyle w:val="Hipervnculo"/>
                <w:rFonts w:ascii="Arial" w:hAnsi="Arial" w:cs="Arial"/>
                <w:noProof/>
                <w:sz w:val="20"/>
                <w:szCs w:val="20"/>
                <w:lang w:val="en-US" w:eastAsia="es-CR"/>
              </w:rPr>
              <w:t>(WEF)</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_Toc82185435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11</w:t>
            </w:r>
            <w:r w:rsidR="000135D5" w:rsidRPr="00A911B4">
              <w:rPr>
                <w:rFonts w:ascii="Arial" w:hAnsi="Arial" w:cs="Arial"/>
                <w:noProof/>
                <w:webHidden/>
                <w:sz w:val="20"/>
                <w:szCs w:val="20"/>
              </w:rPr>
              <w:fldChar w:fldCharType="end"/>
            </w:r>
          </w:hyperlink>
        </w:p>
        <w:p w14:paraId="543BAB5C" w14:textId="77777777" w:rsidR="000135D5" w:rsidRPr="00A911B4" w:rsidRDefault="00412AA1" w:rsidP="000135D5">
          <w:pPr>
            <w:pStyle w:val="TDC2"/>
            <w:tabs>
              <w:tab w:val="left" w:pos="660"/>
              <w:tab w:val="right" w:leader="dot" w:pos="8828"/>
            </w:tabs>
            <w:rPr>
              <w:rFonts w:ascii="Arial" w:eastAsiaTheme="minorEastAsia" w:hAnsi="Arial" w:cs="Arial"/>
              <w:noProof/>
              <w:sz w:val="20"/>
              <w:szCs w:val="20"/>
              <w:lang w:val="en-US"/>
            </w:rPr>
          </w:pPr>
          <w:hyperlink w:anchor="_Toc82185436" w:history="1">
            <w:r w:rsidR="000135D5" w:rsidRPr="00A911B4">
              <w:rPr>
                <w:rStyle w:val="Hipervnculo"/>
                <w:rFonts w:ascii="Arial" w:hAnsi="Arial" w:cs="Arial"/>
                <w:bCs/>
                <w:noProof/>
                <w:sz w:val="20"/>
                <w:szCs w:val="20"/>
                <w:lang w:val="en-US"/>
              </w:rPr>
              <w:t>V.</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bCs/>
                <w:noProof/>
                <w:sz w:val="20"/>
                <w:szCs w:val="20"/>
                <w:lang w:val="en-US"/>
              </w:rPr>
              <w:t>Task Force on Climate-related Financial Disclousure (TCFD)</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_Toc82185436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12</w:t>
            </w:r>
            <w:r w:rsidR="000135D5" w:rsidRPr="00A911B4">
              <w:rPr>
                <w:rFonts w:ascii="Arial" w:hAnsi="Arial" w:cs="Arial"/>
                <w:noProof/>
                <w:webHidden/>
                <w:sz w:val="20"/>
                <w:szCs w:val="20"/>
              </w:rPr>
              <w:fldChar w:fldCharType="end"/>
            </w:r>
          </w:hyperlink>
        </w:p>
        <w:p w14:paraId="1029D7B2" w14:textId="77777777" w:rsidR="000135D5" w:rsidRPr="00A911B4" w:rsidRDefault="00412AA1" w:rsidP="000135D5">
          <w:pPr>
            <w:pStyle w:val="TDC2"/>
            <w:tabs>
              <w:tab w:val="left" w:pos="880"/>
              <w:tab w:val="right" w:leader="dot" w:pos="8828"/>
            </w:tabs>
            <w:rPr>
              <w:rFonts w:ascii="Arial" w:eastAsiaTheme="minorEastAsia" w:hAnsi="Arial" w:cs="Arial"/>
              <w:noProof/>
              <w:sz w:val="20"/>
              <w:szCs w:val="20"/>
              <w:lang w:val="en-US"/>
            </w:rPr>
          </w:pPr>
          <w:hyperlink w:anchor="_Toc82185437" w:history="1">
            <w:r w:rsidR="000135D5" w:rsidRPr="00A911B4">
              <w:rPr>
                <w:rStyle w:val="Hipervnculo"/>
                <w:rFonts w:ascii="Arial" w:hAnsi="Arial" w:cs="Arial"/>
                <w:bCs/>
                <w:noProof/>
                <w:sz w:val="20"/>
                <w:szCs w:val="20"/>
                <w:lang w:val="es-ES"/>
              </w:rPr>
              <w:t>VI.</w:t>
            </w:r>
            <w:r w:rsidR="000135D5" w:rsidRPr="00A911B4">
              <w:rPr>
                <w:rFonts w:ascii="Arial" w:eastAsiaTheme="minorEastAsia" w:hAnsi="Arial" w:cs="Arial"/>
                <w:noProof/>
                <w:sz w:val="20"/>
                <w:szCs w:val="20"/>
                <w:lang w:val="en-US"/>
              </w:rPr>
              <w:tab/>
            </w:r>
            <w:r w:rsidR="000135D5" w:rsidRPr="00A911B4">
              <w:rPr>
                <w:rStyle w:val="Hipervnculo"/>
                <w:rFonts w:ascii="Arial" w:hAnsi="Arial" w:cs="Arial"/>
                <w:noProof/>
                <w:sz w:val="20"/>
                <w:szCs w:val="20"/>
                <w:lang w:val="es-ES"/>
              </w:rPr>
              <w:t>Guía voluntaria para la creación de reportes de sostenibilidad</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_Toc82185437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12</w:t>
            </w:r>
            <w:r w:rsidR="000135D5" w:rsidRPr="00A911B4">
              <w:rPr>
                <w:rFonts w:ascii="Arial" w:hAnsi="Arial" w:cs="Arial"/>
                <w:noProof/>
                <w:webHidden/>
                <w:sz w:val="20"/>
                <w:szCs w:val="20"/>
              </w:rPr>
              <w:fldChar w:fldCharType="end"/>
            </w:r>
          </w:hyperlink>
        </w:p>
        <w:p w14:paraId="30447107" w14:textId="5B4FFACD" w:rsidR="000135D5" w:rsidRPr="00A911B4" w:rsidRDefault="00412AA1" w:rsidP="000135D5">
          <w:pPr>
            <w:pStyle w:val="TDC1"/>
            <w:tabs>
              <w:tab w:val="left" w:pos="1320"/>
              <w:tab w:val="right" w:leader="dot" w:pos="8828"/>
            </w:tabs>
            <w:rPr>
              <w:rFonts w:ascii="Arial" w:eastAsiaTheme="minorEastAsia" w:hAnsi="Arial" w:cs="Arial"/>
              <w:noProof/>
              <w:sz w:val="20"/>
              <w:szCs w:val="20"/>
              <w:lang w:val="en-US"/>
            </w:rPr>
          </w:pPr>
          <w:hyperlink w:anchor="_Toc82185438" w:history="1">
            <w:r w:rsidR="000135D5" w:rsidRPr="00A911B4">
              <w:rPr>
                <w:rStyle w:val="Hipervnculo"/>
                <w:rFonts w:ascii="Arial" w:hAnsi="Arial" w:cs="Arial"/>
                <w:noProof/>
                <w:sz w:val="20"/>
                <w:szCs w:val="20"/>
              </w:rPr>
              <w:t>Artículo 8.</w:t>
            </w:r>
            <w:r>
              <w:rPr>
                <w:rStyle w:val="Hipervnculo"/>
                <w:rFonts w:ascii="Arial" w:hAnsi="Arial" w:cs="Arial"/>
                <w:noProof/>
                <w:sz w:val="20"/>
                <w:szCs w:val="20"/>
              </w:rPr>
              <w:t xml:space="preserve"> </w:t>
            </w:r>
            <w:r w:rsidR="000135D5" w:rsidRPr="00A911B4">
              <w:rPr>
                <w:rStyle w:val="Hipervnculo"/>
                <w:rFonts w:ascii="Arial" w:hAnsi="Arial" w:cs="Arial"/>
                <w:noProof/>
                <w:sz w:val="20"/>
                <w:szCs w:val="20"/>
              </w:rPr>
              <w:t>Vigencia</w:t>
            </w:r>
            <w:r w:rsidR="000135D5" w:rsidRPr="00A911B4">
              <w:rPr>
                <w:rFonts w:ascii="Arial" w:hAnsi="Arial" w:cs="Arial"/>
                <w:noProof/>
                <w:webHidden/>
                <w:sz w:val="20"/>
                <w:szCs w:val="20"/>
              </w:rPr>
              <w:tab/>
            </w:r>
            <w:r w:rsidR="000135D5" w:rsidRPr="00A911B4">
              <w:rPr>
                <w:rFonts w:ascii="Arial" w:hAnsi="Arial" w:cs="Arial"/>
                <w:noProof/>
                <w:webHidden/>
                <w:sz w:val="20"/>
                <w:szCs w:val="20"/>
              </w:rPr>
              <w:fldChar w:fldCharType="begin"/>
            </w:r>
            <w:r w:rsidR="000135D5" w:rsidRPr="00A911B4">
              <w:rPr>
                <w:rFonts w:ascii="Arial" w:hAnsi="Arial" w:cs="Arial"/>
                <w:noProof/>
                <w:webHidden/>
                <w:sz w:val="20"/>
                <w:szCs w:val="20"/>
              </w:rPr>
              <w:instrText xml:space="preserve"> PAGEREF _Toc82185438 \h </w:instrText>
            </w:r>
            <w:r w:rsidR="000135D5" w:rsidRPr="00A911B4">
              <w:rPr>
                <w:rFonts w:ascii="Arial" w:hAnsi="Arial" w:cs="Arial"/>
                <w:noProof/>
                <w:webHidden/>
                <w:sz w:val="20"/>
                <w:szCs w:val="20"/>
              </w:rPr>
            </w:r>
            <w:r w:rsidR="000135D5" w:rsidRPr="00A911B4">
              <w:rPr>
                <w:rFonts w:ascii="Arial" w:hAnsi="Arial" w:cs="Arial"/>
                <w:noProof/>
                <w:webHidden/>
                <w:sz w:val="20"/>
                <w:szCs w:val="20"/>
              </w:rPr>
              <w:fldChar w:fldCharType="separate"/>
            </w:r>
            <w:r w:rsidR="000135D5" w:rsidRPr="00A911B4">
              <w:rPr>
                <w:rFonts w:ascii="Arial" w:hAnsi="Arial" w:cs="Arial"/>
                <w:noProof/>
                <w:webHidden/>
                <w:sz w:val="20"/>
                <w:szCs w:val="20"/>
              </w:rPr>
              <w:t>13</w:t>
            </w:r>
            <w:r w:rsidR="000135D5" w:rsidRPr="00A911B4">
              <w:rPr>
                <w:rFonts w:ascii="Arial" w:hAnsi="Arial" w:cs="Arial"/>
                <w:noProof/>
                <w:webHidden/>
                <w:sz w:val="20"/>
                <w:szCs w:val="20"/>
              </w:rPr>
              <w:fldChar w:fldCharType="end"/>
            </w:r>
          </w:hyperlink>
        </w:p>
        <w:p w14:paraId="4CB0D735" w14:textId="77777777" w:rsidR="000135D5" w:rsidRDefault="000135D5" w:rsidP="000135D5">
          <w:pPr>
            <w:rPr>
              <w:b/>
              <w:bCs/>
              <w:noProof/>
            </w:rPr>
          </w:pPr>
          <w:r w:rsidRPr="00A911B4">
            <w:rPr>
              <w:rFonts w:ascii="Arial" w:hAnsi="Arial" w:cs="Arial"/>
              <w:b/>
              <w:bCs/>
              <w:noProof/>
              <w:sz w:val="20"/>
              <w:szCs w:val="20"/>
            </w:rPr>
            <w:fldChar w:fldCharType="end"/>
          </w:r>
        </w:p>
      </w:sdtContent>
    </w:sdt>
    <w:bookmarkStart w:id="0" w:name="_Toc71919101" w:displacedByCustomXml="prev"/>
    <w:p w14:paraId="392577EE" w14:textId="1F885D9B" w:rsidR="000135D5" w:rsidRPr="00326F51" w:rsidRDefault="000135D5" w:rsidP="000135D5">
      <w:pPr>
        <w:pStyle w:val="Style1"/>
        <w:numPr>
          <w:ilvl w:val="0"/>
          <w:numId w:val="0"/>
        </w:numPr>
        <w:spacing w:before="240" w:after="240"/>
        <w:outlineLvl w:val="9"/>
        <w:rPr>
          <w:rFonts w:cs="Arial"/>
          <w:color w:val="auto"/>
          <w:sz w:val="22"/>
          <w:szCs w:val="22"/>
          <w:u w:val="none"/>
        </w:rPr>
      </w:pPr>
      <w:r w:rsidRPr="00326F51">
        <w:rPr>
          <w:rFonts w:cs="Arial"/>
          <w:color w:val="auto"/>
          <w:sz w:val="22"/>
          <w:szCs w:val="22"/>
          <w:u w:val="none"/>
        </w:rPr>
        <w:lastRenderedPageBreak/>
        <w:t>“SGV-A</w:t>
      </w:r>
      <w:r w:rsidRPr="00E614BF">
        <w:rPr>
          <w:rFonts w:cs="Arial"/>
          <w:color w:val="auto"/>
          <w:sz w:val="22"/>
          <w:szCs w:val="22"/>
          <w:u w:val="none"/>
        </w:rPr>
        <w:t>-</w:t>
      </w:r>
      <w:r w:rsidR="00B63A75" w:rsidRPr="00E614BF">
        <w:rPr>
          <w:rFonts w:cs="Arial"/>
          <w:color w:val="auto"/>
          <w:sz w:val="22"/>
          <w:szCs w:val="22"/>
          <w:u w:val="none"/>
        </w:rPr>
        <w:t>253</w:t>
      </w:r>
      <w:r w:rsidRPr="00E614BF">
        <w:rPr>
          <w:rFonts w:cs="Arial"/>
          <w:color w:val="auto"/>
          <w:sz w:val="22"/>
          <w:szCs w:val="22"/>
          <w:u w:val="none"/>
        </w:rPr>
        <w:t>. LINEAMIENTOS</w:t>
      </w:r>
      <w:r w:rsidRPr="00326F51">
        <w:rPr>
          <w:rFonts w:cs="Arial"/>
          <w:color w:val="auto"/>
          <w:sz w:val="22"/>
          <w:szCs w:val="22"/>
          <w:u w:val="none"/>
        </w:rPr>
        <w:t xml:space="preserve"> DE USO VOLUNTARIO DE REVELACION DE </w:t>
      </w:r>
      <w:r>
        <w:rPr>
          <w:rFonts w:cs="Arial"/>
          <w:color w:val="auto"/>
          <w:sz w:val="22"/>
          <w:szCs w:val="22"/>
          <w:u w:val="none"/>
        </w:rPr>
        <w:t>ASPECTOS</w:t>
      </w:r>
      <w:r w:rsidRPr="00326F51">
        <w:rPr>
          <w:rFonts w:cs="Arial"/>
          <w:color w:val="auto"/>
          <w:sz w:val="22"/>
          <w:szCs w:val="22"/>
          <w:u w:val="none"/>
        </w:rPr>
        <w:t xml:space="preserve"> AMBIENTAL</w:t>
      </w:r>
      <w:r>
        <w:rPr>
          <w:rFonts w:cs="Arial"/>
          <w:color w:val="auto"/>
          <w:sz w:val="22"/>
          <w:szCs w:val="22"/>
          <w:u w:val="none"/>
        </w:rPr>
        <w:t>ES</w:t>
      </w:r>
      <w:r w:rsidRPr="00326F51">
        <w:rPr>
          <w:rFonts w:cs="Arial"/>
          <w:color w:val="auto"/>
          <w:sz w:val="22"/>
          <w:szCs w:val="22"/>
          <w:u w:val="none"/>
        </w:rPr>
        <w:t>, SOCIAL</w:t>
      </w:r>
      <w:r>
        <w:rPr>
          <w:rFonts w:cs="Arial"/>
          <w:color w:val="auto"/>
          <w:sz w:val="22"/>
          <w:szCs w:val="22"/>
          <w:u w:val="none"/>
        </w:rPr>
        <w:t>ES</w:t>
      </w:r>
      <w:r w:rsidRPr="00326F51">
        <w:rPr>
          <w:rFonts w:cs="Arial"/>
          <w:color w:val="auto"/>
          <w:sz w:val="22"/>
          <w:szCs w:val="22"/>
          <w:u w:val="none"/>
        </w:rPr>
        <w:t xml:space="preserve"> Y DE </w:t>
      </w:r>
      <w:r w:rsidRPr="00E614BF">
        <w:rPr>
          <w:rFonts w:cs="Arial"/>
          <w:color w:val="auto"/>
          <w:sz w:val="22"/>
          <w:szCs w:val="22"/>
          <w:u w:val="none"/>
        </w:rPr>
        <w:t>GOBERNANZA”</w:t>
      </w:r>
      <w:bookmarkEnd w:id="0"/>
      <w:r w:rsidR="00FA2703" w:rsidRPr="00E614BF">
        <w:rPr>
          <w:rFonts w:eastAsia="Times New Roman" w:cs="Arial"/>
          <w:color w:val="auto"/>
          <w:u w:val="none"/>
          <w:lang w:val="es-ES" w:eastAsia="es-ES"/>
        </w:rPr>
        <w:t xml:space="preserve"> </w:t>
      </w:r>
    </w:p>
    <w:p w14:paraId="6D76C046" w14:textId="77777777" w:rsidR="000135D5" w:rsidRPr="00326F51" w:rsidRDefault="000135D5" w:rsidP="000135D5">
      <w:pPr>
        <w:spacing w:before="240" w:after="240" w:line="240" w:lineRule="auto"/>
        <w:jc w:val="both"/>
        <w:rPr>
          <w:rFonts w:ascii="Arial" w:hAnsi="Arial" w:cs="Arial"/>
          <w:b/>
          <w:lang w:val="es-MX"/>
        </w:rPr>
      </w:pPr>
      <w:r w:rsidRPr="00326F51">
        <w:rPr>
          <w:rFonts w:ascii="Arial" w:hAnsi="Arial" w:cs="Arial"/>
          <w:b/>
          <w:lang w:val="es-MX"/>
        </w:rPr>
        <w:t>Considerando que:</w:t>
      </w:r>
    </w:p>
    <w:p w14:paraId="7FBB1CF6" w14:textId="77777777" w:rsidR="000135D5" w:rsidRPr="00326F51" w:rsidRDefault="000135D5" w:rsidP="000135D5">
      <w:pPr>
        <w:pStyle w:val="Prrafodelista"/>
        <w:widowControl/>
        <w:numPr>
          <w:ilvl w:val="0"/>
          <w:numId w:val="2"/>
        </w:numPr>
        <w:spacing w:before="240" w:after="240"/>
        <w:rPr>
          <w:rFonts w:ascii="Arial" w:hAnsi="Arial" w:cs="Arial"/>
          <w:sz w:val="22"/>
          <w:szCs w:val="22"/>
          <w:lang w:val="es-CR"/>
        </w:rPr>
      </w:pPr>
      <w:r w:rsidRPr="00326F51">
        <w:rPr>
          <w:rFonts w:ascii="Arial" w:hAnsi="Arial" w:cs="Arial"/>
          <w:sz w:val="22"/>
          <w:szCs w:val="22"/>
          <w:lang w:val="es-CR"/>
        </w:rPr>
        <w:t>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Adicionalmente velará por la transparencia de los mercados de valores, la protección de los inversionistas y la difusión</w:t>
      </w:r>
      <w:r w:rsidRPr="00326F51">
        <w:rPr>
          <w:rFonts w:ascii="Arial" w:hAnsi="Arial" w:cs="Arial"/>
          <w:sz w:val="22"/>
          <w:szCs w:val="22"/>
        </w:rPr>
        <w:t xml:space="preserve"> </w:t>
      </w:r>
      <w:r w:rsidRPr="00326F51">
        <w:rPr>
          <w:rFonts w:ascii="Arial" w:hAnsi="Arial" w:cs="Arial"/>
          <w:sz w:val="22"/>
          <w:szCs w:val="22"/>
          <w:lang w:val="es-CR"/>
        </w:rPr>
        <w:t>de la información necesaria para asegurar la consecución de estos fines.</w:t>
      </w:r>
    </w:p>
    <w:p w14:paraId="4852F9FC" w14:textId="77777777" w:rsidR="000135D5" w:rsidRPr="00326F51" w:rsidRDefault="000135D5" w:rsidP="000135D5">
      <w:pPr>
        <w:pStyle w:val="Prrafodelista"/>
        <w:widowControl/>
        <w:numPr>
          <w:ilvl w:val="0"/>
          <w:numId w:val="2"/>
        </w:numPr>
        <w:spacing w:before="240" w:after="240"/>
        <w:rPr>
          <w:rFonts w:ascii="Arial" w:hAnsi="Arial" w:cs="Arial"/>
          <w:sz w:val="22"/>
          <w:szCs w:val="22"/>
          <w:lang w:val="es-CR"/>
        </w:rPr>
      </w:pPr>
      <w:r w:rsidRPr="00326F51">
        <w:rPr>
          <w:rFonts w:ascii="Arial" w:hAnsi="Arial" w:cs="Arial"/>
          <w:sz w:val="22"/>
          <w:szCs w:val="22"/>
          <w:lang w:val="es-CR"/>
        </w:rPr>
        <w:t xml:space="preserve">Ante la preocupación a nivel mundial por combatir el cambio climático, los desastres, el extremismo violento, las luchas, la volatilidad económica y financiera, las epidemias, la inseguridad alimentaria y la degradación medioambiental, en el 2015 se </w:t>
      </w:r>
      <w:r>
        <w:rPr>
          <w:rFonts w:ascii="Arial" w:hAnsi="Arial" w:cs="Arial"/>
          <w:sz w:val="22"/>
          <w:szCs w:val="22"/>
          <w:lang w:val="es-CR"/>
        </w:rPr>
        <w:t>pactó</w:t>
      </w:r>
      <w:r w:rsidRPr="00326F51">
        <w:rPr>
          <w:rFonts w:ascii="Arial" w:hAnsi="Arial" w:cs="Arial"/>
          <w:sz w:val="22"/>
          <w:szCs w:val="22"/>
          <w:lang w:val="es-CR"/>
        </w:rPr>
        <w:t xml:space="preserve"> el Acuerdo de París en el que todos los países de la Convención Marco de Naciones Unidas</w:t>
      </w:r>
      <w:r>
        <w:rPr>
          <w:rFonts w:ascii="Arial" w:hAnsi="Arial" w:cs="Arial"/>
          <w:sz w:val="22"/>
          <w:szCs w:val="22"/>
          <w:lang w:val="es-CR"/>
        </w:rPr>
        <w:t>, incluido Costa Rica,</w:t>
      </w:r>
      <w:r w:rsidRPr="00326F51">
        <w:rPr>
          <w:rFonts w:ascii="Arial" w:hAnsi="Arial" w:cs="Arial"/>
          <w:sz w:val="22"/>
          <w:szCs w:val="22"/>
          <w:lang w:val="es-CR"/>
        </w:rPr>
        <w:t xml:space="preserve"> se comprometieron a participar en las reducciones globales de gases de efecto invernadero con el objetivo de limitar el aumento de la temperatura mundial por debajo de los 2 grados centígrados.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7" w:history="1">
        <w:r w:rsidRPr="00326F51">
          <w:rPr>
            <w:rFonts w:ascii="Arial" w:hAnsi="Arial" w:cs="Arial"/>
            <w:sz w:val="22"/>
            <w:szCs w:val="22"/>
            <w:lang w:val="es-CR"/>
          </w:rPr>
          <w:t xml:space="preserve"> Agenda 2030</w:t>
        </w:r>
      </w:hyperlink>
      <w:r w:rsidRPr="00326F51">
        <w:rPr>
          <w:rFonts w:ascii="Arial" w:hAnsi="Arial" w:cs="Arial"/>
          <w:sz w:val="22"/>
          <w:szCs w:val="22"/>
          <w:lang w:val="es-CR"/>
        </w:rPr>
        <w:t xml:space="preserve"> en la cual se establece alcanzar los Objetivos en 15 años.</w:t>
      </w:r>
    </w:p>
    <w:p w14:paraId="324D12B0" w14:textId="77777777" w:rsidR="000135D5" w:rsidRPr="0055064F" w:rsidRDefault="000135D5" w:rsidP="000135D5">
      <w:pPr>
        <w:pStyle w:val="Prrafodelista"/>
        <w:widowControl/>
        <w:numPr>
          <w:ilvl w:val="0"/>
          <w:numId w:val="2"/>
        </w:numPr>
        <w:spacing w:before="240" w:after="240"/>
        <w:rPr>
          <w:rFonts w:ascii="Arial" w:hAnsi="Arial" w:cs="Arial"/>
        </w:rPr>
      </w:pPr>
      <w:r w:rsidRPr="0055064F">
        <w:rPr>
          <w:rFonts w:ascii="Arial" w:hAnsi="Arial" w:cs="Arial"/>
          <w:sz w:val="22"/>
          <w:szCs w:val="22"/>
          <w:lang w:eastAsia="es-CR"/>
        </w:rPr>
        <w:t>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información y revelación; directrices y mecanismos de gobernanza; protección de los inversionistas y mecanismos para abordar las necesidades y requisitos de los inversionistas institucionales.</w:t>
      </w:r>
    </w:p>
    <w:p w14:paraId="51D2B11E" w14:textId="77777777" w:rsidR="000135D5" w:rsidRPr="0055064F" w:rsidRDefault="000135D5" w:rsidP="000135D5">
      <w:pPr>
        <w:pStyle w:val="Prrafodelista"/>
        <w:widowControl/>
        <w:numPr>
          <w:ilvl w:val="0"/>
          <w:numId w:val="2"/>
        </w:numPr>
        <w:spacing w:before="240" w:after="240"/>
        <w:rPr>
          <w:rFonts w:ascii="Arial" w:hAnsi="Arial" w:cs="Arial"/>
          <w:sz w:val="22"/>
          <w:szCs w:val="22"/>
        </w:rPr>
      </w:pPr>
      <w:r w:rsidRPr="009E6218">
        <w:rPr>
          <w:rFonts w:ascii="Arial" w:hAnsi="Arial" w:cs="Arial"/>
          <w:sz w:val="22"/>
          <w:szCs w:val="22"/>
          <w:lang w:eastAsia="es-CR"/>
        </w:rPr>
        <w:t xml:space="preserve">La </w:t>
      </w:r>
      <w:r w:rsidRPr="009E6218">
        <w:rPr>
          <w:rFonts w:ascii="Arial" w:hAnsi="Arial" w:cs="Arial"/>
          <w:sz w:val="22"/>
          <w:szCs w:val="22"/>
        </w:rPr>
        <w:t>Organización para la Cooperación y el Desarrollo Económicos (OCDE</w:t>
      </w:r>
      <w:r w:rsidRPr="009E6218">
        <w:rPr>
          <w:rFonts w:ascii="Arial" w:hAnsi="Arial" w:cs="Arial"/>
        </w:rPr>
        <w:t>) </w:t>
      </w:r>
      <w:r w:rsidRPr="009E6218">
        <w:rPr>
          <w:rFonts w:ascii="Arial" w:hAnsi="Arial" w:cs="Arial"/>
          <w:sz w:val="22"/>
          <w:szCs w:val="22"/>
          <w:lang w:eastAsia="es-CR"/>
        </w:rPr>
        <w:t>ha estado involucrada en el desarrollo de la inversión responsable de varias formas</w:t>
      </w:r>
      <w:r w:rsidRPr="0055064F">
        <w:rPr>
          <w:rFonts w:ascii="Arial" w:hAnsi="Arial" w:cs="Arial"/>
          <w:sz w:val="22"/>
          <w:szCs w:val="22"/>
          <w:lang w:eastAsia="es-CR"/>
        </w:rPr>
        <w:t>. Ha emitido diversos documentos, como, las Directrices de la OCDE para una Conducta Empresarial Responsable destinado a inversionistas institucionales sobre aspectos de gobierno corporativo e integración de los factores ambientales, sociales y de gobierno corporativo (ASG). De acuerdo con la OCDE, l</w:t>
      </w:r>
      <w:r w:rsidRPr="0055064F">
        <w:rPr>
          <w:rFonts w:ascii="Arial" w:hAnsi="Arial" w:cs="Arial"/>
          <w:sz w:val="22"/>
          <w:szCs w:val="22"/>
        </w:rPr>
        <w:t xml:space="preserve">as encuestas a inversionistas profesionales sugieren que estos consideran que la información relacionada con aspectos ASG es cada vez más importante para determinar si una empresa está gestionando adecuadamente el riesgo y alineando su estrategia para lograr rendimientos a largo plazo. </w:t>
      </w:r>
    </w:p>
    <w:p w14:paraId="1AE1BB2B" w14:textId="77777777" w:rsidR="000135D5" w:rsidRPr="0055064F" w:rsidRDefault="000135D5" w:rsidP="000135D5">
      <w:pPr>
        <w:pStyle w:val="Prrafodelista"/>
        <w:widowControl/>
        <w:numPr>
          <w:ilvl w:val="0"/>
          <w:numId w:val="2"/>
        </w:numPr>
        <w:spacing w:before="240" w:after="240"/>
        <w:rPr>
          <w:rFonts w:ascii="Arial" w:hAnsi="Arial" w:cs="Arial"/>
          <w:sz w:val="22"/>
          <w:szCs w:val="22"/>
          <w:lang w:eastAsia="es-CR"/>
        </w:rPr>
      </w:pPr>
      <w:r w:rsidRPr="0055064F">
        <w:rPr>
          <w:rFonts w:ascii="Arial" w:hAnsi="Arial" w:cs="Arial"/>
          <w:sz w:val="22"/>
          <w:szCs w:val="22"/>
          <w:lang w:eastAsia="es-CR"/>
        </w:rPr>
        <w:lastRenderedPageBreak/>
        <w:t>Las divulgaciones de aspectos ASG representan una herramienta cada vez más importante para integrar las consideraciones de sostenibilidad en el proceso de inversión, de varias maneras. En primer lugar, las prácticas en aspectos ASG ayudan a los inversionistas financieros que buscan evaluar la materialidad financiera de los informes no financieros sobre las condiciones, prácticas y estrategias relacionadas con cuestiones ambientales, sociales y de gobernanza a mediano plazo. Por ejemplo, podrían relacionarse con prácticas de gestión de riesgos para reducir el impacto del cambio climático en el desempeño corporativo o estrategias de energías renovables para nuevas oportunidades de crecimiento. En segundo lugar, los inversionistas sociales también están utilizando las calificaciones y métricas ASG para monitorear y evaluar el impacto de sus inversiones, por ejemplo, para reducir las emisiones de carbono o para adherirse mejor a los estándares de derechos humanos. Además, algunos inversionistas pueden utilizar estas métricas para incorporar una combinación de ambos factores, según la estrategia y los objetivos de inversión. Para cada uno de estos propósitos, los aspectos ASG proporcionan un marco útil para que los inversionistas evalúen cómo estos importantes factores no financieros a corto plazo podrían afectar el desempeño de la empresa e impactar su entorno externo a largo plazo. Por lo tanto, las divulgaciones y métricas de aspectos ASG deberían servir para ayudar a los inversionistas a tomar decisiones y juicios de valor más informados.</w:t>
      </w:r>
    </w:p>
    <w:p w14:paraId="60D63058" w14:textId="77777777" w:rsidR="000135D5" w:rsidRPr="00326F51" w:rsidRDefault="000135D5" w:rsidP="000135D5">
      <w:pPr>
        <w:pStyle w:val="Prrafodelista"/>
        <w:widowControl/>
        <w:numPr>
          <w:ilvl w:val="0"/>
          <w:numId w:val="2"/>
        </w:numPr>
        <w:spacing w:before="240" w:after="240"/>
        <w:rPr>
          <w:rFonts w:ascii="Arial" w:hAnsi="Arial" w:cs="Arial"/>
          <w:sz w:val="22"/>
          <w:szCs w:val="22"/>
        </w:rPr>
      </w:pPr>
      <w:r w:rsidRPr="00326F51">
        <w:rPr>
          <w:rFonts w:ascii="Arial" w:hAnsi="Arial" w:cs="Arial"/>
          <w:sz w:val="22"/>
          <w:szCs w:val="22"/>
        </w:rPr>
        <w:t>Durante los últimos años la visión del sector financiero</w:t>
      </w:r>
      <w:r>
        <w:rPr>
          <w:rFonts w:ascii="Arial" w:hAnsi="Arial" w:cs="Arial"/>
          <w:sz w:val="22"/>
          <w:szCs w:val="22"/>
        </w:rPr>
        <w:t xml:space="preserve"> y empresarial</w:t>
      </w:r>
      <w:r w:rsidRPr="00326F51">
        <w:rPr>
          <w:rFonts w:ascii="Arial" w:hAnsi="Arial" w:cs="Arial"/>
          <w:sz w:val="22"/>
          <w:szCs w:val="22"/>
        </w:rPr>
        <w:t xml:space="preserve"> frente a los asuntos de sostenibilidad corporativa ha madurado significativamente, convirtiéndose en parte importante de las decisiones internas de la organización y de su desempeño financiero. La información de desempeño corporativo con respecto a temas de sostenibilidad como el uso de recursos naturales, impactos en derechos humanos, prácticas laborales, conductas éticas, entre otros, se ha convertido en un elemento crucial para el análisis de la calidad de gestión de una empresa, pues permite identificar su exposición a riesgos y evaluar sus capacidades de aprovechar nuevas oportunidades de negocio. Paralelamente, los inversionistas</w:t>
      </w:r>
      <w:r>
        <w:rPr>
          <w:rFonts w:ascii="Arial" w:hAnsi="Arial" w:cs="Arial"/>
          <w:sz w:val="22"/>
          <w:szCs w:val="22"/>
        </w:rPr>
        <w:t xml:space="preserve"> han ido incorporando como elementos a valorar para tomar su decisión de inversión</w:t>
      </w:r>
      <w:r w:rsidRPr="00326F51">
        <w:rPr>
          <w:rFonts w:ascii="Arial" w:hAnsi="Arial" w:cs="Arial"/>
          <w:sz w:val="22"/>
          <w:szCs w:val="22"/>
        </w:rPr>
        <w:t xml:space="preserve"> financiar </w:t>
      </w:r>
      <w:r>
        <w:rPr>
          <w:rFonts w:ascii="Arial" w:hAnsi="Arial" w:cs="Arial"/>
          <w:sz w:val="22"/>
          <w:szCs w:val="22"/>
        </w:rPr>
        <w:t>empresas</w:t>
      </w:r>
      <w:r w:rsidRPr="00326F51">
        <w:rPr>
          <w:rFonts w:ascii="Arial" w:hAnsi="Arial" w:cs="Arial"/>
          <w:sz w:val="22"/>
          <w:szCs w:val="22"/>
        </w:rPr>
        <w:t xml:space="preserve"> que están emprendiendo de manera responsable su transición hacia modelos de negocio más sostenibles, </w:t>
      </w:r>
      <w:r>
        <w:rPr>
          <w:rFonts w:ascii="Arial" w:hAnsi="Arial" w:cs="Arial"/>
          <w:sz w:val="22"/>
          <w:szCs w:val="22"/>
        </w:rPr>
        <w:t>y</w:t>
      </w:r>
      <w:r w:rsidRPr="00326F51">
        <w:rPr>
          <w:rFonts w:ascii="Arial" w:hAnsi="Arial" w:cs="Arial"/>
          <w:sz w:val="22"/>
          <w:szCs w:val="22"/>
        </w:rPr>
        <w:t xml:space="preserve"> además en proteger sus inversiones de los riesgos ambientales, sociales y de gobernanza.</w:t>
      </w:r>
    </w:p>
    <w:p w14:paraId="14098400" w14:textId="77777777" w:rsidR="000135D5" w:rsidRPr="00326F51" w:rsidRDefault="000135D5" w:rsidP="000135D5">
      <w:pPr>
        <w:pStyle w:val="Prrafodelista"/>
        <w:widowControl/>
        <w:numPr>
          <w:ilvl w:val="0"/>
          <w:numId w:val="2"/>
        </w:numPr>
        <w:spacing w:before="240" w:after="240"/>
        <w:rPr>
          <w:rFonts w:ascii="Arial" w:hAnsi="Arial" w:cs="Arial"/>
          <w:sz w:val="22"/>
          <w:szCs w:val="22"/>
        </w:rPr>
      </w:pPr>
      <w:r w:rsidRPr="00326F51">
        <w:rPr>
          <w:rFonts w:ascii="Arial" w:hAnsi="Arial" w:cs="Arial"/>
          <w:sz w:val="22"/>
          <w:szCs w:val="22"/>
        </w:rPr>
        <w:t>Para comunicar el desempeño en aspectos ambientales, sociales y de gobernanza (ASG), la práctica empresarial generalizada alrededor del mundo ha sido la de elaborar informes de sostenibilidad, no solo por el reconocimiento del rol y la importancia de la contribución empresarial para alcanzar los Objetivos de Desarrollo Sostenible, sino también porque las empresas y el mercado han reconocido que existen muchos factores ambientales, sociales y de gobernanza (ASG) que influyen en la capacidad de las organizaciones de alcanzar un desempeño próspero y sostenible.</w:t>
      </w:r>
    </w:p>
    <w:p w14:paraId="4C19BA48" w14:textId="77777777" w:rsidR="000135D5" w:rsidRPr="00326F51" w:rsidRDefault="000135D5" w:rsidP="000135D5">
      <w:pPr>
        <w:pStyle w:val="Prrafodelista"/>
        <w:widowControl/>
        <w:numPr>
          <w:ilvl w:val="0"/>
          <w:numId w:val="2"/>
        </w:numPr>
        <w:spacing w:before="240" w:after="240"/>
        <w:rPr>
          <w:rFonts w:ascii="Arial" w:hAnsi="Arial" w:cs="Arial"/>
          <w:bCs/>
          <w:i/>
          <w:iCs/>
          <w:sz w:val="22"/>
          <w:szCs w:val="22"/>
        </w:rPr>
      </w:pPr>
      <w:r w:rsidRPr="00326F51">
        <w:rPr>
          <w:rFonts w:ascii="Arial" w:hAnsi="Arial" w:cs="Arial"/>
          <w:sz w:val="22"/>
          <w:szCs w:val="22"/>
        </w:rPr>
        <w:t>A nivel internacional existen estándares, principios, directrices, guías y recomendaciones para la elaboración de reportes de sostenibilidad para aquell</w:t>
      </w:r>
      <w:r>
        <w:rPr>
          <w:rFonts w:ascii="Arial" w:hAnsi="Arial" w:cs="Arial"/>
          <w:sz w:val="22"/>
          <w:szCs w:val="22"/>
        </w:rPr>
        <w:t>o</w:t>
      </w:r>
      <w:r w:rsidRPr="00326F51">
        <w:rPr>
          <w:rFonts w:ascii="Arial" w:hAnsi="Arial" w:cs="Arial"/>
          <w:sz w:val="22"/>
          <w:szCs w:val="22"/>
        </w:rPr>
        <w:t xml:space="preserve">s </w:t>
      </w:r>
      <w:r>
        <w:rPr>
          <w:rFonts w:ascii="Arial" w:hAnsi="Arial" w:cs="Arial"/>
          <w:sz w:val="22"/>
          <w:szCs w:val="22"/>
        </w:rPr>
        <w:t>emisores</w:t>
      </w:r>
      <w:r w:rsidRPr="00326F51">
        <w:rPr>
          <w:rFonts w:ascii="Arial" w:hAnsi="Arial" w:cs="Arial"/>
          <w:sz w:val="22"/>
          <w:szCs w:val="22"/>
        </w:rPr>
        <w:t xml:space="preserve"> que deseen evaluar su </w:t>
      </w:r>
      <w:hyperlink r:id="rId8" w:tooltip="Triple resultado" w:history="1">
        <w:r w:rsidRPr="00326F51">
          <w:rPr>
            <w:rFonts w:ascii="Arial" w:hAnsi="Arial" w:cs="Arial"/>
            <w:sz w:val="22"/>
            <w:szCs w:val="22"/>
          </w:rPr>
          <w:t>desempeño económico, ambiental y social</w:t>
        </w:r>
      </w:hyperlink>
      <w:r w:rsidRPr="00326F51">
        <w:rPr>
          <w:rFonts w:ascii="Arial" w:hAnsi="Arial" w:cs="Arial"/>
          <w:sz w:val="22"/>
          <w:szCs w:val="22"/>
        </w:rPr>
        <w:t xml:space="preserve">. Además, la Bolsa Nacional de Valores </w:t>
      </w:r>
      <w:r>
        <w:rPr>
          <w:rFonts w:ascii="Arial" w:hAnsi="Arial" w:cs="Arial"/>
          <w:sz w:val="22"/>
          <w:szCs w:val="22"/>
        </w:rPr>
        <w:t>ha emitido</w:t>
      </w:r>
      <w:r w:rsidRPr="00326F51">
        <w:rPr>
          <w:rFonts w:ascii="Arial" w:hAnsi="Arial" w:cs="Arial"/>
          <w:sz w:val="22"/>
          <w:szCs w:val="22"/>
        </w:rPr>
        <w:t xml:space="preserve"> la “</w:t>
      </w:r>
      <w:r w:rsidRPr="00326F51">
        <w:rPr>
          <w:rFonts w:ascii="Arial" w:hAnsi="Arial" w:cs="Arial"/>
          <w:bCs/>
          <w:i/>
          <w:iCs/>
          <w:sz w:val="22"/>
          <w:szCs w:val="22"/>
        </w:rPr>
        <w:t xml:space="preserve">Guía voluntaria para la creación de Reportes de Sostenibilidad”. </w:t>
      </w:r>
    </w:p>
    <w:p w14:paraId="120C4489" w14:textId="77777777" w:rsidR="000135D5" w:rsidRPr="006D1565" w:rsidRDefault="000135D5" w:rsidP="000135D5">
      <w:pPr>
        <w:pStyle w:val="Prrafodelista"/>
        <w:widowControl/>
        <w:numPr>
          <w:ilvl w:val="0"/>
          <w:numId w:val="2"/>
        </w:numPr>
        <w:spacing w:before="240" w:after="240"/>
        <w:rPr>
          <w:rFonts w:ascii="Arial" w:hAnsi="Arial" w:cs="Arial"/>
          <w:bCs/>
          <w:i/>
          <w:iCs/>
          <w:sz w:val="22"/>
          <w:szCs w:val="22"/>
        </w:rPr>
      </w:pPr>
      <w:r>
        <w:rPr>
          <w:rFonts w:ascii="Arial" w:hAnsi="Arial" w:cs="Arial"/>
          <w:sz w:val="22"/>
          <w:szCs w:val="22"/>
          <w:lang w:eastAsia="es-CR"/>
        </w:rPr>
        <w:lastRenderedPageBreak/>
        <w:t>A</w:t>
      </w:r>
      <w:r w:rsidRPr="00E73238">
        <w:rPr>
          <w:rFonts w:ascii="Arial" w:hAnsi="Arial" w:cs="Arial"/>
          <w:sz w:val="22"/>
          <w:szCs w:val="22"/>
          <w:lang w:eastAsia="es-CR"/>
        </w:rPr>
        <w:t xml:space="preserve"> medida que aumenta la demanda de los </w:t>
      </w:r>
      <w:r>
        <w:rPr>
          <w:rFonts w:ascii="Arial" w:hAnsi="Arial" w:cs="Arial"/>
          <w:sz w:val="22"/>
          <w:szCs w:val="22"/>
          <w:lang w:eastAsia="es-CR"/>
        </w:rPr>
        <w:t>inversionistas</w:t>
      </w:r>
      <w:r w:rsidRPr="00E73238">
        <w:rPr>
          <w:rFonts w:ascii="Arial" w:hAnsi="Arial" w:cs="Arial"/>
          <w:sz w:val="22"/>
          <w:szCs w:val="22"/>
          <w:lang w:eastAsia="es-CR"/>
        </w:rPr>
        <w:t xml:space="preserve"> </w:t>
      </w:r>
      <w:r>
        <w:rPr>
          <w:rFonts w:ascii="Arial" w:hAnsi="Arial" w:cs="Arial"/>
          <w:sz w:val="22"/>
          <w:szCs w:val="22"/>
          <w:lang w:eastAsia="es-CR"/>
        </w:rPr>
        <w:t>por</w:t>
      </w:r>
      <w:r w:rsidRPr="00E73238">
        <w:rPr>
          <w:rFonts w:ascii="Arial" w:hAnsi="Arial" w:cs="Arial"/>
          <w:sz w:val="22"/>
          <w:szCs w:val="22"/>
          <w:lang w:eastAsia="es-CR"/>
        </w:rPr>
        <w:t xml:space="preserve"> información </w:t>
      </w:r>
      <w:r>
        <w:rPr>
          <w:rFonts w:ascii="Arial" w:hAnsi="Arial" w:cs="Arial"/>
          <w:sz w:val="22"/>
          <w:szCs w:val="22"/>
          <w:lang w:eastAsia="es-CR"/>
        </w:rPr>
        <w:t xml:space="preserve">de </w:t>
      </w:r>
      <w:r w:rsidRPr="00E73238">
        <w:rPr>
          <w:rFonts w:ascii="Arial" w:hAnsi="Arial" w:cs="Arial"/>
          <w:sz w:val="22"/>
          <w:szCs w:val="22"/>
          <w:lang w:eastAsia="es-CR"/>
        </w:rPr>
        <w:t xml:space="preserve">índole ambiental, social y de gobernanza </w:t>
      </w:r>
      <w:r>
        <w:rPr>
          <w:rFonts w:ascii="Arial" w:hAnsi="Arial" w:cs="Arial"/>
          <w:sz w:val="22"/>
          <w:szCs w:val="22"/>
          <w:lang w:eastAsia="es-CR"/>
        </w:rPr>
        <w:t>y con el fin</w:t>
      </w:r>
      <w:r w:rsidRPr="00326F51">
        <w:rPr>
          <w:rFonts w:ascii="Arial" w:hAnsi="Arial" w:cs="Arial"/>
          <w:sz w:val="22"/>
          <w:szCs w:val="22"/>
          <w:lang w:eastAsia="es-CR"/>
        </w:rPr>
        <w:t xml:space="preserve"> de promover </w:t>
      </w:r>
      <w:r w:rsidRPr="00326F51">
        <w:rPr>
          <w:rFonts w:ascii="Arial" w:hAnsi="Arial" w:cs="Arial"/>
          <w:sz w:val="22"/>
          <w:szCs w:val="22"/>
        </w:rPr>
        <w:t>una cultura de sostenibilidad y</w:t>
      </w:r>
      <w:r>
        <w:rPr>
          <w:rFonts w:ascii="Arial" w:hAnsi="Arial" w:cs="Arial"/>
          <w:sz w:val="22"/>
          <w:szCs w:val="22"/>
        </w:rPr>
        <w:t xml:space="preserve"> de </w:t>
      </w:r>
      <w:r w:rsidRPr="00326F51">
        <w:rPr>
          <w:rFonts w:ascii="Arial" w:hAnsi="Arial" w:cs="Arial"/>
          <w:sz w:val="22"/>
          <w:szCs w:val="22"/>
        </w:rPr>
        <w:t xml:space="preserve"> </w:t>
      </w:r>
      <w:r w:rsidRPr="00326F51">
        <w:rPr>
          <w:rFonts w:ascii="Arial" w:eastAsiaTheme="minorHAnsi" w:hAnsi="Arial" w:cs="Arial"/>
          <w:sz w:val="22"/>
          <w:szCs w:val="22"/>
        </w:rPr>
        <w:t>fomentar la implementación de mejores prácticas sobre aspectos ASG para l</w:t>
      </w:r>
      <w:r>
        <w:rPr>
          <w:rFonts w:ascii="Arial" w:eastAsiaTheme="minorHAnsi" w:hAnsi="Arial" w:cs="Arial"/>
          <w:sz w:val="22"/>
          <w:szCs w:val="22"/>
        </w:rPr>
        <w:t>os emisores</w:t>
      </w:r>
      <w:r w:rsidRPr="00326F51">
        <w:rPr>
          <w:rFonts w:ascii="Arial" w:eastAsiaTheme="minorHAnsi" w:hAnsi="Arial" w:cs="Arial"/>
          <w:sz w:val="22"/>
          <w:szCs w:val="22"/>
        </w:rPr>
        <w:t xml:space="preserve"> </w:t>
      </w:r>
      <w:r w:rsidRPr="00326F51">
        <w:rPr>
          <w:rFonts w:ascii="Arial" w:hAnsi="Arial" w:cs="Arial"/>
          <w:sz w:val="22"/>
          <w:szCs w:val="22"/>
        </w:rPr>
        <w:t xml:space="preserve">de oferta pública, la SUGEVAL </w:t>
      </w:r>
      <w:r>
        <w:rPr>
          <w:rFonts w:ascii="Arial" w:hAnsi="Arial" w:cs="Arial"/>
          <w:sz w:val="22"/>
          <w:szCs w:val="22"/>
        </w:rPr>
        <w:t>emite</w:t>
      </w:r>
      <w:r w:rsidRPr="00326F51">
        <w:rPr>
          <w:rFonts w:ascii="Arial" w:hAnsi="Arial" w:cs="Arial"/>
          <w:sz w:val="22"/>
          <w:szCs w:val="22"/>
        </w:rPr>
        <w:t xml:space="preserve"> </w:t>
      </w:r>
      <w:r>
        <w:rPr>
          <w:rFonts w:ascii="Arial" w:hAnsi="Arial" w:cs="Arial"/>
          <w:sz w:val="22"/>
          <w:szCs w:val="22"/>
        </w:rPr>
        <w:t xml:space="preserve">los lineamientos de uso voluntario para los emisores, </w:t>
      </w:r>
      <w:r w:rsidRPr="00326F51">
        <w:rPr>
          <w:rFonts w:ascii="Arial" w:eastAsiaTheme="minorHAnsi" w:hAnsi="Arial" w:cs="Arial"/>
          <w:sz w:val="22"/>
          <w:szCs w:val="22"/>
        </w:rPr>
        <w:t>basado</w:t>
      </w:r>
      <w:r>
        <w:rPr>
          <w:rFonts w:ascii="Arial" w:eastAsiaTheme="minorHAnsi" w:hAnsi="Arial" w:cs="Arial"/>
          <w:sz w:val="22"/>
          <w:szCs w:val="22"/>
        </w:rPr>
        <w:t>s</w:t>
      </w:r>
      <w:r w:rsidRPr="00326F51">
        <w:rPr>
          <w:rFonts w:ascii="Arial" w:eastAsiaTheme="minorHAnsi" w:hAnsi="Arial" w:cs="Arial"/>
          <w:sz w:val="22"/>
          <w:szCs w:val="22"/>
        </w:rPr>
        <w:t xml:space="preserve"> en estándares internacionales que pretenden guiar</w:t>
      </w:r>
      <w:r w:rsidRPr="00326F51">
        <w:rPr>
          <w:rFonts w:ascii="Arial" w:hAnsi="Arial" w:cs="Arial"/>
          <w:sz w:val="22"/>
          <w:szCs w:val="22"/>
        </w:rPr>
        <w:t xml:space="preserve"> a los emisores en la elaboración de informes </w:t>
      </w:r>
      <w:r>
        <w:rPr>
          <w:rFonts w:ascii="Arial" w:hAnsi="Arial" w:cs="Arial"/>
          <w:sz w:val="22"/>
          <w:szCs w:val="22"/>
        </w:rPr>
        <w:t>sobre estos aspectos</w:t>
      </w:r>
      <w:r w:rsidRPr="00326F51">
        <w:rPr>
          <w:rFonts w:ascii="Arial" w:hAnsi="Arial" w:cs="Arial"/>
          <w:sz w:val="22"/>
          <w:szCs w:val="22"/>
        </w:rPr>
        <w:t xml:space="preserve"> y con esto brindar a los inversionistas otras herramientas para la toma de decisiones de inversión. </w:t>
      </w:r>
    </w:p>
    <w:p w14:paraId="7BADF037" w14:textId="77777777" w:rsidR="006D1565" w:rsidRPr="006D1565" w:rsidRDefault="006D1565" w:rsidP="000135D5">
      <w:pPr>
        <w:pStyle w:val="Prrafodelista"/>
        <w:widowControl/>
        <w:numPr>
          <w:ilvl w:val="0"/>
          <w:numId w:val="2"/>
        </w:numPr>
        <w:spacing w:before="240" w:after="240"/>
        <w:rPr>
          <w:rFonts w:ascii="Arial" w:hAnsi="Arial" w:cs="Arial"/>
          <w:bCs/>
          <w:sz w:val="22"/>
          <w:szCs w:val="22"/>
        </w:rPr>
      </w:pPr>
      <w:r w:rsidRPr="006D1565">
        <w:rPr>
          <w:rFonts w:ascii="Arial" w:hAnsi="Arial" w:cs="Arial"/>
          <w:bCs/>
          <w:sz w:val="22"/>
          <w:szCs w:val="22"/>
        </w:rPr>
        <w:t>El presente Acuerdo fue sometido al trámite de consulta, de conformidad con el artículo 361 de la Ley General de Administración Pública. Del análisis realizado a las observaciones planteadas, se procedió a la incorporación de las modificaciones que resultaron pertinentes.</w:t>
      </w:r>
    </w:p>
    <w:p w14:paraId="5AE573E0" w14:textId="77777777" w:rsidR="000135D5" w:rsidRPr="00D154AD" w:rsidRDefault="000135D5" w:rsidP="000135D5">
      <w:pPr>
        <w:spacing w:before="240" w:after="240"/>
        <w:rPr>
          <w:rFonts w:ascii="Arial" w:hAnsi="Arial" w:cs="Arial"/>
          <w:b/>
        </w:rPr>
      </w:pPr>
      <w:r w:rsidRPr="00D154AD">
        <w:rPr>
          <w:rFonts w:ascii="Arial" w:hAnsi="Arial" w:cs="Arial"/>
          <w:b/>
        </w:rPr>
        <w:t xml:space="preserve">Por </w:t>
      </w:r>
      <w:proofErr w:type="gramStart"/>
      <w:r w:rsidRPr="00D154AD">
        <w:rPr>
          <w:rFonts w:ascii="Arial" w:hAnsi="Arial" w:cs="Arial"/>
          <w:b/>
        </w:rPr>
        <w:t>tanto</w:t>
      </w:r>
      <w:proofErr w:type="gramEnd"/>
      <w:r w:rsidRPr="00D154AD">
        <w:rPr>
          <w:rFonts w:ascii="Arial" w:hAnsi="Arial" w:cs="Arial"/>
          <w:b/>
        </w:rPr>
        <w:t xml:space="preserve"> acuerda:</w:t>
      </w:r>
    </w:p>
    <w:p w14:paraId="2F9B48FE" w14:textId="77777777" w:rsidR="000135D5" w:rsidRPr="00326F51" w:rsidRDefault="000135D5" w:rsidP="000135D5">
      <w:pPr>
        <w:pStyle w:val="Style1"/>
        <w:numPr>
          <w:ilvl w:val="0"/>
          <w:numId w:val="0"/>
        </w:numPr>
        <w:tabs>
          <w:tab w:val="left" w:pos="0"/>
        </w:tabs>
        <w:spacing w:before="240" w:after="240"/>
        <w:outlineLvl w:val="9"/>
        <w:rPr>
          <w:rFonts w:cs="Arial"/>
          <w:color w:val="auto"/>
          <w:sz w:val="22"/>
          <w:szCs w:val="22"/>
          <w:u w:val="none"/>
        </w:rPr>
      </w:pPr>
      <w:r w:rsidRPr="00326F51">
        <w:rPr>
          <w:rFonts w:cs="Arial"/>
          <w:color w:val="auto"/>
          <w:sz w:val="22"/>
          <w:szCs w:val="22"/>
          <w:u w:val="none"/>
        </w:rPr>
        <w:t xml:space="preserve"> </w:t>
      </w:r>
      <w:bookmarkStart w:id="1" w:name="_Toc71919102"/>
      <w:r w:rsidRPr="00326F51">
        <w:rPr>
          <w:rFonts w:cs="Arial"/>
          <w:color w:val="auto"/>
          <w:sz w:val="22"/>
          <w:szCs w:val="22"/>
          <w:u w:val="none"/>
        </w:rPr>
        <w:t>“</w:t>
      </w:r>
      <w:r w:rsidRPr="00E614BF">
        <w:rPr>
          <w:rFonts w:cs="Arial"/>
          <w:color w:val="auto"/>
          <w:sz w:val="22"/>
          <w:szCs w:val="22"/>
          <w:u w:val="none"/>
        </w:rPr>
        <w:t>SGV-A-</w:t>
      </w:r>
      <w:r w:rsidR="00B63A75" w:rsidRPr="00E614BF">
        <w:rPr>
          <w:rFonts w:cs="Arial"/>
          <w:color w:val="auto"/>
          <w:sz w:val="22"/>
          <w:szCs w:val="22"/>
          <w:u w:val="none"/>
        </w:rPr>
        <w:t>253</w:t>
      </w:r>
      <w:r w:rsidRPr="00E614BF">
        <w:rPr>
          <w:rFonts w:cs="Arial"/>
          <w:color w:val="auto"/>
          <w:sz w:val="22"/>
          <w:szCs w:val="22"/>
          <w:u w:val="none"/>
        </w:rPr>
        <w:t xml:space="preserve"> LINEAMIENTOS</w:t>
      </w:r>
      <w:r w:rsidRPr="00326F51">
        <w:rPr>
          <w:rFonts w:cs="Arial"/>
          <w:color w:val="auto"/>
          <w:sz w:val="22"/>
          <w:szCs w:val="22"/>
          <w:u w:val="none"/>
        </w:rPr>
        <w:t xml:space="preserve"> DE USO VOLUNTARIO DE REVELACI</w:t>
      </w:r>
      <w:r>
        <w:rPr>
          <w:rFonts w:cs="Arial"/>
          <w:color w:val="auto"/>
          <w:sz w:val="22"/>
          <w:szCs w:val="22"/>
          <w:u w:val="none"/>
        </w:rPr>
        <w:t>O</w:t>
      </w:r>
      <w:r w:rsidRPr="00326F51">
        <w:rPr>
          <w:rFonts w:cs="Arial"/>
          <w:color w:val="auto"/>
          <w:sz w:val="22"/>
          <w:szCs w:val="22"/>
          <w:u w:val="none"/>
        </w:rPr>
        <w:t>N DE INFORMACIÓN AMBIENTAL, SOCIAL Y DE GOBERNANZA”</w:t>
      </w:r>
      <w:bookmarkEnd w:id="1"/>
      <w:r w:rsidRPr="00326F51">
        <w:rPr>
          <w:rFonts w:cs="Arial"/>
          <w:color w:val="auto"/>
          <w:sz w:val="22"/>
          <w:szCs w:val="22"/>
          <w:u w:val="none"/>
        </w:rPr>
        <w:t xml:space="preserve"> </w:t>
      </w:r>
    </w:p>
    <w:p w14:paraId="734C1256" w14:textId="77777777" w:rsidR="000135D5" w:rsidRPr="00326F51" w:rsidDel="005A6A83" w:rsidRDefault="000135D5" w:rsidP="000135D5">
      <w:pPr>
        <w:pStyle w:val="Ttulo"/>
        <w:keepNext/>
        <w:keepLines/>
        <w:spacing w:before="240" w:after="240"/>
        <w:jc w:val="both"/>
        <w:outlineLvl w:val="0"/>
        <w:rPr>
          <w:rFonts w:cs="Arial"/>
          <w:szCs w:val="22"/>
        </w:rPr>
      </w:pPr>
      <w:bookmarkStart w:id="2" w:name="_Toc82185415"/>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w:t>
      </w:r>
      <w:r>
        <w:rPr>
          <w:rFonts w:cs="Arial"/>
          <w:szCs w:val="22"/>
        </w:rPr>
        <w:t>Objetivo</w:t>
      </w:r>
      <w:bookmarkEnd w:id="2"/>
    </w:p>
    <w:p w14:paraId="486853D2" w14:textId="77777777" w:rsidR="000135D5" w:rsidDel="005A6A83" w:rsidRDefault="000135D5" w:rsidP="000135D5">
      <w:pPr>
        <w:spacing w:before="240" w:after="240" w:line="240" w:lineRule="auto"/>
        <w:jc w:val="both"/>
        <w:rPr>
          <w:rFonts w:ascii="Arial" w:hAnsi="Arial" w:cs="Arial"/>
        </w:rPr>
      </w:pPr>
      <w:r w:rsidRPr="00326F51" w:rsidDel="005A6A83">
        <w:rPr>
          <w:rFonts w:ascii="Arial" w:hAnsi="Arial" w:cs="Arial"/>
        </w:rPr>
        <w:t xml:space="preserve">Estos lineamientos son recomendaciones para promover y orientar a los emisores a incluir en </w:t>
      </w:r>
      <w:r w:rsidDel="005A6A83">
        <w:rPr>
          <w:rFonts w:ascii="Arial" w:hAnsi="Arial" w:cs="Arial"/>
        </w:rPr>
        <w:t>su</w:t>
      </w:r>
      <w:r w:rsidRPr="00326F51" w:rsidDel="005A6A83">
        <w:rPr>
          <w:rFonts w:ascii="Arial" w:hAnsi="Arial" w:cs="Arial"/>
        </w:rPr>
        <w:t xml:space="preserve"> prospecto de forma completa, precisa, oportuna, comprensible, útil, verificable y comparable en el tiempo, la calidad de gestión empresarial y desempeño en tres aspectos: ambiental, social y de gobernanza</w:t>
      </w:r>
      <w:r w:rsidDel="005A6A83">
        <w:rPr>
          <w:rFonts w:ascii="Arial" w:hAnsi="Arial" w:cs="Arial"/>
        </w:rPr>
        <w:t>, en adelante “aspectos ASG”</w:t>
      </w:r>
      <w:r w:rsidRPr="00326F51" w:rsidDel="005A6A83">
        <w:rPr>
          <w:rFonts w:ascii="Arial" w:hAnsi="Arial" w:cs="Arial"/>
        </w:rPr>
        <w:t>, para lo cual se recomienda simplificar el lenguaje, cantidad y formato de la información presentada</w:t>
      </w:r>
      <w:r w:rsidR="00677BD0" w:rsidRPr="00677BD0">
        <w:rPr>
          <w:rFonts w:ascii="Arial" w:hAnsi="Arial" w:cs="Arial"/>
        </w:rPr>
        <w:t>, de forma que la información que incluya  sea relevante para el inversionista y le facilite su proceso de toma de decisiones de inversión.</w:t>
      </w:r>
      <w:r w:rsidRPr="00326F51" w:rsidDel="005A6A83">
        <w:rPr>
          <w:rFonts w:ascii="Arial" w:hAnsi="Arial" w:cs="Arial"/>
        </w:rPr>
        <w:t xml:space="preserve"> Adicionalmente, las acciones o estrategias indicadas deberán ser congruente con los Objetivos de Desarrollo Sostenible emitidos por la Organización de las Naciones Unidas (ONU).</w:t>
      </w:r>
    </w:p>
    <w:p w14:paraId="65646C63" w14:textId="77777777" w:rsidR="000135D5" w:rsidDel="005A6A83" w:rsidRDefault="000135D5" w:rsidP="000135D5">
      <w:pPr>
        <w:spacing w:before="240" w:after="240" w:line="240" w:lineRule="auto"/>
        <w:jc w:val="both"/>
        <w:rPr>
          <w:rFonts w:ascii="Arial" w:hAnsi="Arial" w:cs="Arial"/>
        </w:rPr>
      </w:pPr>
      <w:r w:rsidRPr="00326F51" w:rsidDel="005A6A83">
        <w:rPr>
          <w:rFonts w:ascii="Arial" w:hAnsi="Arial" w:cs="Arial"/>
        </w:rPr>
        <w:t xml:space="preserve">La SUGEVAL reconoce que incorporar la información sobre aspectos ASG conlleva un proceso de mejora continua y que por consiguiente cada </w:t>
      </w:r>
      <w:r>
        <w:rPr>
          <w:rFonts w:ascii="Arial" w:hAnsi="Arial" w:cs="Arial"/>
        </w:rPr>
        <w:t>emisor</w:t>
      </w:r>
      <w:r w:rsidRPr="00326F51" w:rsidDel="005A6A83">
        <w:rPr>
          <w:rFonts w:ascii="Arial" w:hAnsi="Arial" w:cs="Arial"/>
        </w:rPr>
        <w:t xml:space="preserve"> se encuentra en un nivel distinto de avance dentro del proceso. En este sentido, estos lineamientos sirven tanto como punto de partida para </w:t>
      </w:r>
      <w:r>
        <w:rPr>
          <w:rFonts w:ascii="Arial" w:hAnsi="Arial" w:cs="Arial"/>
        </w:rPr>
        <w:t>los emisores</w:t>
      </w:r>
      <w:r w:rsidRPr="00326F51" w:rsidDel="005A6A83">
        <w:rPr>
          <w:rFonts w:ascii="Arial" w:hAnsi="Arial" w:cs="Arial"/>
        </w:rPr>
        <w:t xml:space="preserve"> que estén elaborando su primera información sobre aspectos ASG, como también para mejorar la calidad de la información para aquell</w:t>
      </w:r>
      <w:r>
        <w:rPr>
          <w:rFonts w:ascii="Arial" w:hAnsi="Arial" w:cs="Arial"/>
        </w:rPr>
        <w:t xml:space="preserve">os </w:t>
      </w:r>
      <w:r w:rsidRPr="00326F51" w:rsidDel="005A6A83">
        <w:rPr>
          <w:rFonts w:ascii="Arial" w:hAnsi="Arial" w:cs="Arial"/>
        </w:rPr>
        <w:t>que están más avanzad</w:t>
      </w:r>
      <w:r>
        <w:rPr>
          <w:rFonts w:ascii="Arial" w:hAnsi="Arial" w:cs="Arial"/>
        </w:rPr>
        <w:t>o</w:t>
      </w:r>
      <w:r w:rsidRPr="00326F51" w:rsidDel="005A6A83">
        <w:rPr>
          <w:rFonts w:ascii="Arial" w:hAnsi="Arial" w:cs="Arial"/>
        </w:rPr>
        <w:t>s.</w:t>
      </w:r>
      <w:r w:rsidDel="005A6A83">
        <w:rPr>
          <w:rFonts w:ascii="Arial" w:hAnsi="Arial" w:cs="Arial"/>
        </w:rPr>
        <w:t xml:space="preserve"> </w:t>
      </w:r>
      <w:r w:rsidRPr="00326F51" w:rsidDel="005A6A83">
        <w:rPr>
          <w:rFonts w:ascii="Arial" w:hAnsi="Arial" w:cs="Arial"/>
        </w:rPr>
        <w:t>Este documento no pretende duplicar estándares, marcos de referencia o principios ya existentes sobre la elaboración de información de aspectos ASG</w:t>
      </w:r>
      <w:r w:rsidDel="005A6A83">
        <w:rPr>
          <w:rFonts w:ascii="Arial" w:hAnsi="Arial" w:cs="Arial"/>
        </w:rPr>
        <w:t>,</w:t>
      </w:r>
      <w:r w:rsidRPr="00326F51" w:rsidDel="005A6A83">
        <w:rPr>
          <w:rFonts w:ascii="Arial" w:hAnsi="Arial" w:cs="Arial"/>
        </w:rPr>
        <w:t xml:space="preserve"> sino incentivar a los emisores a utilizar estas iniciativas para mejorar la cantidad, calidad, consistencia y profundidad de la información que se incluya en los prospectos.</w:t>
      </w:r>
    </w:p>
    <w:p w14:paraId="589F0EA5" w14:textId="77777777" w:rsidR="000135D5" w:rsidRPr="00326F51" w:rsidDel="005A6A83" w:rsidRDefault="000135D5" w:rsidP="000135D5">
      <w:pPr>
        <w:pStyle w:val="Ttulo"/>
        <w:keepNext/>
        <w:keepLines/>
        <w:spacing w:before="240" w:after="240"/>
        <w:jc w:val="both"/>
        <w:outlineLvl w:val="0"/>
        <w:rPr>
          <w:rFonts w:cs="Arial"/>
          <w:szCs w:val="22"/>
        </w:rPr>
      </w:pPr>
      <w:bookmarkStart w:id="3" w:name="_Toc82185416"/>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w:t>
      </w:r>
      <w:r>
        <w:rPr>
          <w:rFonts w:cs="Arial"/>
          <w:szCs w:val="22"/>
        </w:rPr>
        <w:t>Alcance</w:t>
      </w:r>
      <w:bookmarkEnd w:id="3"/>
    </w:p>
    <w:p w14:paraId="6901B35E" w14:textId="77777777" w:rsidR="000135D5" w:rsidRDefault="000135D5" w:rsidP="00013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Aplica a emisores que deseen crear sus reportes de sostenibilidad y revelar la información de aspectos ambientales, sociales y de gobernanza en el prospecto de sus emisiones.</w:t>
      </w:r>
    </w:p>
    <w:p w14:paraId="014B1EC7" w14:textId="77777777" w:rsidR="000135D5" w:rsidRPr="008F4D31" w:rsidRDefault="000135D5" w:rsidP="00013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Del="005A6A83">
        <w:rPr>
          <w:rFonts w:ascii="Arial" w:hAnsi="Arial" w:cs="Arial"/>
        </w:rPr>
        <w:t xml:space="preserve">La adopción de estos lineamientos por parte de </w:t>
      </w:r>
      <w:r>
        <w:rPr>
          <w:rFonts w:ascii="Arial" w:hAnsi="Arial" w:cs="Arial"/>
        </w:rPr>
        <w:t>los emisores</w:t>
      </w:r>
      <w:r w:rsidDel="005A6A83">
        <w:rPr>
          <w:rFonts w:ascii="Arial" w:hAnsi="Arial" w:cs="Arial"/>
        </w:rPr>
        <w:t xml:space="preserve"> es de carácter voluntario</w:t>
      </w:r>
      <w:r>
        <w:rPr>
          <w:rFonts w:ascii="Arial" w:hAnsi="Arial" w:cs="Arial"/>
        </w:rPr>
        <w:t>.</w:t>
      </w:r>
    </w:p>
    <w:p w14:paraId="39E874E9" w14:textId="77777777" w:rsidR="000135D5" w:rsidRPr="00326F51" w:rsidRDefault="000135D5" w:rsidP="000135D5">
      <w:pPr>
        <w:pStyle w:val="Ttulo"/>
        <w:keepNext/>
        <w:keepLines/>
        <w:spacing w:before="240" w:after="240"/>
        <w:jc w:val="both"/>
        <w:outlineLvl w:val="0"/>
        <w:rPr>
          <w:rFonts w:cs="Arial"/>
          <w:szCs w:val="22"/>
        </w:rPr>
      </w:pPr>
      <w:bookmarkStart w:id="4" w:name="_Toc82185417"/>
      <w:r w:rsidRPr="00326F51">
        <w:rPr>
          <w:rFonts w:cs="Arial"/>
          <w:szCs w:val="22"/>
        </w:rPr>
        <w:lastRenderedPageBreak/>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Prospecto y periodicidad de la información</w:t>
      </w:r>
      <w:bookmarkEnd w:id="4"/>
    </w:p>
    <w:p w14:paraId="25D9E677" w14:textId="77777777" w:rsidR="000135D5" w:rsidRPr="00326F51" w:rsidRDefault="000135D5" w:rsidP="000135D5">
      <w:pPr>
        <w:spacing w:before="240" w:after="240" w:line="240" w:lineRule="auto"/>
        <w:jc w:val="both"/>
        <w:rPr>
          <w:rFonts w:ascii="Arial" w:hAnsi="Arial" w:cs="Arial"/>
        </w:rPr>
      </w:pPr>
      <w:r w:rsidRPr="00326F51">
        <w:rPr>
          <w:rFonts w:ascii="Arial" w:hAnsi="Arial" w:cs="Arial"/>
        </w:rPr>
        <w:t xml:space="preserve">Se </w:t>
      </w:r>
      <w:r>
        <w:rPr>
          <w:rFonts w:ascii="Arial" w:hAnsi="Arial" w:cs="Arial"/>
        </w:rPr>
        <w:t>recomienda</w:t>
      </w:r>
      <w:r w:rsidRPr="00326F51">
        <w:rPr>
          <w:rFonts w:ascii="Arial" w:hAnsi="Arial" w:cs="Arial"/>
        </w:rPr>
        <w:t xml:space="preserve"> incluir </w:t>
      </w:r>
      <w:r w:rsidRPr="00326F51">
        <w:rPr>
          <w:rFonts w:ascii="Arial" w:hAnsi="Arial" w:cs="Arial"/>
          <w:bCs/>
        </w:rPr>
        <w:t xml:space="preserve">en la sección del prospecto “Información sobre la empresa emisora” o en una sección aparte la </w:t>
      </w:r>
      <w:r w:rsidRPr="00326F51">
        <w:rPr>
          <w:rFonts w:ascii="Arial" w:hAnsi="Arial" w:cs="Arial"/>
        </w:rPr>
        <w:t>información sobre los aspectos ambientales</w:t>
      </w:r>
      <w:r w:rsidRPr="00326F51">
        <w:rPr>
          <w:rFonts w:ascii="Arial" w:hAnsi="Arial" w:cs="Arial"/>
          <w:color w:val="000000"/>
        </w:rPr>
        <w:t>, sociales y de gobernanza.</w:t>
      </w:r>
      <w:r w:rsidRPr="00326F51">
        <w:rPr>
          <w:rFonts w:ascii="Arial" w:hAnsi="Arial" w:cs="Arial"/>
        </w:rPr>
        <w:t xml:space="preserve"> </w:t>
      </w:r>
      <w:r>
        <w:rPr>
          <w:rFonts w:ascii="Arial" w:hAnsi="Arial" w:cs="Arial"/>
        </w:rPr>
        <w:t xml:space="preserve">En caso de que se incluya, </w:t>
      </w:r>
      <w:r>
        <w:rPr>
          <w:rFonts w:ascii="Arial" w:hAnsi="Arial" w:cs="Arial"/>
          <w:color w:val="000000"/>
        </w:rPr>
        <w:t>di</w:t>
      </w:r>
      <w:r w:rsidRPr="00326F51">
        <w:rPr>
          <w:rFonts w:ascii="Arial" w:hAnsi="Arial" w:cs="Arial"/>
          <w:color w:val="000000"/>
        </w:rPr>
        <w:t xml:space="preserve">cha información </w:t>
      </w:r>
      <w:r>
        <w:rPr>
          <w:rFonts w:ascii="Arial" w:hAnsi="Arial" w:cs="Arial"/>
          <w:color w:val="000000"/>
        </w:rPr>
        <w:t xml:space="preserve">deberá </w:t>
      </w:r>
      <w:r w:rsidRPr="00326F51">
        <w:rPr>
          <w:rFonts w:ascii="Arial" w:hAnsi="Arial" w:cs="Arial"/>
          <w:color w:val="000000"/>
        </w:rPr>
        <w:t>actualizar</w:t>
      </w:r>
      <w:r>
        <w:rPr>
          <w:rFonts w:ascii="Arial" w:hAnsi="Arial" w:cs="Arial"/>
          <w:color w:val="000000"/>
        </w:rPr>
        <w:t xml:space="preserve">se </w:t>
      </w:r>
      <w:r w:rsidRPr="00326F51">
        <w:rPr>
          <w:rFonts w:ascii="Arial" w:hAnsi="Arial" w:cs="Arial"/>
          <w:color w:val="000000"/>
        </w:rPr>
        <w:t xml:space="preserve">cada año como parte del trámite de la actualización anual de prospectos. </w:t>
      </w:r>
    </w:p>
    <w:p w14:paraId="336B1DAD" w14:textId="77777777" w:rsidR="000135D5" w:rsidRPr="00D154AD" w:rsidRDefault="000135D5" w:rsidP="000135D5">
      <w:pPr>
        <w:pStyle w:val="Ttulo"/>
        <w:keepNext/>
        <w:keepLines/>
        <w:spacing w:before="240" w:after="240"/>
        <w:jc w:val="both"/>
        <w:outlineLvl w:val="0"/>
        <w:rPr>
          <w:rFonts w:cs="Arial"/>
          <w:szCs w:val="22"/>
        </w:rPr>
      </w:pPr>
      <w:bookmarkStart w:id="5" w:name="_Toc82185418"/>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w:t>
      </w:r>
      <w:r w:rsidRPr="00D154AD">
        <w:rPr>
          <w:rFonts w:cs="Arial"/>
          <w:szCs w:val="22"/>
        </w:rPr>
        <w:t xml:space="preserve">Concepto de aspectos ambientales, sociales y </w:t>
      </w:r>
      <w:r>
        <w:rPr>
          <w:rFonts w:cs="Arial"/>
          <w:szCs w:val="22"/>
        </w:rPr>
        <w:t>de gobernanza</w:t>
      </w:r>
      <w:bookmarkEnd w:id="5"/>
    </w:p>
    <w:p w14:paraId="2F5E4366" w14:textId="77777777" w:rsidR="000135D5" w:rsidRPr="00326F51" w:rsidRDefault="000135D5" w:rsidP="000135D5">
      <w:pPr>
        <w:pStyle w:val="Ttulo"/>
        <w:spacing w:before="240" w:after="240"/>
        <w:jc w:val="both"/>
        <w:rPr>
          <w:rFonts w:cs="Arial"/>
          <w:b w:val="0"/>
          <w:bCs/>
          <w:szCs w:val="22"/>
        </w:rPr>
      </w:pPr>
      <w:r w:rsidRPr="00326F51">
        <w:rPr>
          <w:rFonts w:cs="Arial"/>
          <w:b w:val="0"/>
          <w:bCs/>
          <w:szCs w:val="22"/>
        </w:rPr>
        <w:t xml:space="preserve">Las siglas ASG se refieren a aspectos Ambientales, Sociales y de Gobernanza que pueden afectar la capacidad y el desempeño de </w:t>
      </w:r>
      <w:r>
        <w:rPr>
          <w:rFonts w:cs="Arial"/>
          <w:b w:val="0"/>
          <w:bCs/>
          <w:szCs w:val="22"/>
        </w:rPr>
        <w:t>un emisor</w:t>
      </w:r>
      <w:r w:rsidRPr="00326F51">
        <w:rPr>
          <w:rFonts w:cs="Arial"/>
          <w:b w:val="0"/>
          <w:bCs/>
          <w:szCs w:val="22"/>
        </w:rPr>
        <w:t xml:space="preserve"> para ejecutar su estrategia de negocio y generar valor en el largo plazo. Los aspectos ASG </w:t>
      </w:r>
      <w:r>
        <w:rPr>
          <w:rFonts w:cs="Arial"/>
          <w:b w:val="0"/>
          <w:bCs/>
          <w:szCs w:val="22"/>
        </w:rPr>
        <w:t>también</w:t>
      </w:r>
      <w:r w:rsidRPr="00326F51">
        <w:rPr>
          <w:rFonts w:cs="Arial"/>
          <w:b w:val="0"/>
          <w:bCs/>
          <w:szCs w:val="22"/>
        </w:rPr>
        <w:t xml:space="preserve"> se </w:t>
      </w:r>
      <w:r>
        <w:rPr>
          <w:rFonts w:cs="Arial"/>
          <w:b w:val="0"/>
          <w:bCs/>
          <w:szCs w:val="22"/>
        </w:rPr>
        <w:t xml:space="preserve">reconocen como </w:t>
      </w:r>
      <w:r w:rsidRPr="00326F51">
        <w:rPr>
          <w:rFonts w:cs="Arial"/>
          <w:b w:val="0"/>
          <w:bCs/>
          <w:szCs w:val="22"/>
        </w:rPr>
        <w:t>“no financieros” ya que generalmente no están incorporados de manera sistemática en el análisis financiero tradicional, a pesar de tener implicaciones financieras importantes.</w:t>
      </w:r>
    </w:p>
    <w:p w14:paraId="4E4C79D1" w14:textId="77777777" w:rsidR="000135D5" w:rsidRPr="002F73E9" w:rsidRDefault="000135D5" w:rsidP="000135D5">
      <w:pPr>
        <w:pStyle w:val="Ttulo"/>
        <w:numPr>
          <w:ilvl w:val="0"/>
          <w:numId w:val="3"/>
        </w:numPr>
        <w:spacing w:before="240" w:after="240"/>
        <w:jc w:val="both"/>
        <w:outlineLvl w:val="1"/>
        <w:rPr>
          <w:rFonts w:cs="Arial"/>
          <w:b w:val="0"/>
          <w:bCs/>
          <w:i/>
          <w:iCs/>
          <w:szCs w:val="22"/>
        </w:rPr>
      </w:pPr>
      <w:bookmarkStart w:id="6" w:name="_Toc82185419"/>
      <w:r w:rsidRPr="002F73E9">
        <w:rPr>
          <w:rFonts w:cs="Arial"/>
          <w:b w:val="0"/>
          <w:bCs/>
          <w:i/>
          <w:iCs/>
          <w:szCs w:val="22"/>
        </w:rPr>
        <w:t>Aspectos ambientales</w:t>
      </w:r>
      <w:bookmarkEnd w:id="6"/>
    </w:p>
    <w:p w14:paraId="66EA37FE" w14:textId="77777777" w:rsidR="000135D5" w:rsidRPr="00326F51" w:rsidRDefault="000135D5" w:rsidP="000135D5">
      <w:pPr>
        <w:pStyle w:val="Ttulo"/>
        <w:spacing w:before="240" w:after="240"/>
        <w:jc w:val="both"/>
        <w:rPr>
          <w:rFonts w:cs="Arial"/>
          <w:b w:val="0"/>
          <w:bCs/>
          <w:szCs w:val="22"/>
        </w:rPr>
      </w:pPr>
      <w:r w:rsidRPr="00326F51">
        <w:rPr>
          <w:rFonts w:cs="Arial"/>
          <w:b w:val="0"/>
          <w:bCs/>
          <w:szCs w:val="22"/>
        </w:rPr>
        <w:t xml:space="preserve">Se refiere a </w:t>
      </w:r>
      <w:r>
        <w:rPr>
          <w:rFonts w:cs="Arial"/>
          <w:b w:val="0"/>
          <w:bCs/>
          <w:szCs w:val="22"/>
        </w:rPr>
        <w:t xml:space="preserve">la estrategia, </w:t>
      </w:r>
      <w:r w:rsidRPr="00326F51">
        <w:rPr>
          <w:rFonts w:cs="Arial"/>
          <w:b w:val="0"/>
          <w:bCs/>
          <w:szCs w:val="22"/>
        </w:rPr>
        <w:t xml:space="preserve">los esfuerzos, </w:t>
      </w:r>
      <w:r>
        <w:rPr>
          <w:rFonts w:cs="Arial"/>
          <w:b w:val="0"/>
          <w:bCs/>
          <w:szCs w:val="22"/>
        </w:rPr>
        <w:t xml:space="preserve">políticas, procesos </w:t>
      </w:r>
      <w:r w:rsidRPr="00326F51">
        <w:rPr>
          <w:rFonts w:cs="Arial"/>
          <w:b w:val="0"/>
          <w:bCs/>
          <w:szCs w:val="22"/>
        </w:rPr>
        <w:t xml:space="preserve">y oportunidades de negocio realizadas por los emisores que generen un impacto </w:t>
      </w:r>
      <w:r>
        <w:rPr>
          <w:rFonts w:cs="Arial"/>
          <w:b w:val="0"/>
          <w:bCs/>
          <w:szCs w:val="22"/>
        </w:rPr>
        <w:t xml:space="preserve">positivo </w:t>
      </w:r>
      <w:r w:rsidRPr="00326F51">
        <w:rPr>
          <w:rFonts w:cs="Arial"/>
          <w:b w:val="0"/>
          <w:bCs/>
          <w:szCs w:val="22"/>
        </w:rPr>
        <w:t xml:space="preserve">en los niveles de contaminación o emisiones de gases de efecto invernadero, efluentes y residuos, en </w:t>
      </w:r>
      <w:r>
        <w:rPr>
          <w:rFonts w:cs="Arial"/>
          <w:b w:val="0"/>
          <w:bCs/>
          <w:szCs w:val="22"/>
        </w:rPr>
        <w:t>la gestión hídrica</w:t>
      </w:r>
      <w:r w:rsidRPr="00326F51">
        <w:rPr>
          <w:rFonts w:cs="Arial"/>
          <w:b w:val="0"/>
          <w:bCs/>
          <w:szCs w:val="22"/>
        </w:rPr>
        <w:t xml:space="preserve">, eficiencia energética, protección a la biodiversidad, certificaciones o cumplimiento ambiental y el uso </w:t>
      </w:r>
      <w:r>
        <w:rPr>
          <w:rFonts w:cs="Arial"/>
          <w:b w:val="0"/>
          <w:bCs/>
          <w:szCs w:val="22"/>
        </w:rPr>
        <w:t>sostenible de recursos naturales o</w:t>
      </w:r>
      <w:r w:rsidRPr="00326F51">
        <w:rPr>
          <w:rFonts w:cs="Arial"/>
          <w:b w:val="0"/>
          <w:bCs/>
          <w:szCs w:val="22"/>
        </w:rPr>
        <w:t xml:space="preserve"> bien cualquier iniciativa que tenga un impacto</w:t>
      </w:r>
      <w:r>
        <w:rPr>
          <w:rFonts w:cs="Arial"/>
          <w:b w:val="0"/>
          <w:bCs/>
          <w:szCs w:val="22"/>
        </w:rPr>
        <w:t xml:space="preserve"> positivo </w:t>
      </w:r>
      <w:r w:rsidRPr="00326F51">
        <w:rPr>
          <w:rFonts w:cs="Arial"/>
          <w:b w:val="0"/>
          <w:bCs/>
          <w:szCs w:val="22"/>
        </w:rPr>
        <w:t xml:space="preserve">al medio ambiente. </w:t>
      </w:r>
    </w:p>
    <w:p w14:paraId="4272E8C9" w14:textId="77777777" w:rsidR="000135D5" w:rsidRPr="002F73E9" w:rsidRDefault="000135D5" w:rsidP="000135D5">
      <w:pPr>
        <w:pStyle w:val="Ttulo"/>
        <w:numPr>
          <w:ilvl w:val="0"/>
          <w:numId w:val="3"/>
        </w:numPr>
        <w:spacing w:before="240" w:after="240"/>
        <w:jc w:val="both"/>
        <w:outlineLvl w:val="1"/>
        <w:rPr>
          <w:rFonts w:cs="Arial"/>
          <w:b w:val="0"/>
          <w:bCs/>
          <w:i/>
          <w:iCs/>
          <w:szCs w:val="22"/>
        </w:rPr>
      </w:pPr>
      <w:bookmarkStart w:id="7" w:name="_Toc82185420"/>
      <w:r w:rsidRPr="002F73E9">
        <w:rPr>
          <w:rFonts w:cs="Arial"/>
          <w:b w:val="0"/>
          <w:bCs/>
          <w:i/>
          <w:iCs/>
          <w:szCs w:val="22"/>
        </w:rPr>
        <w:t>Aspectos sociales</w:t>
      </w:r>
      <w:bookmarkEnd w:id="7"/>
    </w:p>
    <w:p w14:paraId="4D5934DF" w14:textId="77777777" w:rsidR="000135D5" w:rsidRPr="00F803ED" w:rsidRDefault="000135D5" w:rsidP="000135D5">
      <w:pPr>
        <w:autoSpaceDE w:val="0"/>
        <w:autoSpaceDN w:val="0"/>
        <w:adjustRightInd w:val="0"/>
        <w:spacing w:after="0" w:line="240" w:lineRule="auto"/>
        <w:jc w:val="both"/>
        <w:rPr>
          <w:rFonts w:ascii="Arial" w:hAnsi="Arial" w:cs="Arial"/>
          <w:b/>
          <w:sz w:val="30"/>
          <w:szCs w:val="30"/>
        </w:rPr>
      </w:pPr>
      <w:r w:rsidRPr="00F803ED">
        <w:rPr>
          <w:rFonts w:ascii="Arial" w:hAnsi="Arial" w:cs="Arial"/>
          <w:bCs/>
          <w:lang w:val="es-ES"/>
        </w:rPr>
        <w:t xml:space="preserve">Se refiere a la relación </w:t>
      </w:r>
      <w:r>
        <w:rPr>
          <w:rFonts w:ascii="Arial" w:hAnsi="Arial" w:cs="Arial"/>
          <w:bCs/>
          <w:lang w:val="es-ES"/>
        </w:rPr>
        <w:t xml:space="preserve">del emisor </w:t>
      </w:r>
      <w:r w:rsidRPr="00F803ED">
        <w:rPr>
          <w:rFonts w:ascii="Arial" w:hAnsi="Arial" w:cs="Arial"/>
          <w:bCs/>
          <w:lang w:val="es-ES"/>
        </w:rPr>
        <w:t>con la sociedad</w:t>
      </w:r>
      <w:r>
        <w:rPr>
          <w:rFonts w:ascii="Arial" w:hAnsi="Arial" w:cs="Arial"/>
          <w:bCs/>
          <w:lang w:val="es-ES"/>
        </w:rPr>
        <w:t>,</w:t>
      </w:r>
      <w:r w:rsidRPr="00F803ED">
        <w:rPr>
          <w:rFonts w:ascii="Arial" w:hAnsi="Arial" w:cs="Arial"/>
          <w:bCs/>
          <w:lang w:val="es-ES"/>
        </w:rPr>
        <w:t xml:space="preserve"> principalmente con aquellas personas con quienes tienen una relación más directa (colaboradores, accionistas, clientes, proveedores) con respecto a la </w:t>
      </w:r>
      <w:r w:rsidRPr="00F803ED">
        <w:rPr>
          <w:rFonts w:ascii="Arial" w:hAnsi="Arial" w:cs="Arial"/>
          <w:bCs/>
          <w:lang w:val="es-ES" w:eastAsia="es-CR"/>
        </w:rPr>
        <w:t xml:space="preserve">diversidad </w:t>
      </w:r>
      <w:r w:rsidRPr="0055064F">
        <w:rPr>
          <w:rFonts w:ascii="Arial" w:hAnsi="Arial" w:cs="Arial"/>
          <w:bCs/>
          <w:lang w:val="es-ES"/>
        </w:rPr>
        <w:t>(género, nacionalidad, edad, antigüedad, entre otros</w:t>
      </w:r>
      <w:r w:rsidRPr="00F803ED">
        <w:rPr>
          <w:rFonts w:ascii="Arial" w:hAnsi="Arial" w:cs="Arial"/>
          <w:bCs/>
          <w:lang w:val="es-ES"/>
        </w:rPr>
        <w:t>), equidad</w:t>
      </w:r>
      <w:r w:rsidRPr="00F803ED">
        <w:rPr>
          <w:rFonts w:ascii="Arial" w:hAnsi="Arial" w:cs="Arial"/>
          <w:bCs/>
          <w:lang w:val="es-ES" w:eastAsia="es-CR"/>
        </w:rPr>
        <w:t xml:space="preserve">, salud, brechas salariales, beneficios salariales, desarrollo de habilidades, derechos humanos o bien sanciones o litigios relacionados con incumplimiento de alguna normativa sobre los derechos de clientes, </w:t>
      </w:r>
      <w:r>
        <w:rPr>
          <w:rFonts w:ascii="Arial" w:hAnsi="Arial" w:cs="Arial"/>
          <w:bCs/>
          <w:lang w:val="es-ES" w:eastAsia="es-CR"/>
        </w:rPr>
        <w:t xml:space="preserve">directores, socios, </w:t>
      </w:r>
      <w:r w:rsidRPr="00F803ED">
        <w:rPr>
          <w:rFonts w:ascii="Arial" w:hAnsi="Arial" w:cs="Arial"/>
          <w:bCs/>
          <w:lang w:val="es-ES" w:eastAsia="es-CR"/>
        </w:rPr>
        <w:t>trabajadores, proveedores o cualquier otra persona</w:t>
      </w:r>
      <w:r w:rsidRPr="00F803ED">
        <w:rPr>
          <w:rFonts w:ascii="Arial" w:hAnsi="Arial" w:cs="Arial"/>
          <w:bCs/>
          <w:lang w:val="es-ES"/>
        </w:rPr>
        <w:t xml:space="preserve"> y </w:t>
      </w:r>
      <w:r w:rsidRPr="00F803ED">
        <w:rPr>
          <w:rFonts w:ascii="Arial" w:hAnsi="Arial" w:cs="Arial"/>
          <w:bCs/>
          <w:lang w:val="es-ES" w:eastAsia="es-CR"/>
        </w:rPr>
        <w:t xml:space="preserve">esfuerzos realizados por </w:t>
      </w:r>
      <w:r>
        <w:rPr>
          <w:rFonts w:ascii="Arial" w:hAnsi="Arial" w:cs="Arial"/>
          <w:bCs/>
          <w:lang w:val="es-ES" w:eastAsia="es-CR"/>
        </w:rPr>
        <w:t>el emisor</w:t>
      </w:r>
      <w:r w:rsidRPr="00F803ED">
        <w:rPr>
          <w:rFonts w:ascii="Arial" w:hAnsi="Arial" w:cs="Arial"/>
          <w:bCs/>
          <w:lang w:val="es-ES" w:eastAsia="es-CR"/>
        </w:rPr>
        <w:t xml:space="preserve"> para contribuir con </w:t>
      </w:r>
      <w:r w:rsidRPr="00F803ED">
        <w:rPr>
          <w:rFonts w:ascii="Arial" w:hAnsi="Arial" w:cs="Arial"/>
          <w:bCs/>
          <w:lang w:val="es-ES"/>
        </w:rPr>
        <w:t xml:space="preserve">aquellas comunidades locales donde </w:t>
      </w:r>
      <w:r>
        <w:rPr>
          <w:rFonts w:ascii="Arial" w:hAnsi="Arial" w:cs="Arial"/>
          <w:bCs/>
          <w:lang w:val="es-ES"/>
        </w:rPr>
        <w:t xml:space="preserve">desarrollo su actividad económica </w:t>
      </w:r>
      <w:r w:rsidRPr="00F803ED">
        <w:rPr>
          <w:rFonts w:ascii="Arial" w:hAnsi="Arial" w:cs="Arial"/>
          <w:bCs/>
          <w:lang w:val="es-ES" w:eastAsia="es-CR"/>
        </w:rPr>
        <w:t xml:space="preserve">como, por ejemplo: programas sociales, </w:t>
      </w:r>
      <w:r w:rsidRPr="00F803ED">
        <w:rPr>
          <w:rFonts w:ascii="Arial" w:hAnsi="Arial" w:cs="Arial"/>
          <w:bCs/>
          <w:lang w:val="es-ES"/>
        </w:rPr>
        <w:t>consideración de los derechos de las comunidades, pr</w:t>
      </w:r>
      <w:r>
        <w:rPr>
          <w:rFonts w:ascii="Arial" w:hAnsi="Arial" w:cs="Arial"/>
          <w:bCs/>
          <w:lang w:val="es-ES"/>
        </w:rPr>
        <w:t>á</w:t>
      </w:r>
      <w:r w:rsidRPr="00F803ED">
        <w:rPr>
          <w:rFonts w:ascii="Arial" w:hAnsi="Arial" w:cs="Arial"/>
          <w:bCs/>
          <w:lang w:val="es-ES"/>
        </w:rPr>
        <w:t>cticas responsables y amigables con su comunidad,</w:t>
      </w:r>
      <w:r>
        <w:rPr>
          <w:rFonts w:ascii="Arial" w:hAnsi="Arial" w:cs="Arial"/>
          <w:bCs/>
          <w:lang w:val="es-ES"/>
        </w:rPr>
        <w:t xml:space="preserve"> actividades con un retorno de inversión social</w:t>
      </w:r>
      <w:r w:rsidRPr="00F803ED">
        <w:rPr>
          <w:rFonts w:ascii="Arial" w:hAnsi="Arial" w:cs="Arial"/>
          <w:bCs/>
          <w:lang w:val="es-ES"/>
        </w:rPr>
        <w:t xml:space="preserve"> y ciudadanía corporativa.</w:t>
      </w:r>
    </w:p>
    <w:p w14:paraId="724E1E48" w14:textId="77777777" w:rsidR="000135D5" w:rsidRPr="002F73E9" w:rsidRDefault="000135D5" w:rsidP="000135D5">
      <w:pPr>
        <w:pStyle w:val="Ttulo"/>
        <w:numPr>
          <w:ilvl w:val="0"/>
          <w:numId w:val="3"/>
        </w:numPr>
        <w:spacing w:before="240" w:after="240"/>
        <w:jc w:val="both"/>
        <w:outlineLvl w:val="1"/>
        <w:rPr>
          <w:rFonts w:cs="Arial"/>
          <w:b w:val="0"/>
          <w:bCs/>
          <w:i/>
          <w:iCs/>
          <w:szCs w:val="22"/>
        </w:rPr>
      </w:pPr>
      <w:bookmarkStart w:id="8" w:name="_Toc82185421"/>
      <w:r w:rsidRPr="002F73E9">
        <w:rPr>
          <w:rFonts w:cs="Arial"/>
          <w:b w:val="0"/>
          <w:bCs/>
          <w:i/>
          <w:iCs/>
          <w:szCs w:val="22"/>
        </w:rPr>
        <w:t>Aspectos de gobernanza</w:t>
      </w:r>
      <w:bookmarkEnd w:id="8"/>
    </w:p>
    <w:p w14:paraId="39ECB71A" w14:textId="77777777" w:rsidR="000135D5" w:rsidRPr="00326F51" w:rsidRDefault="000135D5" w:rsidP="000135D5">
      <w:pPr>
        <w:pStyle w:val="Ttulo"/>
        <w:spacing w:before="240" w:after="240"/>
        <w:jc w:val="both"/>
        <w:rPr>
          <w:rFonts w:cs="Arial"/>
          <w:b w:val="0"/>
          <w:bCs/>
          <w:szCs w:val="22"/>
        </w:rPr>
      </w:pPr>
      <w:r>
        <w:rPr>
          <w:rFonts w:cs="Arial"/>
          <w:b w:val="0"/>
          <w:bCs/>
          <w:szCs w:val="22"/>
          <w:lang w:val="es-ES"/>
        </w:rPr>
        <w:t>Se entiende por gobierno corporativo el c</w:t>
      </w:r>
      <w:r w:rsidRPr="007D7E33">
        <w:rPr>
          <w:rFonts w:cs="Arial"/>
          <w:b w:val="0"/>
          <w:bCs/>
          <w:szCs w:val="22"/>
          <w:lang w:val="es-ES"/>
        </w:rPr>
        <w:t>onjunto de relaciones entre la administración de</w:t>
      </w:r>
      <w:r>
        <w:rPr>
          <w:rFonts w:cs="Arial"/>
          <w:b w:val="0"/>
          <w:bCs/>
          <w:szCs w:val="22"/>
          <w:lang w:val="es-ES"/>
        </w:rPr>
        <w:t xml:space="preserve"> la empresa</w:t>
      </w:r>
      <w:r w:rsidRPr="007D7E33">
        <w:rPr>
          <w:rFonts w:cs="Arial"/>
          <w:b w:val="0"/>
          <w:bCs/>
          <w:szCs w:val="22"/>
          <w:lang w:val="es-ES"/>
        </w:rPr>
        <w:t xml:space="preserve">, su </w:t>
      </w:r>
      <w:r>
        <w:rPr>
          <w:rFonts w:cs="Arial"/>
          <w:b w:val="0"/>
          <w:bCs/>
          <w:szCs w:val="22"/>
          <w:lang w:val="es-ES"/>
        </w:rPr>
        <w:t>ó</w:t>
      </w:r>
      <w:r w:rsidRPr="007D7E33">
        <w:rPr>
          <w:rFonts w:cs="Arial"/>
          <w:b w:val="0"/>
          <w:bCs/>
          <w:szCs w:val="22"/>
          <w:lang w:val="es-ES"/>
        </w:rPr>
        <w:t xml:space="preserve">rgano de </w:t>
      </w:r>
      <w:r>
        <w:rPr>
          <w:rFonts w:cs="Arial"/>
          <w:b w:val="0"/>
          <w:bCs/>
          <w:szCs w:val="22"/>
          <w:lang w:val="es-ES"/>
        </w:rPr>
        <w:t>d</w:t>
      </w:r>
      <w:r w:rsidRPr="007D7E33">
        <w:rPr>
          <w:rFonts w:cs="Arial"/>
          <w:b w:val="0"/>
          <w:bCs/>
          <w:szCs w:val="22"/>
          <w:lang w:val="es-ES"/>
        </w:rPr>
        <w:t xml:space="preserve">irección, sus propietarios y otras </w:t>
      </w:r>
      <w:r>
        <w:rPr>
          <w:rFonts w:cs="Arial"/>
          <w:b w:val="0"/>
          <w:bCs/>
          <w:szCs w:val="22"/>
          <w:lang w:val="es-ES"/>
        </w:rPr>
        <w:t>p</w:t>
      </w:r>
      <w:r w:rsidRPr="007D7E33">
        <w:rPr>
          <w:rFonts w:cs="Arial"/>
          <w:b w:val="0"/>
          <w:bCs/>
          <w:szCs w:val="22"/>
          <w:lang w:val="es-ES"/>
        </w:rPr>
        <w:t xml:space="preserve">artes </w:t>
      </w:r>
      <w:r>
        <w:rPr>
          <w:rFonts w:cs="Arial"/>
          <w:b w:val="0"/>
          <w:bCs/>
          <w:szCs w:val="22"/>
          <w:lang w:val="es-ES"/>
        </w:rPr>
        <w:t>i</w:t>
      </w:r>
      <w:r w:rsidRPr="007D7E33">
        <w:rPr>
          <w:rFonts w:cs="Arial"/>
          <w:b w:val="0"/>
          <w:bCs/>
          <w:szCs w:val="22"/>
          <w:lang w:val="es-ES"/>
        </w:rPr>
        <w:t xml:space="preserve">nteresadas, las cuales proveen la estructura para establecer los objetivos </w:t>
      </w:r>
      <w:r>
        <w:rPr>
          <w:rFonts w:cs="Arial"/>
          <w:b w:val="0"/>
          <w:bCs/>
          <w:szCs w:val="22"/>
          <w:lang w:val="es-ES"/>
        </w:rPr>
        <w:t>del emisor</w:t>
      </w:r>
      <w:r w:rsidRPr="007D7E33">
        <w:rPr>
          <w:rFonts w:cs="Arial"/>
          <w:b w:val="0"/>
          <w:bCs/>
          <w:szCs w:val="22"/>
          <w:lang w:val="es-ES"/>
        </w:rPr>
        <w:t>, la forma y los medios para alcanzarlos y monitorear su cumplimiento. El Gobierno Corporativo define la manera en que se asigna la autoridad y se toman las decisiones corporativas.</w:t>
      </w:r>
      <w:r>
        <w:rPr>
          <w:rFonts w:cs="Arial"/>
          <w:b w:val="0"/>
          <w:bCs/>
          <w:szCs w:val="22"/>
          <w:lang w:val="es-ES"/>
        </w:rPr>
        <w:t xml:space="preserve"> </w:t>
      </w:r>
      <w:r w:rsidRPr="00326F51">
        <w:rPr>
          <w:rFonts w:cs="Arial"/>
          <w:b w:val="0"/>
          <w:bCs/>
          <w:szCs w:val="22"/>
          <w:lang w:val="es-ES"/>
        </w:rPr>
        <w:t>En ese contexto, el buen gobierno corporativo de l</w:t>
      </w:r>
      <w:r>
        <w:rPr>
          <w:rFonts w:cs="Arial"/>
          <w:b w:val="0"/>
          <w:bCs/>
          <w:szCs w:val="22"/>
          <w:lang w:val="es-ES"/>
        </w:rPr>
        <w:t>o</w:t>
      </w:r>
      <w:r w:rsidRPr="00326F51">
        <w:rPr>
          <w:rFonts w:cs="Arial"/>
          <w:b w:val="0"/>
          <w:bCs/>
          <w:szCs w:val="22"/>
          <w:lang w:val="es-ES"/>
        </w:rPr>
        <w:t xml:space="preserve">s </w:t>
      </w:r>
      <w:r>
        <w:rPr>
          <w:rFonts w:cs="Arial"/>
          <w:b w:val="0"/>
          <w:bCs/>
          <w:szCs w:val="22"/>
          <w:lang w:val="es-ES"/>
        </w:rPr>
        <w:t>emisores</w:t>
      </w:r>
      <w:r w:rsidRPr="00326F51">
        <w:rPr>
          <w:rFonts w:cs="Arial"/>
          <w:b w:val="0"/>
          <w:bCs/>
          <w:szCs w:val="22"/>
          <w:lang w:val="es-ES"/>
        </w:rPr>
        <w:t xml:space="preserve"> no s</w:t>
      </w:r>
      <w:r>
        <w:rPr>
          <w:rFonts w:cs="Arial"/>
          <w:b w:val="0"/>
          <w:bCs/>
          <w:szCs w:val="22"/>
          <w:lang w:val="es-ES"/>
        </w:rPr>
        <w:t>ó</w:t>
      </w:r>
      <w:r w:rsidRPr="00326F51">
        <w:rPr>
          <w:rFonts w:cs="Arial"/>
          <w:b w:val="0"/>
          <w:bCs/>
          <w:szCs w:val="22"/>
          <w:lang w:val="es-ES"/>
        </w:rPr>
        <w:t xml:space="preserve">lo es un elemento que contribuye a incrementar la productividad del sector, sino un factor determinante para el control de los niveles de riesgo a que se encuentran </w:t>
      </w:r>
      <w:r>
        <w:rPr>
          <w:rFonts w:cs="Arial"/>
          <w:b w:val="0"/>
          <w:bCs/>
          <w:szCs w:val="22"/>
          <w:lang w:val="es-ES"/>
        </w:rPr>
        <w:t>expuestos los emisores</w:t>
      </w:r>
      <w:r w:rsidRPr="00326F51">
        <w:rPr>
          <w:rFonts w:cs="Arial"/>
          <w:b w:val="0"/>
          <w:bCs/>
          <w:szCs w:val="22"/>
          <w:lang w:val="es-ES"/>
        </w:rPr>
        <w:t xml:space="preserve"> y </w:t>
      </w:r>
      <w:r w:rsidRPr="00326F51">
        <w:rPr>
          <w:rFonts w:cs="Arial"/>
          <w:b w:val="0"/>
          <w:bCs/>
          <w:szCs w:val="22"/>
        </w:rPr>
        <w:t>resulta relevante en la rendición de cuentas</w:t>
      </w:r>
      <w:r>
        <w:rPr>
          <w:rFonts w:cs="Arial"/>
          <w:b w:val="0"/>
          <w:bCs/>
          <w:szCs w:val="22"/>
        </w:rPr>
        <w:t xml:space="preserve"> (voluntaria o no voluntaria)</w:t>
      </w:r>
      <w:r w:rsidRPr="00326F51">
        <w:rPr>
          <w:rFonts w:cs="Arial"/>
          <w:b w:val="0"/>
          <w:bCs/>
          <w:szCs w:val="22"/>
        </w:rPr>
        <w:t xml:space="preserve"> ante los accionistas, las autoridades fiscalizadoras y el público en general.</w:t>
      </w:r>
    </w:p>
    <w:p w14:paraId="49393F87" w14:textId="77777777" w:rsidR="000135D5" w:rsidRPr="00326F51" w:rsidRDefault="000135D5" w:rsidP="000135D5">
      <w:pPr>
        <w:pStyle w:val="Ttulo"/>
        <w:spacing w:before="240" w:after="240"/>
        <w:jc w:val="both"/>
        <w:rPr>
          <w:rFonts w:cs="Arial"/>
          <w:b w:val="0"/>
          <w:bCs/>
          <w:szCs w:val="22"/>
          <w:lang w:val="es-ES" w:eastAsia="es-CR"/>
        </w:rPr>
      </w:pPr>
      <w:r w:rsidRPr="00326F51">
        <w:rPr>
          <w:rFonts w:cs="Arial"/>
          <w:b w:val="0"/>
          <w:bCs/>
          <w:szCs w:val="22"/>
          <w:lang w:val="es-ES" w:eastAsia="es-CR"/>
        </w:rPr>
        <w:lastRenderedPageBreak/>
        <w:t>Con el fin de evitar duplicidad de información</w:t>
      </w:r>
      <w:r>
        <w:rPr>
          <w:rFonts w:cs="Arial"/>
          <w:b w:val="0"/>
          <w:bCs/>
          <w:szCs w:val="22"/>
          <w:lang w:val="es-ES" w:eastAsia="es-CR"/>
        </w:rPr>
        <w:t xml:space="preserve"> con la requerida por la normativa sobre Gobierno Corporativo emitida por el Consejo Nacional de Supervisión del Sistema Financiero</w:t>
      </w:r>
      <w:r w:rsidRPr="00326F51">
        <w:rPr>
          <w:rFonts w:cs="Arial"/>
          <w:b w:val="0"/>
          <w:bCs/>
          <w:szCs w:val="22"/>
          <w:lang w:val="es-ES" w:eastAsia="es-CR"/>
        </w:rPr>
        <w:t xml:space="preserve">, se recomienda incluir en </w:t>
      </w:r>
      <w:r w:rsidRPr="0055064F">
        <w:rPr>
          <w:rFonts w:cs="Arial"/>
          <w:b w:val="0"/>
          <w:bCs/>
          <w:szCs w:val="22"/>
          <w:lang w:val="es-ES" w:eastAsia="es-CR"/>
        </w:rPr>
        <w:t xml:space="preserve">el prospecto aspectos adicionales no revelados en el </w:t>
      </w:r>
      <w:r>
        <w:rPr>
          <w:rFonts w:cs="Arial"/>
          <w:b w:val="0"/>
          <w:bCs/>
          <w:szCs w:val="22"/>
          <w:lang w:val="es-ES" w:eastAsia="es-CR"/>
        </w:rPr>
        <w:t>Código de</w:t>
      </w:r>
      <w:r w:rsidRPr="0055064F">
        <w:rPr>
          <w:rFonts w:cs="Arial"/>
          <w:b w:val="0"/>
          <w:bCs/>
          <w:szCs w:val="22"/>
          <w:lang w:val="es-ES" w:eastAsia="es-CR"/>
        </w:rPr>
        <w:t xml:space="preserve"> </w:t>
      </w:r>
      <w:r>
        <w:rPr>
          <w:rFonts w:cs="Arial"/>
          <w:b w:val="0"/>
          <w:bCs/>
          <w:szCs w:val="22"/>
          <w:lang w:val="es-ES" w:eastAsia="es-CR"/>
        </w:rPr>
        <w:t>G</w:t>
      </w:r>
      <w:r w:rsidRPr="0055064F">
        <w:rPr>
          <w:rFonts w:cs="Arial"/>
          <w:b w:val="0"/>
          <w:bCs/>
          <w:szCs w:val="22"/>
          <w:lang w:val="es-ES" w:eastAsia="es-CR"/>
        </w:rPr>
        <w:t xml:space="preserve">obierno </w:t>
      </w:r>
      <w:r>
        <w:rPr>
          <w:rFonts w:cs="Arial"/>
          <w:b w:val="0"/>
          <w:bCs/>
          <w:szCs w:val="22"/>
          <w:lang w:val="es-ES" w:eastAsia="es-CR"/>
        </w:rPr>
        <w:t>C</w:t>
      </w:r>
      <w:r w:rsidRPr="0055064F">
        <w:rPr>
          <w:rFonts w:cs="Arial"/>
          <w:b w:val="0"/>
          <w:bCs/>
          <w:szCs w:val="22"/>
          <w:lang w:val="es-ES" w:eastAsia="es-CR"/>
        </w:rPr>
        <w:t xml:space="preserve">orporativo publicado en el sitio web de cada emisor relacionados con el </w:t>
      </w:r>
      <w:r w:rsidRPr="00632445">
        <w:rPr>
          <w:rFonts w:cs="Arial"/>
          <w:b w:val="0"/>
          <w:bCs/>
          <w:szCs w:val="22"/>
          <w:lang w:val="es-ES" w:eastAsia="es-CR"/>
        </w:rPr>
        <w:t>órgano de dirección y la alta gerencia</w:t>
      </w:r>
      <w:r w:rsidRPr="0055064F">
        <w:rPr>
          <w:rFonts w:cs="Arial"/>
          <w:b w:val="0"/>
          <w:bCs/>
          <w:szCs w:val="22"/>
          <w:lang w:val="es-ES" w:eastAsia="es-CR"/>
        </w:rPr>
        <w:t>. Por ejemplo:</w:t>
      </w:r>
      <w:r>
        <w:rPr>
          <w:rFonts w:cs="Arial"/>
          <w:b w:val="0"/>
          <w:bCs/>
          <w:szCs w:val="22"/>
          <w:lang w:val="es-ES" w:eastAsia="es-CR"/>
        </w:rPr>
        <w:t xml:space="preserve"> cantidad de directores independientes,</w:t>
      </w:r>
      <w:r w:rsidRPr="0055064F">
        <w:rPr>
          <w:rFonts w:cs="Arial"/>
          <w:b w:val="0"/>
          <w:bCs/>
          <w:szCs w:val="22"/>
          <w:lang w:val="es-ES" w:eastAsia="es-CR"/>
        </w:rPr>
        <w:t xml:space="preserve"> </w:t>
      </w:r>
      <w:r>
        <w:rPr>
          <w:rFonts w:cs="Arial"/>
          <w:b w:val="0"/>
          <w:bCs/>
          <w:szCs w:val="22"/>
          <w:lang w:val="es-ES" w:eastAsia="es-CR"/>
        </w:rPr>
        <w:t xml:space="preserve">existencia de un comité de auditoría, </w:t>
      </w:r>
      <w:r w:rsidRPr="0055064F">
        <w:rPr>
          <w:rFonts w:cs="Arial"/>
          <w:b w:val="0"/>
          <w:bCs/>
          <w:szCs w:val="22"/>
          <w:lang w:val="es-ES" w:eastAsia="es-CR"/>
        </w:rPr>
        <w:t xml:space="preserve">distribución por género, nacionalidad, rangos de edad, antigüedad, situación de discapacidad, brecha salarial por género, entre otros y, además, hacer referencia expresa a que </w:t>
      </w:r>
      <w:r>
        <w:rPr>
          <w:rFonts w:cs="Arial"/>
          <w:b w:val="0"/>
          <w:bCs/>
          <w:szCs w:val="22"/>
          <w:lang w:val="es-ES" w:eastAsia="es-CR"/>
        </w:rPr>
        <w:t>el emisor</w:t>
      </w:r>
      <w:r w:rsidRPr="0055064F">
        <w:rPr>
          <w:rFonts w:cs="Arial"/>
          <w:b w:val="0"/>
          <w:bCs/>
          <w:szCs w:val="22"/>
          <w:lang w:val="es-ES" w:eastAsia="es-CR"/>
        </w:rPr>
        <w:t xml:space="preserve"> </w:t>
      </w:r>
      <w:r>
        <w:rPr>
          <w:rFonts w:cs="Arial"/>
          <w:b w:val="0"/>
          <w:bCs/>
          <w:szCs w:val="22"/>
          <w:lang w:val="es-ES" w:eastAsia="es-CR"/>
        </w:rPr>
        <w:t>cuenta con un Código</w:t>
      </w:r>
      <w:r w:rsidRPr="0055064F">
        <w:rPr>
          <w:rFonts w:cs="Arial"/>
          <w:b w:val="0"/>
          <w:bCs/>
          <w:szCs w:val="22"/>
          <w:lang w:val="es-ES" w:eastAsia="es-CR"/>
        </w:rPr>
        <w:t xml:space="preserve"> </w:t>
      </w:r>
      <w:r>
        <w:rPr>
          <w:rFonts w:cs="Arial"/>
          <w:b w:val="0"/>
          <w:bCs/>
          <w:szCs w:val="22"/>
          <w:lang w:val="es-ES" w:eastAsia="es-CR"/>
        </w:rPr>
        <w:t>de</w:t>
      </w:r>
      <w:r w:rsidRPr="0055064F">
        <w:rPr>
          <w:rFonts w:cs="Arial"/>
          <w:b w:val="0"/>
          <w:bCs/>
          <w:szCs w:val="22"/>
          <w:lang w:val="es-ES" w:eastAsia="es-CR"/>
        </w:rPr>
        <w:t xml:space="preserve"> </w:t>
      </w:r>
      <w:r>
        <w:rPr>
          <w:rFonts w:cs="Arial"/>
          <w:b w:val="0"/>
          <w:bCs/>
          <w:szCs w:val="22"/>
          <w:lang w:val="es-ES" w:eastAsia="es-CR"/>
        </w:rPr>
        <w:t>G</w:t>
      </w:r>
      <w:r w:rsidRPr="0055064F">
        <w:rPr>
          <w:rFonts w:cs="Arial"/>
          <w:b w:val="0"/>
          <w:bCs/>
          <w:szCs w:val="22"/>
          <w:lang w:val="es-ES" w:eastAsia="es-CR"/>
        </w:rPr>
        <w:t xml:space="preserve">obierno </w:t>
      </w:r>
      <w:r>
        <w:rPr>
          <w:rFonts w:cs="Arial"/>
          <w:b w:val="0"/>
          <w:bCs/>
          <w:szCs w:val="22"/>
          <w:lang w:val="es-ES" w:eastAsia="es-CR"/>
        </w:rPr>
        <w:t>C</w:t>
      </w:r>
      <w:r w:rsidRPr="0055064F">
        <w:rPr>
          <w:rFonts w:cs="Arial"/>
          <w:b w:val="0"/>
          <w:bCs/>
          <w:szCs w:val="22"/>
          <w:lang w:val="es-ES" w:eastAsia="es-CR"/>
        </w:rPr>
        <w:t>orporativo</w:t>
      </w:r>
      <w:r>
        <w:rPr>
          <w:rFonts w:cs="Arial"/>
          <w:b w:val="0"/>
          <w:bCs/>
          <w:szCs w:val="22"/>
          <w:lang w:val="es-ES" w:eastAsia="es-CR"/>
        </w:rPr>
        <w:t>, el cual puede incluir un Código de Ética o cualquier otra disposición relacionada con las normas de conducta de la entidad.</w:t>
      </w:r>
    </w:p>
    <w:p w14:paraId="34470B24" w14:textId="77777777" w:rsidR="000135D5" w:rsidRPr="00D154AD" w:rsidRDefault="000135D5" w:rsidP="000135D5">
      <w:pPr>
        <w:pStyle w:val="Ttulo"/>
        <w:keepNext/>
        <w:keepLines/>
        <w:spacing w:before="240" w:after="240"/>
        <w:jc w:val="both"/>
        <w:outlineLvl w:val="0"/>
        <w:rPr>
          <w:rFonts w:cs="Arial"/>
          <w:szCs w:val="22"/>
        </w:rPr>
      </w:pPr>
      <w:bookmarkStart w:id="9" w:name="_Toc82185422"/>
      <w:r w:rsidRPr="004E6F6F">
        <w:rPr>
          <w:rFonts w:cs="Arial"/>
          <w:szCs w:val="22"/>
        </w:rPr>
        <w:t xml:space="preserve">Artículo </w:t>
      </w:r>
      <w:r w:rsidRPr="004E6F6F">
        <w:rPr>
          <w:rFonts w:cs="Arial"/>
          <w:szCs w:val="22"/>
        </w:rPr>
        <w:fldChar w:fldCharType="begin"/>
      </w:r>
      <w:r w:rsidRPr="004E6F6F">
        <w:rPr>
          <w:rFonts w:cs="Arial"/>
          <w:szCs w:val="22"/>
        </w:rPr>
        <w:instrText xml:space="preserve"> AUTONUM  \* Arabic </w:instrText>
      </w:r>
      <w:r w:rsidRPr="004E6F6F">
        <w:rPr>
          <w:rFonts w:cs="Arial"/>
          <w:szCs w:val="22"/>
        </w:rPr>
        <w:fldChar w:fldCharType="end"/>
      </w:r>
      <w:r w:rsidRPr="004E6F6F">
        <w:rPr>
          <w:rFonts w:cs="Arial"/>
          <w:szCs w:val="22"/>
        </w:rPr>
        <w:t xml:space="preserve"> Principales beneficios de reportar aspectos ambientales, sociales y de gobernanza</w:t>
      </w:r>
      <w:bookmarkEnd w:id="9"/>
    </w:p>
    <w:p w14:paraId="2483298A" w14:textId="77777777" w:rsidR="000135D5" w:rsidRPr="00C54FD5" w:rsidRDefault="000135D5" w:rsidP="000135D5">
      <w:pPr>
        <w:spacing w:before="240" w:after="240" w:line="240" w:lineRule="auto"/>
        <w:jc w:val="both"/>
        <w:rPr>
          <w:rFonts w:ascii="Arial" w:hAnsi="Arial" w:cs="Arial"/>
        </w:rPr>
      </w:pPr>
      <w:r w:rsidRPr="00326F51">
        <w:rPr>
          <w:rFonts w:ascii="Arial" w:hAnsi="Arial" w:cs="Arial"/>
        </w:rPr>
        <w:t xml:space="preserve">Los principales beneficios que </w:t>
      </w:r>
      <w:r>
        <w:rPr>
          <w:rFonts w:ascii="Arial" w:hAnsi="Arial" w:cs="Arial"/>
        </w:rPr>
        <w:t>se alcanzan con</w:t>
      </w:r>
      <w:r w:rsidRPr="00326F51">
        <w:rPr>
          <w:rFonts w:ascii="Arial" w:hAnsi="Arial" w:cs="Arial"/>
        </w:rPr>
        <w:t xml:space="preserve"> la elaboración de reportes de sostenibilidad están relacionados con </w:t>
      </w:r>
      <w:r w:rsidRPr="00326F51">
        <w:rPr>
          <w:rFonts w:ascii="Arial" w:eastAsia="Times New Roman" w:hAnsi="Arial" w:cs="Arial"/>
          <w:lang w:val="es-ES" w:eastAsia="es-CR"/>
        </w:rPr>
        <w:t xml:space="preserve">generar valor económico a </w:t>
      </w:r>
      <w:r>
        <w:rPr>
          <w:rFonts w:ascii="Arial" w:eastAsia="Times New Roman" w:hAnsi="Arial" w:cs="Arial"/>
          <w:lang w:val="es-ES" w:eastAsia="es-CR"/>
        </w:rPr>
        <w:t>los emisores</w:t>
      </w:r>
      <w:r w:rsidRPr="00326F51">
        <w:rPr>
          <w:rFonts w:ascii="Arial" w:eastAsia="Times New Roman" w:hAnsi="Arial" w:cs="Arial"/>
          <w:lang w:val="es-ES" w:eastAsia="es-CR"/>
        </w:rPr>
        <w:t>, a través de la identificación de oportunidades de ahorro</w:t>
      </w:r>
      <w:r>
        <w:rPr>
          <w:rFonts w:ascii="Arial" w:eastAsia="Times New Roman" w:hAnsi="Arial" w:cs="Arial"/>
          <w:lang w:val="es-ES" w:eastAsia="es-CR"/>
        </w:rPr>
        <w:t xml:space="preserve"> y eficiencia</w:t>
      </w:r>
      <w:r w:rsidRPr="00326F51">
        <w:rPr>
          <w:rFonts w:ascii="Arial" w:eastAsia="Times New Roman" w:hAnsi="Arial" w:cs="Arial"/>
          <w:lang w:val="es-ES" w:eastAsia="es-CR"/>
        </w:rPr>
        <w:t xml:space="preserve"> en costos, generación de nuevos ingresos</w:t>
      </w:r>
      <w:r>
        <w:rPr>
          <w:rFonts w:ascii="Arial" w:eastAsia="Times New Roman" w:hAnsi="Arial" w:cs="Arial"/>
          <w:lang w:val="es-ES" w:eastAsia="es-CR"/>
        </w:rPr>
        <w:t xml:space="preserve">, </w:t>
      </w:r>
      <w:r w:rsidRPr="00326F51">
        <w:rPr>
          <w:rFonts w:ascii="Arial" w:eastAsia="Times New Roman" w:hAnsi="Arial" w:cs="Arial"/>
          <w:lang w:val="es-ES" w:eastAsia="es-CR"/>
        </w:rPr>
        <w:t>mitigación de riesgos</w:t>
      </w:r>
      <w:r>
        <w:rPr>
          <w:rFonts w:ascii="Arial" w:eastAsia="Times New Roman" w:hAnsi="Arial" w:cs="Arial"/>
          <w:lang w:val="es-ES" w:eastAsia="es-CR"/>
        </w:rPr>
        <w:t>, transparencia en operaciones y rendición de cuentas voluntarias.</w:t>
      </w:r>
    </w:p>
    <w:p w14:paraId="56DD5538" w14:textId="77777777" w:rsidR="000135D5" w:rsidRPr="00326F51" w:rsidRDefault="000135D5" w:rsidP="000135D5">
      <w:pPr>
        <w:autoSpaceDE w:val="0"/>
        <w:autoSpaceDN w:val="0"/>
        <w:adjustRightInd w:val="0"/>
        <w:spacing w:before="240" w:after="240" w:line="240" w:lineRule="auto"/>
        <w:jc w:val="both"/>
        <w:rPr>
          <w:rFonts w:ascii="Arial" w:eastAsia="Times New Roman" w:hAnsi="Arial" w:cs="Arial"/>
          <w:lang w:val="es-ES" w:eastAsia="es-CR"/>
        </w:rPr>
      </w:pPr>
      <w:r w:rsidRPr="00326F51">
        <w:rPr>
          <w:rFonts w:ascii="Arial" w:eastAsia="Times New Roman" w:hAnsi="Arial" w:cs="Arial"/>
          <w:lang w:val="es-ES" w:eastAsia="es-CR"/>
        </w:rPr>
        <w:t xml:space="preserve">La tendencia de </w:t>
      </w:r>
      <w:r>
        <w:rPr>
          <w:rFonts w:ascii="Arial" w:eastAsia="Times New Roman" w:hAnsi="Arial" w:cs="Arial"/>
          <w:lang w:val="es-ES" w:eastAsia="es-CR"/>
        </w:rPr>
        <w:t xml:space="preserve">revelar acciones en materia de </w:t>
      </w:r>
      <w:r w:rsidRPr="00326F51">
        <w:rPr>
          <w:rFonts w:ascii="Arial" w:eastAsia="Times New Roman" w:hAnsi="Arial" w:cs="Arial"/>
          <w:lang w:val="es-ES" w:eastAsia="es-CR"/>
        </w:rPr>
        <w:t xml:space="preserve">sostenibilidad alrededor del mundo ha estado impulsada en gran medida por el aumento de requerimientos de información por parte de terceros. Los estándares internacionales contribuyen a que las organizaciones puedan alinear su gestión con la agenda nacional e internacional </w:t>
      </w:r>
      <w:r>
        <w:rPr>
          <w:rFonts w:ascii="Arial" w:eastAsia="Times New Roman" w:hAnsi="Arial" w:cs="Arial"/>
          <w:lang w:val="es-ES" w:eastAsia="es-CR"/>
        </w:rPr>
        <w:t>de los Objetivos de</w:t>
      </w:r>
      <w:r w:rsidRPr="00326F51">
        <w:rPr>
          <w:rFonts w:ascii="Arial" w:eastAsia="Times New Roman" w:hAnsi="Arial" w:cs="Arial"/>
          <w:lang w:val="es-ES" w:eastAsia="es-CR"/>
        </w:rPr>
        <w:t xml:space="preserve"> </w:t>
      </w:r>
      <w:r>
        <w:rPr>
          <w:rFonts w:ascii="Arial" w:eastAsia="Times New Roman" w:hAnsi="Arial" w:cs="Arial"/>
          <w:lang w:val="es-ES" w:eastAsia="es-CR"/>
        </w:rPr>
        <w:t>D</w:t>
      </w:r>
      <w:r w:rsidRPr="00326F51">
        <w:rPr>
          <w:rFonts w:ascii="Arial" w:eastAsia="Times New Roman" w:hAnsi="Arial" w:cs="Arial"/>
          <w:lang w:val="es-ES" w:eastAsia="es-CR"/>
        </w:rPr>
        <w:t xml:space="preserve">esarrollo </w:t>
      </w:r>
      <w:r>
        <w:rPr>
          <w:rFonts w:ascii="Arial" w:eastAsia="Times New Roman" w:hAnsi="Arial" w:cs="Arial"/>
          <w:lang w:val="es-ES" w:eastAsia="es-CR"/>
        </w:rPr>
        <w:t>S</w:t>
      </w:r>
      <w:r w:rsidRPr="00326F51">
        <w:rPr>
          <w:rFonts w:ascii="Arial" w:eastAsia="Times New Roman" w:hAnsi="Arial" w:cs="Arial"/>
          <w:lang w:val="es-ES" w:eastAsia="es-CR"/>
        </w:rPr>
        <w:t>ostenible (ODS) lo cual la</w:t>
      </w:r>
      <w:r>
        <w:rPr>
          <w:rFonts w:ascii="Arial" w:eastAsia="Times New Roman" w:hAnsi="Arial" w:cs="Arial"/>
          <w:lang w:val="es-ES" w:eastAsia="es-CR"/>
        </w:rPr>
        <w:t>s</w:t>
      </w:r>
      <w:r w:rsidRPr="00326F51">
        <w:rPr>
          <w:rFonts w:ascii="Arial" w:eastAsia="Times New Roman" w:hAnsi="Arial" w:cs="Arial"/>
          <w:lang w:val="es-ES" w:eastAsia="es-CR"/>
        </w:rPr>
        <w:t xml:space="preserve"> hace más atractiva</w:t>
      </w:r>
      <w:r>
        <w:rPr>
          <w:rFonts w:ascii="Arial" w:eastAsia="Times New Roman" w:hAnsi="Arial" w:cs="Arial"/>
          <w:lang w:val="es-ES" w:eastAsia="es-CR"/>
        </w:rPr>
        <w:t>s</w:t>
      </w:r>
      <w:r w:rsidRPr="00326F51">
        <w:rPr>
          <w:rFonts w:ascii="Arial" w:eastAsia="Times New Roman" w:hAnsi="Arial" w:cs="Arial"/>
          <w:lang w:val="es-ES" w:eastAsia="es-CR"/>
        </w:rPr>
        <w:t xml:space="preserve"> para una gran cantidad de inversionistas.</w:t>
      </w:r>
    </w:p>
    <w:p w14:paraId="041B2721" w14:textId="77777777" w:rsidR="000135D5" w:rsidRPr="00B61E78" w:rsidRDefault="000135D5" w:rsidP="000135D5">
      <w:pPr>
        <w:pStyle w:val="Ttulo"/>
        <w:numPr>
          <w:ilvl w:val="0"/>
          <w:numId w:val="5"/>
        </w:numPr>
        <w:spacing w:before="240" w:after="240"/>
        <w:jc w:val="both"/>
        <w:outlineLvl w:val="1"/>
        <w:rPr>
          <w:rFonts w:cs="Arial"/>
          <w:b w:val="0"/>
          <w:bCs/>
          <w:i/>
          <w:iCs/>
          <w:szCs w:val="22"/>
        </w:rPr>
      </w:pPr>
      <w:bookmarkStart w:id="10" w:name="_Toc82185423"/>
      <w:r w:rsidRPr="00B61E78">
        <w:rPr>
          <w:rFonts w:cs="Arial"/>
          <w:b w:val="0"/>
          <w:bCs/>
          <w:i/>
          <w:iCs/>
          <w:szCs w:val="22"/>
        </w:rPr>
        <w:t>Beneficios internos</w:t>
      </w:r>
      <w:bookmarkEnd w:id="10"/>
    </w:p>
    <w:p w14:paraId="20B8D20A" w14:textId="77777777" w:rsidR="000135D5" w:rsidRPr="00326F51" w:rsidRDefault="000135D5" w:rsidP="000135D5">
      <w:pPr>
        <w:autoSpaceDE w:val="0"/>
        <w:autoSpaceDN w:val="0"/>
        <w:adjustRightInd w:val="0"/>
        <w:spacing w:before="240" w:after="240" w:line="240" w:lineRule="auto"/>
        <w:jc w:val="both"/>
        <w:rPr>
          <w:rFonts w:ascii="Arial" w:eastAsia="Times New Roman" w:hAnsi="Arial" w:cs="Arial"/>
          <w:lang w:val="es-ES" w:eastAsia="es-CR"/>
        </w:rPr>
      </w:pPr>
      <w:r w:rsidRPr="00326F51">
        <w:rPr>
          <w:rFonts w:ascii="Arial" w:eastAsia="Times New Roman" w:hAnsi="Arial" w:cs="Arial"/>
          <w:b/>
          <w:bCs/>
          <w:lang w:val="es-ES" w:eastAsia="es-CR"/>
        </w:rPr>
        <w:t>Medición de logros:</w:t>
      </w:r>
      <w:r w:rsidRPr="00326F51">
        <w:rPr>
          <w:rFonts w:ascii="Arial" w:hAnsi="Arial" w:cs="Arial"/>
        </w:rPr>
        <w:t xml:space="preserve"> </w:t>
      </w:r>
      <w:r w:rsidRPr="00326F51">
        <w:rPr>
          <w:rFonts w:ascii="Arial" w:eastAsia="Times New Roman" w:hAnsi="Arial" w:cs="Arial"/>
          <w:lang w:val="es-ES" w:eastAsia="es-CR"/>
        </w:rPr>
        <w:t xml:space="preserve">permite medir </w:t>
      </w:r>
      <w:r>
        <w:rPr>
          <w:rFonts w:ascii="Arial" w:eastAsia="Times New Roman" w:hAnsi="Arial" w:cs="Arial"/>
          <w:lang w:val="es-ES" w:eastAsia="es-CR"/>
        </w:rPr>
        <w:t>mediante Indicadores Clave de Desempeño (</w:t>
      </w:r>
      <w:proofErr w:type="spellStart"/>
      <w:r w:rsidRPr="001A337D">
        <w:rPr>
          <w:rFonts w:ascii="Arial" w:eastAsia="Times New Roman" w:hAnsi="Arial" w:cs="Arial"/>
          <w:i/>
          <w:lang w:val="es-ES" w:eastAsia="es-CR"/>
        </w:rPr>
        <w:t>KPI</w:t>
      </w:r>
      <w:r>
        <w:rPr>
          <w:rFonts w:ascii="Arial" w:eastAsia="Times New Roman" w:hAnsi="Arial" w:cs="Arial"/>
          <w:lang w:val="es-ES" w:eastAsia="es-CR"/>
        </w:rPr>
        <w:t>s</w:t>
      </w:r>
      <w:proofErr w:type="spellEnd"/>
      <w:r>
        <w:rPr>
          <w:rFonts w:ascii="Arial" w:eastAsia="Times New Roman" w:hAnsi="Arial" w:cs="Arial"/>
          <w:lang w:val="es-ES" w:eastAsia="es-CR"/>
        </w:rPr>
        <w:t xml:space="preserve"> por sus siglas en inglés) </w:t>
      </w:r>
      <w:r w:rsidRPr="00326F51">
        <w:rPr>
          <w:rFonts w:ascii="Arial" w:eastAsia="Times New Roman" w:hAnsi="Arial" w:cs="Arial"/>
          <w:lang w:val="es-ES" w:eastAsia="es-CR"/>
        </w:rPr>
        <w:t>el impacto de los aspectos ASG en la estrategia de negocio. La elaboración de reportes de sostenibilidad permite calcular el éxito o el progreso en la aplicación de aspectos ASG en las estrategias empresariales, así como sus impactos en las prácticas corporativas, entregando una base de comparación anual y promoviendo estrategias de mejora</w:t>
      </w:r>
      <w:r>
        <w:rPr>
          <w:rFonts w:ascii="Arial" w:eastAsia="Times New Roman" w:hAnsi="Arial" w:cs="Arial"/>
          <w:lang w:val="es-ES" w:eastAsia="es-CR"/>
        </w:rPr>
        <w:t xml:space="preserve"> continua</w:t>
      </w:r>
      <w:r w:rsidRPr="00326F51">
        <w:rPr>
          <w:rFonts w:ascii="Arial" w:eastAsia="Times New Roman" w:hAnsi="Arial" w:cs="Arial"/>
          <w:lang w:val="es-ES" w:eastAsia="es-CR"/>
        </w:rPr>
        <w:t xml:space="preserve">. Por otra parte, motiva a </w:t>
      </w:r>
      <w:r>
        <w:rPr>
          <w:rFonts w:ascii="Arial" w:eastAsia="Times New Roman" w:hAnsi="Arial" w:cs="Arial"/>
          <w:lang w:val="es-ES" w:eastAsia="es-CR"/>
        </w:rPr>
        <w:t>los emisores</w:t>
      </w:r>
      <w:r w:rsidRPr="00326F51">
        <w:rPr>
          <w:rFonts w:ascii="Arial" w:eastAsia="Times New Roman" w:hAnsi="Arial" w:cs="Arial"/>
          <w:lang w:val="es-ES" w:eastAsia="es-CR"/>
        </w:rPr>
        <w:t xml:space="preserve"> a evaluar y si es necesario actualizar su visión, estrategia y planes de negocio para asegurar que responde al entorno global de desarrollo sostenible.</w:t>
      </w:r>
    </w:p>
    <w:p w14:paraId="6D5E942F" w14:textId="77777777" w:rsidR="000135D5" w:rsidRPr="00326F51" w:rsidRDefault="000135D5" w:rsidP="000135D5">
      <w:pPr>
        <w:autoSpaceDE w:val="0"/>
        <w:autoSpaceDN w:val="0"/>
        <w:adjustRightInd w:val="0"/>
        <w:spacing w:before="240" w:after="240" w:line="240" w:lineRule="auto"/>
        <w:jc w:val="both"/>
        <w:rPr>
          <w:rFonts w:ascii="Arial" w:eastAsia="ApexNew-Light" w:hAnsi="Arial" w:cs="Arial"/>
        </w:rPr>
      </w:pPr>
      <w:r w:rsidRPr="00326F51">
        <w:rPr>
          <w:rFonts w:ascii="Arial" w:eastAsia="Times New Roman" w:hAnsi="Arial" w:cs="Arial"/>
          <w:b/>
          <w:bCs/>
          <w:lang w:val="es-ES" w:eastAsia="es-CR"/>
        </w:rPr>
        <w:t>Gestión de riesgos y cumplimiento:</w:t>
      </w:r>
      <w:r w:rsidRPr="00326F51">
        <w:rPr>
          <w:rFonts w:ascii="Arial" w:eastAsia="ApexNew-Light" w:hAnsi="Arial" w:cs="Arial"/>
          <w:color w:val="333333"/>
        </w:rPr>
        <w:t xml:space="preserve"> </w:t>
      </w:r>
      <w:r w:rsidRPr="00326F51">
        <w:rPr>
          <w:rFonts w:ascii="Arial" w:eastAsia="Times New Roman" w:hAnsi="Arial" w:cs="Arial"/>
          <w:lang w:val="es-ES" w:eastAsia="es-CR"/>
        </w:rPr>
        <w:t xml:space="preserve">ayuda a </w:t>
      </w:r>
      <w:r>
        <w:rPr>
          <w:rFonts w:ascii="Arial" w:eastAsia="Times New Roman" w:hAnsi="Arial" w:cs="Arial"/>
          <w:lang w:val="es-ES" w:eastAsia="es-CR"/>
        </w:rPr>
        <w:t>los emisores</w:t>
      </w:r>
      <w:r w:rsidRPr="00326F51">
        <w:rPr>
          <w:rFonts w:ascii="Arial" w:eastAsia="Times New Roman" w:hAnsi="Arial" w:cs="Arial"/>
          <w:b/>
          <w:bCs/>
          <w:lang w:val="es-ES" w:eastAsia="es-CR"/>
        </w:rPr>
        <w:t xml:space="preserve"> </w:t>
      </w:r>
      <w:r w:rsidRPr="00326F51">
        <w:rPr>
          <w:rFonts w:ascii="Arial" w:eastAsia="Times New Roman" w:hAnsi="Arial" w:cs="Arial"/>
          <w:lang w:val="es-ES" w:eastAsia="es-CR"/>
        </w:rPr>
        <w:t xml:space="preserve">a identificar los riesgos tanto en la cadena de valor como en todo </w:t>
      </w:r>
      <w:r>
        <w:rPr>
          <w:rFonts w:ascii="Arial" w:eastAsia="Times New Roman" w:hAnsi="Arial" w:cs="Arial"/>
          <w:lang w:val="es-ES" w:eastAsia="es-CR"/>
        </w:rPr>
        <w:t xml:space="preserve">su </w:t>
      </w:r>
      <w:r w:rsidRPr="00326F51">
        <w:rPr>
          <w:rFonts w:ascii="Arial" w:eastAsia="Times New Roman" w:hAnsi="Arial" w:cs="Arial"/>
          <w:lang w:val="es-ES" w:eastAsia="es-CR"/>
        </w:rPr>
        <w:t xml:space="preserve">ámbito de responsabilidad, tales como riesgos de operación, riesgos regulatorios, riesgos estratégicos, riesgos de mercado, riesgos reputacionales, entre otros y mejora los sistemas de su gestión. Asimismo, le permite </w:t>
      </w:r>
      <w:r w:rsidRPr="00326F51">
        <w:rPr>
          <w:rFonts w:ascii="Arial" w:eastAsia="ApexNew-Light" w:hAnsi="Arial" w:cs="Arial"/>
        </w:rPr>
        <w:t>establecer mediciones</w:t>
      </w:r>
      <w:r>
        <w:rPr>
          <w:rFonts w:ascii="Arial" w:eastAsia="ApexNew-Light" w:hAnsi="Arial" w:cs="Arial"/>
        </w:rPr>
        <w:t xml:space="preserve"> mediante indicadores</w:t>
      </w:r>
      <w:r w:rsidRPr="00326F51">
        <w:rPr>
          <w:rFonts w:ascii="Arial" w:eastAsia="ApexNew-Light" w:hAnsi="Arial" w:cs="Arial"/>
        </w:rPr>
        <w:t xml:space="preserve"> de los aspectos ASG relevantes lo cual la ayuda a estar a la vanguardia de las exigencias regulatorias en términos de divulgación de información sostenible. </w:t>
      </w:r>
    </w:p>
    <w:p w14:paraId="6067C502" w14:textId="77777777" w:rsidR="000135D5" w:rsidRPr="00326F51" w:rsidRDefault="000135D5" w:rsidP="000135D5">
      <w:pPr>
        <w:spacing w:before="240" w:after="240" w:line="240" w:lineRule="auto"/>
        <w:jc w:val="both"/>
        <w:rPr>
          <w:rFonts w:ascii="Arial" w:eastAsia="Times New Roman" w:hAnsi="Arial" w:cs="Arial"/>
          <w:lang w:val="es-ES" w:eastAsia="es-CR"/>
        </w:rPr>
      </w:pPr>
      <w:r w:rsidRPr="00326F51">
        <w:rPr>
          <w:rFonts w:ascii="Arial" w:eastAsia="Times New Roman" w:hAnsi="Arial" w:cs="Arial"/>
          <w:b/>
          <w:bCs/>
          <w:lang w:val="es-ES" w:eastAsia="es-CR"/>
        </w:rPr>
        <w:t xml:space="preserve">Eleva los niveles de ingresos: </w:t>
      </w:r>
      <w:r w:rsidRPr="00326F51">
        <w:rPr>
          <w:rFonts w:ascii="Arial" w:eastAsia="Times New Roman" w:hAnsi="Arial" w:cs="Arial"/>
          <w:lang w:val="es-ES" w:eastAsia="es-CR"/>
        </w:rPr>
        <w:t>en el proceso de incluir los criterios ASG se identifican nuevas oportunidades de negocio. La variable sostenibilidad puede jugar un papel clave porque conlleva a hacer la marca de los productos o servicios más atractiva para los clientes. Asimismo, permite desarrollar nuevos productos</w:t>
      </w:r>
      <w:r>
        <w:rPr>
          <w:rFonts w:ascii="Arial" w:eastAsia="Times New Roman" w:hAnsi="Arial" w:cs="Arial"/>
          <w:lang w:val="es-ES" w:eastAsia="es-CR"/>
        </w:rPr>
        <w:t>,</w:t>
      </w:r>
      <w:r w:rsidRPr="00326F51">
        <w:rPr>
          <w:rFonts w:ascii="Arial" w:eastAsia="Times New Roman" w:hAnsi="Arial" w:cs="Arial"/>
          <w:lang w:val="es-ES" w:eastAsia="es-CR"/>
        </w:rPr>
        <w:t xml:space="preserve"> servicios o modelos de negocio </w:t>
      </w:r>
      <w:r w:rsidRPr="00326F51">
        <w:rPr>
          <w:rFonts w:ascii="Arial" w:eastAsia="Times New Roman" w:hAnsi="Arial" w:cs="Arial"/>
          <w:lang w:val="es-ES" w:eastAsia="es-CR"/>
        </w:rPr>
        <w:lastRenderedPageBreak/>
        <w:t>con atributos de sostenibilidad que puedan ser rápidamente apreciados por los clientes, impulsa</w:t>
      </w:r>
      <w:r>
        <w:rPr>
          <w:rFonts w:ascii="Arial" w:eastAsia="Times New Roman" w:hAnsi="Arial" w:cs="Arial"/>
          <w:lang w:val="es-ES" w:eastAsia="es-CR"/>
        </w:rPr>
        <w:t>ndo</w:t>
      </w:r>
      <w:r w:rsidRPr="00326F51">
        <w:rPr>
          <w:rFonts w:ascii="Arial" w:eastAsia="Times New Roman" w:hAnsi="Arial" w:cs="Arial"/>
          <w:lang w:val="es-ES" w:eastAsia="es-CR"/>
        </w:rPr>
        <w:t xml:space="preserve"> la innovación, diferenciación</w:t>
      </w:r>
      <w:r>
        <w:rPr>
          <w:rFonts w:ascii="Arial" w:eastAsia="Times New Roman" w:hAnsi="Arial" w:cs="Arial"/>
          <w:lang w:val="es-ES" w:eastAsia="es-CR"/>
        </w:rPr>
        <w:t>, creación de valor de marca</w:t>
      </w:r>
      <w:r w:rsidRPr="00326F51">
        <w:rPr>
          <w:rFonts w:ascii="Arial" w:eastAsia="Times New Roman" w:hAnsi="Arial" w:cs="Arial"/>
          <w:lang w:val="es-ES" w:eastAsia="es-CR"/>
        </w:rPr>
        <w:t xml:space="preserve"> y competitividad en la industria. Lo anterior se traduce en un mejor desempeño financiero que aquellas que no transparentan sus aspectos ASG.</w:t>
      </w:r>
    </w:p>
    <w:p w14:paraId="07FDDA56" w14:textId="77777777" w:rsidR="000135D5" w:rsidRPr="00B61E78" w:rsidRDefault="000135D5" w:rsidP="000135D5">
      <w:pPr>
        <w:pStyle w:val="Ttulo"/>
        <w:numPr>
          <w:ilvl w:val="0"/>
          <w:numId w:val="5"/>
        </w:numPr>
        <w:spacing w:before="240" w:after="240"/>
        <w:jc w:val="both"/>
        <w:outlineLvl w:val="1"/>
        <w:rPr>
          <w:rFonts w:cs="Arial"/>
          <w:b w:val="0"/>
          <w:bCs/>
          <w:i/>
          <w:iCs/>
          <w:szCs w:val="22"/>
        </w:rPr>
      </w:pPr>
      <w:bookmarkStart w:id="11" w:name="_Toc82185424"/>
      <w:r w:rsidRPr="00B61E78">
        <w:rPr>
          <w:rFonts w:cs="Arial"/>
          <w:b w:val="0"/>
          <w:bCs/>
          <w:i/>
          <w:iCs/>
          <w:szCs w:val="22"/>
        </w:rPr>
        <w:t>Beneficios externos</w:t>
      </w:r>
      <w:bookmarkEnd w:id="11"/>
      <w:r w:rsidRPr="00B61E78">
        <w:rPr>
          <w:rFonts w:cs="Arial"/>
          <w:b w:val="0"/>
          <w:bCs/>
          <w:i/>
          <w:iCs/>
          <w:szCs w:val="22"/>
        </w:rPr>
        <w:t xml:space="preserve"> </w:t>
      </w:r>
    </w:p>
    <w:p w14:paraId="30ADCB57" w14:textId="77777777" w:rsidR="000135D5" w:rsidRPr="00326F51" w:rsidRDefault="000135D5" w:rsidP="000135D5">
      <w:pPr>
        <w:autoSpaceDE w:val="0"/>
        <w:autoSpaceDN w:val="0"/>
        <w:adjustRightInd w:val="0"/>
        <w:spacing w:before="240" w:after="240" w:line="240" w:lineRule="auto"/>
        <w:jc w:val="both"/>
        <w:rPr>
          <w:rFonts w:ascii="Arial" w:hAnsi="Arial" w:cs="Arial"/>
          <w:lang w:eastAsia="es-CR"/>
        </w:rPr>
      </w:pPr>
      <w:r w:rsidRPr="00326F51">
        <w:rPr>
          <w:rFonts w:ascii="Arial" w:hAnsi="Arial" w:cs="Arial"/>
          <w:b/>
          <w:bCs/>
          <w:lang w:eastAsia="es-CR"/>
        </w:rPr>
        <w:t>Acceso a capital:</w:t>
      </w:r>
      <w:r w:rsidRPr="00326F51">
        <w:rPr>
          <w:rFonts w:ascii="Arial" w:hAnsi="Arial" w:cs="Arial"/>
          <w:lang w:eastAsia="es-CR"/>
        </w:rPr>
        <w:t xml:space="preserve"> Al demostrar transparencia y una gestión eficaz y sostenible es posible mejorar la capacidad de</w:t>
      </w:r>
      <w:r>
        <w:rPr>
          <w:rFonts w:ascii="Arial" w:hAnsi="Arial" w:cs="Arial"/>
          <w:lang w:eastAsia="es-CR"/>
        </w:rPr>
        <w:t>l emisor</w:t>
      </w:r>
      <w:r w:rsidRPr="00326F51">
        <w:rPr>
          <w:rFonts w:ascii="Arial" w:hAnsi="Arial" w:cs="Arial"/>
          <w:lang w:eastAsia="es-CR"/>
        </w:rPr>
        <w:t xml:space="preserve"> para atraer capital y con ello mejores condiciones de financiamiento en el largo plazo. Asimismo, asegura que tanto accionistas como clientes e inversionistas disponen de información relevante para tomar decisiones informadas acerca de la habilidad de</w:t>
      </w:r>
      <w:r>
        <w:rPr>
          <w:rFonts w:ascii="Arial" w:hAnsi="Arial" w:cs="Arial"/>
          <w:lang w:eastAsia="es-CR"/>
        </w:rPr>
        <w:t>l emisor</w:t>
      </w:r>
      <w:r w:rsidRPr="00326F51">
        <w:rPr>
          <w:rFonts w:ascii="Arial" w:hAnsi="Arial" w:cs="Arial"/>
          <w:lang w:eastAsia="es-CR"/>
        </w:rPr>
        <w:t xml:space="preserve"> para gestionar riesgos</w:t>
      </w:r>
      <w:r>
        <w:rPr>
          <w:rFonts w:ascii="Arial" w:hAnsi="Arial" w:cs="Arial"/>
          <w:lang w:eastAsia="es-CR"/>
        </w:rPr>
        <w:t xml:space="preserve"> en aspectos ASG</w:t>
      </w:r>
      <w:r w:rsidRPr="00326F51">
        <w:rPr>
          <w:rFonts w:ascii="Arial" w:hAnsi="Arial" w:cs="Arial"/>
          <w:lang w:eastAsia="es-CR"/>
        </w:rPr>
        <w:t xml:space="preserve"> y generar valor en el corto, mediano y largo plazo.</w:t>
      </w:r>
    </w:p>
    <w:p w14:paraId="165EA7FE" w14:textId="77777777" w:rsidR="000135D5" w:rsidRPr="00326F51" w:rsidRDefault="000135D5" w:rsidP="000135D5">
      <w:pPr>
        <w:pStyle w:val="Ttulo"/>
        <w:spacing w:before="240" w:after="240"/>
        <w:jc w:val="both"/>
        <w:rPr>
          <w:rFonts w:cs="Arial"/>
          <w:b w:val="0"/>
          <w:noProof/>
          <w:szCs w:val="22"/>
          <w:lang w:val="es-ES"/>
        </w:rPr>
      </w:pPr>
      <w:r w:rsidRPr="00326F51">
        <w:rPr>
          <w:rFonts w:cs="Arial"/>
          <w:bCs/>
          <w:noProof/>
          <w:szCs w:val="22"/>
          <w:lang w:val="es-ES"/>
        </w:rPr>
        <w:t>Mejora la reputación:</w:t>
      </w:r>
      <w:r w:rsidRPr="00326F51">
        <w:rPr>
          <w:rFonts w:cs="Arial"/>
          <w:b w:val="0"/>
          <w:noProof/>
          <w:szCs w:val="22"/>
          <w:lang w:val="es-ES"/>
        </w:rPr>
        <w:t xml:space="preserve"> Una mejor reputación construye marca y posicionamiento en el mercado y la industria, con especial transcendencia entre inversionistas con criterios ambientales, sociales y de buen gobierno corporativo. Aumenta la reputación corporativa mejorando su percepción </w:t>
      </w:r>
      <w:r>
        <w:rPr>
          <w:rFonts w:cs="Arial"/>
          <w:b w:val="0"/>
          <w:noProof/>
          <w:szCs w:val="22"/>
          <w:lang w:val="es-ES"/>
        </w:rPr>
        <w:t>entre los</w:t>
      </w:r>
      <w:r w:rsidRPr="00326F51">
        <w:rPr>
          <w:rFonts w:cs="Arial"/>
          <w:b w:val="0"/>
          <w:noProof/>
          <w:szCs w:val="22"/>
          <w:lang w:val="es-ES"/>
        </w:rPr>
        <w:t xml:space="preserve"> grupos de interés, a través de la participación de estos</w:t>
      </w:r>
      <w:r>
        <w:rPr>
          <w:rFonts w:cs="Arial"/>
          <w:b w:val="0"/>
          <w:noProof/>
          <w:szCs w:val="22"/>
          <w:lang w:val="es-ES"/>
        </w:rPr>
        <w:t xml:space="preserve"> mediante consulta,</w:t>
      </w:r>
      <w:r w:rsidRPr="00326F51">
        <w:rPr>
          <w:rFonts w:cs="Arial"/>
          <w:b w:val="0"/>
          <w:noProof/>
          <w:szCs w:val="22"/>
          <w:lang w:val="es-ES"/>
        </w:rPr>
        <w:t xml:space="preserve"> en el proceso de elaboración del reporte de sostenibilidad. Transparenta e informa la adhesión de la empresa a normas de ética, marcos regulatorios ASG, a los </w:t>
      </w:r>
      <w:r>
        <w:rPr>
          <w:rFonts w:cs="Arial"/>
          <w:b w:val="0"/>
          <w:noProof/>
          <w:szCs w:val="22"/>
          <w:lang w:val="es-ES"/>
        </w:rPr>
        <w:t>O</w:t>
      </w:r>
      <w:r w:rsidRPr="00326F51">
        <w:rPr>
          <w:rFonts w:cs="Arial"/>
          <w:b w:val="0"/>
          <w:noProof/>
          <w:szCs w:val="22"/>
          <w:lang w:val="es-ES"/>
        </w:rPr>
        <w:t xml:space="preserve">bjetivos de </w:t>
      </w:r>
      <w:r>
        <w:rPr>
          <w:rFonts w:cs="Arial"/>
          <w:b w:val="0"/>
          <w:noProof/>
          <w:szCs w:val="22"/>
          <w:lang w:val="es-ES"/>
        </w:rPr>
        <w:t>D</w:t>
      </w:r>
      <w:r w:rsidRPr="00326F51">
        <w:rPr>
          <w:rFonts w:cs="Arial"/>
          <w:b w:val="0"/>
          <w:noProof/>
          <w:szCs w:val="22"/>
          <w:lang w:val="es-ES"/>
        </w:rPr>
        <w:t xml:space="preserve">esarrollo </w:t>
      </w:r>
      <w:r>
        <w:rPr>
          <w:rFonts w:cs="Arial"/>
          <w:b w:val="0"/>
          <w:noProof/>
          <w:szCs w:val="22"/>
          <w:lang w:val="es-ES"/>
        </w:rPr>
        <w:t>S</w:t>
      </w:r>
      <w:r w:rsidRPr="00326F51">
        <w:rPr>
          <w:rFonts w:cs="Arial"/>
          <w:b w:val="0"/>
          <w:noProof/>
          <w:szCs w:val="22"/>
          <w:lang w:val="es-ES"/>
        </w:rPr>
        <w:t>ostenible, entre otros y mejora la percepción para los colaboradores de la empresa, ayudando a atraer nuevas contrataciones</w:t>
      </w:r>
      <w:r>
        <w:rPr>
          <w:rFonts w:cs="Arial"/>
          <w:b w:val="0"/>
          <w:noProof/>
          <w:szCs w:val="22"/>
          <w:lang w:val="es-ES"/>
        </w:rPr>
        <w:t xml:space="preserve">, </w:t>
      </w:r>
      <w:r w:rsidRPr="00326F51">
        <w:rPr>
          <w:rFonts w:cs="Arial"/>
          <w:b w:val="0"/>
          <w:noProof/>
          <w:szCs w:val="22"/>
          <w:lang w:val="es-ES"/>
        </w:rPr>
        <w:t>a retener</w:t>
      </w:r>
      <w:r>
        <w:rPr>
          <w:rFonts w:cs="Arial"/>
          <w:b w:val="0"/>
          <w:noProof/>
          <w:szCs w:val="22"/>
          <w:lang w:val="es-ES"/>
        </w:rPr>
        <w:t xml:space="preserve">, </w:t>
      </w:r>
      <w:r w:rsidRPr="00326F51">
        <w:rPr>
          <w:rFonts w:cs="Arial"/>
          <w:b w:val="0"/>
          <w:noProof/>
          <w:szCs w:val="22"/>
          <w:lang w:val="es-ES"/>
        </w:rPr>
        <w:t xml:space="preserve"> mantener</w:t>
      </w:r>
      <w:r>
        <w:rPr>
          <w:rFonts w:cs="Arial"/>
          <w:b w:val="0"/>
          <w:noProof/>
          <w:szCs w:val="22"/>
          <w:lang w:val="es-ES"/>
        </w:rPr>
        <w:t xml:space="preserve"> y generar un sentido de pertenencia</w:t>
      </w:r>
      <w:r w:rsidRPr="00326F51">
        <w:rPr>
          <w:rFonts w:cs="Arial"/>
          <w:b w:val="0"/>
          <w:noProof/>
          <w:szCs w:val="22"/>
          <w:lang w:val="es-ES"/>
        </w:rPr>
        <w:t xml:space="preserve"> </w:t>
      </w:r>
      <w:r>
        <w:rPr>
          <w:rFonts w:cs="Arial"/>
          <w:b w:val="0"/>
          <w:noProof/>
          <w:szCs w:val="22"/>
          <w:lang w:val="es-ES"/>
        </w:rPr>
        <w:t>entre los</w:t>
      </w:r>
      <w:r w:rsidRPr="00326F51">
        <w:rPr>
          <w:rFonts w:cs="Arial"/>
          <w:b w:val="0"/>
          <w:noProof/>
          <w:szCs w:val="22"/>
          <w:lang w:val="es-ES"/>
        </w:rPr>
        <w:t xml:space="preserve"> actuales colaboradores. </w:t>
      </w:r>
    </w:p>
    <w:p w14:paraId="485F7784" w14:textId="77777777" w:rsidR="000135D5" w:rsidRPr="00326F51" w:rsidRDefault="000135D5" w:rsidP="000135D5">
      <w:pPr>
        <w:pStyle w:val="Ttulo"/>
        <w:spacing w:before="240" w:after="240"/>
        <w:jc w:val="both"/>
        <w:rPr>
          <w:rFonts w:cs="Arial"/>
          <w:b w:val="0"/>
          <w:noProof/>
          <w:szCs w:val="22"/>
          <w:lang w:val="es-ES"/>
        </w:rPr>
      </w:pPr>
      <w:r w:rsidRPr="00326F51">
        <w:rPr>
          <w:rFonts w:cs="Arial"/>
          <w:bCs/>
          <w:noProof/>
          <w:szCs w:val="22"/>
          <w:lang w:val="es-ES"/>
        </w:rPr>
        <w:t>Relación con grupos de interés y compromiso con inversionistas:</w:t>
      </w:r>
      <w:r w:rsidRPr="00326F51">
        <w:rPr>
          <w:rFonts w:cs="Arial"/>
          <w:b w:val="0"/>
          <w:noProof/>
          <w:szCs w:val="22"/>
          <w:lang w:val="es-ES"/>
        </w:rPr>
        <w:t xml:space="preserve"> Los informes de aspectos ASG promueven la relación con los grupos de interés ya que permiten diálogos transparentes y participativos frente a la operación y estrategia de</w:t>
      </w:r>
      <w:r>
        <w:rPr>
          <w:rFonts w:cs="Arial"/>
          <w:b w:val="0"/>
          <w:noProof/>
          <w:szCs w:val="22"/>
          <w:lang w:val="es-ES"/>
        </w:rPr>
        <w:t>l emisor</w:t>
      </w:r>
      <w:r w:rsidRPr="00326F51">
        <w:rPr>
          <w:rFonts w:cs="Arial"/>
          <w:b w:val="0"/>
          <w:noProof/>
          <w:szCs w:val="22"/>
          <w:lang w:val="es-ES"/>
        </w:rPr>
        <w:t>.  Asimismo, la transparencia sobre su gestión y compromiso genera confianza y fidelidad con los inversionistas y clientes lo cual se traduce en oportunidades de negocio en el largo plazo.</w:t>
      </w:r>
    </w:p>
    <w:p w14:paraId="1178DE4B" w14:textId="77777777" w:rsidR="000135D5" w:rsidRPr="00D154AD" w:rsidRDefault="000135D5" w:rsidP="000135D5">
      <w:pPr>
        <w:pStyle w:val="Ttulo"/>
        <w:keepNext/>
        <w:keepLines/>
        <w:spacing w:before="240" w:after="240"/>
        <w:jc w:val="both"/>
        <w:outlineLvl w:val="0"/>
        <w:rPr>
          <w:rFonts w:cs="Arial"/>
          <w:szCs w:val="22"/>
        </w:rPr>
      </w:pPr>
      <w:bookmarkStart w:id="12" w:name="_Toc82185425"/>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w:t>
      </w:r>
      <w:r w:rsidRPr="00D154AD">
        <w:rPr>
          <w:rFonts w:cs="Arial"/>
          <w:szCs w:val="22"/>
        </w:rPr>
        <w:t>Recomendaciones para preparar un reporte de sostenibilidad</w:t>
      </w:r>
      <w:bookmarkEnd w:id="12"/>
      <w:r w:rsidRPr="00D154AD">
        <w:rPr>
          <w:rFonts w:cs="Arial"/>
          <w:szCs w:val="22"/>
        </w:rPr>
        <w:t xml:space="preserve"> </w:t>
      </w:r>
    </w:p>
    <w:p w14:paraId="64F4A6D4" w14:textId="77777777" w:rsidR="000135D5" w:rsidRPr="00326F51" w:rsidRDefault="000135D5" w:rsidP="000135D5">
      <w:pPr>
        <w:pStyle w:val="Ttulo"/>
        <w:spacing w:before="240" w:after="240"/>
        <w:jc w:val="both"/>
        <w:rPr>
          <w:rFonts w:cs="Arial"/>
          <w:b w:val="0"/>
          <w:noProof/>
          <w:szCs w:val="22"/>
          <w:lang w:val="es-ES"/>
        </w:rPr>
      </w:pPr>
      <w:r w:rsidRPr="00326F51">
        <w:rPr>
          <w:rFonts w:cs="Arial"/>
          <w:b w:val="0"/>
          <w:noProof/>
          <w:szCs w:val="22"/>
          <w:lang w:val="es-ES"/>
        </w:rPr>
        <w:t>Las siguientes son recomendaciones para l</w:t>
      </w:r>
      <w:r>
        <w:rPr>
          <w:rFonts w:cs="Arial"/>
          <w:b w:val="0"/>
          <w:noProof/>
          <w:szCs w:val="22"/>
          <w:lang w:val="es-ES"/>
        </w:rPr>
        <w:t>os emisores</w:t>
      </w:r>
      <w:r w:rsidRPr="00326F51">
        <w:rPr>
          <w:rFonts w:cs="Arial"/>
          <w:b w:val="0"/>
          <w:noProof/>
          <w:szCs w:val="22"/>
          <w:lang w:val="es-ES"/>
        </w:rPr>
        <w:t xml:space="preserve"> que deseen preparar y elaborar reportes de sostenibilidad.</w:t>
      </w:r>
    </w:p>
    <w:p w14:paraId="18B10D14" w14:textId="77777777" w:rsidR="000135D5" w:rsidRPr="002F73E9" w:rsidRDefault="000135D5" w:rsidP="000135D5">
      <w:pPr>
        <w:pStyle w:val="Ttulo"/>
        <w:numPr>
          <w:ilvl w:val="0"/>
          <w:numId w:val="4"/>
        </w:numPr>
        <w:spacing w:before="240" w:after="240"/>
        <w:jc w:val="both"/>
        <w:outlineLvl w:val="1"/>
        <w:rPr>
          <w:rFonts w:cs="Arial"/>
          <w:b w:val="0"/>
          <w:i/>
          <w:iCs/>
          <w:noProof/>
          <w:szCs w:val="22"/>
          <w:lang w:val="es-ES"/>
        </w:rPr>
      </w:pPr>
      <w:bookmarkStart w:id="13" w:name="_Toc82185426"/>
      <w:r w:rsidRPr="002F73E9">
        <w:rPr>
          <w:rFonts w:cs="Arial"/>
          <w:b w:val="0"/>
          <w:i/>
          <w:iCs/>
          <w:noProof/>
          <w:szCs w:val="22"/>
          <w:lang w:val="es-ES"/>
        </w:rPr>
        <w:t>Responsabilidad y supervisión</w:t>
      </w:r>
      <w:bookmarkEnd w:id="13"/>
    </w:p>
    <w:p w14:paraId="5B4F679E" w14:textId="77777777" w:rsidR="000135D5" w:rsidRPr="00326F51" w:rsidRDefault="000135D5" w:rsidP="000135D5">
      <w:pPr>
        <w:pStyle w:val="Ttulo"/>
        <w:spacing w:before="240" w:after="240"/>
        <w:jc w:val="both"/>
        <w:rPr>
          <w:rFonts w:cs="Arial"/>
          <w:b w:val="0"/>
          <w:noProof/>
          <w:szCs w:val="22"/>
          <w:lang w:val="es-ES"/>
        </w:rPr>
      </w:pPr>
      <w:r w:rsidRPr="00326F51">
        <w:rPr>
          <w:rFonts w:cs="Arial"/>
          <w:b w:val="0"/>
          <w:noProof/>
          <w:szCs w:val="22"/>
          <w:lang w:val="es-ES"/>
        </w:rPr>
        <w:t xml:space="preserve">Como primera medida práctica, es útil determinar dentro de la empresa las funciones, responsabilidades y habilidades del personal que elaborará el reporte de sostenibilidad, incluyendo la identificación y coordinación del equipo de trabajo. Se sugiere que la gerencia general conduzca el proceso de elaboración del reporte ASG, con el objetivo de demostrar un compromiso con la generación de reportes de calidad, con información estratégica y supervisión, </w:t>
      </w:r>
      <w:r>
        <w:rPr>
          <w:rFonts w:cs="Arial"/>
          <w:b w:val="0"/>
          <w:noProof/>
          <w:szCs w:val="22"/>
          <w:lang w:val="es-ES"/>
        </w:rPr>
        <w:t xml:space="preserve">lo </w:t>
      </w:r>
      <w:r w:rsidRPr="00326F51">
        <w:rPr>
          <w:rFonts w:cs="Arial"/>
          <w:b w:val="0"/>
          <w:noProof/>
          <w:szCs w:val="22"/>
          <w:lang w:val="es-ES"/>
        </w:rPr>
        <w:t xml:space="preserve">que garantizará la adecuada realización del proceso. Las diferentes áreas de la empresa, como finanzas, relación con inversionistas, comunicaciones, legal, </w:t>
      </w:r>
      <w:r>
        <w:rPr>
          <w:rFonts w:cs="Arial"/>
          <w:b w:val="0"/>
          <w:noProof/>
          <w:szCs w:val="22"/>
          <w:lang w:val="es-ES"/>
        </w:rPr>
        <w:t xml:space="preserve">u </w:t>
      </w:r>
      <w:r w:rsidRPr="00326F51">
        <w:rPr>
          <w:rFonts w:cs="Arial"/>
          <w:b w:val="0"/>
          <w:noProof/>
          <w:szCs w:val="22"/>
          <w:lang w:val="es-ES"/>
        </w:rPr>
        <w:t>otras específicas del negocio</w:t>
      </w:r>
      <w:r>
        <w:rPr>
          <w:rFonts w:cs="Arial"/>
          <w:b w:val="0"/>
          <w:noProof/>
          <w:szCs w:val="22"/>
          <w:lang w:val="es-ES"/>
        </w:rPr>
        <w:t>,</w:t>
      </w:r>
      <w:r w:rsidRPr="00326F51">
        <w:rPr>
          <w:rFonts w:cs="Arial"/>
          <w:b w:val="0"/>
          <w:noProof/>
          <w:szCs w:val="22"/>
          <w:lang w:val="es-ES"/>
        </w:rPr>
        <w:t xml:space="preserve"> hacen valiosas contribuciones al resultado del reporte porque estas pueden estar involucradas con los grupos de interés o con la gestión de la compañía. A medida que el directorio tenga la responsabilidad de supervisar la dirección estratégica de</w:t>
      </w:r>
      <w:r>
        <w:rPr>
          <w:rFonts w:cs="Arial"/>
          <w:b w:val="0"/>
          <w:noProof/>
          <w:szCs w:val="22"/>
          <w:lang w:val="es-ES"/>
        </w:rPr>
        <w:t>l emisor</w:t>
      </w:r>
      <w:r w:rsidRPr="00326F51">
        <w:rPr>
          <w:rFonts w:cs="Arial"/>
          <w:b w:val="0"/>
          <w:noProof/>
          <w:szCs w:val="22"/>
          <w:lang w:val="es-ES"/>
        </w:rPr>
        <w:t xml:space="preserve">, resulta apropiado, por el rol que ejerce, que supervise de igual manera la integración de la sostenibilidad en la estrategia de negocio.  El compromiso del directorio para reportar en sostenibilidad otorga credibilidad a las </w:t>
      </w:r>
      <w:r w:rsidRPr="00326F51">
        <w:rPr>
          <w:rFonts w:cs="Arial"/>
          <w:b w:val="0"/>
          <w:noProof/>
          <w:szCs w:val="22"/>
          <w:lang w:val="es-ES"/>
        </w:rPr>
        <w:lastRenderedPageBreak/>
        <w:t>declaraciones y publicaciones de la</w:t>
      </w:r>
      <w:r>
        <w:rPr>
          <w:rFonts w:cs="Arial"/>
          <w:b w:val="0"/>
          <w:noProof/>
          <w:szCs w:val="22"/>
          <w:lang w:val="es-ES"/>
        </w:rPr>
        <w:t xml:space="preserve"> empresa</w:t>
      </w:r>
      <w:r w:rsidRPr="00326F51">
        <w:rPr>
          <w:rFonts w:cs="Arial"/>
          <w:b w:val="0"/>
          <w:noProof/>
          <w:szCs w:val="22"/>
          <w:lang w:val="es-ES"/>
        </w:rPr>
        <w:t xml:space="preserve">, en particular, en relación con el rendimiento ASG y su compromiso con la sostenibilidad. </w:t>
      </w:r>
    </w:p>
    <w:p w14:paraId="104710D0" w14:textId="77777777" w:rsidR="000135D5" w:rsidRPr="002F73E9" w:rsidRDefault="000135D5" w:rsidP="000135D5">
      <w:pPr>
        <w:pStyle w:val="Ttulo"/>
        <w:keepNext/>
        <w:numPr>
          <w:ilvl w:val="0"/>
          <w:numId w:val="4"/>
        </w:numPr>
        <w:spacing w:before="240" w:after="240"/>
        <w:jc w:val="both"/>
        <w:outlineLvl w:val="1"/>
        <w:rPr>
          <w:rFonts w:cs="Arial"/>
          <w:b w:val="0"/>
          <w:i/>
          <w:iCs/>
          <w:noProof/>
          <w:szCs w:val="22"/>
          <w:lang w:val="es-ES"/>
        </w:rPr>
      </w:pPr>
      <w:bookmarkStart w:id="14" w:name="_Toc82185427"/>
      <w:r w:rsidRPr="002F73E9">
        <w:rPr>
          <w:rFonts w:cs="Arial"/>
          <w:b w:val="0"/>
          <w:i/>
          <w:iCs/>
          <w:noProof/>
          <w:szCs w:val="22"/>
          <w:lang w:val="es-ES"/>
        </w:rPr>
        <w:t>Claridad en el propósito</w:t>
      </w:r>
      <w:bookmarkEnd w:id="14"/>
    </w:p>
    <w:p w14:paraId="115CAB12" w14:textId="77777777" w:rsidR="000135D5" w:rsidRPr="00326F51" w:rsidRDefault="000135D5" w:rsidP="000135D5">
      <w:pPr>
        <w:pStyle w:val="Ttulo"/>
        <w:spacing w:before="240" w:after="240"/>
        <w:jc w:val="both"/>
        <w:rPr>
          <w:rFonts w:cs="Arial"/>
          <w:b w:val="0"/>
          <w:noProof/>
          <w:szCs w:val="22"/>
          <w:lang w:val="es-ES"/>
        </w:rPr>
      </w:pPr>
      <w:r w:rsidRPr="00326F51">
        <w:rPr>
          <w:rFonts w:cs="Arial"/>
          <w:b w:val="0"/>
          <w:noProof/>
          <w:szCs w:val="22"/>
          <w:lang w:val="es-ES"/>
        </w:rPr>
        <w:t>Un reporte con información corporativa de calidad puede ayudar a definir directrices para el logro de objetivos relacionados con los grupos de interés internos y externos, además de poner a disposición mayor información para la toma de decisiones de los inversionistas. Permite también establecer una relación clara entre las necesidades de información y los objetivos estratégicos, el modelo de negocio, riesgos, oportunidades e indicadores de resultados operativos y financieros.</w:t>
      </w:r>
    </w:p>
    <w:p w14:paraId="2B1B8B29" w14:textId="77777777" w:rsidR="000135D5" w:rsidRPr="00326F51" w:rsidRDefault="000135D5" w:rsidP="000135D5">
      <w:pPr>
        <w:pStyle w:val="Ttulo"/>
        <w:spacing w:before="240" w:after="240"/>
        <w:jc w:val="both"/>
        <w:rPr>
          <w:rFonts w:cs="Arial"/>
          <w:b w:val="0"/>
          <w:noProof/>
          <w:szCs w:val="22"/>
          <w:lang w:val="es-ES"/>
        </w:rPr>
      </w:pPr>
      <w:r w:rsidRPr="00326F51">
        <w:rPr>
          <w:rFonts w:cs="Arial"/>
          <w:b w:val="0"/>
          <w:noProof/>
          <w:szCs w:val="22"/>
          <w:lang w:val="es-ES"/>
        </w:rPr>
        <w:t xml:space="preserve">Cuando se publica información para los inversionistas es importante considerar que todos ellos pueden beneficiarse de la información ASG, pero también pueden existir distintos tipos de inversionistas, con diferentes necesidades de información. Para identificar estas necesidades </w:t>
      </w:r>
      <w:r>
        <w:rPr>
          <w:rFonts w:cs="Arial"/>
          <w:b w:val="0"/>
          <w:noProof/>
          <w:szCs w:val="22"/>
          <w:lang w:val="es-ES"/>
        </w:rPr>
        <w:t>los emisores</w:t>
      </w:r>
      <w:r w:rsidRPr="00326F51">
        <w:rPr>
          <w:rFonts w:cs="Arial"/>
          <w:b w:val="0"/>
          <w:noProof/>
          <w:szCs w:val="22"/>
          <w:lang w:val="es-ES"/>
        </w:rPr>
        <w:t xml:space="preserve"> pueden preguntarse cuáles son los principales inversionistas y qué tipo de inversionistas le gustaría tener a la empresa. Estas consideraciones son importantes ya que ayudarán a definir su contenido, alcance y formato de presentación, así como también los esfuerzos para llevar a cabo el proyecto.</w:t>
      </w:r>
    </w:p>
    <w:p w14:paraId="5AB67185" w14:textId="77777777" w:rsidR="000135D5" w:rsidRPr="002F73E9" w:rsidRDefault="000135D5" w:rsidP="000135D5">
      <w:pPr>
        <w:pStyle w:val="Ttulo"/>
        <w:keepNext/>
        <w:numPr>
          <w:ilvl w:val="0"/>
          <w:numId w:val="4"/>
        </w:numPr>
        <w:spacing w:before="240" w:after="240"/>
        <w:jc w:val="both"/>
        <w:outlineLvl w:val="1"/>
        <w:rPr>
          <w:rFonts w:cs="Arial"/>
          <w:b w:val="0"/>
          <w:i/>
          <w:iCs/>
          <w:noProof/>
          <w:szCs w:val="22"/>
          <w:lang w:val="es-ES"/>
        </w:rPr>
      </w:pPr>
      <w:bookmarkStart w:id="15" w:name="_Toc82185428"/>
      <w:r w:rsidRPr="002F73E9">
        <w:rPr>
          <w:rFonts w:cs="Arial"/>
          <w:b w:val="0"/>
          <w:i/>
          <w:iCs/>
          <w:noProof/>
          <w:szCs w:val="22"/>
          <w:lang w:val="es-ES"/>
        </w:rPr>
        <w:t>Información relevante y material</w:t>
      </w:r>
      <w:bookmarkEnd w:id="15"/>
      <w:r w:rsidRPr="002F73E9">
        <w:rPr>
          <w:rFonts w:cs="Arial"/>
          <w:b w:val="0"/>
          <w:i/>
          <w:iCs/>
          <w:noProof/>
          <w:szCs w:val="22"/>
          <w:lang w:val="es-ES"/>
        </w:rPr>
        <w:t xml:space="preserve"> </w:t>
      </w:r>
    </w:p>
    <w:p w14:paraId="242DDC0D" w14:textId="77777777" w:rsidR="000135D5" w:rsidRPr="00326F51" w:rsidRDefault="000135D5" w:rsidP="000135D5">
      <w:pPr>
        <w:pStyle w:val="Ttulo"/>
        <w:spacing w:before="240" w:after="240"/>
        <w:jc w:val="both"/>
        <w:rPr>
          <w:rFonts w:cs="Arial"/>
          <w:b w:val="0"/>
          <w:noProof/>
          <w:szCs w:val="22"/>
          <w:lang w:val="es-ES"/>
        </w:rPr>
      </w:pPr>
      <w:r>
        <w:rPr>
          <w:rFonts w:cs="Arial"/>
          <w:b w:val="0"/>
          <w:noProof/>
          <w:szCs w:val="22"/>
          <w:lang w:val="es-ES"/>
        </w:rPr>
        <w:t>La definición de l</w:t>
      </w:r>
      <w:r w:rsidRPr="00326F51">
        <w:rPr>
          <w:rFonts w:cs="Arial"/>
          <w:b w:val="0"/>
          <w:noProof/>
          <w:szCs w:val="22"/>
          <w:lang w:val="es-ES"/>
        </w:rPr>
        <w:t>a materialidad de la información y su relevancia para los inversionistas es clave para determinar el alcance y los contenidos del reporte de la empresa. Se debe informar asuntos especialmente relevantes para la sostenibilidad de una organización, por cuanto reflejan sus efectos económicos, ambientales y sociales más significativos o influyen de forma sustancial en las evaluaciones, decisiones y percepciones de sus grupos de interés.</w:t>
      </w:r>
    </w:p>
    <w:p w14:paraId="0E5FA54F" w14:textId="77777777" w:rsidR="000135D5" w:rsidRDefault="000135D5" w:rsidP="000135D5">
      <w:pPr>
        <w:pStyle w:val="NormalWeb"/>
        <w:spacing w:before="240" w:beforeAutospacing="0" w:after="240" w:afterAutospacing="0"/>
        <w:jc w:val="both"/>
        <w:rPr>
          <w:rFonts w:ascii="Arial" w:hAnsi="Arial" w:cs="Arial"/>
          <w:noProof/>
          <w:sz w:val="22"/>
          <w:szCs w:val="22"/>
          <w:lang w:val="es-ES"/>
        </w:rPr>
      </w:pPr>
      <w:r w:rsidRPr="0089687C">
        <w:rPr>
          <w:rFonts w:ascii="Arial" w:hAnsi="Arial" w:cs="Arial"/>
          <w:noProof/>
          <w:sz w:val="22"/>
          <w:szCs w:val="22"/>
          <w:lang w:val="es-ES"/>
        </w:rPr>
        <w:t>Se puede considerar que la información es material cuando influye en la opinión o decisión de los usuarios, ayudándoles a evaluar los eventos pasados, presentes o futuros, o confirmar/corregir evaluaciones anteriores. Una vez que el emisor ha establecido los aspectos o factores ASG materiales puede comenzar a publicar indicadores de desempeño específicos para demostrar su progreso en un reporte de sostenibilidad. Estos indicadores pueden ser genéricos, particulares de la industria o propios del emisor. Se recomienda utilizar indicadores ampliamente aceptados, desarrollados bajo procesos internacionales creíbles y reconocidos. Por ejemplo el Estandar</w:t>
      </w:r>
      <w:r w:rsidRPr="00605CD7">
        <w:rPr>
          <w:rFonts w:ascii="Arial" w:hAnsi="Arial" w:cs="Arial"/>
          <w:noProof/>
          <w:sz w:val="22"/>
          <w:szCs w:val="22"/>
          <w:lang w:val="es-ES"/>
        </w:rPr>
        <w:t xml:space="preserve"> de la Iniciativa de Reporte Global (Global Reporting Initiative (GRI), por sus siglas en inglés), establece el conjunto de indicadores más utilizados en los reportes de sostenibilidad corporativa. Los datos cuantitativos son altamente demandados, porque pueden ser fácilmente comparados a través del tiempo con la información de la misma empresa o con datos similares de otras compañías</w:t>
      </w:r>
      <w:r>
        <w:rPr>
          <w:rFonts w:ascii="Arial" w:hAnsi="Arial" w:cs="Arial"/>
          <w:noProof/>
          <w:sz w:val="22"/>
          <w:szCs w:val="22"/>
          <w:lang w:val="es-ES"/>
        </w:rPr>
        <w:t>.</w:t>
      </w:r>
    </w:p>
    <w:p w14:paraId="06557F3A" w14:textId="77777777" w:rsidR="000135D5" w:rsidRPr="002F73E9" w:rsidRDefault="000135D5" w:rsidP="000135D5">
      <w:pPr>
        <w:pStyle w:val="Ttulo"/>
        <w:keepNext/>
        <w:numPr>
          <w:ilvl w:val="0"/>
          <w:numId w:val="4"/>
        </w:numPr>
        <w:spacing w:before="240" w:after="240"/>
        <w:jc w:val="both"/>
        <w:outlineLvl w:val="1"/>
        <w:rPr>
          <w:rFonts w:cs="Arial"/>
          <w:b w:val="0"/>
          <w:i/>
          <w:iCs/>
          <w:noProof/>
          <w:szCs w:val="22"/>
          <w:lang w:val="es-ES"/>
        </w:rPr>
      </w:pPr>
      <w:bookmarkStart w:id="16" w:name="_Toc82185429"/>
      <w:r w:rsidRPr="002F73E9">
        <w:rPr>
          <w:rFonts w:cs="Arial"/>
          <w:b w:val="0"/>
          <w:i/>
          <w:iCs/>
          <w:noProof/>
          <w:szCs w:val="22"/>
          <w:lang w:val="es-ES"/>
        </w:rPr>
        <w:t>Accesibilidad</w:t>
      </w:r>
      <w:bookmarkEnd w:id="16"/>
    </w:p>
    <w:p w14:paraId="18FE780A" w14:textId="77777777" w:rsidR="000135D5" w:rsidRPr="00326F51" w:rsidRDefault="000135D5" w:rsidP="000135D5">
      <w:pPr>
        <w:pStyle w:val="Ttulo"/>
        <w:spacing w:before="240" w:after="240"/>
        <w:jc w:val="both"/>
        <w:rPr>
          <w:rFonts w:cs="Arial"/>
          <w:b w:val="0"/>
          <w:noProof/>
          <w:szCs w:val="22"/>
          <w:lang w:val="es-ES"/>
        </w:rPr>
      </w:pPr>
      <w:r w:rsidRPr="00326F51">
        <w:rPr>
          <w:rFonts w:cs="Arial"/>
          <w:b w:val="0"/>
          <w:noProof/>
          <w:szCs w:val="22"/>
          <w:lang w:val="es-ES"/>
        </w:rPr>
        <w:t>C</w:t>
      </w:r>
      <w:r>
        <w:rPr>
          <w:rFonts w:cs="Arial"/>
          <w:b w:val="0"/>
          <w:noProof/>
          <w:szCs w:val="22"/>
          <w:lang w:val="es-ES"/>
        </w:rPr>
        <w:t>ontar con c</w:t>
      </w:r>
      <w:r w:rsidRPr="00326F51">
        <w:rPr>
          <w:rFonts w:cs="Arial"/>
          <w:b w:val="0"/>
          <w:noProof/>
          <w:szCs w:val="22"/>
          <w:lang w:val="es-ES"/>
        </w:rPr>
        <w:t>anales de comunicación adecuados garantiza que los inversionistas reciban información relevante y de fácil acceso, comparable y oportuna</w:t>
      </w:r>
      <w:r>
        <w:rPr>
          <w:rFonts w:cs="Arial"/>
          <w:b w:val="0"/>
          <w:noProof/>
          <w:szCs w:val="22"/>
          <w:lang w:val="es-ES"/>
        </w:rPr>
        <w:t>. P</w:t>
      </w:r>
      <w:r w:rsidRPr="00326F51">
        <w:rPr>
          <w:rFonts w:cs="Arial"/>
          <w:b w:val="0"/>
          <w:noProof/>
          <w:szCs w:val="22"/>
          <w:lang w:val="es-ES"/>
        </w:rPr>
        <w:t>or ejemplo</w:t>
      </w:r>
      <w:r>
        <w:rPr>
          <w:rFonts w:cs="Arial"/>
          <w:b w:val="0"/>
          <w:noProof/>
          <w:szCs w:val="22"/>
          <w:lang w:val="es-ES"/>
        </w:rPr>
        <w:t xml:space="preserve">, se pueden </w:t>
      </w:r>
      <w:r w:rsidRPr="00326F51">
        <w:rPr>
          <w:rFonts w:cs="Arial"/>
          <w:b w:val="0"/>
          <w:noProof/>
          <w:szCs w:val="22"/>
          <w:lang w:val="es-ES"/>
        </w:rPr>
        <w:t>utilizar diferentes canales de comunicación, incluyendo sitios web</w:t>
      </w:r>
      <w:r>
        <w:rPr>
          <w:rFonts w:cs="Arial"/>
          <w:b w:val="0"/>
          <w:noProof/>
          <w:szCs w:val="22"/>
          <w:lang w:val="es-ES"/>
        </w:rPr>
        <w:t>, redes sociales</w:t>
      </w:r>
      <w:r w:rsidRPr="00326F51">
        <w:rPr>
          <w:rFonts w:cs="Arial"/>
          <w:b w:val="0"/>
          <w:noProof/>
          <w:szCs w:val="22"/>
          <w:lang w:val="es-ES"/>
        </w:rPr>
        <w:t>, informes anuales, reportes de sostenibilidad y otros reportes de</w:t>
      </w:r>
      <w:r>
        <w:rPr>
          <w:rFonts w:cs="Arial"/>
          <w:b w:val="0"/>
          <w:noProof/>
          <w:szCs w:val="22"/>
          <w:lang w:val="es-ES"/>
        </w:rPr>
        <w:t>l emisor</w:t>
      </w:r>
      <w:r w:rsidRPr="00326F51">
        <w:rPr>
          <w:rFonts w:cs="Arial"/>
          <w:b w:val="0"/>
          <w:noProof/>
          <w:szCs w:val="22"/>
          <w:lang w:val="es-ES"/>
        </w:rPr>
        <w:t xml:space="preserve">. El uso de más de un canal de comunicación puede ser una manera eficaz de asegurar que el público </w:t>
      </w:r>
      <w:r w:rsidRPr="00326F51">
        <w:rPr>
          <w:rFonts w:cs="Arial"/>
          <w:b w:val="0"/>
          <w:noProof/>
          <w:szCs w:val="22"/>
          <w:lang w:val="es-ES"/>
        </w:rPr>
        <w:lastRenderedPageBreak/>
        <w:t xml:space="preserve">objetivo de una empresa obtenga la información necesaria. Para hacer más accesible la información a los inversionistas internacionales, </w:t>
      </w:r>
      <w:r>
        <w:rPr>
          <w:rFonts w:cs="Arial"/>
          <w:b w:val="0"/>
          <w:noProof/>
          <w:szCs w:val="22"/>
          <w:lang w:val="es-ES"/>
        </w:rPr>
        <w:t>los emisores</w:t>
      </w:r>
      <w:r w:rsidRPr="00326F51">
        <w:rPr>
          <w:rFonts w:cs="Arial"/>
          <w:b w:val="0"/>
          <w:noProof/>
          <w:szCs w:val="22"/>
          <w:lang w:val="es-ES"/>
        </w:rPr>
        <w:t xml:space="preserve"> también pueden difundir su información ASG en inglés, junto con su versión en español. </w:t>
      </w:r>
      <w:r>
        <w:rPr>
          <w:rFonts w:cs="Arial"/>
          <w:b w:val="0"/>
          <w:noProof/>
          <w:szCs w:val="22"/>
          <w:lang w:val="es-ES"/>
        </w:rPr>
        <w:t>La información de los aspectos ASG se debe actualizar en la actualización anual de prospecto</w:t>
      </w:r>
      <w:r w:rsidRPr="00326F51">
        <w:rPr>
          <w:rFonts w:cs="Arial"/>
          <w:b w:val="0"/>
          <w:noProof/>
          <w:szCs w:val="22"/>
          <w:lang w:val="es-ES"/>
        </w:rPr>
        <w:t xml:space="preserve">. Esto permitirá que los inversionistas puedan evaluar la información financiera </w:t>
      </w:r>
      <w:r>
        <w:rPr>
          <w:rFonts w:cs="Arial"/>
          <w:b w:val="0"/>
          <w:noProof/>
          <w:szCs w:val="22"/>
          <w:lang w:val="es-ES"/>
        </w:rPr>
        <w:t xml:space="preserve">revelada en el prospecto </w:t>
      </w:r>
      <w:r w:rsidRPr="00326F51">
        <w:rPr>
          <w:rFonts w:cs="Arial"/>
          <w:b w:val="0"/>
          <w:noProof/>
          <w:szCs w:val="22"/>
          <w:lang w:val="es-ES"/>
        </w:rPr>
        <w:t>en el contexto de la información ASG</w:t>
      </w:r>
      <w:r>
        <w:rPr>
          <w:rFonts w:cs="Arial"/>
          <w:b w:val="0"/>
          <w:noProof/>
          <w:szCs w:val="22"/>
          <w:lang w:val="es-ES"/>
        </w:rPr>
        <w:t>,</w:t>
      </w:r>
      <w:r w:rsidRPr="00326F51">
        <w:rPr>
          <w:rFonts w:cs="Arial"/>
          <w:b w:val="0"/>
          <w:noProof/>
          <w:szCs w:val="22"/>
          <w:lang w:val="es-ES"/>
        </w:rPr>
        <w:t xml:space="preserve"> </w:t>
      </w:r>
      <w:r>
        <w:rPr>
          <w:rFonts w:cs="Arial"/>
          <w:b w:val="0"/>
          <w:noProof/>
          <w:szCs w:val="22"/>
          <w:lang w:val="es-ES"/>
        </w:rPr>
        <w:t>esto para garantizar</w:t>
      </w:r>
      <w:r w:rsidRPr="00326F51">
        <w:rPr>
          <w:rFonts w:cs="Arial"/>
          <w:b w:val="0"/>
          <w:noProof/>
          <w:szCs w:val="22"/>
          <w:lang w:val="es-ES"/>
        </w:rPr>
        <w:t xml:space="preserve"> la conectividad y accesibilidad de la información.</w:t>
      </w:r>
    </w:p>
    <w:p w14:paraId="754FD24C" w14:textId="77777777" w:rsidR="000135D5" w:rsidRPr="002F73E9" w:rsidRDefault="000135D5" w:rsidP="000135D5">
      <w:pPr>
        <w:pStyle w:val="Ttulo"/>
        <w:keepNext/>
        <w:numPr>
          <w:ilvl w:val="0"/>
          <w:numId w:val="4"/>
        </w:numPr>
        <w:spacing w:before="240" w:after="240"/>
        <w:jc w:val="both"/>
        <w:outlineLvl w:val="1"/>
        <w:rPr>
          <w:rFonts w:cs="Arial"/>
          <w:b w:val="0"/>
          <w:i/>
          <w:iCs/>
          <w:noProof/>
          <w:szCs w:val="22"/>
          <w:lang w:val="es-ES"/>
        </w:rPr>
      </w:pPr>
      <w:bookmarkStart w:id="17" w:name="_Toc82185430"/>
      <w:r w:rsidRPr="002F73E9">
        <w:rPr>
          <w:rFonts w:cs="Arial"/>
          <w:b w:val="0"/>
          <w:i/>
          <w:iCs/>
          <w:noProof/>
          <w:szCs w:val="22"/>
          <w:lang w:val="es-ES"/>
        </w:rPr>
        <w:t>Precisión</w:t>
      </w:r>
      <w:bookmarkEnd w:id="17"/>
      <w:r w:rsidRPr="002F73E9">
        <w:rPr>
          <w:rFonts w:cs="Arial"/>
          <w:b w:val="0"/>
          <w:i/>
          <w:iCs/>
          <w:noProof/>
          <w:szCs w:val="22"/>
          <w:lang w:val="es-ES"/>
        </w:rPr>
        <w:t xml:space="preserve"> </w:t>
      </w:r>
    </w:p>
    <w:p w14:paraId="1243B66E" w14:textId="77777777" w:rsidR="000135D5" w:rsidRDefault="000135D5" w:rsidP="000135D5">
      <w:pPr>
        <w:pStyle w:val="Ttulo"/>
        <w:spacing w:before="240" w:after="240"/>
        <w:jc w:val="both"/>
        <w:rPr>
          <w:rFonts w:cs="Arial"/>
          <w:b w:val="0"/>
          <w:noProof/>
          <w:szCs w:val="22"/>
          <w:lang w:val="es-ES"/>
        </w:rPr>
      </w:pPr>
      <w:r w:rsidRPr="00326F51">
        <w:rPr>
          <w:rFonts w:cs="Arial"/>
          <w:b w:val="0"/>
          <w:noProof/>
          <w:szCs w:val="22"/>
          <w:lang w:val="es-ES"/>
        </w:rPr>
        <w:t>La información contenida en el reporte debe ser lo suficientemente precisa y detallada, sea cualitativa o cuantitativa. Para ello se deberá</w:t>
      </w:r>
      <w:r>
        <w:rPr>
          <w:rFonts w:cs="Arial"/>
          <w:b w:val="0"/>
          <w:noProof/>
          <w:szCs w:val="22"/>
          <w:lang w:val="es-ES"/>
        </w:rPr>
        <w:t>n</w:t>
      </w:r>
      <w:r w:rsidRPr="00326F51">
        <w:rPr>
          <w:rFonts w:cs="Arial"/>
          <w:b w:val="0"/>
          <w:noProof/>
          <w:szCs w:val="22"/>
          <w:lang w:val="es-ES"/>
        </w:rPr>
        <w:t xml:space="preserve"> indicar los datos que han sido medidos, las bases metodológicas seguidas en las mediciones y cálculos y el margen de error de los datos cuantitativos, así como indicar qué datos han sido estimados y los supuestos subyacentes y técnicas utilizadas para las estimaciones. Para los datos cualitativos se deberá informar sobre la manera en la que la información ha sido compilada</w:t>
      </w:r>
      <w:r>
        <w:rPr>
          <w:rFonts w:cs="Arial"/>
          <w:b w:val="0"/>
          <w:noProof/>
          <w:szCs w:val="22"/>
          <w:lang w:val="es-ES"/>
        </w:rPr>
        <w:t xml:space="preserve"> </w:t>
      </w:r>
      <w:r w:rsidRPr="00326F51">
        <w:rPr>
          <w:rFonts w:cs="Arial"/>
          <w:b w:val="0"/>
          <w:noProof/>
          <w:szCs w:val="22"/>
          <w:lang w:val="es-ES"/>
        </w:rPr>
        <w:t>y las limitaciones de los datos.</w:t>
      </w:r>
    </w:p>
    <w:p w14:paraId="4ABA6783" w14:textId="77777777" w:rsidR="000135D5" w:rsidRPr="00CB365F" w:rsidRDefault="000135D5" w:rsidP="000135D5">
      <w:pPr>
        <w:pStyle w:val="Textocomentario"/>
        <w:jc w:val="both"/>
        <w:rPr>
          <w:rFonts w:ascii="Arial" w:hAnsi="Arial" w:cs="Arial"/>
          <w:bCs/>
          <w:sz w:val="22"/>
          <w:szCs w:val="22"/>
        </w:rPr>
      </w:pPr>
      <w:r w:rsidRPr="0055064F">
        <w:rPr>
          <w:rFonts w:ascii="Arial" w:hAnsi="Arial" w:cs="Arial"/>
          <w:bCs/>
          <w:noProof/>
          <w:sz w:val="22"/>
          <w:szCs w:val="22"/>
          <w:lang w:val="es-ES"/>
        </w:rPr>
        <w:t xml:space="preserve">Adicionalmente, como parte de las recomendaciones para elaborar un informe de sostenibilidad es importante </w:t>
      </w:r>
      <w:r>
        <w:rPr>
          <w:rFonts w:ascii="Arial" w:hAnsi="Arial" w:cs="Arial"/>
          <w:bCs/>
          <w:noProof/>
          <w:sz w:val="22"/>
          <w:szCs w:val="22"/>
          <w:lang w:val="es-ES"/>
        </w:rPr>
        <w:t>vincular</w:t>
      </w:r>
      <w:r w:rsidRPr="0055064F">
        <w:rPr>
          <w:rFonts w:ascii="Arial" w:hAnsi="Arial" w:cs="Arial"/>
          <w:bCs/>
          <w:noProof/>
          <w:sz w:val="22"/>
          <w:szCs w:val="22"/>
          <w:lang w:val="es-ES"/>
        </w:rPr>
        <w:t xml:space="preserve"> las actividades e inversiones que realizan </w:t>
      </w:r>
      <w:r>
        <w:rPr>
          <w:rFonts w:ascii="Arial" w:hAnsi="Arial" w:cs="Arial"/>
          <w:bCs/>
          <w:noProof/>
          <w:sz w:val="22"/>
          <w:szCs w:val="22"/>
          <w:lang w:val="es-ES"/>
        </w:rPr>
        <w:t>los emisores</w:t>
      </w:r>
      <w:r w:rsidRPr="0055064F">
        <w:rPr>
          <w:rFonts w:ascii="Arial" w:hAnsi="Arial" w:cs="Arial"/>
          <w:bCs/>
          <w:noProof/>
          <w:sz w:val="22"/>
          <w:szCs w:val="22"/>
          <w:lang w:val="es-ES"/>
        </w:rPr>
        <w:t xml:space="preserve"> para contribuir con los Objetivos de Desarrollo Sostenible y </w:t>
      </w:r>
      <w:r w:rsidRPr="0055064F">
        <w:rPr>
          <w:rFonts w:ascii="Arial" w:hAnsi="Arial" w:cs="Arial"/>
          <w:bCs/>
          <w:sz w:val="22"/>
          <w:szCs w:val="22"/>
        </w:rPr>
        <w:t>sus impactos económicos, sociales y medioambientales</w:t>
      </w:r>
      <w:r>
        <w:rPr>
          <w:rFonts w:ascii="Arial" w:hAnsi="Arial" w:cs="Arial"/>
          <w:bCs/>
          <w:sz w:val="22"/>
          <w:szCs w:val="22"/>
        </w:rPr>
        <w:t xml:space="preserve">. </w:t>
      </w:r>
      <w:r w:rsidRPr="0055064F">
        <w:rPr>
          <w:rFonts w:ascii="Arial" w:hAnsi="Arial" w:cs="Arial"/>
          <w:bCs/>
          <w:sz w:val="22"/>
          <w:szCs w:val="22"/>
        </w:rPr>
        <w:t xml:space="preserve">En el anexo 2 se pueden consultar los 17 </w:t>
      </w:r>
      <w:r>
        <w:rPr>
          <w:rFonts w:ascii="Arial" w:hAnsi="Arial" w:cs="Arial"/>
          <w:bCs/>
          <w:sz w:val="22"/>
          <w:szCs w:val="22"/>
        </w:rPr>
        <w:t>O</w:t>
      </w:r>
      <w:r w:rsidRPr="0055064F">
        <w:rPr>
          <w:rFonts w:ascii="Arial" w:hAnsi="Arial" w:cs="Arial"/>
          <w:bCs/>
          <w:sz w:val="22"/>
          <w:szCs w:val="22"/>
        </w:rPr>
        <w:t xml:space="preserve">bjetivos de </w:t>
      </w:r>
      <w:r>
        <w:rPr>
          <w:rFonts w:ascii="Arial" w:hAnsi="Arial" w:cs="Arial"/>
          <w:bCs/>
          <w:sz w:val="22"/>
          <w:szCs w:val="22"/>
        </w:rPr>
        <w:t>D</w:t>
      </w:r>
      <w:r w:rsidRPr="0055064F">
        <w:rPr>
          <w:rFonts w:ascii="Arial" w:hAnsi="Arial" w:cs="Arial"/>
          <w:bCs/>
          <w:sz w:val="22"/>
          <w:szCs w:val="22"/>
        </w:rPr>
        <w:t xml:space="preserve">esarrollo </w:t>
      </w:r>
      <w:r>
        <w:rPr>
          <w:rFonts w:ascii="Arial" w:hAnsi="Arial" w:cs="Arial"/>
          <w:bCs/>
          <w:sz w:val="22"/>
          <w:szCs w:val="22"/>
        </w:rPr>
        <w:t>S</w:t>
      </w:r>
      <w:r w:rsidRPr="0055064F">
        <w:rPr>
          <w:rFonts w:ascii="Arial" w:hAnsi="Arial" w:cs="Arial"/>
          <w:bCs/>
          <w:sz w:val="22"/>
          <w:szCs w:val="22"/>
        </w:rPr>
        <w:t>ostenible.</w:t>
      </w:r>
    </w:p>
    <w:p w14:paraId="6C21E65A" w14:textId="77777777" w:rsidR="000135D5" w:rsidRPr="00326F51" w:rsidRDefault="000135D5" w:rsidP="000135D5">
      <w:pPr>
        <w:pStyle w:val="Ttulo"/>
        <w:keepNext/>
        <w:keepLines/>
        <w:spacing w:before="240" w:after="240"/>
        <w:jc w:val="both"/>
        <w:outlineLvl w:val="0"/>
        <w:rPr>
          <w:rFonts w:cs="Arial"/>
          <w:szCs w:val="22"/>
        </w:rPr>
      </w:pPr>
      <w:bookmarkStart w:id="18" w:name="_Toc82185431"/>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Pr="00326F51">
        <w:rPr>
          <w:rFonts w:cs="Arial"/>
          <w:szCs w:val="22"/>
        </w:rPr>
        <w:t xml:space="preserve"> Estándares utilizados para comunicar aspectos ASG de </w:t>
      </w:r>
      <w:r>
        <w:rPr>
          <w:rFonts w:cs="Arial"/>
          <w:szCs w:val="22"/>
        </w:rPr>
        <w:t>emisores</w:t>
      </w:r>
      <w:r w:rsidRPr="00326F51">
        <w:rPr>
          <w:rFonts w:cs="Arial"/>
          <w:szCs w:val="22"/>
        </w:rPr>
        <w:t xml:space="preserve"> a nivel nacional e internacional</w:t>
      </w:r>
      <w:bookmarkEnd w:id="18"/>
    </w:p>
    <w:p w14:paraId="6B8EFBC3" w14:textId="77777777" w:rsidR="000135D5" w:rsidRPr="00677BD0" w:rsidRDefault="00677BD0" w:rsidP="000135D5">
      <w:pPr>
        <w:pStyle w:val="NormalWeb"/>
        <w:spacing w:before="240" w:beforeAutospacing="0" w:after="240" w:afterAutospacing="0"/>
        <w:jc w:val="both"/>
        <w:rPr>
          <w:rFonts w:ascii="Arial" w:hAnsi="Arial" w:cs="Arial"/>
          <w:bCs/>
          <w:sz w:val="22"/>
          <w:szCs w:val="22"/>
        </w:rPr>
      </w:pPr>
      <w:r w:rsidRPr="00677BD0">
        <w:rPr>
          <w:rFonts w:ascii="Arial" w:hAnsi="Arial" w:cs="Arial"/>
          <w:bCs/>
          <w:sz w:val="22"/>
          <w:szCs w:val="22"/>
        </w:rPr>
        <w:t xml:space="preserve">Existen muchas iniciativas para reportar aspectos ambientales, sociales y de gobernanza, queda a criterio de cada emisor definir </w:t>
      </w:r>
      <w:proofErr w:type="spellStart"/>
      <w:r w:rsidRPr="00677BD0">
        <w:rPr>
          <w:rFonts w:ascii="Arial" w:hAnsi="Arial" w:cs="Arial"/>
          <w:bCs/>
          <w:sz w:val="22"/>
          <w:szCs w:val="22"/>
        </w:rPr>
        <w:t>cual</w:t>
      </w:r>
      <w:proofErr w:type="spellEnd"/>
      <w:r w:rsidRPr="00677BD0">
        <w:rPr>
          <w:rFonts w:ascii="Arial" w:hAnsi="Arial" w:cs="Arial"/>
          <w:bCs/>
          <w:sz w:val="22"/>
          <w:szCs w:val="22"/>
        </w:rPr>
        <w:t xml:space="preserve"> estándar utilizará para efectos de la revelación de esta información. Las más utilizadas son</w:t>
      </w:r>
      <w:r w:rsidR="000135D5" w:rsidRPr="00677BD0">
        <w:rPr>
          <w:rFonts w:ascii="Arial" w:hAnsi="Arial" w:cs="Arial"/>
          <w:bCs/>
          <w:sz w:val="22"/>
          <w:szCs w:val="22"/>
        </w:rPr>
        <w:t>:</w:t>
      </w:r>
    </w:p>
    <w:p w14:paraId="675D456C" w14:textId="77777777" w:rsidR="000135D5" w:rsidRPr="00C87CFE" w:rsidRDefault="000135D5" w:rsidP="000135D5">
      <w:pPr>
        <w:pStyle w:val="Ttulo"/>
        <w:keepNext/>
        <w:numPr>
          <w:ilvl w:val="0"/>
          <w:numId w:val="6"/>
        </w:numPr>
        <w:spacing w:before="240" w:after="240"/>
        <w:jc w:val="both"/>
        <w:outlineLvl w:val="1"/>
        <w:rPr>
          <w:rFonts w:cs="Arial"/>
          <w:b w:val="0"/>
          <w:i/>
          <w:iCs/>
          <w:noProof/>
          <w:szCs w:val="22"/>
          <w:lang w:val="es-ES"/>
        </w:rPr>
      </w:pPr>
      <w:bookmarkStart w:id="19" w:name="_Toc82185432"/>
      <w:r w:rsidRPr="00C87CFE">
        <w:rPr>
          <w:rFonts w:cs="Arial"/>
          <w:b w:val="0"/>
          <w:i/>
          <w:iCs/>
          <w:noProof/>
          <w:szCs w:val="22"/>
          <w:lang w:val="es-ES"/>
        </w:rPr>
        <w:t>Estándar de Global Reporting Initiative (GRI)</w:t>
      </w:r>
      <w:bookmarkEnd w:id="19"/>
      <w:r w:rsidRPr="00C87CFE">
        <w:rPr>
          <w:rFonts w:cs="Arial"/>
          <w:b w:val="0"/>
          <w:i/>
          <w:iCs/>
          <w:noProof/>
          <w:szCs w:val="22"/>
          <w:lang w:val="es-ES"/>
        </w:rPr>
        <w:t xml:space="preserve"> </w:t>
      </w:r>
    </w:p>
    <w:p w14:paraId="003D3B7F"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 xml:space="preserve">Los Estándares </w:t>
      </w:r>
      <w:r w:rsidRPr="00664227">
        <w:rPr>
          <w:rFonts w:ascii="Arial" w:hAnsi="Arial" w:cs="Arial"/>
          <w:i/>
          <w:iCs/>
        </w:rPr>
        <w:t xml:space="preserve">Global </w:t>
      </w:r>
      <w:proofErr w:type="spellStart"/>
      <w:r w:rsidRPr="00664227">
        <w:rPr>
          <w:rFonts w:ascii="Arial" w:hAnsi="Arial" w:cs="Arial"/>
          <w:i/>
          <w:iCs/>
        </w:rPr>
        <w:t>Reporting</w:t>
      </w:r>
      <w:proofErr w:type="spellEnd"/>
      <w:r w:rsidRPr="00664227">
        <w:rPr>
          <w:rFonts w:ascii="Arial" w:hAnsi="Arial" w:cs="Arial"/>
          <w:i/>
          <w:iCs/>
        </w:rPr>
        <w:t xml:space="preserve"> </w:t>
      </w:r>
      <w:proofErr w:type="spellStart"/>
      <w:r w:rsidRPr="00664227">
        <w:rPr>
          <w:rFonts w:ascii="Arial" w:hAnsi="Arial" w:cs="Arial"/>
          <w:i/>
          <w:iCs/>
        </w:rPr>
        <w:t>Initiative</w:t>
      </w:r>
      <w:proofErr w:type="spellEnd"/>
      <w:r w:rsidRPr="00326F51">
        <w:rPr>
          <w:rFonts w:ascii="Arial" w:hAnsi="Arial" w:cs="Arial"/>
        </w:rPr>
        <w:t xml:space="preserve"> están conformados por un conjunto de estándares modulares interrelacionados que pueden ser utilizados por cualquier tipo de organización para reportar sus impactos económicos, ambientales y sociales. Estos Estándares son construidos tomando como referencia otros marcos de sostenibilidad ampliamente reconocidos de manera que permitan informar el desempeño de las organizaciones frente a diferentes códigos y lineamientos como las Líneas Directrices de la OCDE para Empresas Multinacionales</w:t>
      </w:r>
      <w:r>
        <w:t xml:space="preserve">, </w:t>
      </w:r>
      <w:r w:rsidRPr="00326F51">
        <w:rPr>
          <w:rFonts w:ascii="Arial" w:hAnsi="Arial" w:cs="Arial"/>
        </w:rPr>
        <w:t xml:space="preserve">los Principios del Pacto Global de Naciones Unidas y los Principios Rectores de Naciones Unidas sobre Empresas y Derechos Humanos, e incluyen referencias a los principales convenios internacionales como los Convenios de la OIT sobre prácticas laborales, entre otros. </w:t>
      </w:r>
    </w:p>
    <w:p w14:paraId="482022E5"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 xml:space="preserve">Los Estándares GRI crean un lenguaje común para las organizaciones y los grupos de interés, con el que los impactos económicos, ambientales y sociales de las </w:t>
      </w:r>
      <w:r>
        <w:rPr>
          <w:rFonts w:ascii="Arial" w:hAnsi="Arial" w:cs="Arial"/>
        </w:rPr>
        <w:t>empresas</w:t>
      </w:r>
      <w:r w:rsidRPr="00326F51">
        <w:rPr>
          <w:rFonts w:ascii="Arial" w:hAnsi="Arial" w:cs="Arial"/>
        </w:rPr>
        <w:t xml:space="preserve"> pueden ser comunicados y comprendidos. Se han diseñado para fomentar la comparabilidad global y la calidad de la información sobre estos impactos y posibilitar una mayor transparencia y rendición de cuentas por parte de las </w:t>
      </w:r>
      <w:r>
        <w:rPr>
          <w:rFonts w:ascii="Arial" w:hAnsi="Arial" w:cs="Arial"/>
        </w:rPr>
        <w:t>empresas</w:t>
      </w:r>
      <w:r w:rsidRPr="00326F51">
        <w:rPr>
          <w:rFonts w:ascii="Arial" w:hAnsi="Arial" w:cs="Arial"/>
        </w:rPr>
        <w:t>.</w:t>
      </w:r>
    </w:p>
    <w:p w14:paraId="13E78808"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lastRenderedPageBreak/>
        <w:t>La elaboración de información basada en los Estándares GRI debería proporcionar una representación equilibrada y razonable de las contribuciones positivas y negativas de l</w:t>
      </w:r>
      <w:r>
        <w:rPr>
          <w:rFonts w:ascii="Arial" w:hAnsi="Arial" w:cs="Arial"/>
        </w:rPr>
        <w:t>o</w:t>
      </w:r>
      <w:r w:rsidRPr="00326F51">
        <w:rPr>
          <w:rFonts w:ascii="Arial" w:hAnsi="Arial" w:cs="Arial"/>
        </w:rPr>
        <w:t xml:space="preserve">s </w:t>
      </w:r>
      <w:r>
        <w:rPr>
          <w:rFonts w:ascii="Arial" w:hAnsi="Arial" w:cs="Arial"/>
        </w:rPr>
        <w:t>emisores</w:t>
      </w:r>
      <w:r w:rsidRPr="00326F51">
        <w:rPr>
          <w:rFonts w:ascii="Arial" w:hAnsi="Arial" w:cs="Arial"/>
        </w:rPr>
        <w:t xml:space="preserve"> al cumplimiento del objetivo de desarrollo sostenible.</w:t>
      </w:r>
    </w:p>
    <w:p w14:paraId="345A5ECB" w14:textId="77777777" w:rsidR="000135D5" w:rsidRDefault="000135D5" w:rsidP="000135D5">
      <w:pPr>
        <w:autoSpaceDE w:val="0"/>
        <w:autoSpaceDN w:val="0"/>
        <w:adjustRightInd w:val="0"/>
        <w:spacing w:before="240" w:after="240" w:line="240" w:lineRule="auto"/>
        <w:jc w:val="both"/>
        <w:rPr>
          <w:rFonts w:ascii="Arial" w:hAnsi="Arial" w:cs="Arial"/>
        </w:rPr>
      </w:pPr>
      <w:r>
        <w:rPr>
          <w:rFonts w:ascii="Arial" w:hAnsi="Arial" w:cs="Arial"/>
        </w:rPr>
        <w:t>Los emisores</w:t>
      </w:r>
      <w:r w:rsidRPr="00326F51">
        <w:rPr>
          <w:rFonts w:ascii="Arial" w:hAnsi="Arial" w:cs="Arial"/>
        </w:rPr>
        <w:t xml:space="preserve"> también pueden utilizar una selección de Estándares GRI</w:t>
      </w:r>
      <w:r>
        <w:rPr>
          <w:rFonts w:ascii="Arial" w:hAnsi="Arial" w:cs="Arial"/>
        </w:rPr>
        <w:t>, esenciales o exhaustivos</w:t>
      </w:r>
      <w:r w:rsidRPr="00326F51">
        <w:rPr>
          <w:rFonts w:ascii="Arial" w:hAnsi="Arial" w:cs="Arial"/>
        </w:rPr>
        <w:t>, o partes de su contenido, para comunicar información específica, siempre y cuando se haga referencia correctamente a los Estándares pertinentes.</w:t>
      </w:r>
      <w:r>
        <w:rPr>
          <w:rFonts w:ascii="Arial" w:hAnsi="Arial" w:cs="Arial"/>
        </w:rPr>
        <w:t xml:space="preserve"> </w:t>
      </w:r>
    </w:p>
    <w:p w14:paraId="09F35AF4" w14:textId="77777777" w:rsidR="000135D5" w:rsidRDefault="000135D5" w:rsidP="000135D5">
      <w:pPr>
        <w:autoSpaceDE w:val="0"/>
        <w:autoSpaceDN w:val="0"/>
        <w:adjustRightInd w:val="0"/>
        <w:spacing w:before="240" w:after="240" w:line="240" w:lineRule="auto"/>
        <w:jc w:val="both"/>
        <w:rPr>
          <w:rFonts w:ascii="Arial" w:hAnsi="Arial" w:cs="Arial"/>
        </w:rPr>
      </w:pPr>
      <w:r>
        <w:rPr>
          <w:rFonts w:ascii="Arial" w:hAnsi="Arial" w:cs="Arial"/>
        </w:rPr>
        <w:t xml:space="preserve">Para </w:t>
      </w:r>
      <w:proofErr w:type="gramStart"/>
      <w:r>
        <w:rPr>
          <w:rFonts w:ascii="Arial" w:hAnsi="Arial" w:cs="Arial"/>
        </w:rPr>
        <w:t>mayor información</w:t>
      </w:r>
      <w:proofErr w:type="gramEnd"/>
      <w:r>
        <w:rPr>
          <w:rFonts w:ascii="Arial" w:hAnsi="Arial" w:cs="Arial"/>
        </w:rPr>
        <w:t xml:space="preserve"> se recomienda consultar el sitio web </w:t>
      </w:r>
      <w:hyperlink r:id="rId9" w:history="1">
        <w:r w:rsidRPr="00796386">
          <w:rPr>
            <w:rStyle w:val="Hipervnculo"/>
            <w:rFonts w:ascii="Arial" w:hAnsi="Arial" w:cs="Arial"/>
          </w:rPr>
          <w:t>https://www.globalreporting.org/how-to-use-the-gri-standards/</w:t>
        </w:r>
      </w:hyperlink>
      <w:r>
        <w:rPr>
          <w:rFonts w:ascii="Arial" w:hAnsi="Arial" w:cs="Arial"/>
        </w:rPr>
        <w:t>.</w:t>
      </w:r>
    </w:p>
    <w:p w14:paraId="57F507E0" w14:textId="77777777" w:rsidR="000135D5" w:rsidRPr="00C87CFE" w:rsidRDefault="000135D5" w:rsidP="000135D5">
      <w:pPr>
        <w:pStyle w:val="Ttulo"/>
        <w:keepNext/>
        <w:numPr>
          <w:ilvl w:val="0"/>
          <w:numId w:val="6"/>
        </w:numPr>
        <w:spacing w:before="240" w:after="240"/>
        <w:jc w:val="both"/>
        <w:outlineLvl w:val="1"/>
        <w:rPr>
          <w:rFonts w:cs="Arial"/>
          <w:b w:val="0"/>
          <w:i/>
          <w:iCs/>
          <w:noProof/>
          <w:szCs w:val="22"/>
          <w:lang w:val="es-ES"/>
        </w:rPr>
      </w:pPr>
      <w:bookmarkStart w:id="20" w:name="_Toc82185433"/>
      <w:r w:rsidRPr="00C87CFE">
        <w:rPr>
          <w:rFonts w:cs="Arial"/>
          <w:b w:val="0"/>
          <w:i/>
          <w:iCs/>
          <w:noProof/>
          <w:szCs w:val="22"/>
          <w:lang w:val="es-ES"/>
        </w:rPr>
        <w:t>Marco Internacional de reporte integrado (IR)</w:t>
      </w:r>
      <w:bookmarkEnd w:id="20"/>
    </w:p>
    <w:p w14:paraId="6E3BEFEB"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 xml:space="preserve">El Marco Internacional de reporte integrado (IR) es un marco o guía para realizar informes integrados los cuales deben contener comunicación concisa acerca de cómo la estrategia de </w:t>
      </w:r>
      <w:r>
        <w:rPr>
          <w:rFonts w:ascii="Arial" w:hAnsi="Arial" w:cs="Arial"/>
        </w:rPr>
        <w:t>una empresa</w:t>
      </w:r>
      <w:r w:rsidRPr="00326F51">
        <w:rPr>
          <w:rFonts w:ascii="Arial" w:hAnsi="Arial" w:cs="Arial"/>
        </w:rPr>
        <w:t xml:space="preserve">, su gobierno corporativo, desempeño y perspectivas, en el contexto de su entorno externo, la conducen a crear valor en el corto, medio y largo plazo. </w:t>
      </w:r>
    </w:p>
    <w:p w14:paraId="0C6FF885" w14:textId="77777777" w:rsidR="000135D5"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 xml:space="preserve">El IR tiene como objetivo mejorar la calidad de información disponible para permitir que los proveedores de capital financiero tengan una asignación de capital eficiente y productiva, promover un enfoque más coherente y eficiente para que los reportes corporativos contribuyan con diferentes informes estandarizados y comuniquen el rango completo de factores que materialmente afecten la habilidad de crear valor a lo largo del tiempo en una </w:t>
      </w:r>
      <w:r>
        <w:rPr>
          <w:rFonts w:ascii="Arial" w:hAnsi="Arial" w:cs="Arial"/>
        </w:rPr>
        <w:t>empresa</w:t>
      </w:r>
      <w:r w:rsidRPr="00326F51">
        <w:rPr>
          <w:rFonts w:ascii="Arial" w:hAnsi="Arial" w:cs="Arial"/>
        </w:rPr>
        <w:t>, optimizar la rendición de cuentas y administración sobre la amplia base de capitales (financiero, industrial, intelectual, humano, natural, social y relacional), mejorar el entendimiento de sus interdependencias y apoyar el pensamiento integrado, la toma de decisiones y acciones que se enfoquen en la creación de valor en el corto, medio y largo plazo.</w:t>
      </w:r>
    </w:p>
    <w:p w14:paraId="3E9DBA64" w14:textId="77777777" w:rsidR="000135D5" w:rsidRDefault="000135D5" w:rsidP="000135D5">
      <w:pPr>
        <w:autoSpaceDE w:val="0"/>
        <w:autoSpaceDN w:val="0"/>
        <w:adjustRightInd w:val="0"/>
        <w:spacing w:before="240" w:after="240" w:line="240" w:lineRule="auto"/>
        <w:jc w:val="both"/>
        <w:rPr>
          <w:rFonts w:ascii="Arial" w:hAnsi="Arial" w:cs="Arial"/>
        </w:rPr>
      </w:pPr>
      <w:r>
        <w:rPr>
          <w:rFonts w:ascii="Arial" w:hAnsi="Arial" w:cs="Arial"/>
        </w:rPr>
        <w:t xml:space="preserve">Para </w:t>
      </w:r>
      <w:proofErr w:type="gramStart"/>
      <w:r>
        <w:rPr>
          <w:rFonts w:ascii="Arial" w:hAnsi="Arial" w:cs="Arial"/>
        </w:rPr>
        <w:t>mayor información</w:t>
      </w:r>
      <w:proofErr w:type="gramEnd"/>
      <w:r>
        <w:rPr>
          <w:rFonts w:ascii="Arial" w:hAnsi="Arial" w:cs="Arial"/>
        </w:rPr>
        <w:t xml:space="preserve"> se recomienda consultar el sitio web </w:t>
      </w:r>
      <w:hyperlink r:id="rId10" w:history="1">
        <w:r w:rsidRPr="00CA5BDE">
          <w:rPr>
            <w:rStyle w:val="Hipervnculo"/>
            <w:rFonts w:ascii="Arial" w:hAnsi="Arial" w:cs="Arial"/>
          </w:rPr>
          <w:t>https://integratedreporting.org/</w:t>
        </w:r>
      </w:hyperlink>
    </w:p>
    <w:p w14:paraId="44047162" w14:textId="77777777" w:rsidR="000135D5" w:rsidRPr="000E17C4" w:rsidRDefault="000135D5" w:rsidP="000135D5">
      <w:pPr>
        <w:pStyle w:val="Ttulo"/>
        <w:keepNext/>
        <w:numPr>
          <w:ilvl w:val="0"/>
          <w:numId w:val="6"/>
        </w:numPr>
        <w:spacing w:before="240" w:after="240"/>
        <w:jc w:val="both"/>
        <w:outlineLvl w:val="1"/>
        <w:rPr>
          <w:rFonts w:cs="Arial"/>
          <w:b w:val="0"/>
          <w:bCs/>
          <w:color w:val="141414"/>
          <w:szCs w:val="22"/>
          <w:lang w:val="en-US"/>
        </w:rPr>
      </w:pPr>
      <w:bookmarkStart w:id="21" w:name="_Toc82185434"/>
      <w:proofErr w:type="spellStart"/>
      <w:r w:rsidRPr="00AF4F00">
        <w:rPr>
          <w:rFonts w:cs="Arial"/>
          <w:b w:val="0"/>
          <w:i/>
          <w:iCs/>
          <w:color w:val="141414"/>
          <w:szCs w:val="22"/>
          <w:lang w:val="en-US" w:eastAsia="es-CR"/>
        </w:rPr>
        <w:t>Estándares</w:t>
      </w:r>
      <w:proofErr w:type="spellEnd"/>
      <w:r w:rsidRPr="00AF4F00">
        <w:rPr>
          <w:rFonts w:cs="Arial"/>
          <w:b w:val="0"/>
          <w:bCs/>
          <w:i/>
          <w:iCs/>
          <w:szCs w:val="22"/>
          <w:lang w:val="en-US"/>
        </w:rPr>
        <w:t xml:space="preserve"> del Sustainability Accounting Standards Board</w:t>
      </w:r>
      <w:r w:rsidRPr="000E17C4">
        <w:rPr>
          <w:rFonts w:cs="Arial"/>
          <w:b w:val="0"/>
          <w:bCs/>
          <w:color w:val="141414"/>
          <w:szCs w:val="22"/>
          <w:lang w:val="en-US"/>
        </w:rPr>
        <w:t xml:space="preserve"> (SASB)</w:t>
      </w:r>
      <w:bookmarkEnd w:id="21"/>
      <w:r w:rsidRPr="000E17C4">
        <w:rPr>
          <w:rFonts w:cs="Arial"/>
          <w:b w:val="0"/>
          <w:bCs/>
          <w:color w:val="141414"/>
          <w:szCs w:val="22"/>
          <w:lang w:val="en-US"/>
        </w:rPr>
        <w:t xml:space="preserve"> </w:t>
      </w:r>
    </w:p>
    <w:p w14:paraId="797E9B62" w14:textId="77777777" w:rsidR="000135D5" w:rsidRPr="00ED7669" w:rsidRDefault="000135D5" w:rsidP="000135D5">
      <w:pPr>
        <w:pStyle w:val="NormalWeb"/>
        <w:spacing w:before="240" w:beforeAutospacing="0" w:after="240" w:afterAutospacing="0"/>
        <w:jc w:val="both"/>
        <w:rPr>
          <w:rFonts w:ascii="Arial" w:hAnsi="Arial" w:cs="Arial"/>
          <w:color w:val="141414"/>
          <w:sz w:val="22"/>
          <w:szCs w:val="22"/>
        </w:rPr>
      </w:pPr>
      <w:r w:rsidRPr="00ED7669">
        <w:rPr>
          <w:rFonts w:ascii="Arial" w:hAnsi="Arial" w:cs="Arial"/>
          <w:color w:val="141414"/>
          <w:sz w:val="22"/>
          <w:szCs w:val="22"/>
        </w:rPr>
        <w:t>L</w:t>
      </w:r>
      <w:r>
        <w:rPr>
          <w:rFonts w:ascii="Arial" w:hAnsi="Arial" w:cs="Arial"/>
          <w:color w:val="141414"/>
          <w:sz w:val="22"/>
          <w:szCs w:val="22"/>
        </w:rPr>
        <w:t>o</w:t>
      </w:r>
      <w:r w:rsidRPr="00ED7669">
        <w:rPr>
          <w:rFonts w:ascii="Arial" w:hAnsi="Arial" w:cs="Arial"/>
          <w:color w:val="141414"/>
          <w:sz w:val="22"/>
          <w:szCs w:val="22"/>
        </w:rPr>
        <w:t>s</w:t>
      </w:r>
      <w:r>
        <w:rPr>
          <w:rFonts w:ascii="Arial" w:hAnsi="Arial" w:cs="Arial"/>
          <w:color w:val="141414"/>
          <w:sz w:val="22"/>
          <w:szCs w:val="22"/>
        </w:rPr>
        <w:t xml:space="preserve"> estándares </w:t>
      </w:r>
      <w:r w:rsidRPr="00ED7669">
        <w:rPr>
          <w:rFonts w:ascii="Arial" w:hAnsi="Arial" w:cs="Arial"/>
          <w:color w:val="141414"/>
          <w:sz w:val="22"/>
          <w:szCs w:val="22"/>
        </w:rPr>
        <w:t>SASB se han creado</w:t>
      </w:r>
      <w:r>
        <w:rPr>
          <w:rFonts w:ascii="Arial" w:hAnsi="Arial" w:cs="Arial"/>
          <w:color w:val="141414"/>
          <w:sz w:val="22"/>
          <w:szCs w:val="22"/>
        </w:rPr>
        <w:t xml:space="preserve"> </w:t>
      </w:r>
      <w:r w:rsidRPr="00ED7669">
        <w:rPr>
          <w:rFonts w:ascii="Arial" w:hAnsi="Arial" w:cs="Arial"/>
          <w:color w:val="141414"/>
          <w:sz w:val="22"/>
          <w:szCs w:val="22"/>
        </w:rPr>
        <w:t xml:space="preserve">para identificar un conjunto </w:t>
      </w:r>
      <w:r>
        <w:rPr>
          <w:rFonts w:ascii="Arial" w:hAnsi="Arial" w:cs="Arial"/>
          <w:color w:val="141414"/>
          <w:sz w:val="22"/>
          <w:szCs w:val="22"/>
        </w:rPr>
        <w:t>de aspectos</w:t>
      </w:r>
      <w:r w:rsidRPr="00ED7669">
        <w:rPr>
          <w:rFonts w:ascii="Arial" w:hAnsi="Arial" w:cs="Arial"/>
          <w:color w:val="141414"/>
          <w:sz w:val="22"/>
          <w:szCs w:val="22"/>
        </w:rPr>
        <w:t xml:space="preserve"> </w:t>
      </w:r>
      <w:r>
        <w:rPr>
          <w:rFonts w:ascii="Arial" w:hAnsi="Arial" w:cs="Arial"/>
          <w:color w:val="141414"/>
          <w:sz w:val="22"/>
          <w:szCs w:val="22"/>
        </w:rPr>
        <w:t>ambientales, sociales y de gobernanza</w:t>
      </w:r>
      <w:r w:rsidRPr="00ED7669">
        <w:rPr>
          <w:rFonts w:ascii="Arial" w:hAnsi="Arial" w:cs="Arial"/>
          <w:color w:val="141414"/>
          <w:sz w:val="22"/>
          <w:szCs w:val="22"/>
        </w:rPr>
        <w:t xml:space="preserve"> con mayor probabilidad de </w:t>
      </w:r>
      <w:r>
        <w:rPr>
          <w:rFonts w:ascii="Arial" w:hAnsi="Arial" w:cs="Arial"/>
          <w:color w:val="141414"/>
          <w:sz w:val="22"/>
          <w:szCs w:val="22"/>
        </w:rPr>
        <w:t>impactar</w:t>
      </w:r>
      <w:r w:rsidRPr="00ED7669">
        <w:rPr>
          <w:rFonts w:ascii="Arial" w:hAnsi="Arial" w:cs="Arial"/>
          <w:color w:val="141414"/>
          <w:sz w:val="22"/>
          <w:szCs w:val="22"/>
        </w:rPr>
        <w:t xml:space="preserve"> </w:t>
      </w:r>
      <w:r>
        <w:rPr>
          <w:rFonts w:ascii="Arial" w:hAnsi="Arial" w:cs="Arial"/>
          <w:color w:val="141414"/>
          <w:sz w:val="22"/>
          <w:szCs w:val="22"/>
        </w:rPr>
        <w:t>el</w:t>
      </w:r>
      <w:r w:rsidRPr="00ED7669">
        <w:rPr>
          <w:rFonts w:ascii="Arial" w:hAnsi="Arial" w:cs="Arial"/>
          <w:color w:val="141414"/>
          <w:sz w:val="22"/>
          <w:szCs w:val="22"/>
        </w:rPr>
        <w:t xml:space="preserve"> desempeño operativo o la situación financiera de una empresa de un determinado sector</w:t>
      </w:r>
      <w:r>
        <w:rPr>
          <w:rFonts w:ascii="Arial" w:hAnsi="Arial" w:cs="Arial"/>
          <w:color w:val="141414"/>
          <w:sz w:val="22"/>
          <w:szCs w:val="22"/>
        </w:rPr>
        <w:t>. Se crearon con el objetivo de</w:t>
      </w:r>
      <w:r w:rsidRPr="00ED7669">
        <w:rPr>
          <w:rFonts w:ascii="Arial" w:hAnsi="Arial" w:cs="Arial"/>
          <w:color w:val="141414"/>
          <w:sz w:val="22"/>
          <w:szCs w:val="22"/>
        </w:rPr>
        <w:t xml:space="preserve"> permitir la </w:t>
      </w:r>
      <w:r>
        <w:rPr>
          <w:rFonts w:ascii="Arial" w:hAnsi="Arial" w:cs="Arial"/>
          <w:color w:val="141414"/>
          <w:sz w:val="22"/>
          <w:szCs w:val="22"/>
        </w:rPr>
        <w:t>comunicación</w:t>
      </w:r>
      <w:r w:rsidRPr="00ED7669">
        <w:rPr>
          <w:rFonts w:ascii="Arial" w:hAnsi="Arial" w:cs="Arial"/>
          <w:color w:val="141414"/>
          <w:sz w:val="22"/>
          <w:szCs w:val="22"/>
        </w:rPr>
        <w:t xml:space="preserve"> sobre la actuación de las empresas en </w:t>
      </w:r>
      <w:r>
        <w:rPr>
          <w:rFonts w:ascii="Arial" w:hAnsi="Arial" w:cs="Arial"/>
          <w:color w:val="141414"/>
          <w:sz w:val="22"/>
          <w:szCs w:val="22"/>
        </w:rPr>
        <w:t>temas</w:t>
      </w:r>
      <w:r w:rsidRPr="00ED7669">
        <w:rPr>
          <w:rFonts w:ascii="Arial" w:hAnsi="Arial" w:cs="Arial"/>
          <w:color w:val="141414"/>
          <w:sz w:val="22"/>
          <w:szCs w:val="22"/>
        </w:rPr>
        <w:t xml:space="preserve"> de sostenibilidad a nivel de cada sector de una forma que resulte rentable y útil para la toma de decisiones mediante el uso de los mecanismos de divulgación y presentación de informes. Las empresas pueden utilizar </w:t>
      </w:r>
      <w:r>
        <w:rPr>
          <w:rFonts w:ascii="Arial" w:hAnsi="Arial" w:cs="Arial"/>
          <w:color w:val="141414"/>
          <w:sz w:val="22"/>
          <w:szCs w:val="22"/>
        </w:rPr>
        <w:t>los estándares</w:t>
      </w:r>
      <w:r w:rsidRPr="00ED7669">
        <w:rPr>
          <w:rFonts w:ascii="Arial" w:hAnsi="Arial" w:cs="Arial"/>
          <w:color w:val="141414"/>
          <w:sz w:val="22"/>
          <w:szCs w:val="22"/>
        </w:rPr>
        <w:t xml:space="preserve"> SASB para identificar, gestionar y comunicar mejor a los invers</w:t>
      </w:r>
      <w:r>
        <w:rPr>
          <w:rFonts w:ascii="Arial" w:hAnsi="Arial" w:cs="Arial"/>
          <w:color w:val="141414"/>
          <w:sz w:val="22"/>
          <w:szCs w:val="22"/>
        </w:rPr>
        <w:t>ionistas</w:t>
      </w:r>
      <w:r w:rsidRPr="00ED7669">
        <w:rPr>
          <w:rFonts w:ascii="Arial" w:hAnsi="Arial" w:cs="Arial"/>
          <w:color w:val="141414"/>
          <w:sz w:val="22"/>
          <w:szCs w:val="22"/>
        </w:rPr>
        <w:t xml:space="preserve"> información sobre sostenibilidad que es relevante financieramente. Al mejorar la transparencia, la gestión de riesgos y el desempeño, el uso de </w:t>
      </w:r>
      <w:r>
        <w:rPr>
          <w:rFonts w:ascii="Arial" w:hAnsi="Arial" w:cs="Arial"/>
          <w:color w:val="141414"/>
          <w:sz w:val="22"/>
          <w:szCs w:val="22"/>
        </w:rPr>
        <w:t>los estándares</w:t>
      </w:r>
      <w:r w:rsidRPr="00ED7669">
        <w:rPr>
          <w:rFonts w:ascii="Arial" w:hAnsi="Arial" w:cs="Arial"/>
          <w:color w:val="141414"/>
          <w:sz w:val="22"/>
          <w:szCs w:val="22"/>
        </w:rPr>
        <w:t xml:space="preserve"> puede</w:t>
      </w:r>
      <w:r>
        <w:rPr>
          <w:rFonts w:ascii="Arial" w:hAnsi="Arial" w:cs="Arial"/>
          <w:color w:val="141414"/>
          <w:sz w:val="22"/>
          <w:szCs w:val="22"/>
        </w:rPr>
        <w:t>n</w:t>
      </w:r>
      <w:r w:rsidRPr="00ED7669">
        <w:rPr>
          <w:rFonts w:ascii="Arial" w:hAnsi="Arial" w:cs="Arial"/>
          <w:color w:val="141414"/>
          <w:sz w:val="22"/>
          <w:szCs w:val="22"/>
        </w:rPr>
        <w:t xml:space="preserve"> beneficiar a las empresas</w:t>
      </w:r>
      <w:r>
        <w:rPr>
          <w:rFonts w:ascii="Arial" w:hAnsi="Arial" w:cs="Arial"/>
          <w:color w:val="141414"/>
          <w:sz w:val="22"/>
          <w:szCs w:val="22"/>
        </w:rPr>
        <w:t xml:space="preserve"> y </w:t>
      </w:r>
      <w:r w:rsidRPr="00ED7669">
        <w:rPr>
          <w:rFonts w:ascii="Arial" w:hAnsi="Arial" w:cs="Arial"/>
          <w:color w:val="141414"/>
          <w:sz w:val="22"/>
          <w:szCs w:val="22"/>
        </w:rPr>
        <w:t>ayudar a los invers</w:t>
      </w:r>
      <w:r>
        <w:rPr>
          <w:rFonts w:ascii="Arial" w:hAnsi="Arial" w:cs="Arial"/>
          <w:color w:val="141414"/>
          <w:sz w:val="22"/>
          <w:szCs w:val="22"/>
        </w:rPr>
        <w:t>ionistas</w:t>
      </w:r>
      <w:r w:rsidRPr="00ED7669">
        <w:rPr>
          <w:rFonts w:ascii="Arial" w:hAnsi="Arial" w:cs="Arial"/>
          <w:color w:val="141414"/>
          <w:sz w:val="22"/>
          <w:szCs w:val="22"/>
        </w:rPr>
        <w:t>, ya que fomentan una presentación de informes co</w:t>
      </w:r>
      <w:r>
        <w:rPr>
          <w:rFonts w:ascii="Arial" w:hAnsi="Arial" w:cs="Arial"/>
          <w:color w:val="141414"/>
          <w:sz w:val="22"/>
          <w:szCs w:val="22"/>
        </w:rPr>
        <w:t>mparable</w:t>
      </w:r>
      <w:r w:rsidRPr="00ED7669">
        <w:rPr>
          <w:rFonts w:ascii="Arial" w:hAnsi="Arial" w:cs="Arial"/>
          <w:color w:val="141414"/>
          <w:sz w:val="22"/>
          <w:szCs w:val="22"/>
        </w:rPr>
        <w:t>, coherente y relevante financieramente que les permite tomar mejores decisiones de inversión</w:t>
      </w:r>
      <w:r>
        <w:rPr>
          <w:rFonts w:ascii="Arial" w:hAnsi="Arial" w:cs="Arial"/>
          <w:color w:val="141414"/>
          <w:sz w:val="22"/>
          <w:szCs w:val="22"/>
        </w:rPr>
        <w:t>.</w:t>
      </w:r>
    </w:p>
    <w:p w14:paraId="091BF631" w14:textId="77777777" w:rsidR="000135D5" w:rsidRDefault="000135D5" w:rsidP="000135D5">
      <w:pPr>
        <w:pStyle w:val="HTMLconformatoprevio"/>
        <w:jc w:val="both"/>
        <w:rPr>
          <w:rFonts w:ascii="Arial" w:hAnsi="Arial" w:cs="Arial"/>
          <w:color w:val="141414"/>
          <w:sz w:val="22"/>
          <w:szCs w:val="22"/>
        </w:rPr>
      </w:pPr>
      <w:r>
        <w:rPr>
          <w:rFonts w:ascii="Arial" w:hAnsi="Arial" w:cs="Arial"/>
          <w:color w:val="141414"/>
          <w:sz w:val="22"/>
          <w:szCs w:val="22"/>
        </w:rPr>
        <w:t xml:space="preserve">Los estándares </w:t>
      </w:r>
      <w:r w:rsidRPr="00664227">
        <w:rPr>
          <w:rFonts w:ascii="Arial" w:hAnsi="Arial" w:cs="Arial"/>
          <w:sz w:val="22"/>
          <w:szCs w:val="22"/>
        </w:rPr>
        <w:t>SASB</w:t>
      </w:r>
      <w:r>
        <w:rPr>
          <w:rFonts w:ascii="Arial" w:hAnsi="Arial" w:cs="Arial"/>
          <w:i/>
          <w:iCs/>
          <w:sz w:val="22"/>
          <w:szCs w:val="22"/>
        </w:rPr>
        <w:t xml:space="preserve"> </w:t>
      </w:r>
      <w:r w:rsidRPr="00E534DC">
        <w:rPr>
          <w:rFonts w:ascii="Arial" w:hAnsi="Arial" w:cs="Arial"/>
          <w:color w:val="141414"/>
          <w:sz w:val="22"/>
          <w:szCs w:val="22"/>
        </w:rPr>
        <w:t>está</w:t>
      </w:r>
      <w:r>
        <w:rPr>
          <w:rFonts w:ascii="Arial" w:hAnsi="Arial" w:cs="Arial"/>
          <w:color w:val="141414"/>
          <w:sz w:val="22"/>
          <w:szCs w:val="22"/>
        </w:rPr>
        <w:t>n</w:t>
      </w:r>
      <w:r w:rsidRPr="00E534DC">
        <w:rPr>
          <w:rFonts w:ascii="Arial" w:hAnsi="Arial" w:cs="Arial"/>
          <w:color w:val="141414"/>
          <w:sz w:val="22"/>
          <w:szCs w:val="22"/>
        </w:rPr>
        <w:t xml:space="preserve"> conformado</w:t>
      </w:r>
      <w:r>
        <w:rPr>
          <w:rFonts w:ascii="Arial" w:hAnsi="Arial" w:cs="Arial"/>
          <w:color w:val="141414"/>
          <w:sz w:val="22"/>
          <w:szCs w:val="22"/>
        </w:rPr>
        <w:t>s</w:t>
      </w:r>
      <w:r w:rsidRPr="00E534DC">
        <w:rPr>
          <w:rFonts w:ascii="Arial" w:hAnsi="Arial" w:cs="Arial"/>
          <w:color w:val="141414"/>
          <w:sz w:val="22"/>
          <w:szCs w:val="22"/>
        </w:rPr>
        <w:t xml:space="preserve"> po</w:t>
      </w:r>
      <w:r>
        <w:rPr>
          <w:rFonts w:ascii="Arial" w:hAnsi="Arial" w:cs="Arial"/>
          <w:color w:val="141414"/>
          <w:sz w:val="22"/>
          <w:szCs w:val="22"/>
        </w:rPr>
        <w:t>r un conjunto de normas sobre distintos sectores de las industrias</w:t>
      </w:r>
      <w:r w:rsidRPr="00E534DC">
        <w:rPr>
          <w:rFonts w:ascii="Arial" w:hAnsi="Arial" w:cs="Arial"/>
          <w:color w:val="141414"/>
          <w:sz w:val="22"/>
          <w:szCs w:val="22"/>
          <w:lang w:val="es-ES"/>
        </w:rPr>
        <w:t xml:space="preserve"> </w:t>
      </w:r>
      <w:r>
        <w:rPr>
          <w:rFonts w:ascii="Arial" w:hAnsi="Arial" w:cs="Arial"/>
          <w:color w:val="141414"/>
          <w:sz w:val="22"/>
          <w:szCs w:val="22"/>
          <w:lang w:val="es-ES"/>
        </w:rPr>
        <w:t xml:space="preserve">tales como transporte, servicios, finanzas, bienes de consumo, extracción y procesamiento de minerales, alimentos y bebidas, salud, infraestructura, </w:t>
      </w:r>
      <w:r>
        <w:rPr>
          <w:rFonts w:ascii="Arial" w:hAnsi="Arial" w:cs="Arial"/>
          <w:color w:val="141414"/>
          <w:sz w:val="22"/>
          <w:szCs w:val="22"/>
          <w:lang w:val="es-ES"/>
        </w:rPr>
        <w:lastRenderedPageBreak/>
        <w:t xml:space="preserve">recursos renovables y </w:t>
      </w:r>
      <w:r w:rsidRPr="00186F24">
        <w:rPr>
          <w:rFonts w:ascii="Arial" w:hAnsi="Arial" w:cs="Arial"/>
          <w:color w:val="141414"/>
          <w:sz w:val="22"/>
          <w:szCs w:val="22"/>
        </w:rPr>
        <w:t xml:space="preserve">energía alternativa, transformación de recursos y tecnología y comunicaciones. </w:t>
      </w:r>
    </w:p>
    <w:p w14:paraId="10C06562" w14:textId="77777777" w:rsidR="000135D5" w:rsidRDefault="000135D5" w:rsidP="000135D5">
      <w:pPr>
        <w:pStyle w:val="NormalWeb"/>
        <w:spacing w:before="240" w:beforeAutospacing="0" w:after="240" w:afterAutospacing="0"/>
        <w:jc w:val="both"/>
        <w:rPr>
          <w:rFonts w:ascii="Arial" w:hAnsi="Arial" w:cs="Arial"/>
          <w:noProof/>
          <w:sz w:val="22"/>
          <w:szCs w:val="22"/>
          <w:lang w:val="es-ES"/>
        </w:rPr>
      </w:pPr>
      <w:r>
        <w:rPr>
          <w:rFonts w:ascii="Arial" w:hAnsi="Arial" w:cs="Arial"/>
          <w:noProof/>
          <w:sz w:val="22"/>
          <w:szCs w:val="22"/>
          <w:lang w:val="es-ES"/>
        </w:rPr>
        <w:t xml:space="preserve">Para mayor información se recomida consultar el sitio web </w:t>
      </w:r>
      <w:hyperlink r:id="rId11" w:history="1">
        <w:r w:rsidR="00F35C32" w:rsidRPr="008B0EB3">
          <w:rPr>
            <w:rStyle w:val="Hipervnculo"/>
            <w:rFonts w:ascii="Arial" w:hAnsi="Arial" w:cs="Arial"/>
            <w:noProof/>
            <w:sz w:val="22"/>
            <w:szCs w:val="22"/>
            <w:lang w:val="es-ES"/>
          </w:rPr>
          <w:t>https://www.sasb.org/</w:t>
        </w:r>
      </w:hyperlink>
    </w:p>
    <w:p w14:paraId="134C1E4F" w14:textId="77777777" w:rsidR="000135D5" w:rsidRPr="00524FA6" w:rsidRDefault="000135D5" w:rsidP="000135D5">
      <w:pPr>
        <w:pStyle w:val="Ttulo"/>
        <w:keepNext/>
        <w:numPr>
          <w:ilvl w:val="0"/>
          <w:numId w:val="6"/>
        </w:numPr>
        <w:spacing w:before="240" w:after="240"/>
        <w:jc w:val="both"/>
        <w:outlineLvl w:val="1"/>
        <w:rPr>
          <w:rFonts w:cs="Arial"/>
          <w:b w:val="0"/>
          <w:noProof/>
          <w:szCs w:val="22"/>
          <w:lang w:eastAsia="es-CR"/>
        </w:rPr>
      </w:pPr>
      <w:bookmarkStart w:id="22" w:name="_Toc82185435"/>
      <w:r w:rsidRPr="00524FA6">
        <w:rPr>
          <w:rFonts w:cs="Arial"/>
          <w:b w:val="0"/>
          <w:bCs/>
          <w:noProof/>
          <w:szCs w:val="22"/>
        </w:rPr>
        <w:t>Informe</w:t>
      </w:r>
      <w:r w:rsidRPr="00524FA6">
        <w:rPr>
          <w:rFonts w:cs="Arial"/>
          <w:b w:val="0"/>
          <w:bCs/>
          <w:i/>
          <w:iCs/>
          <w:noProof/>
          <w:szCs w:val="22"/>
        </w:rPr>
        <w:t xml:space="preserve"> “Midiendo el capitalismo de las partes interesadas hacia métricas comunes e informes coherentes de la creación de valor sostenible” de</w:t>
      </w:r>
      <w:r>
        <w:rPr>
          <w:rFonts w:cs="Arial"/>
          <w:b w:val="0"/>
          <w:bCs/>
          <w:i/>
          <w:iCs/>
          <w:noProof/>
          <w:szCs w:val="22"/>
        </w:rPr>
        <w:t xml:space="preserve">l </w:t>
      </w:r>
      <w:r w:rsidRPr="00524FA6">
        <w:rPr>
          <w:rFonts w:cs="Arial"/>
          <w:b w:val="0"/>
          <w:bCs/>
          <w:i/>
          <w:iCs/>
          <w:noProof/>
          <w:szCs w:val="22"/>
        </w:rPr>
        <w:t xml:space="preserve"> Foro Económico Mundial (WEF</w:t>
      </w:r>
      <w:r>
        <w:rPr>
          <w:rFonts w:cs="Arial"/>
          <w:b w:val="0"/>
          <w:bCs/>
          <w:i/>
          <w:iCs/>
          <w:noProof/>
          <w:szCs w:val="22"/>
        </w:rPr>
        <w:t xml:space="preserve"> por sus sigla en inglés</w:t>
      </w:r>
      <w:r w:rsidRPr="00524FA6">
        <w:rPr>
          <w:rFonts w:cs="Arial"/>
          <w:b w:val="0"/>
          <w:bCs/>
          <w:i/>
          <w:iCs/>
          <w:noProof/>
          <w:szCs w:val="22"/>
        </w:rPr>
        <w:t xml:space="preserve">) </w:t>
      </w:r>
      <w:bookmarkEnd w:id="22"/>
    </w:p>
    <w:p w14:paraId="6A337771" w14:textId="77777777" w:rsidR="000135D5" w:rsidRDefault="000135D5" w:rsidP="000135D5">
      <w:pPr>
        <w:pStyle w:val="NormalWeb"/>
        <w:spacing w:before="240" w:beforeAutospacing="0" w:after="240" w:afterAutospacing="0"/>
        <w:jc w:val="both"/>
        <w:rPr>
          <w:rFonts w:ascii="Arial" w:hAnsi="Arial" w:cs="Arial"/>
          <w:color w:val="141414"/>
          <w:sz w:val="22"/>
          <w:szCs w:val="22"/>
          <w:lang w:val="es-ES"/>
        </w:rPr>
      </w:pPr>
      <w:r>
        <w:rPr>
          <w:rFonts w:ascii="Arial" w:hAnsi="Arial" w:cs="Arial"/>
          <w:noProof/>
          <w:sz w:val="22"/>
          <w:szCs w:val="22"/>
          <w:lang w:val="es-ES"/>
        </w:rPr>
        <w:t>El informe “</w:t>
      </w:r>
      <w:r w:rsidRPr="00524FA6">
        <w:rPr>
          <w:rFonts w:ascii="Arial" w:hAnsi="Arial" w:cs="Arial"/>
          <w:noProof/>
          <w:sz w:val="22"/>
          <w:szCs w:val="22"/>
          <w:lang w:val="es-ES"/>
        </w:rPr>
        <w:t>Midiendo el capitalismo de las partes interesadas hacia métricas comunes e informes coherentes de la creación de valor sostenible</w:t>
      </w:r>
      <w:r>
        <w:rPr>
          <w:rFonts w:ascii="Arial" w:hAnsi="Arial" w:cs="Arial"/>
          <w:noProof/>
          <w:sz w:val="22"/>
          <w:szCs w:val="22"/>
          <w:lang w:val="es-ES"/>
        </w:rPr>
        <w:t>” (</w:t>
      </w:r>
      <w:r w:rsidRPr="00524FA6">
        <w:rPr>
          <w:rFonts w:ascii="Arial" w:hAnsi="Arial" w:cs="Arial"/>
          <w:i/>
          <w:iCs/>
          <w:noProof/>
          <w:sz w:val="22"/>
          <w:szCs w:val="22"/>
          <w:lang w:val="es-ES"/>
        </w:rPr>
        <w:t>Measuring Stakeholder Capitalism Towards Common Metrics and</w:t>
      </w:r>
      <w:r w:rsidRPr="00524FA6">
        <w:rPr>
          <w:rFonts w:ascii="Arial" w:hAnsi="Arial" w:cs="Arial"/>
          <w:i/>
          <w:iCs/>
          <w:noProof/>
          <w:sz w:val="22"/>
          <w:szCs w:val="22"/>
        </w:rPr>
        <w:t xml:space="preserve"> Consistent Reporting of Sustainable Value Creation</w:t>
      </w:r>
      <w:r>
        <w:rPr>
          <w:rFonts w:ascii="Arial" w:hAnsi="Arial" w:cs="Arial"/>
          <w:i/>
          <w:iCs/>
          <w:noProof/>
          <w:sz w:val="22"/>
          <w:szCs w:val="22"/>
        </w:rPr>
        <w:t>)</w:t>
      </w:r>
      <w:r w:rsidRPr="0082150F">
        <w:rPr>
          <w:rFonts w:ascii="Arial" w:hAnsi="Arial" w:cs="Arial"/>
          <w:i/>
          <w:iCs/>
          <w:noProof/>
          <w:sz w:val="22"/>
          <w:szCs w:val="22"/>
        </w:rPr>
        <w:t xml:space="preserve"> </w:t>
      </w:r>
      <w:r w:rsidRPr="0082150F">
        <w:rPr>
          <w:rFonts w:ascii="Arial" w:hAnsi="Arial" w:cs="Arial"/>
          <w:noProof/>
          <w:sz w:val="22"/>
          <w:szCs w:val="22"/>
          <w:lang w:val="es-ES"/>
        </w:rPr>
        <w:t xml:space="preserve"> </w:t>
      </w:r>
      <w:r w:rsidRPr="0082150F">
        <w:rPr>
          <w:rFonts w:ascii="Arial" w:hAnsi="Arial" w:cs="Arial"/>
          <w:color w:val="141414"/>
          <w:sz w:val="22"/>
          <w:szCs w:val="22"/>
          <w:lang w:val="es-ES"/>
        </w:rPr>
        <w:t>presenta un conjunto básico de métricas y divulgaciones comunes sobre factores no financieros para</w:t>
      </w:r>
      <w:r w:rsidRPr="000553D0">
        <w:rPr>
          <w:rFonts w:ascii="Arial" w:hAnsi="Arial" w:cs="Arial"/>
          <w:color w:val="141414"/>
          <w:sz w:val="22"/>
          <w:szCs w:val="22"/>
          <w:lang w:val="es-ES"/>
        </w:rPr>
        <w:t xml:space="preserve"> sus inversionistas y otras partes interesadas, el cual fue desarrollado por </w:t>
      </w:r>
      <w:r>
        <w:rPr>
          <w:rFonts w:ascii="Arial" w:hAnsi="Arial" w:cs="Arial"/>
          <w:color w:val="141414"/>
          <w:sz w:val="22"/>
          <w:szCs w:val="22"/>
          <w:lang w:val="es-ES"/>
        </w:rPr>
        <w:t xml:space="preserve">las </w:t>
      </w:r>
      <w:r w:rsidRPr="000553D0">
        <w:rPr>
          <w:rFonts w:ascii="Arial" w:hAnsi="Arial" w:cs="Arial"/>
          <w:color w:val="141414"/>
          <w:sz w:val="22"/>
          <w:szCs w:val="22"/>
          <w:lang w:val="es-ES"/>
        </w:rPr>
        <w:t>120 empresas más grandes del mundo</w:t>
      </w:r>
      <w:r>
        <w:rPr>
          <w:rFonts w:ascii="Arial" w:hAnsi="Arial" w:cs="Arial"/>
          <w:color w:val="141414"/>
          <w:sz w:val="22"/>
          <w:szCs w:val="22"/>
          <w:lang w:val="es-ES"/>
        </w:rPr>
        <w:t xml:space="preserve">, creado </w:t>
      </w:r>
      <w:r w:rsidRPr="000553D0">
        <w:rPr>
          <w:rFonts w:ascii="Arial" w:hAnsi="Arial" w:cs="Arial"/>
          <w:color w:val="141414"/>
          <w:sz w:val="22"/>
          <w:szCs w:val="22"/>
          <w:lang w:val="es-ES"/>
        </w:rPr>
        <w:t xml:space="preserve">para alinear </w:t>
      </w:r>
      <w:r>
        <w:rPr>
          <w:rFonts w:ascii="Arial" w:hAnsi="Arial" w:cs="Arial"/>
          <w:color w:val="141414"/>
          <w:sz w:val="22"/>
          <w:szCs w:val="22"/>
          <w:lang w:val="es-ES"/>
        </w:rPr>
        <w:t xml:space="preserve">los </w:t>
      </w:r>
      <w:r w:rsidRPr="000553D0">
        <w:rPr>
          <w:rFonts w:ascii="Arial" w:hAnsi="Arial" w:cs="Arial"/>
          <w:color w:val="141414"/>
          <w:sz w:val="22"/>
          <w:szCs w:val="22"/>
          <w:lang w:val="es-ES"/>
        </w:rPr>
        <w:t>informes sobre el desempeño con los indicadores ambientales, sociales y de gobernanza y realizar un seguimiento de contribuciones hacia los ODS de manera constante. Las métricas se basan en estándares existentes</w:t>
      </w:r>
      <w:r>
        <w:rPr>
          <w:rFonts w:ascii="Arial" w:hAnsi="Arial" w:cs="Arial"/>
          <w:color w:val="141414"/>
          <w:sz w:val="22"/>
          <w:szCs w:val="22"/>
          <w:lang w:val="es-ES"/>
        </w:rPr>
        <w:t xml:space="preserve"> </w:t>
      </w:r>
      <w:r w:rsidRPr="000553D0">
        <w:rPr>
          <w:rFonts w:ascii="Arial" w:hAnsi="Arial" w:cs="Arial"/>
          <w:color w:val="141414"/>
          <w:sz w:val="22"/>
          <w:szCs w:val="22"/>
          <w:lang w:val="es-ES"/>
        </w:rPr>
        <w:t>y brinda</w:t>
      </w:r>
      <w:r>
        <w:rPr>
          <w:rFonts w:ascii="Arial" w:hAnsi="Arial" w:cs="Arial"/>
          <w:color w:val="141414"/>
          <w:sz w:val="22"/>
          <w:szCs w:val="22"/>
          <w:lang w:val="es-ES"/>
        </w:rPr>
        <w:t>n</w:t>
      </w:r>
      <w:r w:rsidRPr="000553D0">
        <w:rPr>
          <w:rFonts w:ascii="Arial" w:hAnsi="Arial" w:cs="Arial"/>
          <w:color w:val="141414"/>
          <w:sz w:val="22"/>
          <w:szCs w:val="22"/>
          <w:lang w:val="es-ES"/>
        </w:rPr>
        <w:t xml:space="preserve"> una mayor comparabilidad y coherencia a la presentación de informes de divulgaciones de ASG.</w:t>
      </w:r>
    </w:p>
    <w:p w14:paraId="537A1379" w14:textId="77777777" w:rsidR="000135D5" w:rsidRPr="00AF4F00" w:rsidRDefault="000135D5" w:rsidP="000135D5">
      <w:pPr>
        <w:pStyle w:val="NormalWeb"/>
        <w:spacing w:before="240" w:beforeAutospacing="0" w:after="240" w:afterAutospacing="0"/>
        <w:jc w:val="both"/>
        <w:rPr>
          <w:rStyle w:val="Hipervnculo"/>
          <w:rFonts w:ascii="Arial" w:hAnsi="Arial" w:cs="Arial"/>
          <w:sz w:val="22"/>
          <w:szCs w:val="22"/>
        </w:rPr>
      </w:pPr>
      <w:r>
        <w:rPr>
          <w:rFonts w:ascii="Arial" w:hAnsi="Arial" w:cs="Arial"/>
          <w:color w:val="141414"/>
          <w:sz w:val="22"/>
          <w:szCs w:val="22"/>
          <w:lang w:val="es-ES"/>
        </w:rPr>
        <w:t>P</w:t>
      </w:r>
      <w:r w:rsidRPr="00C379B3">
        <w:rPr>
          <w:rFonts w:ascii="Arial" w:hAnsi="Arial" w:cs="Arial"/>
          <w:color w:val="141414"/>
          <w:sz w:val="22"/>
          <w:szCs w:val="22"/>
          <w:lang w:val="es-ES"/>
        </w:rPr>
        <w:t xml:space="preserve">ara </w:t>
      </w:r>
      <w:proofErr w:type="gramStart"/>
      <w:r w:rsidRPr="00C379B3">
        <w:rPr>
          <w:rFonts w:ascii="Arial" w:hAnsi="Arial" w:cs="Arial"/>
          <w:color w:val="141414"/>
          <w:sz w:val="22"/>
          <w:szCs w:val="22"/>
          <w:lang w:val="es-ES"/>
        </w:rPr>
        <w:t>mayor información</w:t>
      </w:r>
      <w:proofErr w:type="gramEnd"/>
      <w:r w:rsidRPr="00C379B3">
        <w:rPr>
          <w:rFonts w:ascii="Arial" w:hAnsi="Arial" w:cs="Arial"/>
          <w:color w:val="141414"/>
          <w:sz w:val="22"/>
          <w:szCs w:val="22"/>
          <w:lang w:val="es-ES"/>
        </w:rPr>
        <w:t xml:space="preserve"> se recomi</w:t>
      </w:r>
      <w:r>
        <w:rPr>
          <w:rFonts w:ascii="Arial" w:hAnsi="Arial" w:cs="Arial"/>
          <w:color w:val="141414"/>
          <w:sz w:val="22"/>
          <w:szCs w:val="22"/>
          <w:lang w:val="es-ES"/>
        </w:rPr>
        <w:t>e</w:t>
      </w:r>
      <w:r w:rsidRPr="00C379B3">
        <w:rPr>
          <w:rFonts w:ascii="Arial" w:hAnsi="Arial" w:cs="Arial"/>
          <w:color w:val="141414"/>
          <w:sz w:val="22"/>
          <w:szCs w:val="22"/>
          <w:lang w:val="es-ES"/>
        </w:rPr>
        <w:t xml:space="preserve">nda consultar el sitio web </w:t>
      </w:r>
      <w:hyperlink r:id="rId12" w:history="1">
        <w:r w:rsidRPr="00C379B3">
          <w:rPr>
            <w:rStyle w:val="Hipervnculo"/>
            <w:rFonts w:ascii="Arial" w:hAnsi="Arial" w:cs="Arial"/>
            <w:sz w:val="22"/>
            <w:szCs w:val="22"/>
          </w:rPr>
          <w:t>http://www3.weforum.org/docs/WEF_IBC_Measuring_Stakeholder_Capitalism_Report_2020.pdf</w:t>
        </w:r>
      </w:hyperlink>
    </w:p>
    <w:p w14:paraId="0D49F89B" w14:textId="77777777" w:rsidR="000135D5" w:rsidRPr="00524FA6" w:rsidRDefault="000135D5" w:rsidP="000135D5">
      <w:pPr>
        <w:pStyle w:val="Ttulo"/>
        <w:keepNext/>
        <w:numPr>
          <w:ilvl w:val="0"/>
          <w:numId w:val="6"/>
        </w:numPr>
        <w:spacing w:before="240" w:after="240"/>
        <w:jc w:val="both"/>
        <w:outlineLvl w:val="1"/>
        <w:rPr>
          <w:rFonts w:cs="Arial"/>
          <w:b w:val="0"/>
          <w:bCs/>
          <w:i/>
          <w:iCs/>
        </w:rPr>
      </w:pPr>
      <w:bookmarkStart w:id="23" w:name="_Toc82185436"/>
      <w:r w:rsidRPr="00524FA6">
        <w:rPr>
          <w:rFonts w:cs="Arial"/>
          <w:b w:val="0"/>
          <w:bCs/>
          <w:i/>
          <w:iCs/>
        </w:rPr>
        <w:t xml:space="preserve">Grupo de trabajo sobre divulgación de información financiera relacionada con el clima </w:t>
      </w:r>
      <w:r>
        <w:rPr>
          <w:rFonts w:cs="Arial"/>
          <w:b w:val="0"/>
          <w:bCs/>
          <w:i/>
          <w:iCs/>
        </w:rPr>
        <w:t>(</w:t>
      </w:r>
      <w:proofErr w:type="spellStart"/>
      <w:r w:rsidRPr="00524FA6">
        <w:rPr>
          <w:rFonts w:cs="Arial"/>
          <w:b w:val="0"/>
          <w:bCs/>
          <w:i/>
          <w:iCs/>
        </w:rPr>
        <w:t>T</w:t>
      </w:r>
      <w:r w:rsidRPr="00524FA6">
        <w:rPr>
          <w:rFonts w:cs="Arial"/>
          <w:b w:val="0"/>
          <w:bCs/>
          <w:i/>
          <w:iCs/>
          <w:noProof/>
          <w:szCs w:val="22"/>
        </w:rPr>
        <w:t>ask</w:t>
      </w:r>
      <w:proofErr w:type="spellEnd"/>
      <w:r w:rsidRPr="00524FA6">
        <w:rPr>
          <w:rFonts w:cs="Arial"/>
          <w:b w:val="0"/>
          <w:bCs/>
          <w:i/>
          <w:iCs/>
        </w:rPr>
        <w:t xml:space="preserve"> </w:t>
      </w:r>
      <w:proofErr w:type="spellStart"/>
      <w:r w:rsidRPr="00524FA6">
        <w:rPr>
          <w:rFonts w:cs="Arial"/>
          <w:b w:val="0"/>
          <w:bCs/>
          <w:i/>
          <w:iCs/>
        </w:rPr>
        <w:t>Force</w:t>
      </w:r>
      <w:proofErr w:type="spellEnd"/>
      <w:r w:rsidRPr="00524FA6">
        <w:rPr>
          <w:rFonts w:cs="Arial"/>
          <w:b w:val="0"/>
          <w:bCs/>
          <w:i/>
          <w:iCs/>
        </w:rPr>
        <w:t xml:space="preserve"> </w:t>
      </w:r>
      <w:proofErr w:type="spellStart"/>
      <w:r w:rsidRPr="00524FA6">
        <w:rPr>
          <w:rFonts w:cs="Arial"/>
          <w:b w:val="0"/>
          <w:bCs/>
          <w:i/>
          <w:iCs/>
        </w:rPr>
        <w:t>on</w:t>
      </w:r>
      <w:proofErr w:type="spellEnd"/>
      <w:r w:rsidRPr="00524FA6">
        <w:rPr>
          <w:rFonts w:cs="Arial"/>
          <w:b w:val="0"/>
          <w:bCs/>
          <w:i/>
          <w:iCs/>
        </w:rPr>
        <w:t xml:space="preserve"> </w:t>
      </w:r>
      <w:proofErr w:type="spellStart"/>
      <w:r w:rsidRPr="00524FA6">
        <w:rPr>
          <w:rFonts w:cs="Arial"/>
          <w:b w:val="0"/>
          <w:bCs/>
          <w:i/>
          <w:iCs/>
        </w:rPr>
        <w:t>Climate-related</w:t>
      </w:r>
      <w:proofErr w:type="spellEnd"/>
      <w:r w:rsidRPr="00524FA6">
        <w:rPr>
          <w:rFonts w:cs="Arial"/>
          <w:b w:val="0"/>
          <w:bCs/>
          <w:i/>
          <w:iCs/>
        </w:rPr>
        <w:t xml:space="preserve"> </w:t>
      </w:r>
      <w:proofErr w:type="spellStart"/>
      <w:r w:rsidRPr="00524FA6">
        <w:rPr>
          <w:rFonts w:cs="Arial"/>
          <w:b w:val="0"/>
          <w:bCs/>
          <w:i/>
          <w:iCs/>
        </w:rPr>
        <w:t>Financial</w:t>
      </w:r>
      <w:proofErr w:type="spellEnd"/>
      <w:r w:rsidRPr="00524FA6">
        <w:rPr>
          <w:rFonts w:cs="Arial"/>
          <w:b w:val="0"/>
          <w:bCs/>
          <w:i/>
          <w:iCs/>
        </w:rPr>
        <w:t xml:space="preserve"> </w:t>
      </w:r>
      <w:proofErr w:type="spellStart"/>
      <w:r w:rsidRPr="00524FA6">
        <w:rPr>
          <w:rFonts w:cs="Arial"/>
          <w:b w:val="0"/>
          <w:bCs/>
          <w:i/>
          <w:iCs/>
        </w:rPr>
        <w:t>Disclousure</w:t>
      </w:r>
      <w:proofErr w:type="spellEnd"/>
      <w:r w:rsidRPr="00524FA6">
        <w:rPr>
          <w:rFonts w:cs="Arial"/>
          <w:b w:val="0"/>
          <w:bCs/>
          <w:i/>
          <w:iCs/>
        </w:rPr>
        <w:t> (TCFD)</w:t>
      </w:r>
      <w:bookmarkEnd w:id="23"/>
      <w:r>
        <w:rPr>
          <w:rFonts w:cs="Arial"/>
          <w:b w:val="0"/>
          <w:bCs/>
          <w:i/>
          <w:iCs/>
        </w:rPr>
        <w:t>)</w:t>
      </w:r>
    </w:p>
    <w:p w14:paraId="69D2F825" w14:textId="77777777" w:rsidR="000135D5" w:rsidRPr="00524FA6" w:rsidRDefault="000135D5" w:rsidP="000135D5">
      <w:pPr>
        <w:pStyle w:val="Sinespaciado"/>
        <w:jc w:val="both"/>
        <w:rPr>
          <w:rFonts w:ascii="Arial" w:eastAsia="Times New Roman" w:hAnsi="Arial" w:cs="Arial"/>
          <w:lang w:val="es-CR" w:eastAsia="es-CR"/>
        </w:rPr>
      </w:pPr>
      <w:r w:rsidRPr="00524FA6">
        <w:rPr>
          <w:rFonts w:ascii="Arial" w:hAnsi="Arial" w:cs="Arial"/>
          <w:lang w:val="es-CR" w:eastAsia="es-CR"/>
        </w:rPr>
        <w:t xml:space="preserve">El </w:t>
      </w:r>
      <w:r w:rsidRPr="00524FA6">
        <w:rPr>
          <w:rFonts w:ascii="Arial" w:eastAsia="Times New Roman" w:hAnsi="Arial" w:cs="Arial"/>
          <w:lang w:val="es-CR" w:eastAsia="es-CR"/>
        </w:rPr>
        <w:t xml:space="preserve">TCFD </w:t>
      </w:r>
      <w:r w:rsidRPr="00524FA6">
        <w:rPr>
          <w:rFonts w:ascii="Arial" w:hAnsi="Arial" w:cs="Arial"/>
          <w:lang w:val="es-CR" w:eastAsia="es-CR"/>
        </w:rPr>
        <w:t>son</w:t>
      </w:r>
      <w:r w:rsidRPr="00524FA6">
        <w:rPr>
          <w:rFonts w:ascii="Arial" w:eastAsia="Times New Roman" w:hAnsi="Arial" w:cs="Arial"/>
          <w:lang w:val="es-CR" w:eastAsia="es-CR"/>
        </w:rPr>
        <w:t xml:space="preserve"> recomendaciones </w:t>
      </w:r>
      <w:r w:rsidRPr="00524FA6">
        <w:rPr>
          <w:rFonts w:ascii="Arial" w:hAnsi="Arial" w:cs="Arial"/>
          <w:lang w:val="es-CR" w:eastAsia="es-CR"/>
        </w:rPr>
        <w:t>de</w:t>
      </w:r>
      <w:r w:rsidRPr="00524FA6">
        <w:rPr>
          <w:rFonts w:ascii="Arial" w:eastAsia="Times New Roman" w:hAnsi="Arial" w:cs="Arial"/>
          <w:lang w:val="es-CR" w:eastAsia="es-CR"/>
        </w:rPr>
        <w:t xml:space="preserve"> divulgaci</w:t>
      </w:r>
      <w:r w:rsidRPr="00524FA6">
        <w:rPr>
          <w:rFonts w:ascii="Arial" w:hAnsi="Arial" w:cs="Arial"/>
          <w:lang w:val="es-CR" w:eastAsia="es-CR"/>
        </w:rPr>
        <w:t>ón</w:t>
      </w:r>
      <w:r w:rsidRPr="00524FA6">
        <w:rPr>
          <w:rFonts w:ascii="Arial" w:eastAsia="Times New Roman" w:hAnsi="Arial" w:cs="Arial"/>
          <w:lang w:val="es-CR" w:eastAsia="es-CR"/>
        </w:rPr>
        <w:t xml:space="preserve"> más efectivas relacionadas con el </w:t>
      </w:r>
      <w:r w:rsidRPr="00524FA6">
        <w:rPr>
          <w:rFonts w:ascii="Arial" w:hAnsi="Arial" w:cs="Arial"/>
          <w:lang w:val="es-CR" w:eastAsia="es-CR"/>
        </w:rPr>
        <w:t>cambio climático</w:t>
      </w:r>
      <w:r w:rsidRPr="00524FA6">
        <w:rPr>
          <w:rFonts w:ascii="Arial" w:eastAsia="Times New Roman" w:hAnsi="Arial" w:cs="Arial"/>
          <w:lang w:val="es-CR" w:eastAsia="es-CR"/>
        </w:rPr>
        <w:t xml:space="preserve"> </w:t>
      </w:r>
      <w:r w:rsidRPr="00524FA6">
        <w:rPr>
          <w:rFonts w:ascii="Arial" w:hAnsi="Arial" w:cs="Arial"/>
          <w:lang w:val="es-CR" w:eastAsia="es-CR"/>
        </w:rPr>
        <w:t>con el fin de</w:t>
      </w:r>
      <w:r w:rsidRPr="00524FA6">
        <w:rPr>
          <w:rFonts w:ascii="Arial" w:eastAsia="Times New Roman" w:hAnsi="Arial" w:cs="Arial"/>
          <w:lang w:val="es-CR" w:eastAsia="es-CR"/>
        </w:rPr>
        <w:t xml:space="preserve"> promover </w:t>
      </w:r>
      <w:r w:rsidRPr="00524FA6">
        <w:rPr>
          <w:rFonts w:ascii="Arial" w:hAnsi="Arial" w:cs="Arial"/>
          <w:lang w:val="es-CR" w:eastAsia="es-CR"/>
        </w:rPr>
        <w:t xml:space="preserve">la </w:t>
      </w:r>
      <w:r w:rsidRPr="00CD6FC1">
        <w:rPr>
          <w:rFonts w:ascii="Arial" w:hAnsi="Arial" w:cs="Arial"/>
          <w:lang w:val="es-ES" w:eastAsia="es-CR"/>
        </w:rPr>
        <w:t>transparencia y la estabilidad del mercado mediante la toma de</w:t>
      </w:r>
      <w:r w:rsidRPr="00524FA6">
        <w:rPr>
          <w:rFonts w:ascii="Arial" w:hAnsi="Arial" w:cs="Arial"/>
          <w:lang w:val="es-CR" w:eastAsia="es-CR"/>
        </w:rPr>
        <w:t xml:space="preserve"> </w:t>
      </w:r>
      <w:r w:rsidRPr="00524FA6">
        <w:rPr>
          <w:rFonts w:ascii="Arial" w:eastAsia="Times New Roman" w:hAnsi="Arial" w:cs="Arial"/>
          <w:lang w:val="es-CR" w:eastAsia="es-CR"/>
        </w:rPr>
        <w:t xml:space="preserve">decisiones </w:t>
      </w:r>
      <w:r w:rsidRPr="00524FA6">
        <w:rPr>
          <w:rFonts w:ascii="Arial" w:hAnsi="Arial" w:cs="Arial"/>
          <w:lang w:val="es-CR" w:eastAsia="es-CR"/>
        </w:rPr>
        <w:t xml:space="preserve">de inversión </w:t>
      </w:r>
      <w:r w:rsidRPr="00524FA6">
        <w:rPr>
          <w:rFonts w:ascii="Arial" w:eastAsia="Times New Roman" w:hAnsi="Arial" w:cs="Arial"/>
          <w:lang w:val="es-CR" w:eastAsia="es-CR"/>
        </w:rPr>
        <w:t xml:space="preserve">más informadas, </w:t>
      </w:r>
      <w:r w:rsidRPr="00524FA6">
        <w:rPr>
          <w:rFonts w:ascii="Arial" w:hAnsi="Arial" w:cs="Arial"/>
          <w:lang w:val="es-CR" w:eastAsia="es-CR"/>
        </w:rPr>
        <w:t xml:space="preserve">de </w:t>
      </w:r>
      <w:r w:rsidRPr="00524FA6">
        <w:rPr>
          <w:rFonts w:ascii="Arial" w:eastAsia="Times New Roman" w:hAnsi="Arial" w:cs="Arial"/>
          <w:lang w:val="es-CR" w:eastAsia="es-CR"/>
        </w:rPr>
        <w:t xml:space="preserve">crédito y </w:t>
      </w:r>
      <w:r w:rsidRPr="00524FA6">
        <w:rPr>
          <w:rFonts w:ascii="Arial" w:hAnsi="Arial" w:cs="Arial"/>
          <w:lang w:val="es-CR" w:eastAsia="es-CR"/>
        </w:rPr>
        <w:t xml:space="preserve">de </w:t>
      </w:r>
      <w:r w:rsidRPr="00524FA6">
        <w:rPr>
          <w:rFonts w:ascii="Arial" w:eastAsia="Times New Roman" w:hAnsi="Arial" w:cs="Arial"/>
          <w:lang w:val="es-CR" w:eastAsia="es-CR"/>
        </w:rPr>
        <w:t>suscripción de seguros</w:t>
      </w:r>
      <w:r w:rsidRPr="00524FA6">
        <w:rPr>
          <w:rFonts w:ascii="Arial" w:hAnsi="Arial" w:cs="Arial"/>
          <w:lang w:val="es-CR" w:eastAsia="es-CR"/>
        </w:rPr>
        <w:t>.</w:t>
      </w:r>
      <w:r w:rsidRPr="00524FA6">
        <w:rPr>
          <w:rFonts w:ascii="Arial" w:eastAsia="Times New Roman" w:hAnsi="Arial" w:cs="Arial"/>
          <w:lang w:val="es-CR" w:eastAsia="es-CR"/>
        </w:rPr>
        <w:t xml:space="preserve"> </w:t>
      </w:r>
    </w:p>
    <w:p w14:paraId="5D86993A" w14:textId="77777777" w:rsidR="000135D5" w:rsidRPr="00524FA6" w:rsidRDefault="000135D5" w:rsidP="000135D5">
      <w:pPr>
        <w:pStyle w:val="Sinespaciado"/>
        <w:jc w:val="both"/>
        <w:rPr>
          <w:rFonts w:ascii="Arial" w:eastAsia="Times New Roman" w:hAnsi="Arial" w:cs="Arial"/>
          <w:lang w:val="es-CR" w:eastAsia="es-CR"/>
        </w:rPr>
      </w:pPr>
    </w:p>
    <w:p w14:paraId="0FB13498" w14:textId="77777777" w:rsidR="000135D5" w:rsidRPr="00CD6FC1" w:rsidRDefault="000135D5" w:rsidP="000135D5">
      <w:pPr>
        <w:pStyle w:val="Sinespaciado"/>
        <w:jc w:val="both"/>
        <w:rPr>
          <w:rFonts w:ascii="Arial" w:hAnsi="Arial" w:cs="Arial"/>
          <w:lang w:val="es-CR" w:eastAsia="es-CR"/>
        </w:rPr>
      </w:pPr>
      <w:r w:rsidRPr="00CD6FC1">
        <w:rPr>
          <w:rFonts w:ascii="Arial" w:hAnsi="Arial" w:cs="Arial"/>
          <w:lang w:val="es-CR" w:eastAsia="es-CR"/>
        </w:rPr>
        <w:t>A</w:t>
      </w:r>
      <w:r w:rsidRPr="00CD6FC1">
        <w:rPr>
          <w:rFonts w:ascii="Arial" w:eastAsia="Times New Roman" w:hAnsi="Arial" w:cs="Arial"/>
          <w:lang w:val="es-CR" w:eastAsia="es-CR"/>
        </w:rPr>
        <w:t xml:space="preserve"> su vez permitir a las partes interesadas comprender mejor las concentraciones de activos relacionados con el carbono en el sector financiero</w:t>
      </w:r>
      <w:r w:rsidRPr="00CD6FC1">
        <w:rPr>
          <w:rFonts w:ascii="Arial" w:hAnsi="Arial" w:cs="Arial"/>
          <w:lang w:val="es-CR" w:eastAsia="es-CR"/>
        </w:rPr>
        <w:t xml:space="preserve"> e incorporar </w:t>
      </w:r>
      <w:r w:rsidRPr="00CD6FC1">
        <w:rPr>
          <w:rFonts w:ascii="Arial" w:hAnsi="Arial" w:cs="Arial"/>
          <w:lang w:val="es-ES" w:eastAsia="es-CR"/>
        </w:rPr>
        <w:t>los riesgos y oportunidades relacionados con el cambio climático en sus procesos de gestión de riesgos y planificación estratégica para que los mercados puedan canalizar la inversión hacia soluciones y modelos comerciales sostenibles y resilientes.</w:t>
      </w:r>
    </w:p>
    <w:p w14:paraId="1C3B5BA0" w14:textId="77777777" w:rsidR="000135D5" w:rsidRDefault="000135D5" w:rsidP="000135D5">
      <w:pPr>
        <w:pStyle w:val="Sinespaciado"/>
        <w:jc w:val="both"/>
        <w:rPr>
          <w:rStyle w:val="y2iqfc"/>
          <w:rFonts w:ascii="Arial" w:hAnsi="Arial" w:cs="Arial"/>
          <w:color w:val="202124"/>
          <w:lang w:val="es-ES"/>
        </w:rPr>
      </w:pPr>
    </w:p>
    <w:p w14:paraId="2C36C9A4" w14:textId="77777777" w:rsidR="000135D5" w:rsidRPr="00CD6FC1" w:rsidRDefault="000135D5" w:rsidP="000135D5">
      <w:pPr>
        <w:pStyle w:val="Sinespaciado"/>
        <w:jc w:val="both"/>
        <w:rPr>
          <w:rFonts w:ascii="Arial" w:hAnsi="Arial" w:cs="Arial"/>
          <w:lang w:val="es-CR" w:eastAsia="es-CR"/>
        </w:rPr>
      </w:pPr>
      <w:r w:rsidRPr="00CD6FC1">
        <w:rPr>
          <w:rStyle w:val="y2iqfc"/>
          <w:rFonts w:ascii="Arial" w:hAnsi="Arial" w:cs="Arial"/>
          <w:color w:val="202124"/>
          <w:lang w:val="es-ES"/>
        </w:rPr>
        <w:t>Las recomendaciones de divulgación se estructuran en torno a cuatro áreas temáticas que representan elementos centrales de cómo operan las organizaciones: Gobernanza, estrategia, gestión de riesgos y métricas y objetivos. Estas áreas temáticas están destinadas a interconectarse e informarse entre sí.</w:t>
      </w:r>
    </w:p>
    <w:p w14:paraId="4CE25B1D" w14:textId="77777777" w:rsidR="000135D5" w:rsidRPr="00524FA6" w:rsidRDefault="000135D5" w:rsidP="000135D5">
      <w:pPr>
        <w:pStyle w:val="Sinespaciado"/>
        <w:rPr>
          <w:rFonts w:ascii="Arial" w:hAnsi="Arial" w:cs="Arial"/>
          <w:color w:val="141414"/>
          <w:lang w:val="es-CR"/>
        </w:rPr>
      </w:pPr>
    </w:p>
    <w:p w14:paraId="22CE4CC4" w14:textId="77777777" w:rsidR="000135D5" w:rsidRPr="000E17C4" w:rsidRDefault="000135D5" w:rsidP="000135D5">
      <w:pPr>
        <w:pStyle w:val="Sinespaciado"/>
        <w:rPr>
          <w:rStyle w:val="Hipervnculo"/>
          <w:rFonts w:eastAsiaTheme="minorHAnsi"/>
          <w:lang w:val="es-CR"/>
        </w:rPr>
      </w:pPr>
      <w:r>
        <w:rPr>
          <w:rFonts w:ascii="Arial" w:hAnsi="Arial" w:cs="Arial"/>
          <w:noProof/>
          <w:lang w:val="es-ES"/>
        </w:rPr>
        <w:t>Para mayor información se recomida consultar el sitio web</w:t>
      </w:r>
      <w:r>
        <w:rPr>
          <w:lang w:val="es-CR"/>
        </w:rPr>
        <w:t xml:space="preserve"> </w:t>
      </w:r>
      <w:hyperlink r:id="rId13" w:history="1">
        <w:r w:rsidRPr="00C5110B">
          <w:rPr>
            <w:rStyle w:val="Hipervnculo"/>
            <w:rFonts w:ascii="Arial" w:eastAsiaTheme="minorHAnsi" w:hAnsi="Arial" w:cs="Arial"/>
            <w:lang w:val="es-CR"/>
          </w:rPr>
          <w:t>https://www.fsb-tcfd.org/</w:t>
        </w:r>
      </w:hyperlink>
    </w:p>
    <w:p w14:paraId="5F63BDE3" w14:textId="77777777" w:rsidR="000135D5" w:rsidRPr="00C87CFE" w:rsidRDefault="000135D5" w:rsidP="000135D5">
      <w:pPr>
        <w:pStyle w:val="Ttulo"/>
        <w:keepNext/>
        <w:numPr>
          <w:ilvl w:val="0"/>
          <w:numId w:val="6"/>
        </w:numPr>
        <w:spacing w:before="240" w:after="240"/>
        <w:jc w:val="both"/>
        <w:outlineLvl w:val="1"/>
        <w:rPr>
          <w:rFonts w:cs="Arial"/>
          <w:b w:val="0"/>
          <w:i/>
          <w:iCs/>
          <w:noProof/>
          <w:szCs w:val="22"/>
          <w:lang w:val="es-ES"/>
        </w:rPr>
      </w:pPr>
      <w:bookmarkStart w:id="24" w:name="_Toc82185437"/>
      <w:r w:rsidRPr="00C87CFE">
        <w:rPr>
          <w:rFonts w:cs="Arial"/>
          <w:b w:val="0"/>
          <w:i/>
          <w:iCs/>
          <w:noProof/>
          <w:szCs w:val="22"/>
          <w:lang w:val="es-ES"/>
        </w:rPr>
        <w:t>Guía voluntaria para la creación de reportes de sostenibilidad</w:t>
      </w:r>
      <w:bookmarkEnd w:id="24"/>
      <w:r w:rsidRPr="00C87CFE">
        <w:rPr>
          <w:rFonts w:cs="Arial"/>
          <w:b w:val="0"/>
          <w:i/>
          <w:iCs/>
          <w:noProof/>
          <w:szCs w:val="22"/>
          <w:lang w:val="es-ES"/>
        </w:rPr>
        <w:t xml:space="preserve"> </w:t>
      </w:r>
    </w:p>
    <w:p w14:paraId="1078A0A2"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 xml:space="preserve">La Bolsa Nacional de Valores (BNV) ha preparado la Guía voluntaria para la creación de reportes de sostenibilidad, dirigida a empresas emisoras para orientarlas y motivarlas a crear sus reportes de sostenibilidad. Es un documento informativo a través del cual las </w:t>
      </w:r>
      <w:r w:rsidRPr="00326F51">
        <w:rPr>
          <w:rFonts w:ascii="Arial" w:hAnsi="Arial" w:cs="Arial"/>
        </w:rPr>
        <w:lastRenderedPageBreak/>
        <w:t xml:space="preserve">empresas comunican de forma clara y objetiva, y para un periodo, la calidad de su gestión empresarial en tres ámbitos: ambiental, social y de gobernanza (ASG). </w:t>
      </w:r>
    </w:p>
    <w:p w14:paraId="7EB7214B"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Los aspectos indicados en el reporte deben ser verificables y comparables con el proceso evolutivo de</w:t>
      </w:r>
      <w:r>
        <w:rPr>
          <w:rFonts w:ascii="Arial" w:hAnsi="Arial" w:cs="Arial"/>
        </w:rPr>
        <w:t>l emisor</w:t>
      </w:r>
      <w:r w:rsidRPr="00326F51">
        <w:rPr>
          <w:rFonts w:ascii="Arial" w:hAnsi="Arial" w:cs="Arial"/>
        </w:rPr>
        <w:t xml:space="preserve"> y el de sus pares, por lo que se convierte en una herramienta estratégica que ayuda a</w:t>
      </w:r>
      <w:r>
        <w:rPr>
          <w:rFonts w:ascii="Arial" w:hAnsi="Arial" w:cs="Arial"/>
        </w:rPr>
        <w:t>l emisor</w:t>
      </w:r>
      <w:r w:rsidRPr="00326F51">
        <w:rPr>
          <w:rFonts w:ascii="Arial" w:hAnsi="Arial" w:cs="Arial"/>
        </w:rPr>
        <w:t xml:space="preserve"> a medir su desempeño y facilita el proceso de mejora continua.  Si bien existen diferentes referencias para elaborar un reporte de sostenibilidad, las recomendaciones planteadas en dicha guía se basan en algunas sugerencias señaladas por: </w:t>
      </w:r>
      <w:proofErr w:type="spellStart"/>
      <w:r w:rsidRPr="00326F51">
        <w:rPr>
          <w:rFonts w:ascii="Arial" w:hAnsi="Arial" w:cs="Arial"/>
        </w:rPr>
        <w:t>Sustainable</w:t>
      </w:r>
      <w:proofErr w:type="spellEnd"/>
      <w:r w:rsidRPr="00326F51">
        <w:rPr>
          <w:rFonts w:ascii="Arial" w:hAnsi="Arial" w:cs="Arial"/>
        </w:rPr>
        <w:t xml:space="preserve"> Stock </w:t>
      </w:r>
      <w:proofErr w:type="spellStart"/>
      <w:r w:rsidRPr="00326F51">
        <w:rPr>
          <w:rFonts w:ascii="Arial" w:hAnsi="Arial" w:cs="Arial"/>
        </w:rPr>
        <w:t>Exchanges</w:t>
      </w:r>
      <w:proofErr w:type="spellEnd"/>
      <w:r w:rsidRPr="00326F51">
        <w:rPr>
          <w:rFonts w:ascii="Arial" w:hAnsi="Arial" w:cs="Arial"/>
        </w:rPr>
        <w:t xml:space="preserve"> (SSE), </w:t>
      </w:r>
      <w:proofErr w:type="spellStart"/>
      <w:r w:rsidRPr="00326F51">
        <w:rPr>
          <w:rFonts w:ascii="Arial" w:hAnsi="Arial" w:cs="Arial"/>
        </w:rPr>
        <w:t>World</w:t>
      </w:r>
      <w:proofErr w:type="spellEnd"/>
      <w:r w:rsidRPr="00326F51">
        <w:rPr>
          <w:rFonts w:ascii="Arial" w:hAnsi="Arial" w:cs="Arial"/>
        </w:rPr>
        <w:t xml:space="preserve"> </w:t>
      </w:r>
      <w:proofErr w:type="spellStart"/>
      <w:r w:rsidRPr="00326F51">
        <w:rPr>
          <w:rFonts w:ascii="Arial" w:hAnsi="Arial" w:cs="Arial"/>
        </w:rPr>
        <w:t>Federation</w:t>
      </w:r>
      <w:proofErr w:type="spellEnd"/>
      <w:r w:rsidRPr="00326F51">
        <w:rPr>
          <w:rFonts w:ascii="Arial" w:hAnsi="Arial" w:cs="Arial"/>
        </w:rPr>
        <w:t xml:space="preserve"> </w:t>
      </w:r>
      <w:proofErr w:type="spellStart"/>
      <w:r w:rsidRPr="00326F51">
        <w:rPr>
          <w:rFonts w:ascii="Arial" w:hAnsi="Arial" w:cs="Arial"/>
        </w:rPr>
        <w:t>of</w:t>
      </w:r>
      <w:proofErr w:type="spellEnd"/>
      <w:r w:rsidRPr="00326F51">
        <w:rPr>
          <w:rFonts w:ascii="Arial" w:hAnsi="Arial" w:cs="Arial"/>
        </w:rPr>
        <w:t xml:space="preserve"> </w:t>
      </w:r>
      <w:proofErr w:type="spellStart"/>
      <w:r w:rsidRPr="00326F51">
        <w:rPr>
          <w:rFonts w:ascii="Arial" w:hAnsi="Arial" w:cs="Arial"/>
        </w:rPr>
        <w:t>Exchanges</w:t>
      </w:r>
      <w:proofErr w:type="spellEnd"/>
      <w:r w:rsidRPr="00326F51">
        <w:rPr>
          <w:rFonts w:ascii="Arial" w:hAnsi="Arial" w:cs="Arial"/>
        </w:rPr>
        <w:t xml:space="preserve"> (WFE) y Global </w:t>
      </w:r>
      <w:proofErr w:type="spellStart"/>
      <w:r w:rsidRPr="00326F51">
        <w:rPr>
          <w:rFonts w:ascii="Arial" w:hAnsi="Arial" w:cs="Arial"/>
        </w:rPr>
        <w:t>Reporting</w:t>
      </w:r>
      <w:proofErr w:type="spellEnd"/>
      <w:r w:rsidRPr="00326F51">
        <w:rPr>
          <w:rFonts w:ascii="Arial" w:hAnsi="Arial" w:cs="Arial"/>
        </w:rPr>
        <w:t xml:space="preserve"> </w:t>
      </w:r>
      <w:proofErr w:type="spellStart"/>
      <w:r w:rsidRPr="00326F51">
        <w:rPr>
          <w:rFonts w:ascii="Arial" w:hAnsi="Arial" w:cs="Arial"/>
        </w:rPr>
        <w:t>Initiative</w:t>
      </w:r>
      <w:proofErr w:type="spellEnd"/>
      <w:r w:rsidRPr="00326F51">
        <w:rPr>
          <w:rFonts w:ascii="Arial" w:hAnsi="Arial" w:cs="Arial"/>
        </w:rPr>
        <w:t xml:space="preserve"> (GRI).</w:t>
      </w:r>
    </w:p>
    <w:p w14:paraId="52852E29" w14:textId="77777777" w:rsidR="000135D5" w:rsidRPr="00326F51" w:rsidRDefault="000135D5" w:rsidP="000135D5">
      <w:pPr>
        <w:autoSpaceDE w:val="0"/>
        <w:autoSpaceDN w:val="0"/>
        <w:adjustRightInd w:val="0"/>
        <w:spacing w:before="240" w:after="240" w:line="240" w:lineRule="auto"/>
        <w:jc w:val="both"/>
        <w:rPr>
          <w:rFonts w:ascii="Arial" w:hAnsi="Arial" w:cs="Arial"/>
        </w:rPr>
      </w:pPr>
      <w:r w:rsidRPr="00326F51">
        <w:rPr>
          <w:rFonts w:ascii="Arial" w:hAnsi="Arial" w:cs="Arial"/>
        </w:rPr>
        <w:t>El contenido de dichos reportes debe incluir al menos información relacionada con el eje ambiental, social y de gobernanza, e indicar cómo contribuyen con los objetivos de desarrollo sostenible emitidos por la Organización de las Naciones Unidas (ONU).</w:t>
      </w:r>
    </w:p>
    <w:p w14:paraId="5A48B4BB" w14:textId="77777777" w:rsidR="000135D5" w:rsidRDefault="000135D5" w:rsidP="000135D5">
      <w:pPr>
        <w:autoSpaceDE w:val="0"/>
        <w:autoSpaceDN w:val="0"/>
        <w:adjustRightInd w:val="0"/>
        <w:spacing w:after="0" w:line="240" w:lineRule="auto"/>
        <w:jc w:val="both"/>
        <w:rPr>
          <w:rFonts w:ascii="Arial" w:hAnsi="Arial" w:cs="Arial"/>
        </w:rPr>
      </w:pPr>
      <w:r w:rsidRPr="008B410D">
        <w:rPr>
          <w:rFonts w:ascii="Arial" w:hAnsi="Arial" w:cs="Arial"/>
        </w:rPr>
        <w:t xml:space="preserve">Para </w:t>
      </w:r>
      <w:proofErr w:type="gramStart"/>
      <w:r>
        <w:rPr>
          <w:rFonts w:ascii="Arial" w:hAnsi="Arial" w:cs="Arial"/>
        </w:rPr>
        <w:t xml:space="preserve">mayor </w:t>
      </w:r>
      <w:r w:rsidRPr="008B410D">
        <w:rPr>
          <w:rFonts w:ascii="Arial" w:hAnsi="Arial" w:cs="Arial"/>
        </w:rPr>
        <w:t>información</w:t>
      </w:r>
      <w:proofErr w:type="gramEnd"/>
      <w:r>
        <w:rPr>
          <w:rFonts w:ascii="Arial" w:hAnsi="Arial" w:cs="Arial"/>
        </w:rPr>
        <w:t xml:space="preserve"> se recomienda </w:t>
      </w:r>
      <w:r w:rsidRPr="008B410D">
        <w:rPr>
          <w:rFonts w:ascii="Arial" w:hAnsi="Arial" w:cs="Arial"/>
        </w:rPr>
        <w:t xml:space="preserve">consultar dicho documento en </w:t>
      </w:r>
      <w:r w:rsidRPr="001952DC">
        <w:rPr>
          <w:rFonts w:ascii="Arial" w:hAnsi="Arial" w:cs="Arial"/>
        </w:rPr>
        <w:t xml:space="preserve">el sitio web </w:t>
      </w:r>
      <w:hyperlink r:id="rId14" w:history="1">
        <w:r w:rsidRPr="001952DC">
          <w:rPr>
            <w:rStyle w:val="Hipervnculo"/>
            <w:rFonts w:ascii="Arial" w:hAnsi="Arial" w:cs="Arial"/>
          </w:rPr>
          <w:t>https://www.bolsacr.com/sites/default/files/347/guia_voluntaria_para_la_creacion_de_reportes_de_sostenibilidad.pdf</w:t>
        </w:r>
      </w:hyperlink>
    </w:p>
    <w:p w14:paraId="324A61F8" w14:textId="65BC32E4" w:rsidR="000135D5" w:rsidRPr="00D154AD" w:rsidRDefault="000135D5" w:rsidP="000135D5">
      <w:pPr>
        <w:pStyle w:val="Ttulo"/>
        <w:keepNext/>
        <w:keepLines/>
        <w:spacing w:before="240" w:after="240"/>
        <w:jc w:val="both"/>
        <w:outlineLvl w:val="0"/>
        <w:rPr>
          <w:rFonts w:cs="Arial"/>
          <w:szCs w:val="22"/>
        </w:rPr>
      </w:pPr>
      <w:bookmarkStart w:id="25" w:name="_Toc71622397"/>
      <w:bookmarkStart w:id="26" w:name="_Toc82185438"/>
      <w:r w:rsidRPr="00326F51">
        <w:rPr>
          <w:rFonts w:cs="Arial"/>
          <w:szCs w:val="22"/>
        </w:rPr>
        <w:t xml:space="preserve">Artículo </w:t>
      </w:r>
      <w:r>
        <w:rPr>
          <w:rFonts w:cs="Arial"/>
          <w:szCs w:val="22"/>
        </w:rPr>
        <w:fldChar w:fldCharType="begin"/>
      </w:r>
      <w:r>
        <w:rPr>
          <w:rFonts w:cs="Arial"/>
          <w:szCs w:val="22"/>
        </w:rPr>
        <w:instrText xml:space="preserve"> AUTONUM  \* Arabic </w:instrText>
      </w:r>
      <w:r>
        <w:rPr>
          <w:rFonts w:cs="Arial"/>
          <w:szCs w:val="22"/>
        </w:rPr>
        <w:fldChar w:fldCharType="end"/>
      </w:r>
      <w:r w:rsidR="00412AA1">
        <w:rPr>
          <w:rFonts w:cs="Arial"/>
          <w:szCs w:val="22"/>
        </w:rPr>
        <w:t xml:space="preserve"> </w:t>
      </w:r>
      <w:r w:rsidRPr="002F73E9">
        <w:rPr>
          <w:rFonts w:cs="Arial"/>
          <w:szCs w:val="22"/>
        </w:rPr>
        <w:t>Vigencia</w:t>
      </w:r>
      <w:bookmarkEnd w:id="25"/>
      <w:bookmarkEnd w:id="26"/>
    </w:p>
    <w:p w14:paraId="6A9D407B" w14:textId="77777777" w:rsidR="000135D5" w:rsidRDefault="000135D5" w:rsidP="000135D5">
      <w:pPr>
        <w:rPr>
          <w:rFonts w:ascii="Arial" w:hAnsi="Arial" w:cs="Arial"/>
          <w:b/>
          <w:sz w:val="24"/>
          <w:szCs w:val="24"/>
        </w:rPr>
      </w:pPr>
      <w:r w:rsidRPr="008B7228">
        <w:rPr>
          <w:rFonts w:ascii="Arial" w:hAnsi="Arial" w:cs="Arial"/>
        </w:rPr>
        <w:t>Rige a partir de su publicación</w:t>
      </w:r>
      <w:r w:rsidR="00FA2703">
        <w:rPr>
          <w:rFonts w:ascii="Arial" w:hAnsi="Arial" w:cs="Arial"/>
        </w:rPr>
        <w:t>.</w:t>
      </w:r>
    </w:p>
    <w:p w14:paraId="2DBFA346" w14:textId="77777777" w:rsidR="000135D5" w:rsidRPr="004369F8" w:rsidRDefault="001D603E" w:rsidP="000135D5">
      <w:pPr>
        <w:rPr>
          <w:rFonts w:ascii="Arial" w:hAnsi="Arial" w:cs="Arial"/>
          <w:b/>
          <w:sz w:val="24"/>
          <w:szCs w:val="24"/>
        </w:rPr>
      </w:pPr>
      <w:r w:rsidRPr="00EC4526">
        <w:rPr>
          <w:rFonts w:ascii="Arial" w:eastAsia="Calibri" w:hAnsi="Arial" w:cs="Arial"/>
          <w:noProof/>
          <w:lang w:eastAsia="es-CR"/>
        </w:rPr>
        <w:drawing>
          <wp:inline distT="0" distB="0" distL="0" distR="0" wp14:anchorId="0A489E5E" wp14:editId="1EF03027">
            <wp:extent cx="2733675"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2BE7802F" w14:textId="77777777" w:rsidR="0014513B" w:rsidRDefault="0014513B"/>
    <w:sectPr w:rsidR="0014513B" w:rsidSect="009D6D44">
      <w:headerReference w:type="default" r:id="rId16"/>
      <w:footerReference w:type="default" r:id="rId17"/>
      <w:pgSz w:w="12240" w:h="15840"/>
      <w:pgMar w:top="1440" w:right="1797" w:bottom="1440" w:left="1797" w:header="14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D60A0" w14:textId="77777777" w:rsidR="009413AA" w:rsidRDefault="009413AA" w:rsidP="000135D5">
      <w:pPr>
        <w:spacing w:after="0" w:line="240" w:lineRule="auto"/>
      </w:pPr>
      <w:r>
        <w:separator/>
      </w:r>
    </w:p>
  </w:endnote>
  <w:endnote w:type="continuationSeparator" w:id="0">
    <w:p w14:paraId="5C53E3A5" w14:textId="77777777" w:rsidR="009413AA" w:rsidRDefault="009413AA" w:rsidP="0001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exNew-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C543" w14:textId="09004421" w:rsidR="00DD7641" w:rsidRPr="00524FA6" w:rsidRDefault="00412AA1" w:rsidP="00513D67">
    <w:pPr>
      <w:pStyle w:val="Piedepgina"/>
      <w:jc w:val="right"/>
      <w:rPr>
        <w:rFonts w:ascii="Arial" w:hAnsi="Arial" w:cs="Arial"/>
        <w:sz w:val="20"/>
        <w:szCs w:val="20"/>
      </w:rPr>
    </w:pPr>
  </w:p>
  <w:p w14:paraId="6A425292" w14:textId="77777777" w:rsidR="00A911B4" w:rsidRPr="00A911B4" w:rsidRDefault="00A911B4" w:rsidP="00A911B4">
    <w:pPr>
      <w:tabs>
        <w:tab w:val="center" w:pos="4419"/>
        <w:tab w:val="right" w:pos="8838"/>
      </w:tabs>
      <w:spacing w:after="0" w:line="240" w:lineRule="auto"/>
      <w:rPr>
        <w:rFonts w:ascii="Arial" w:eastAsia="Times New Roman" w:hAnsi="Arial" w:cs="Arial"/>
        <w:color w:val="1B75BB"/>
        <w:szCs w:val="24"/>
        <w:lang w:eastAsia="es-ES"/>
      </w:rPr>
    </w:pPr>
    <w:r w:rsidRPr="00A911B4">
      <w:rPr>
        <w:rFonts w:ascii="Arial" w:eastAsia="Times New Roman" w:hAnsi="Arial" w:cs="Arial"/>
        <w:color w:val="1B75BB"/>
        <w:szCs w:val="24"/>
        <w:lang w:eastAsia="es-ES"/>
      </w:rPr>
      <w:t xml:space="preserve">| </w:t>
    </w:r>
    <w:r w:rsidRPr="00A911B4">
      <w:rPr>
        <w:rFonts w:ascii="Arial" w:eastAsia="Times New Roman" w:hAnsi="Arial" w:cs="Arial"/>
        <w:color w:val="1B75BB"/>
        <w:szCs w:val="24"/>
        <w:lang w:eastAsia="es-ES"/>
      </w:rPr>
      <w:fldChar w:fldCharType="begin"/>
    </w:r>
    <w:r w:rsidRPr="00A911B4">
      <w:rPr>
        <w:rFonts w:ascii="Arial" w:eastAsia="Times New Roman" w:hAnsi="Arial" w:cs="Arial"/>
        <w:color w:val="1B75BB"/>
        <w:szCs w:val="24"/>
        <w:lang w:eastAsia="es-ES"/>
      </w:rPr>
      <w:instrText xml:space="preserve"> PAGE   \* MERGEFORMAT </w:instrText>
    </w:r>
    <w:r w:rsidRPr="00A911B4">
      <w:rPr>
        <w:rFonts w:ascii="Arial" w:eastAsia="Times New Roman" w:hAnsi="Arial" w:cs="Arial"/>
        <w:color w:val="1B75BB"/>
        <w:szCs w:val="24"/>
        <w:lang w:eastAsia="es-ES"/>
      </w:rPr>
      <w:fldChar w:fldCharType="separate"/>
    </w:r>
    <w:r w:rsidRPr="00A911B4">
      <w:rPr>
        <w:rFonts w:ascii="Arial" w:eastAsia="Times New Roman" w:hAnsi="Arial" w:cs="Arial"/>
        <w:color w:val="1B75BB"/>
        <w:szCs w:val="24"/>
        <w:lang w:eastAsia="es-ES"/>
      </w:rPr>
      <w:t>2</w:t>
    </w:r>
    <w:r w:rsidRPr="00A911B4">
      <w:rPr>
        <w:rFonts w:ascii="Arial" w:eastAsia="Times New Roman" w:hAnsi="Arial" w:cs="Arial"/>
        <w:noProof/>
        <w:color w:val="1B75BB"/>
        <w:szCs w:val="24"/>
        <w:lang w:eastAsia="es-ES"/>
      </w:rPr>
      <w:fldChar w:fldCharType="end"/>
    </w:r>
  </w:p>
  <w:p w14:paraId="05A99D7F" w14:textId="77777777" w:rsidR="00DD7641" w:rsidRDefault="00412A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FDE3" w14:textId="77777777" w:rsidR="009413AA" w:rsidRDefault="009413AA" w:rsidP="000135D5">
      <w:pPr>
        <w:spacing w:after="0" w:line="240" w:lineRule="auto"/>
      </w:pPr>
      <w:r>
        <w:separator/>
      </w:r>
    </w:p>
  </w:footnote>
  <w:footnote w:type="continuationSeparator" w:id="0">
    <w:p w14:paraId="6E095B24" w14:textId="77777777" w:rsidR="009413AA" w:rsidRDefault="009413AA" w:rsidP="000135D5">
      <w:pPr>
        <w:spacing w:after="0" w:line="240" w:lineRule="auto"/>
      </w:pPr>
      <w:r>
        <w:continuationSeparator/>
      </w:r>
    </w:p>
  </w:footnote>
  <w:footnote w:id="1">
    <w:p w14:paraId="74793BC1" w14:textId="77777777" w:rsidR="00A911B4" w:rsidRPr="00EC0AC7" w:rsidRDefault="00A911B4" w:rsidP="00A911B4">
      <w:pPr>
        <w:autoSpaceDE w:val="0"/>
        <w:autoSpaceDN w:val="0"/>
        <w:jc w:val="both"/>
        <w:rPr>
          <w:rFonts w:ascii="Arial" w:eastAsia="Times New Roman" w:hAnsi="Arial" w:cs="Arial"/>
          <w:bCs/>
          <w:lang w:val="es-ES"/>
        </w:rPr>
      </w:pPr>
      <w:r w:rsidRPr="00E614BF">
        <w:rPr>
          <w:rStyle w:val="Refdenotaalpie"/>
          <w:rFonts w:ascii="Arial" w:hAnsi="Arial" w:cs="Arial"/>
        </w:rPr>
        <w:footnoteRef/>
      </w:r>
      <w:r w:rsidRPr="00E614BF">
        <w:rPr>
          <w:rFonts w:ascii="Arial" w:hAnsi="Arial" w:cs="Arial"/>
        </w:rPr>
        <w:t xml:space="preserve"> </w:t>
      </w:r>
      <w:r w:rsidRPr="00E614BF">
        <w:rPr>
          <w:rFonts w:ascii="Arial" w:eastAsia="Times New Roman" w:hAnsi="Arial" w:cs="Arial"/>
          <w:bCs/>
          <w:lang w:val="es-ES"/>
        </w:rPr>
        <w:t xml:space="preserve">Superintendencia General de Valores. Despacho de la Superintendente. A las quince horas cinco minutos del veintidós de diciembre del dos </w:t>
      </w:r>
      <w:proofErr w:type="gramStart"/>
      <w:r w:rsidRPr="00E614BF">
        <w:rPr>
          <w:rFonts w:ascii="Arial" w:eastAsia="Times New Roman" w:hAnsi="Arial" w:cs="Arial"/>
          <w:bCs/>
          <w:lang w:val="es-ES"/>
        </w:rPr>
        <w:t>mil veintiuno</w:t>
      </w:r>
      <w:proofErr w:type="gramEnd"/>
      <w:r w:rsidRPr="00E614BF">
        <w:rPr>
          <w:rFonts w:ascii="Arial" w:eastAsia="Times New Roman" w:hAnsi="Arial" w:cs="Arial"/>
          <w:bCs/>
          <w:lang w:val="es-ES"/>
        </w:rPr>
        <w:t>.</w:t>
      </w:r>
      <w:r>
        <w:rPr>
          <w:rFonts w:ascii="Arial" w:eastAsia="Times New Roman" w:hAnsi="Arial" w:cs="Arial"/>
          <w:bCs/>
          <w:lang w:val="es-ES"/>
        </w:rPr>
        <w:t xml:space="preserve"> </w:t>
      </w:r>
    </w:p>
    <w:p w14:paraId="69F6541F" w14:textId="77777777" w:rsidR="00A911B4" w:rsidRPr="00EC0AC7" w:rsidRDefault="00A911B4" w:rsidP="00A911B4">
      <w:pPr>
        <w:spacing w:after="0" w:line="240" w:lineRule="auto"/>
        <w:ind w:right="-193"/>
        <w:jc w:val="both"/>
        <w:rPr>
          <w:rFonts w:ascii="Arial" w:eastAsia="Times New Roman" w:hAnsi="Arial" w:cs="Arial"/>
          <w:bCs/>
        </w:rPr>
      </w:pPr>
    </w:p>
    <w:p w14:paraId="2A061097" w14:textId="77777777" w:rsidR="00A911B4" w:rsidRPr="0096434A" w:rsidRDefault="00A911B4" w:rsidP="00A911B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F251" w14:textId="3675B88A" w:rsidR="00DD7641" w:rsidRDefault="00A911B4">
    <w:pPr>
      <w:pStyle w:val="Encabezado"/>
    </w:pPr>
    <w:r>
      <w:rPr>
        <w:noProof/>
        <w:lang w:eastAsia="es-CR"/>
      </w:rPr>
      <mc:AlternateContent>
        <mc:Choice Requires="wps">
          <w:drawing>
            <wp:anchor distT="4294967292" distB="4294967292" distL="114300" distR="114300" simplePos="0" relativeHeight="251660288" behindDoc="0" locked="0" layoutInCell="1" allowOverlap="1" wp14:anchorId="7F85E42E" wp14:editId="432029D9">
              <wp:simplePos x="0" y="0"/>
              <wp:positionH relativeFrom="margin">
                <wp:align>right</wp:align>
              </wp:positionH>
              <wp:positionV relativeFrom="paragraph">
                <wp:posOffset>11429</wp:posOffset>
              </wp:positionV>
              <wp:extent cx="5462270" cy="0"/>
              <wp:effectExtent l="0" t="0" r="0" b="0"/>
              <wp:wrapNone/>
              <wp:docPr id="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227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BD004" id="Conector recto 4" o:spid="_x0000_s1026" style="position:absolute;flip:y;z-index:251660288;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8.9pt,.9pt" to="8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" strokecolor="#1b75bb" strokeweight="1.5pt">
              <w10:wrap anchorx="margin"/>
            </v:line>
          </w:pict>
        </mc:Fallback>
      </mc:AlternateContent>
    </w:r>
    <w:r>
      <w:rPr>
        <w:noProof/>
        <w:lang w:eastAsia="es-CR"/>
      </w:rPr>
      <w:drawing>
        <wp:anchor distT="0" distB="0" distL="114300" distR="114300" simplePos="0" relativeHeight="251659264" behindDoc="0" locked="0" layoutInCell="1" allowOverlap="1" wp14:anchorId="3C9BBEEE" wp14:editId="644B44B3">
          <wp:simplePos x="0" y="0"/>
          <wp:positionH relativeFrom="margin">
            <wp:align>right</wp:align>
          </wp:positionH>
          <wp:positionV relativeFrom="page">
            <wp:posOffset>416560</wp:posOffset>
          </wp:positionV>
          <wp:extent cx="1329036" cy="377190"/>
          <wp:effectExtent l="0" t="0" r="5080" b="3810"/>
          <wp:wrapNone/>
          <wp:docPr id="10" name="Picture 1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9036"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BE8"/>
    <w:multiLevelType w:val="hybridMultilevel"/>
    <w:tmpl w:val="F6141A82"/>
    <w:lvl w:ilvl="0" w:tplc="46F0B800">
      <w:start w:val="1"/>
      <w:numFmt w:val="upperRoman"/>
      <w:pStyle w:val="Style1"/>
      <w:lvlText w:val="%1."/>
      <w:lvlJc w:val="right"/>
      <w:pPr>
        <w:ind w:left="360" w:hanging="360"/>
      </w:p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176D59"/>
    <w:multiLevelType w:val="hybridMultilevel"/>
    <w:tmpl w:val="E7E01CC8"/>
    <w:lvl w:ilvl="0" w:tplc="9BAA6AFC">
      <w:start w:val="1"/>
      <w:numFmt w:val="upperRoman"/>
      <w:lvlText w:val="%1."/>
      <w:lvlJc w:val="right"/>
      <w:pPr>
        <w:ind w:left="778" w:hanging="360"/>
      </w:pPr>
      <w:rPr>
        <w:b w:val="0"/>
        <w:bCs/>
      </w:rPr>
    </w:lvl>
    <w:lvl w:ilvl="1" w:tplc="140A0019" w:tentative="1">
      <w:start w:val="1"/>
      <w:numFmt w:val="lowerLetter"/>
      <w:lvlText w:val="%2."/>
      <w:lvlJc w:val="left"/>
      <w:pPr>
        <w:ind w:left="1498" w:hanging="360"/>
      </w:pPr>
    </w:lvl>
    <w:lvl w:ilvl="2" w:tplc="140A001B" w:tentative="1">
      <w:start w:val="1"/>
      <w:numFmt w:val="lowerRoman"/>
      <w:lvlText w:val="%3."/>
      <w:lvlJc w:val="right"/>
      <w:pPr>
        <w:ind w:left="2218" w:hanging="180"/>
      </w:pPr>
    </w:lvl>
    <w:lvl w:ilvl="3" w:tplc="140A000F" w:tentative="1">
      <w:start w:val="1"/>
      <w:numFmt w:val="decimal"/>
      <w:lvlText w:val="%4."/>
      <w:lvlJc w:val="left"/>
      <w:pPr>
        <w:ind w:left="2938" w:hanging="360"/>
      </w:pPr>
    </w:lvl>
    <w:lvl w:ilvl="4" w:tplc="140A0019" w:tentative="1">
      <w:start w:val="1"/>
      <w:numFmt w:val="lowerLetter"/>
      <w:lvlText w:val="%5."/>
      <w:lvlJc w:val="left"/>
      <w:pPr>
        <w:ind w:left="3658" w:hanging="360"/>
      </w:pPr>
    </w:lvl>
    <w:lvl w:ilvl="5" w:tplc="140A001B" w:tentative="1">
      <w:start w:val="1"/>
      <w:numFmt w:val="lowerRoman"/>
      <w:lvlText w:val="%6."/>
      <w:lvlJc w:val="right"/>
      <w:pPr>
        <w:ind w:left="4378" w:hanging="180"/>
      </w:pPr>
    </w:lvl>
    <w:lvl w:ilvl="6" w:tplc="140A000F" w:tentative="1">
      <w:start w:val="1"/>
      <w:numFmt w:val="decimal"/>
      <w:lvlText w:val="%7."/>
      <w:lvlJc w:val="left"/>
      <w:pPr>
        <w:ind w:left="5098" w:hanging="360"/>
      </w:pPr>
    </w:lvl>
    <w:lvl w:ilvl="7" w:tplc="140A0019" w:tentative="1">
      <w:start w:val="1"/>
      <w:numFmt w:val="lowerLetter"/>
      <w:lvlText w:val="%8."/>
      <w:lvlJc w:val="left"/>
      <w:pPr>
        <w:ind w:left="5818" w:hanging="360"/>
      </w:pPr>
    </w:lvl>
    <w:lvl w:ilvl="8" w:tplc="140A001B" w:tentative="1">
      <w:start w:val="1"/>
      <w:numFmt w:val="lowerRoman"/>
      <w:lvlText w:val="%9."/>
      <w:lvlJc w:val="right"/>
      <w:pPr>
        <w:ind w:left="6538" w:hanging="180"/>
      </w:pPr>
    </w:lvl>
  </w:abstractNum>
  <w:abstractNum w:abstractNumId="2" w15:restartNumberingAfterBreak="0">
    <w:nsid w:val="1F3A2BD1"/>
    <w:multiLevelType w:val="hybridMultilevel"/>
    <w:tmpl w:val="7B0A9C24"/>
    <w:lvl w:ilvl="0" w:tplc="FDECD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911AC"/>
    <w:multiLevelType w:val="hybridMultilevel"/>
    <w:tmpl w:val="70E43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41AB6"/>
    <w:multiLevelType w:val="hybridMultilevel"/>
    <w:tmpl w:val="BFD0496C"/>
    <w:lvl w:ilvl="0" w:tplc="04090017">
      <w:start w:val="1"/>
      <w:numFmt w:val="lowerLetter"/>
      <w:lvlText w:val="%1)"/>
      <w:lvlJc w:val="left"/>
      <w:pPr>
        <w:ind w:left="778" w:hanging="360"/>
      </w:pPr>
    </w:lvl>
    <w:lvl w:ilvl="1" w:tplc="140A0019" w:tentative="1">
      <w:start w:val="1"/>
      <w:numFmt w:val="lowerLetter"/>
      <w:lvlText w:val="%2."/>
      <w:lvlJc w:val="left"/>
      <w:pPr>
        <w:ind w:left="1498" w:hanging="360"/>
      </w:pPr>
    </w:lvl>
    <w:lvl w:ilvl="2" w:tplc="140A001B" w:tentative="1">
      <w:start w:val="1"/>
      <w:numFmt w:val="lowerRoman"/>
      <w:lvlText w:val="%3."/>
      <w:lvlJc w:val="right"/>
      <w:pPr>
        <w:ind w:left="2218" w:hanging="180"/>
      </w:pPr>
    </w:lvl>
    <w:lvl w:ilvl="3" w:tplc="140A000F" w:tentative="1">
      <w:start w:val="1"/>
      <w:numFmt w:val="decimal"/>
      <w:lvlText w:val="%4."/>
      <w:lvlJc w:val="left"/>
      <w:pPr>
        <w:ind w:left="2938" w:hanging="360"/>
      </w:pPr>
    </w:lvl>
    <w:lvl w:ilvl="4" w:tplc="140A0019" w:tentative="1">
      <w:start w:val="1"/>
      <w:numFmt w:val="lowerLetter"/>
      <w:lvlText w:val="%5."/>
      <w:lvlJc w:val="left"/>
      <w:pPr>
        <w:ind w:left="3658" w:hanging="360"/>
      </w:pPr>
    </w:lvl>
    <w:lvl w:ilvl="5" w:tplc="140A001B" w:tentative="1">
      <w:start w:val="1"/>
      <w:numFmt w:val="lowerRoman"/>
      <w:lvlText w:val="%6."/>
      <w:lvlJc w:val="right"/>
      <w:pPr>
        <w:ind w:left="4378" w:hanging="180"/>
      </w:pPr>
    </w:lvl>
    <w:lvl w:ilvl="6" w:tplc="140A000F" w:tentative="1">
      <w:start w:val="1"/>
      <w:numFmt w:val="decimal"/>
      <w:lvlText w:val="%7."/>
      <w:lvlJc w:val="left"/>
      <w:pPr>
        <w:ind w:left="5098" w:hanging="360"/>
      </w:pPr>
    </w:lvl>
    <w:lvl w:ilvl="7" w:tplc="140A0019" w:tentative="1">
      <w:start w:val="1"/>
      <w:numFmt w:val="lowerLetter"/>
      <w:lvlText w:val="%8."/>
      <w:lvlJc w:val="left"/>
      <w:pPr>
        <w:ind w:left="5818" w:hanging="360"/>
      </w:pPr>
    </w:lvl>
    <w:lvl w:ilvl="8" w:tplc="140A001B" w:tentative="1">
      <w:start w:val="1"/>
      <w:numFmt w:val="lowerRoman"/>
      <w:lvlText w:val="%9."/>
      <w:lvlJc w:val="right"/>
      <w:pPr>
        <w:ind w:left="6538" w:hanging="180"/>
      </w:pPr>
    </w:lvl>
  </w:abstractNum>
  <w:abstractNum w:abstractNumId="5" w15:restartNumberingAfterBreak="0">
    <w:nsid w:val="64264D2D"/>
    <w:multiLevelType w:val="hybridMultilevel"/>
    <w:tmpl w:val="A3405486"/>
    <w:lvl w:ilvl="0" w:tplc="F77025E6">
      <w:start w:val="1"/>
      <w:numFmt w:val="upperRoman"/>
      <w:lvlText w:val="%1."/>
      <w:lvlJc w:val="righ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D5"/>
    <w:rsid w:val="000135D5"/>
    <w:rsid w:val="00021F3A"/>
    <w:rsid w:val="000E7207"/>
    <w:rsid w:val="0014513B"/>
    <w:rsid w:val="00165EF0"/>
    <w:rsid w:val="0019118B"/>
    <w:rsid w:val="001D603E"/>
    <w:rsid w:val="00412AA1"/>
    <w:rsid w:val="00677BD0"/>
    <w:rsid w:val="006D1565"/>
    <w:rsid w:val="00743B77"/>
    <w:rsid w:val="007F236C"/>
    <w:rsid w:val="008A6ADC"/>
    <w:rsid w:val="009413AA"/>
    <w:rsid w:val="009764C2"/>
    <w:rsid w:val="009C1560"/>
    <w:rsid w:val="009D6D44"/>
    <w:rsid w:val="00A911B4"/>
    <w:rsid w:val="00B11786"/>
    <w:rsid w:val="00B63A75"/>
    <w:rsid w:val="00E614BF"/>
    <w:rsid w:val="00F35C32"/>
    <w:rsid w:val="00FA27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F83BA"/>
  <w15:chartTrackingRefBased/>
  <w15:docId w15:val="{B9CAD514-3690-4150-9B18-F5B4FF27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D5"/>
  </w:style>
  <w:style w:type="paragraph" w:styleId="Ttulo1">
    <w:name w:val="heading 1"/>
    <w:basedOn w:val="Normal"/>
    <w:next w:val="Normal"/>
    <w:link w:val="Ttulo1Car"/>
    <w:uiPriority w:val="9"/>
    <w:qFormat/>
    <w:rsid w:val="000135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13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3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5D5"/>
  </w:style>
  <w:style w:type="paragraph" w:styleId="Piedepgina">
    <w:name w:val="footer"/>
    <w:basedOn w:val="Normal"/>
    <w:link w:val="PiedepginaCar"/>
    <w:uiPriority w:val="99"/>
    <w:unhideWhenUsed/>
    <w:rsid w:val="00013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5D5"/>
  </w:style>
  <w:style w:type="paragraph" w:styleId="Sinespaciado">
    <w:name w:val="No Spacing"/>
    <w:link w:val="SinespaciadoCar"/>
    <w:uiPriority w:val="1"/>
    <w:qFormat/>
    <w:rsid w:val="000135D5"/>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0135D5"/>
    <w:rPr>
      <w:rFonts w:eastAsiaTheme="minorEastAsia"/>
      <w:lang w:val="en-US"/>
    </w:rPr>
  </w:style>
  <w:style w:type="paragraph" w:customStyle="1" w:styleId="Style1">
    <w:name w:val="Style1"/>
    <w:basedOn w:val="Ttulo2"/>
    <w:link w:val="Style1Char"/>
    <w:qFormat/>
    <w:rsid w:val="000135D5"/>
    <w:pPr>
      <w:numPr>
        <w:numId w:val="1"/>
      </w:numPr>
      <w:spacing w:after="120" w:line="240" w:lineRule="auto"/>
      <w:jc w:val="both"/>
    </w:pPr>
    <w:rPr>
      <w:rFonts w:ascii="Arial" w:hAnsi="Arial"/>
      <w:b/>
      <w:u w:val="single"/>
    </w:rPr>
  </w:style>
  <w:style w:type="character" w:customStyle="1" w:styleId="Style1Char">
    <w:name w:val="Style1 Char"/>
    <w:basedOn w:val="Ttulo2Car"/>
    <w:link w:val="Style1"/>
    <w:rsid w:val="000135D5"/>
    <w:rPr>
      <w:rFonts w:ascii="Arial" w:eastAsiaTheme="majorEastAsia" w:hAnsi="Arial" w:cstheme="majorBidi"/>
      <w:b/>
      <w:color w:val="2F5496" w:themeColor="accent1" w:themeShade="BF"/>
      <w:sz w:val="26"/>
      <w:szCs w:val="26"/>
      <w:u w:val="single"/>
    </w:rPr>
  </w:style>
  <w:style w:type="character" w:customStyle="1" w:styleId="Ttulo1Car">
    <w:name w:val="Título 1 Car"/>
    <w:basedOn w:val="Fuentedeprrafopredeter"/>
    <w:link w:val="Ttulo1"/>
    <w:uiPriority w:val="9"/>
    <w:rsid w:val="000135D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135D5"/>
    <w:pPr>
      <w:outlineLvl w:val="9"/>
    </w:pPr>
    <w:rPr>
      <w:lang w:val="en-US"/>
    </w:rPr>
  </w:style>
  <w:style w:type="paragraph" w:styleId="TDC2">
    <w:name w:val="toc 2"/>
    <w:basedOn w:val="Normal"/>
    <w:next w:val="Normal"/>
    <w:autoRedefine/>
    <w:uiPriority w:val="39"/>
    <w:unhideWhenUsed/>
    <w:rsid w:val="000135D5"/>
    <w:pPr>
      <w:spacing w:after="100"/>
      <w:ind w:left="220"/>
    </w:pPr>
  </w:style>
  <w:style w:type="character" w:styleId="Hipervnculo">
    <w:name w:val="Hyperlink"/>
    <w:basedOn w:val="Fuentedeprrafopredeter"/>
    <w:uiPriority w:val="99"/>
    <w:unhideWhenUsed/>
    <w:rsid w:val="000135D5"/>
    <w:rPr>
      <w:color w:val="0563C1" w:themeColor="hyperlink"/>
      <w:u w:val="single"/>
    </w:rPr>
  </w:style>
  <w:style w:type="paragraph" w:styleId="Ttulo">
    <w:name w:val="Title"/>
    <w:basedOn w:val="Normal"/>
    <w:link w:val="TtuloCar"/>
    <w:qFormat/>
    <w:rsid w:val="000135D5"/>
    <w:pPr>
      <w:spacing w:after="0" w:line="240" w:lineRule="auto"/>
      <w:jc w:val="center"/>
    </w:pPr>
    <w:rPr>
      <w:rFonts w:ascii="Arial" w:eastAsia="Times New Roman" w:hAnsi="Arial" w:cs="Times New Roman"/>
      <w:b/>
      <w:szCs w:val="20"/>
    </w:rPr>
  </w:style>
  <w:style w:type="character" w:customStyle="1" w:styleId="TtuloCar">
    <w:name w:val="Título Car"/>
    <w:basedOn w:val="Fuentedeprrafopredeter"/>
    <w:link w:val="Ttulo"/>
    <w:rsid w:val="000135D5"/>
    <w:rPr>
      <w:rFonts w:ascii="Arial" w:eastAsia="Times New Roman" w:hAnsi="Arial" w:cs="Times New Roman"/>
      <w:b/>
      <w:szCs w:val="20"/>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0135D5"/>
    <w:pPr>
      <w:widowControl w:val="0"/>
      <w:spacing w:after="0" w:line="240" w:lineRule="auto"/>
      <w:ind w:left="708"/>
      <w:jc w:val="both"/>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locked/>
    <w:rsid w:val="000135D5"/>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0135D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comentario">
    <w:name w:val="annotation text"/>
    <w:basedOn w:val="Normal"/>
    <w:link w:val="TextocomentarioCar"/>
    <w:uiPriority w:val="99"/>
    <w:unhideWhenUsed/>
    <w:rsid w:val="000135D5"/>
    <w:pPr>
      <w:spacing w:line="240" w:lineRule="auto"/>
    </w:pPr>
    <w:rPr>
      <w:sz w:val="20"/>
      <w:szCs w:val="20"/>
    </w:rPr>
  </w:style>
  <w:style w:type="character" w:customStyle="1" w:styleId="TextocomentarioCar">
    <w:name w:val="Texto comentario Car"/>
    <w:basedOn w:val="Fuentedeprrafopredeter"/>
    <w:link w:val="Textocomentario"/>
    <w:uiPriority w:val="99"/>
    <w:rsid w:val="000135D5"/>
    <w:rPr>
      <w:sz w:val="20"/>
      <w:szCs w:val="20"/>
    </w:rPr>
  </w:style>
  <w:style w:type="paragraph" w:styleId="TDC1">
    <w:name w:val="toc 1"/>
    <w:basedOn w:val="Normal"/>
    <w:next w:val="Normal"/>
    <w:autoRedefine/>
    <w:uiPriority w:val="39"/>
    <w:unhideWhenUsed/>
    <w:rsid w:val="000135D5"/>
    <w:pPr>
      <w:spacing w:after="100"/>
    </w:pPr>
  </w:style>
  <w:style w:type="character" w:customStyle="1" w:styleId="y2iqfc">
    <w:name w:val="y2iqfc"/>
    <w:basedOn w:val="Fuentedeprrafopredeter"/>
    <w:rsid w:val="000135D5"/>
  </w:style>
  <w:style w:type="paragraph" w:styleId="HTMLconformatoprevio">
    <w:name w:val="HTML Preformatted"/>
    <w:basedOn w:val="Normal"/>
    <w:link w:val="HTMLconformatoprevioCar"/>
    <w:uiPriority w:val="99"/>
    <w:unhideWhenUsed/>
    <w:rsid w:val="000135D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135D5"/>
    <w:rPr>
      <w:rFonts w:ascii="Consolas" w:hAnsi="Consolas"/>
      <w:sz w:val="20"/>
      <w:szCs w:val="20"/>
    </w:rPr>
  </w:style>
  <w:style w:type="character" w:customStyle="1" w:styleId="Ttulo2Car">
    <w:name w:val="Título 2 Car"/>
    <w:basedOn w:val="Fuentedeprrafopredeter"/>
    <w:link w:val="Ttulo2"/>
    <w:uiPriority w:val="9"/>
    <w:semiHidden/>
    <w:rsid w:val="000135D5"/>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6D1565"/>
    <w:rPr>
      <w:sz w:val="16"/>
      <w:szCs w:val="16"/>
    </w:rPr>
  </w:style>
  <w:style w:type="paragraph" w:styleId="Asuntodelcomentario">
    <w:name w:val="annotation subject"/>
    <w:basedOn w:val="Textocomentario"/>
    <w:next w:val="Textocomentario"/>
    <w:link w:val="AsuntodelcomentarioCar"/>
    <w:uiPriority w:val="99"/>
    <w:semiHidden/>
    <w:unhideWhenUsed/>
    <w:rsid w:val="006D1565"/>
    <w:rPr>
      <w:b/>
      <w:bCs/>
    </w:rPr>
  </w:style>
  <w:style w:type="character" w:customStyle="1" w:styleId="AsuntodelcomentarioCar">
    <w:name w:val="Asunto del comentario Car"/>
    <w:basedOn w:val="TextocomentarioCar"/>
    <w:link w:val="Asuntodelcomentario"/>
    <w:uiPriority w:val="99"/>
    <w:semiHidden/>
    <w:rsid w:val="006D1565"/>
    <w:rPr>
      <w:b/>
      <w:bCs/>
      <w:sz w:val="20"/>
      <w:szCs w:val="20"/>
    </w:rPr>
  </w:style>
  <w:style w:type="paragraph" w:styleId="Textodeglobo">
    <w:name w:val="Balloon Text"/>
    <w:basedOn w:val="Normal"/>
    <w:link w:val="TextodegloboCar"/>
    <w:uiPriority w:val="99"/>
    <w:semiHidden/>
    <w:unhideWhenUsed/>
    <w:rsid w:val="006D1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565"/>
    <w:rPr>
      <w:rFonts w:ascii="Segoe UI" w:hAnsi="Segoe UI" w:cs="Segoe UI"/>
      <w:sz w:val="18"/>
      <w:szCs w:val="18"/>
    </w:rPr>
  </w:style>
  <w:style w:type="character" w:styleId="Mencinsinresolver">
    <w:name w:val="Unresolved Mention"/>
    <w:basedOn w:val="Fuentedeprrafopredeter"/>
    <w:uiPriority w:val="99"/>
    <w:semiHidden/>
    <w:unhideWhenUsed/>
    <w:rsid w:val="00F35C32"/>
    <w:rPr>
      <w:color w:val="605E5C"/>
      <w:shd w:val="clear" w:color="auto" w:fill="E1DFDD"/>
    </w:rPr>
  </w:style>
  <w:style w:type="paragraph" w:styleId="Textonotapie">
    <w:name w:val="footnote text"/>
    <w:basedOn w:val="Normal"/>
    <w:link w:val="TextonotapieCar"/>
    <w:uiPriority w:val="99"/>
    <w:semiHidden/>
    <w:unhideWhenUsed/>
    <w:rsid w:val="00FA27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2703"/>
    <w:rPr>
      <w:sz w:val="20"/>
      <w:szCs w:val="20"/>
    </w:rPr>
  </w:style>
  <w:style w:type="character" w:styleId="Refdenotaalpie">
    <w:name w:val="footnote reference"/>
    <w:basedOn w:val="Fuentedeprrafopredeter"/>
    <w:uiPriority w:val="99"/>
    <w:semiHidden/>
    <w:unhideWhenUsed/>
    <w:rsid w:val="00FA2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iple_resultado" TargetMode="External"/><Relationship Id="rId13" Type="http://schemas.openxmlformats.org/officeDocument/2006/relationships/hyperlink" Target="https://www.fsb-tcfd.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un.org/ga/search/view_doc.asp?symbol=A/RES/70/1&amp;Lang=S" TargetMode="External"/><Relationship Id="rId12" Type="http://schemas.openxmlformats.org/officeDocument/2006/relationships/hyperlink" Target="http://www3.weforum.org/docs/WEF_IBC_Measuring_Stakeholder_Capitalism_Report_20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sb.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integratedreportin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alreporting.org/how-to-use-the-gri-standards/" TargetMode="External"/><Relationship Id="rId14" Type="http://schemas.openxmlformats.org/officeDocument/2006/relationships/hyperlink" Target="https://www.bolsacr.com/sites/default/files/347/guia_voluntaria_para_la_creacion_de_reportes_de_sostenibilidad.pdf"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18F7E955-2A08-4766-AEE3-AF174B5D87C3}"/>
</file>

<file path=customXml/itemProps2.xml><?xml version="1.0" encoding="utf-8"?>
<ds:datastoreItem xmlns:ds="http://schemas.openxmlformats.org/officeDocument/2006/customXml" ds:itemID="{9A26199A-0495-470D-9CEF-5B267FED41A1}"/>
</file>

<file path=customXml/itemProps3.xml><?xml version="1.0" encoding="utf-8"?>
<ds:datastoreItem xmlns:ds="http://schemas.openxmlformats.org/officeDocument/2006/customXml" ds:itemID="{15BD5356-8A7A-4FD3-99BD-DBF8646573F4}"/>
</file>

<file path=docProps/app.xml><?xml version="1.0" encoding="utf-8"?>
<Properties xmlns="http://schemas.openxmlformats.org/officeDocument/2006/extended-properties" xmlns:vt="http://schemas.openxmlformats.org/officeDocument/2006/docPropsVTypes">
  <Template>Normal</Template>
  <TotalTime>13</TotalTime>
  <Pages>12</Pages>
  <Words>5590</Words>
  <Characters>30749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SGV</dc:creator>
  <cp:keywords/>
  <dc:description/>
  <cp:lastModifiedBy>FERNANDEZ PORRAS PATRICIA</cp:lastModifiedBy>
  <cp:revision>5</cp:revision>
  <dcterms:created xsi:type="dcterms:W3CDTF">2021-12-23T18:30:00Z</dcterms:created>
  <dcterms:modified xsi:type="dcterms:W3CDTF">2021-12-23T18:43:00Z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