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20D22" w14:textId="77777777" w:rsidR="00D92327" w:rsidRPr="00762134" w:rsidRDefault="00D92327" w:rsidP="00D92327">
      <w:pPr>
        <w:widowControl w:val="0"/>
        <w:tabs>
          <w:tab w:val="left" w:pos="2835"/>
        </w:tabs>
        <w:jc w:val="both"/>
        <w:outlineLvl w:val="0"/>
        <w:rPr>
          <w:rFonts w:ascii="Arial" w:hAnsi="Arial" w:cs="Arial"/>
          <w:b/>
          <w:bCs/>
          <w:i/>
          <w:iCs/>
          <w:noProof/>
          <w:sz w:val="24"/>
          <w:lang w:val="es-ES_tradnl" w:eastAsia="en-US"/>
        </w:rPr>
      </w:pPr>
      <w:r w:rsidRPr="00644A72">
        <w:rPr>
          <w:rFonts w:ascii="Arial" w:hAnsi="Arial" w:cs="Arial"/>
          <w:b/>
          <w:bCs/>
          <w:iCs/>
          <w:noProof/>
          <w:sz w:val="24"/>
          <w:lang w:val="es-ES_tradnl"/>
        </w:rPr>
        <w:t>SGV-A-</w:t>
      </w:r>
      <w:r>
        <w:rPr>
          <w:rFonts w:ascii="Arial" w:hAnsi="Arial" w:cs="Arial"/>
          <w:b/>
          <w:bCs/>
          <w:iCs/>
          <w:noProof/>
          <w:sz w:val="24"/>
          <w:lang w:val="es-ES_tradnl"/>
        </w:rPr>
        <w:t>259</w:t>
      </w:r>
      <w:r w:rsidRPr="00644A72">
        <w:rPr>
          <w:rFonts w:ascii="Arial" w:hAnsi="Arial" w:cs="Arial"/>
          <w:b/>
          <w:bCs/>
          <w:iCs/>
          <w:noProof/>
          <w:sz w:val="24"/>
          <w:lang w:val="es-ES_tradnl"/>
        </w:rPr>
        <w:t xml:space="preserve">. MODIFICACIÓN AL ACUERDO </w:t>
      </w:r>
      <w:r>
        <w:rPr>
          <w:rFonts w:ascii="Arial" w:hAnsi="Arial" w:cs="Arial"/>
          <w:b/>
          <w:bCs/>
          <w:iCs/>
          <w:noProof/>
          <w:sz w:val="24"/>
          <w:lang w:val="es-ES_tradnl"/>
        </w:rPr>
        <w:t>“</w:t>
      </w:r>
      <w:r w:rsidRPr="00735F5B">
        <w:rPr>
          <w:rFonts w:ascii="Arial" w:hAnsi="Arial" w:cs="Arial"/>
          <w:b/>
          <w:bCs/>
          <w:i/>
          <w:noProof/>
          <w:sz w:val="24"/>
          <w:lang w:val="es-ES_tradnl"/>
        </w:rPr>
        <w:t xml:space="preserve">SGV-A-61. </w:t>
      </w:r>
      <w:r w:rsidRPr="00735F5B">
        <w:rPr>
          <w:rFonts w:ascii="Arial" w:hAnsi="Arial" w:cs="Arial"/>
          <w:b/>
          <w:bCs/>
          <w:i/>
          <w:noProof/>
          <w:sz w:val="24"/>
          <w:lang w:val="es-ES_tradnl" w:eastAsia="en-US"/>
        </w:rPr>
        <w:t>ACUERDO SOBRE HECHOS RELEVANTES</w:t>
      </w:r>
      <w:r>
        <w:rPr>
          <w:rFonts w:ascii="Arial" w:hAnsi="Arial" w:cs="Arial"/>
          <w:b/>
          <w:bCs/>
          <w:iCs/>
          <w:noProof/>
          <w:sz w:val="24"/>
          <w:lang w:val="es-ES_tradnl"/>
        </w:rPr>
        <w:t>”</w:t>
      </w:r>
      <w:r>
        <w:rPr>
          <w:rStyle w:val="Refdenotaalpie"/>
          <w:rFonts w:ascii="Garamond (PCL6)" w:hAnsi="Garamond (PCL6)"/>
          <w:b/>
          <w:bCs/>
          <w:i/>
          <w:iCs/>
          <w:noProof/>
          <w:sz w:val="36"/>
          <w:szCs w:val="20"/>
          <w:lang w:val="es-ES_tradnl"/>
        </w:rPr>
        <w:t xml:space="preserve"> </w:t>
      </w:r>
      <w:r w:rsidRPr="00762134">
        <w:rPr>
          <w:rStyle w:val="Refdenotaalpie"/>
          <w:rFonts w:ascii="Arial" w:hAnsi="Arial" w:cs="Arial"/>
          <w:b/>
          <w:bCs/>
          <w:i/>
          <w:iCs/>
          <w:noProof/>
          <w:sz w:val="24"/>
          <w:lang w:val="es-ES_tradnl" w:eastAsia="en-US"/>
        </w:rPr>
        <w:footnoteReference w:id="1"/>
      </w:r>
      <w:r w:rsidRPr="00762134">
        <w:rPr>
          <w:rFonts w:ascii="Arial" w:hAnsi="Arial" w:cs="Arial"/>
          <w:b/>
          <w:bCs/>
          <w:i/>
          <w:iCs/>
          <w:noProof/>
          <w:sz w:val="24"/>
          <w:lang w:val="es-ES_tradnl" w:eastAsia="en-US"/>
        </w:rPr>
        <w:t xml:space="preserve"> </w:t>
      </w:r>
    </w:p>
    <w:p w14:paraId="209ECB69" w14:textId="77777777" w:rsidR="00D92327" w:rsidRPr="00644A72" w:rsidRDefault="00D92327" w:rsidP="00D92327">
      <w:pPr>
        <w:widowControl w:val="0"/>
        <w:tabs>
          <w:tab w:val="left" w:pos="2835"/>
        </w:tabs>
        <w:jc w:val="both"/>
        <w:outlineLvl w:val="0"/>
        <w:rPr>
          <w:rFonts w:ascii="Arial" w:hAnsi="Arial" w:cs="Arial"/>
          <w:b/>
          <w:bCs/>
          <w:iCs/>
          <w:noProof/>
          <w:sz w:val="24"/>
          <w:lang w:val="es-ES_tradnl"/>
        </w:rPr>
      </w:pPr>
    </w:p>
    <w:p w14:paraId="06EE50DE" w14:textId="77777777" w:rsidR="00D92327" w:rsidRPr="008D57BF" w:rsidRDefault="00D92327" w:rsidP="00D92327">
      <w:pPr>
        <w:pStyle w:val="Ttulo"/>
        <w:tabs>
          <w:tab w:val="left" w:pos="2835"/>
        </w:tabs>
        <w:spacing w:before="240" w:after="240"/>
        <w:jc w:val="both"/>
        <w:rPr>
          <w:rFonts w:cs="Arial"/>
          <w:bCs/>
          <w:i w:val="0"/>
          <w:iCs/>
          <w:noProof/>
          <w:sz w:val="22"/>
          <w:szCs w:val="22"/>
          <w:lang w:val="es-ES_tradnl"/>
        </w:rPr>
      </w:pPr>
      <w:r w:rsidRPr="008D57BF">
        <w:rPr>
          <w:rFonts w:cs="Arial"/>
          <w:bCs/>
          <w:i w:val="0"/>
          <w:iCs/>
          <w:noProof/>
          <w:sz w:val="22"/>
          <w:szCs w:val="22"/>
          <w:lang w:val="es-ES_tradnl"/>
        </w:rPr>
        <w:t>Considerando que:</w:t>
      </w:r>
    </w:p>
    <w:p w14:paraId="7FA10054" w14:textId="77777777" w:rsidR="00D92327" w:rsidRPr="00762134" w:rsidRDefault="00D92327" w:rsidP="00D92327">
      <w:pPr>
        <w:pStyle w:val="Numeracin"/>
        <w:spacing w:before="0"/>
        <w:ind w:left="567" w:hanging="567"/>
        <w:rPr>
          <w:rFonts w:ascii="Arial" w:hAnsi="Arial" w:cs="Arial"/>
          <w:szCs w:val="22"/>
        </w:rPr>
      </w:pPr>
      <w:r w:rsidRPr="00762134">
        <w:rPr>
          <w:rFonts w:ascii="Arial" w:hAnsi="Arial" w:cs="Arial"/>
          <w:szCs w:val="22"/>
        </w:rPr>
        <w:t>El artículo 8 inciso j) de la Ley 7732, Ley Reguladora del Mercado de Valores, determina que corresponde al Superintendente General de Valores adoptar todas las acciones necesarias para el cumplimiento efectivo de las funciones de regulación que le competen a la Superintendencia según lo dispuesto en la ley.</w:t>
      </w:r>
    </w:p>
    <w:p w14:paraId="5E9692BF" w14:textId="77777777" w:rsidR="00D92327" w:rsidRPr="00762134" w:rsidRDefault="00D92327" w:rsidP="00D92327">
      <w:pPr>
        <w:pStyle w:val="Numeracin"/>
        <w:numPr>
          <w:ilvl w:val="0"/>
          <w:numId w:val="0"/>
        </w:numPr>
        <w:spacing w:before="0"/>
        <w:ind w:left="567" w:hanging="567"/>
        <w:rPr>
          <w:rFonts w:ascii="Arial" w:hAnsi="Arial" w:cs="Arial"/>
          <w:szCs w:val="22"/>
        </w:rPr>
      </w:pPr>
    </w:p>
    <w:p w14:paraId="51888985" w14:textId="77777777" w:rsidR="00D92327" w:rsidRPr="00762134" w:rsidRDefault="00D92327" w:rsidP="00D92327">
      <w:pPr>
        <w:pStyle w:val="Numeracin"/>
        <w:spacing w:before="0"/>
        <w:ind w:left="567" w:hanging="567"/>
        <w:rPr>
          <w:rFonts w:ascii="Arial" w:hAnsi="Arial" w:cs="Arial"/>
          <w:szCs w:val="22"/>
        </w:rPr>
      </w:pPr>
      <w:r w:rsidRPr="00762134">
        <w:rPr>
          <w:rFonts w:ascii="Arial" w:hAnsi="Arial" w:cs="Arial"/>
          <w:szCs w:val="22"/>
        </w:rPr>
        <w:t>El artículo 105 de la Ley Reguladora del Mercado de Valores, indica que los emisores de valores deberán informar al público, en el menor plazo posible, de la existencia de factores, hechos o decisiones que puedan influir, de modo sensible, en el precio de sus valores.</w:t>
      </w:r>
    </w:p>
    <w:p w14:paraId="7E108EE0" w14:textId="77777777" w:rsidR="00D92327" w:rsidRPr="00762134" w:rsidRDefault="00D92327" w:rsidP="00D92327">
      <w:pPr>
        <w:pStyle w:val="Numeracin"/>
        <w:numPr>
          <w:ilvl w:val="0"/>
          <w:numId w:val="0"/>
        </w:numPr>
        <w:spacing w:before="0"/>
        <w:ind w:left="567" w:hanging="567"/>
        <w:rPr>
          <w:rFonts w:ascii="Arial" w:hAnsi="Arial" w:cs="Arial"/>
          <w:szCs w:val="22"/>
        </w:rPr>
      </w:pPr>
    </w:p>
    <w:p w14:paraId="5C46263A" w14:textId="77777777" w:rsidR="00D92327" w:rsidRPr="00762134" w:rsidRDefault="00D92327" w:rsidP="00D92327">
      <w:pPr>
        <w:pStyle w:val="Numeracin"/>
        <w:spacing w:before="0"/>
        <w:ind w:left="567" w:hanging="567"/>
        <w:rPr>
          <w:rFonts w:ascii="Arial" w:hAnsi="Arial" w:cs="Arial"/>
          <w:szCs w:val="22"/>
        </w:rPr>
      </w:pPr>
      <w:r w:rsidRPr="00762134">
        <w:rPr>
          <w:rFonts w:ascii="Arial" w:hAnsi="Arial" w:cs="Arial"/>
          <w:szCs w:val="22"/>
        </w:rPr>
        <w:t xml:space="preserve">El artículo 13 del Acta de la Sesión 81-99, celebrada el 18 de marzo de 1999, el Consejo Nacional de Supervisión del Sistema Financiero aprobó el Reglamento sobre el Suministro de Información Periódica, Hechos Relevantes y otras Obligaciones de Información, el cual establece en su artículo 12 que los emisores y los sujetos fiscalizados deben comunicar los hechos relevantes a la Superintendencia, utilizando el formato de presentación que establezca el Superintendente. </w:t>
      </w:r>
    </w:p>
    <w:p w14:paraId="0A356CD8" w14:textId="77777777" w:rsidR="00D92327" w:rsidRPr="00762134" w:rsidRDefault="00D92327" w:rsidP="00D92327">
      <w:pPr>
        <w:pStyle w:val="Numeracin"/>
        <w:numPr>
          <w:ilvl w:val="0"/>
          <w:numId w:val="0"/>
        </w:numPr>
        <w:spacing w:before="0"/>
        <w:ind w:left="567" w:hanging="567"/>
        <w:rPr>
          <w:rFonts w:ascii="Arial" w:hAnsi="Arial" w:cs="Arial"/>
          <w:szCs w:val="22"/>
        </w:rPr>
      </w:pPr>
    </w:p>
    <w:p w14:paraId="3E9D51EB" w14:textId="77777777" w:rsidR="00D92327" w:rsidRPr="00762134" w:rsidRDefault="00D92327" w:rsidP="00D92327">
      <w:pPr>
        <w:pStyle w:val="Numeracin"/>
        <w:spacing w:before="0"/>
        <w:ind w:left="567" w:hanging="567"/>
        <w:rPr>
          <w:rFonts w:ascii="Arial" w:hAnsi="Arial" w:cs="Arial"/>
          <w:szCs w:val="22"/>
        </w:rPr>
      </w:pPr>
      <w:r w:rsidRPr="00762134">
        <w:rPr>
          <w:rFonts w:ascii="Arial" w:hAnsi="Arial" w:cs="Arial"/>
          <w:szCs w:val="22"/>
        </w:rPr>
        <w:t xml:space="preserve">Este mismo Reglamento en su artículo 9, considera como hecho relevante todo hecho o decisión que pueda influir sensiblemente en las decisiones de los inversionistas respecto a los valores o instrumentos en los cuales invierte, a los participantes a través de los cuales invierte o a los participantes a los cuales compra sus servicios, siendo obligados de comunicar esta información inmediatamente después de que han tenido conocimiento, sin que este plazo pueda exceder de un día hábil, según se establece en los artículos 8 y 11. </w:t>
      </w:r>
    </w:p>
    <w:p w14:paraId="345C67BC" w14:textId="77777777" w:rsidR="00D92327" w:rsidRPr="00762134" w:rsidRDefault="00D92327" w:rsidP="00D92327">
      <w:pPr>
        <w:pStyle w:val="Numeracin"/>
        <w:numPr>
          <w:ilvl w:val="0"/>
          <w:numId w:val="0"/>
        </w:numPr>
        <w:spacing w:before="0"/>
        <w:ind w:left="567" w:hanging="567"/>
        <w:rPr>
          <w:rFonts w:ascii="Arial" w:hAnsi="Arial" w:cs="Arial"/>
          <w:szCs w:val="22"/>
        </w:rPr>
      </w:pPr>
    </w:p>
    <w:p w14:paraId="58045616" w14:textId="77777777" w:rsidR="00D92327" w:rsidRPr="00762134" w:rsidRDefault="00D92327" w:rsidP="00D92327">
      <w:pPr>
        <w:pStyle w:val="Numeracin"/>
        <w:spacing w:before="0"/>
        <w:ind w:left="567" w:hanging="567"/>
        <w:rPr>
          <w:rFonts w:ascii="Arial" w:hAnsi="Arial" w:cs="Arial"/>
          <w:szCs w:val="22"/>
        </w:rPr>
      </w:pPr>
      <w:r w:rsidRPr="00762134">
        <w:rPr>
          <w:rFonts w:ascii="Arial" w:hAnsi="Arial" w:cs="Arial"/>
          <w:szCs w:val="22"/>
        </w:rPr>
        <w:t>Que el artículo 9 del Reglamento en mención indica que el Superintendente establecerá una lista no exhaustiva de casos en los que se entenderá que se está en presencia de hechos relevantes. Y en su artículo 14 la potestad del Superintendente para excluir del Registro Nacional de Valores e Intermediarios los hechos comunicados que a su juicio no constituyan un hecho relevante. Esta potestad implica la necesidad de establecer un tipo de comunicado para estos casos de naturaleza distinta al comunicado de hecho relevante.</w:t>
      </w:r>
    </w:p>
    <w:p w14:paraId="39676C13" w14:textId="77777777" w:rsidR="00D92327" w:rsidRPr="00762134" w:rsidRDefault="00D92327" w:rsidP="00D92327">
      <w:pPr>
        <w:pStyle w:val="Numeracin"/>
        <w:numPr>
          <w:ilvl w:val="0"/>
          <w:numId w:val="0"/>
        </w:numPr>
        <w:spacing w:before="0"/>
        <w:ind w:left="567" w:hanging="567"/>
        <w:rPr>
          <w:rFonts w:ascii="Arial" w:hAnsi="Arial" w:cs="Arial"/>
          <w:szCs w:val="22"/>
        </w:rPr>
      </w:pPr>
    </w:p>
    <w:p w14:paraId="4FA9E5D3" w14:textId="77777777" w:rsidR="00D92327" w:rsidRPr="00762134" w:rsidRDefault="00D92327" w:rsidP="00D92327">
      <w:pPr>
        <w:pStyle w:val="Numeracin"/>
        <w:spacing w:before="0"/>
        <w:ind w:left="567" w:hanging="567"/>
        <w:rPr>
          <w:rFonts w:ascii="Arial" w:hAnsi="Arial" w:cs="Arial"/>
          <w:szCs w:val="22"/>
        </w:rPr>
      </w:pPr>
      <w:r w:rsidRPr="00762134">
        <w:rPr>
          <w:rFonts w:ascii="Arial" w:hAnsi="Arial" w:cs="Arial"/>
          <w:szCs w:val="22"/>
        </w:rPr>
        <w:t xml:space="preserve">El artículo 6 del Reglamento sobre el Registro Nacional de Valores e Intermediarios indica el tipo de información periódica que se encuentra sujeta a inscripción, en donde se incluyen los hechos relevantes y otras obligaciones de información, y el </w:t>
      </w:r>
      <w:r w:rsidRPr="00762134">
        <w:rPr>
          <w:rFonts w:ascii="Arial" w:hAnsi="Arial" w:cs="Arial"/>
          <w:szCs w:val="22"/>
        </w:rPr>
        <w:lastRenderedPageBreak/>
        <w:t>artículo 8 determina que el Registro Nacional de Valores e Intermediarios será de acceso público.</w:t>
      </w:r>
    </w:p>
    <w:p w14:paraId="43E2B016" w14:textId="77777777" w:rsidR="00D92327" w:rsidRPr="00762134" w:rsidRDefault="00D92327" w:rsidP="00D92327">
      <w:pPr>
        <w:pStyle w:val="Numeracin"/>
        <w:numPr>
          <w:ilvl w:val="0"/>
          <w:numId w:val="0"/>
        </w:numPr>
        <w:spacing w:before="0"/>
        <w:ind w:left="720"/>
        <w:rPr>
          <w:rFonts w:ascii="Arial" w:hAnsi="Arial" w:cs="Arial"/>
          <w:szCs w:val="22"/>
        </w:rPr>
      </w:pPr>
    </w:p>
    <w:p w14:paraId="6A8A0D10" w14:textId="77777777" w:rsidR="00D92327" w:rsidRPr="00762134" w:rsidRDefault="00D92327" w:rsidP="00D92327">
      <w:pPr>
        <w:pStyle w:val="Numeracin"/>
        <w:spacing w:before="0"/>
        <w:ind w:left="567" w:hanging="567"/>
        <w:rPr>
          <w:rFonts w:ascii="Arial" w:hAnsi="Arial" w:cs="Arial"/>
          <w:szCs w:val="22"/>
        </w:rPr>
      </w:pPr>
      <w:r w:rsidRPr="00762134">
        <w:rPr>
          <w:rFonts w:ascii="Arial" w:hAnsi="Arial" w:cs="Arial"/>
          <w:szCs w:val="22"/>
        </w:rPr>
        <w:t>El artículo 1 del Acuerdo SGV-A-188 Directriz para la Implementación del Sistema de Mensajería de Documentos Electrónicos (MENDOCEL), permite el intercambio de documentos en formato digital entre la Superintendencia General de Valores y sus regulados, eliminando la necesidad de enviar y recibir en físico correspondencia e información relativa a ciertos trámites.</w:t>
      </w:r>
    </w:p>
    <w:p w14:paraId="4D240D2E" w14:textId="77777777" w:rsidR="00D92327" w:rsidRPr="00762134" w:rsidRDefault="00D92327" w:rsidP="00D92327">
      <w:pPr>
        <w:pStyle w:val="Numeracin"/>
        <w:numPr>
          <w:ilvl w:val="0"/>
          <w:numId w:val="0"/>
        </w:numPr>
        <w:spacing w:before="0"/>
        <w:ind w:left="567" w:hanging="567"/>
        <w:rPr>
          <w:rFonts w:ascii="Arial" w:hAnsi="Arial" w:cs="Arial"/>
          <w:szCs w:val="22"/>
        </w:rPr>
      </w:pPr>
    </w:p>
    <w:p w14:paraId="7B1A8CE7" w14:textId="77777777" w:rsidR="00D92327" w:rsidRPr="00762134" w:rsidRDefault="00D92327" w:rsidP="00D92327">
      <w:pPr>
        <w:pStyle w:val="Numeracin"/>
        <w:spacing w:before="0"/>
        <w:ind w:left="567" w:hanging="567"/>
        <w:rPr>
          <w:rFonts w:ascii="Arial" w:hAnsi="Arial" w:cs="Arial"/>
          <w:szCs w:val="22"/>
        </w:rPr>
      </w:pPr>
      <w:r w:rsidRPr="00762134">
        <w:rPr>
          <w:rFonts w:ascii="Arial" w:hAnsi="Arial" w:cs="Arial"/>
          <w:szCs w:val="22"/>
        </w:rPr>
        <w:t xml:space="preserve">Con el fin de actualizar el Acuerdo SGV-A-61, emitido el 16 de mayo del 2002, se realiza una revisión integral del mismo, para ajustar los aspectos normativos que se derivan de nuevos Reglamentos emitidos, prácticas de mercado observadas, así como actualizar la lista no exhaustiva de hechos generadores de los comunicados y evitar duplicidades con otras normas. </w:t>
      </w:r>
    </w:p>
    <w:p w14:paraId="449C6909" w14:textId="77777777" w:rsidR="00D92327" w:rsidRDefault="00D92327" w:rsidP="00D92327">
      <w:pPr>
        <w:pStyle w:val="Numeracin"/>
        <w:numPr>
          <w:ilvl w:val="0"/>
          <w:numId w:val="0"/>
        </w:numPr>
        <w:tabs>
          <w:tab w:val="left" w:pos="567"/>
        </w:tabs>
        <w:spacing w:before="0"/>
        <w:ind w:left="567"/>
        <w:rPr>
          <w:rFonts w:ascii="Arial" w:hAnsi="Arial" w:cs="Arial"/>
          <w:szCs w:val="22"/>
        </w:rPr>
      </w:pPr>
    </w:p>
    <w:p w14:paraId="3F76667F" w14:textId="77777777" w:rsidR="00D92327" w:rsidRDefault="00D92327" w:rsidP="00D92327">
      <w:pPr>
        <w:pStyle w:val="Numeracin"/>
        <w:spacing w:before="0"/>
        <w:ind w:left="567" w:hanging="567"/>
        <w:rPr>
          <w:rFonts w:ascii="Arial" w:hAnsi="Arial" w:cs="Arial"/>
          <w:szCs w:val="22"/>
        </w:rPr>
      </w:pPr>
      <w:r>
        <w:rPr>
          <w:rFonts w:ascii="Arial" w:hAnsi="Arial" w:cs="Arial"/>
          <w:szCs w:val="22"/>
        </w:rPr>
        <w:t xml:space="preserve">El Consejo Nacional de Supervisión del Sistema Financiero mediante el artículo 6 del acta de la sesión 1711-2022, celebrada el 27 de enero del 2022, aprobó en firme la modificación a los siguientes reglamentos artículos 23, 24 y 115 del Reglamento General sobre Sociedades Administradoras y Fondos de Inversión, el quinto párrafo del artículo 18, el segundo literal c) del artículo 23 y derogar el segundo literal b) del artículo 23 del Reglamento sobre Calificación de Valores y Sociedades Calificadoras de Riesgo, el segundo párrafo del artículo 12 y el artículo 14 del Reglamento sobre el suministro de información periódica, hechos relevantes y otras obligaciones de información, el artículo 32 del Reglamento sobre Valoración de Instrumentos Financieros y los artículos 2 y 9 Reglamento sobre Registro Nacional de Valores e Intermediarios, relacionados con la actualización de las normas de revelación por hechos relevantes. </w:t>
      </w:r>
    </w:p>
    <w:p w14:paraId="3C46E304" w14:textId="77777777" w:rsidR="00D92327" w:rsidRPr="00AC198E" w:rsidRDefault="00D92327" w:rsidP="00D92327">
      <w:pPr>
        <w:pStyle w:val="Prrafodelista"/>
        <w:rPr>
          <w:rFonts w:ascii="Arial" w:hAnsi="Arial" w:cs="Arial"/>
          <w:szCs w:val="22"/>
          <w:highlight w:val="yellow"/>
        </w:rPr>
      </w:pPr>
    </w:p>
    <w:p w14:paraId="067FD1DF" w14:textId="77777777" w:rsidR="00D92327" w:rsidRDefault="00D92327" w:rsidP="00D92327">
      <w:pPr>
        <w:pStyle w:val="Numeracin"/>
        <w:tabs>
          <w:tab w:val="left" w:pos="567"/>
        </w:tabs>
        <w:spacing w:before="0"/>
        <w:ind w:left="567" w:hanging="567"/>
        <w:rPr>
          <w:rFonts w:ascii="Arial" w:hAnsi="Arial" w:cs="Arial"/>
          <w:szCs w:val="22"/>
        </w:rPr>
      </w:pPr>
      <w:r w:rsidRPr="00E72720">
        <w:rPr>
          <w:rFonts w:ascii="Arial" w:hAnsi="Arial" w:cs="Arial"/>
          <w:szCs w:val="22"/>
        </w:rPr>
        <w:t>La presente reforma al Acuerdo fue sometido a consulta de conformidad con el Artículo 361 de la Ley General de Administración Pública.</w:t>
      </w:r>
    </w:p>
    <w:p w14:paraId="70A2FB13" w14:textId="77777777" w:rsidR="00D92327" w:rsidRDefault="00D92327" w:rsidP="00D92327">
      <w:pPr>
        <w:pStyle w:val="Prrafodelista"/>
        <w:rPr>
          <w:rFonts w:ascii="Arial" w:hAnsi="Arial" w:cs="Arial"/>
          <w:szCs w:val="22"/>
        </w:rPr>
      </w:pPr>
    </w:p>
    <w:p w14:paraId="37870868" w14:textId="77777777" w:rsidR="00D92327" w:rsidRPr="008D57BF" w:rsidRDefault="00D92327" w:rsidP="00D92327">
      <w:pPr>
        <w:widowControl w:val="0"/>
        <w:tabs>
          <w:tab w:val="left" w:pos="567"/>
        </w:tabs>
        <w:spacing w:before="240" w:after="240"/>
        <w:jc w:val="both"/>
        <w:rPr>
          <w:rFonts w:ascii="Arial" w:hAnsi="Arial" w:cs="Arial"/>
          <w:b/>
          <w:szCs w:val="22"/>
        </w:rPr>
      </w:pPr>
      <w:r w:rsidRPr="008D57BF">
        <w:rPr>
          <w:rFonts w:ascii="Arial" w:hAnsi="Arial" w:cs="Arial"/>
          <w:b/>
          <w:szCs w:val="22"/>
        </w:rPr>
        <w:t>Por tanto</w:t>
      </w:r>
      <w:r>
        <w:rPr>
          <w:rFonts w:ascii="Arial" w:hAnsi="Arial" w:cs="Arial"/>
          <w:b/>
          <w:szCs w:val="22"/>
        </w:rPr>
        <w:t xml:space="preserve">, </w:t>
      </w:r>
      <w:r w:rsidRPr="008D57BF">
        <w:rPr>
          <w:rFonts w:ascii="Arial" w:hAnsi="Arial" w:cs="Arial"/>
          <w:b/>
          <w:szCs w:val="22"/>
        </w:rPr>
        <w:t>dispone el presente acuerdo:</w:t>
      </w:r>
    </w:p>
    <w:p w14:paraId="525A450A" w14:textId="77777777" w:rsidR="00D92327" w:rsidRPr="008D57BF" w:rsidRDefault="00D92327" w:rsidP="00D92327">
      <w:pPr>
        <w:tabs>
          <w:tab w:val="left" w:pos="8910"/>
        </w:tabs>
        <w:spacing w:before="240" w:after="240"/>
        <w:jc w:val="center"/>
        <w:rPr>
          <w:rFonts w:ascii="Arial" w:hAnsi="Arial" w:cs="Arial"/>
          <w:b/>
          <w:szCs w:val="22"/>
        </w:rPr>
      </w:pPr>
      <w:r w:rsidRPr="008D57BF">
        <w:rPr>
          <w:rFonts w:ascii="Arial" w:hAnsi="Arial" w:cs="Arial"/>
          <w:b/>
          <w:szCs w:val="22"/>
        </w:rPr>
        <w:t>APROBAR EL ACUERDO SGV-A-</w:t>
      </w:r>
      <w:r>
        <w:rPr>
          <w:rFonts w:ascii="Arial" w:hAnsi="Arial" w:cs="Arial"/>
          <w:b/>
          <w:szCs w:val="22"/>
        </w:rPr>
        <w:t>259</w:t>
      </w:r>
      <w:r w:rsidRPr="008D57BF">
        <w:rPr>
          <w:rFonts w:ascii="Arial" w:hAnsi="Arial" w:cs="Arial"/>
          <w:b/>
          <w:szCs w:val="22"/>
        </w:rPr>
        <w:t>.  MODIFICACIÓN AL ACUERDO SGV-A-</w:t>
      </w:r>
      <w:r>
        <w:rPr>
          <w:rFonts w:ascii="Arial" w:hAnsi="Arial" w:cs="Arial"/>
          <w:b/>
          <w:szCs w:val="22"/>
        </w:rPr>
        <w:t>61</w:t>
      </w:r>
      <w:r w:rsidRPr="008D57BF">
        <w:rPr>
          <w:rFonts w:ascii="Arial" w:hAnsi="Arial" w:cs="Arial"/>
          <w:b/>
          <w:szCs w:val="22"/>
        </w:rPr>
        <w:t xml:space="preserve"> “</w:t>
      </w:r>
      <w:r w:rsidRPr="00735F5B">
        <w:rPr>
          <w:rFonts w:ascii="Arial" w:hAnsi="Arial" w:cs="Arial"/>
          <w:b/>
          <w:szCs w:val="22"/>
        </w:rPr>
        <w:t>ACUERDO SOBRE HECHOS RELEVANTES</w:t>
      </w:r>
      <w:r w:rsidRPr="008D57BF">
        <w:rPr>
          <w:rFonts w:ascii="Arial" w:hAnsi="Arial" w:cs="Arial"/>
          <w:b/>
          <w:szCs w:val="22"/>
        </w:rPr>
        <w:t>”</w:t>
      </w:r>
    </w:p>
    <w:p w14:paraId="6C176081" w14:textId="77777777" w:rsidR="00D92327" w:rsidRPr="008D57BF" w:rsidRDefault="00D92327" w:rsidP="00D92327">
      <w:pPr>
        <w:spacing w:before="240" w:after="240"/>
        <w:jc w:val="both"/>
        <w:rPr>
          <w:rFonts w:ascii="Arial" w:hAnsi="Arial" w:cs="Arial"/>
          <w:b/>
          <w:color w:val="000000" w:themeColor="text1"/>
          <w:szCs w:val="22"/>
        </w:rPr>
      </w:pPr>
      <w:r w:rsidRPr="008D57BF">
        <w:rPr>
          <w:rFonts w:ascii="Arial" w:hAnsi="Arial" w:cs="Arial"/>
          <w:b/>
          <w:color w:val="000000" w:themeColor="text1"/>
          <w:szCs w:val="22"/>
        </w:rPr>
        <w:t>Artículo 1. Reforma</w:t>
      </w:r>
    </w:p>
    <w:p w14:paraId="57DE26D4" w14:textId="77777777" w:rsidR="00D92327" w:rsidRPr="00735F5B" w:rsidRDefault="00D92327" w:rsidP="00D92327">
      <w:pPr>
        <w:pStyle w:val="Prrafodelista"/>
        <w:numPr>
          <w:ilvl w:val="0"/>
          <w:numId w:val="5"/>
        </w:numPr>
        <w:tabs>
          <w:tab w:val="left" w:pos="8910"/>
        </w:tabs>
        <w:spacing w:before="240" w:after="240"/>
        <w:contextualSpacing w:val="0"/>
        <w:jc w:val="both"/>
        <w:rPr>
          <w:rFonts w:ascii="Arial" w:hAnsi="Arial" w:cs="Arial"/>
          <w:szCs w:val="22"/>
        </w:rPr>
      </w:pPr>
      <w:r>
        <w:rPr>
          <w:rFonts w:ascii="Arial" w:hAnsi="Arial" w:cs="Arial"/>
          <w:b/>
          <w:szCs w:val="22"/>
        </w:rPr>
        <w:t>Ampliar</w:t>
      </w:r>
      <w:r w:rsidRPr="001F1D74">
        <w:rPr>
          <w:rFonts w:ascii="Arial" w:hAnsi="Arial" w:cs="Arial"/>
          <w:b/>
          <w:szCs w:val="22"/>
        </w:rPr>
        <w:t xml:space="preserve"> </w:t>
      </w:r>
      <w:r w:rsidRPr="001F1D74">
        <w:rPr>
          <w:rFonts w:ascii="Arial" w:hAnsi="Arial" w:cs="Arial"/>
          <w:bCs/>
          <w:szCs w:val="22"/>
        </w:rPr>
        <w:t xml:space="preserve">el </w:t>
      </w:r>
      <w:r>
        <w:rPr>
          <w:rFonts w:ascii="Arial" w:hAnsi="Arial" w:cs="Arial"/>
          <w:bCs/>
          <w:szCs w:val="22"/>
        </w:rPr>
        <w:t>artículo 3.</w:t>
      </w:r>
    </w:p>
    <w:p w14:paraId="00847780" w14:textId="77777777" w:rsidR="00D92327" w:rsidRDefault="00D92327" w:rsidP="00D92327">
      <w:pPr>
        <w:pStyle w:val="Prrafodelista"/>
        <w:numPr>
          <w:ilvl w:val="0"/>
          <w:numId w:val="5"/>
        </w:numPr>
        <w:tabs>
          <w:tab w:val="left" w:pos="8910"/>
        </w:tabs>
        <w:spacing w:before="240" w:after="240"/>
        <w:contextualSpacing w:val="0"/>
        <w:jc w:val="both"/>
        <w:rPr>
          <w:rFonts w:ascii="Arial" w:hAnsi="Arial" w:cs="Arial"/>
          <w:bCs/>
          <w:szCs w:val="22"/>
        </w:rPr>
      </w:pPr>
      <w:r>
        <w:rPr>
          <w:rFonts w:ascii="Arial" w:hAnsi="Arial" w:cs="Arial"/>
          <w:b/>
          <w:szCs w:val="22"/>
        </w:rPr>
        <w:t xml:space="preserve">Adicionar </w:t>
      </w:r>
      <w:r w:rsidRPr="00735F5B">
        <w:rPr>
          <w:rFonts w:ascii="Arial" w:hAnsi="Arial" w:cs="Arial"/>
          <w:bCs/>
          <w:szCs w:val="22"/>
        </w:rPr>
        <w:t>el artículo 10.</w:t>
      </w:r>
    </w:p>
    <w:p w14:paraId="74E90CDD" w14:textId="77777777" w:rsidR="00D92327" w:rsidRPr="00735F5B" w:rsidRDefault="00D92327" w:rsidP="00D92327">
      <w:pPr>
        <w:pStyle w:val="Prrafodelista"/>
        <w:numPr>
          <w:ilvl w:val="0"/>
          <w:numId w:val="5"/>
        </w:numPr>
        <w:tabs>
          <w:tab w:val="left" w:pos="8910"/>
        </w:tabs>
        <w:spacing w:before="240" w:after="240"/>
        <w:contextualSpacing w:val="0"/>
        <w:jc w:val="both"/>
        <w:rPr>
          <w:rFonts w:ascii="Arial" w:hAnsi="Arial" w:cs="Arial"/>
          <w:bCs/>
          <w:szCs w:val="22"/>
        </w:rPr>
      </w:pPr>
      <w:r>
        <w:rPr>
          <w:rFonts w:ascii="Arial" w:hAnsi="Arial" w:cs="Arial"/>
          <w:b/>
          <w:szCs w:val="22"/>
        </w:rPr>
        <w:t xml:space="preserve">Modificar </w:t>
      </w:r>
      <w:r w:rsidRPr="00735F5B">
        <w:rPr>
          <w:rFonts w:ascii="Arial" w:hAnsi="Arial" w:cs="Arial"/>
          <w:bCs/>
          <w:szCs w:val="22"/>
        </w:rPr>
        <w:t>el Anexo 1.</w:t>
      </w:r>
    </w:p>
    <w:p w14:paraId="2B9F704D" w14:textId="77777777" w:rsidR="00D92327" w:rsidRPr="008D57BF" w:rsidRDefault="00D92327" w:rsidP="00D92327">
      <w:pPr>
        <w:tabs>
          <w:tab w:val="left" w:pos="8910"/>
        </w:tabs>
        <w:spacing w:before="240" w:after="240"/>
        <w:contextualSpacing/>
        <w:jc w:val="both"/>
        <w:rPr>
          <w:rFonts w:ascii="Arial" w:hAnsi="Arial" w:cs="Arial"/>
          <w:szCs w:val="22"/>
        </w:rPr>
      </w:pPr>
      <w:r w:rsidRPr="008D57BF">
        <w:rPr>
          <w:rFonts w:ascii="Arial" w:hAnsi="Arial" w:cs="Arial"/>
          <w:szCs w:val="22"/>
        </w:rPr>
        <w:t xml:space="preserve">Para que se lean como sigue: </w:t>
      </w:r>
    </w:p>
    <w:p w14:paraId="1EA3FC49" w14:textId="77777777" w:rsidR="00D92327" w:rsidRDefault="00D92327" w:rsidP="00D92327">
      <w:pPr>
        <w:spacing w:before="240" w:after="240"/>
        <w:rPr>
          <w:rFonts w:ascii="Century Gothic" w:hAnsi="Century Gothic" w:cs="Arial"/>
          <w:b/>
          <w:szCs w:val="22"/>
          <w:lang w:eastAsia="en-US"/>
        </w:rPr>
      </w:pPr>
    </w:p>
    <w:p w14:paraId="14124CD8" w14:textId="77777777" w:rsidR="00D92327" w:rsidRPr="00E23FF7" w:rsidRDefault="00D92327" w:rsidP="00D92327">
      <w:pPr>
        <w:jc w:val="both"/>
        <w:rPr>
          <w:rFonts w:ascii="Arial" w:hAnsi="Arial" w:cs="Arial"/>
          <w:b/>
        </w:rPr>
      </w:pPr>
      <w:bookmarkStart w:id="0" w:name="_Hlk80197538"/>
      <w:r w:rsidRPr="00E23FF7">
        <w:rPr>
          <w:rFonts w:ascii="Arial" w:hAnsi="Arial" w:cs="Arial"/>
          <w:b/>
        </w:rPr>
        <w:t>Artículo 3. Divulgación de hechos relevantes</w:t>
      </w:r>
    </w:p>
    <w:bookmarkEnd w:id="0"/>
    <w:p w14:paraId="1D1AC985" w14:textId="77777777" w:rsidR="00D92327" w:rsidRPr="00E23FF7" w:rsidRDefault="00D92327" w:rsidP="00D92327">
      <w:pPr>
        <w:jc w:val="both"/>
        <w:rPr>
          <w:rFonts w:ascii="Arial" w:hAnsi="Arial" w:cs="Arial"/>
        </w:rPr>
      </w:pPr>
    </w:p>
    <w:p w14:paraId="27B1BEFF" w14:textId="77777777" w:rsidR="00D92327" w:rsidRPr="00E23FF7" w:rsidRDefault="00D92327" w:rsidP="00D92327">
      <w:pPr>
        <w:jc w:val="both"/>
        <w:rPr>
          <w:rFonts w:ascii="Arial" w:hAnsi="Arial" w:cs="Arial"/>
        </w:rPr>
      </w:pPr>
      <w:r w:rsidRPr="00E23FF7">
        <w:rPr>
          <w:rFonts w:ascii="Arial" w:hAnsi="Arial" w:cs="Arial"/>
        </w:rPr>
        <w:t>(…)</w:t>
      </w:r>
    </w:p>
    <w:p w14:paraId="68F901A5" w14:textId="77777777" w:rsidR="00D92327" w:rsidRPr="00E23FF7" w:rsidRDefault="00D92327" w:rsidP="00D92327">
      <w:pPr>
        <w:jc w:val="both"/>
        <w:rPr>
          <w:rFonts w:ascii="Arial" w:hAnsi="Arial" w:cs="Arial"/>
        </w:rPr>
      </w:pPr>
    </w:p>
    <w:p w14:paraId="33C0FBF2" w14:textId="77777777" w:rsidR="00D92327" w:rsidRPr="008B1AF0" w:rsidRDefault="00D92327" w:rsidP="00D92327">
      <w:pPr>
        <w:jc w:val="both"/>
        <w:rPr>
          <w:rFonts w:ascii="Arial" w:hAnsi="Arial" w:cs="Arial"/>
          <w:color w:val="000000" w:themeColor="text1"/>
        </w:rPr>
      </w:pPr>
      <w:r w:rsidRPr="008B1AF0">
        <w:rPr>
          <w:rFonts w:ascii="Arial" w:hAnsi="Arial" w:cs="Arial"/>
          <w:color w:val="000000" w:themeColor="text1"/>
        </w:rPr>
        <w:t xml:space="preserve">La remisión de los Comunicados de Hechos Relevantes deberá realizarse a través del portal denominado SUGEVAL Directo en la herramienta de CHR Sugeval de la Superintendencia General de Valores sin excepciones. </w:t>
      </w:r>
    </w:p>
    <w:p w14:paraId="0D8E4710" w14:textId="77777777" w:rsidR="00D92327" w:rsidRPr="008B1AF0" w:rsidRDefault="00D92327" w:rsidP="00D92327">
      <w:pPr>
        <w:jc w:val="both"/>
        <w:rPr>
          <w:rFonts w:ascii="Arial" w:hAnsi="Arial" w:cs="Arial"/>
          <w:color w:val="000000" w:themeColor="text1"/>
        </w:rPr>
      </w:pPr>
    </w:p>
    <w:p w14:paraId="2648E39E" w14:textId="77777777" w:rsidR="00D92327" w:rsidRPr="008B1AF0" w:rsidRDefault="00D92327" w:rsidP="00D92327">
      <w:pPr>
        <w:jc w:val="both"/>
        <w:rPr>
          <w:rFonts w:ascii="Arial" w:hAnsi="Arial" w:cs="Arial"/>
          <w:color w:val="000000" w:themeColor="text1"/>
        </w:rPr>
      </w:pPr>
      <w:r w:rsidRPr="008B1AF0">
        <w:rPr>
          <w:rFonts w:ascii="Arial" w:hAnsi="Arial" w:cs="Arial"/>
          <w:color w:val="000000" w:themeColor="text1"/>
        </w:rPr>
        <w:t xml:space="preserve">De ser necesario en caso de que el comunicado de hecho relevante no pueda ser remitido por medio del portal SUGEVAL Directo por causa de algún evento justificado, como forma alterna se podrá enviar el comunicado de hecho relevante por medio de </w:t>
      </w:r>
      <w:proofErr w:type="spellStart"/>
      <w:r w:rsidRPr="008B1AF0">
        <w:rPr>
          <w:rFonts w:ascii="Arial" w:hAnsi="Arial" w:cs="Arial"/>
          <w:color w:val="000000" w:themeColor="text1"/>
        </w:rPr>
        <w:t>Mendocel</w:t>
      </w:r>
      <w:proofErr w:type="spellEnd"/>
      <w:r w:rsidRPr="008B1AF0">
        <w:rPr>
          <w:rFonts w:ascii="Arial" w:hAnsi="Arial" w:cs="Arial"/>
          <w:color w:val="000000" w:themeColor="text1"/>
        </w:rPr>
        <w:t xml:space="preserve"> y este será asentado por parte de Sugeval</w:t>
      </w:r>
    </w:p>
    <w:p w14:paraId="5550DDB8" w14:textId="77777777" w:rsidR="00D92327" w:rsidRPr="008B1AF0" w:rsidRDefault="00D92327" w:rsidP="00D92327">
      <w:pPr>
        <w:jc w:val="both"/>
        <w:rPr>
          <w:rFonts w:ascii="Arial" w:hAnsi="Arial" w:cs="Arial"/>
          <w:color w:val="000000" w:themeColor="text1"/>
        </w:rPr>
      </w:pPr>
    </w:p>
    <w:p w14:paraId="1A56B3F6" w14:textId="77777777" w:rsidR="00D92327" w:rsidRPr="008B1AF0" w:rsidRDefault="00D92327" w:rsidP="00D92327">
      <w:pPr>
        <w:jc w:val="both"/>
        <w:rPr>
          <w:rFonts w:ascii="Arial" w:hAnsi="Arial" w:cs="Arial"/>
          <w:color w:val="000000" w:themeColor="text1"/>
        </w:rPr>
      </w:pPr>
      <w:r w:rsidRPr="008B1AF0">
        <w:rPr>
          <w:rFonts w:ascii="Arial" w:hAnsi="Arial" w:cs="Arial"/>
          <w:color w:val="000000" w:themeColor="text1"/>
        </w:rPr>
        <w:t xml:space="preserve">La inclusión, exclusión y/o modificación de información en el Sistema de Roles debe de realizarse de conformidad con lo establecido en la normativa para tal </w:t>
      </w:r>
      <w:proofErr w:type="gramStart"/>
      <w:r w:rsidRPr="008B1AF0">
        <w:rPr>
          <w:rFonts w:ascii="Arial" w:hAnsi="Arial" w:cs="Arial"/>
          <w:color w:val="000000" w:themeColor="text1"/>
        </w:rPr>
        <w:t>fin,  ello</w:t>
      </w:r>
      <w:proofErr w:type="gramEnd"/>
      <w:r w:rsidRPr="008B1AF0">
        <w:rPr>
          <w:rFonts w:ascii="Arial" w:hAnsi="Arial" w:cs="Arial"/>
          <w:color w:val="000000" w:themeColor="text1"/>
        </w:rPr>
        <w:t xml:space="preserve"> no exime a la entidad de la comunicación del Hecho Relevante en los casos en que corresponda.</w:t>
      </w:r>
    </w:p>
    <w:p w14:paraId="0B42AF39" w14:textId="77777777" w:rsidR="00D92327" w:rsidRDefault="00D92327" w:rsidP="00D92327">
      <w:pPr>
        <w:pStyle w:val="Textodereglamento"/>
        <w:spacing w:before="0" w:line="276" w:lineRule="auto"/>
        <w:rPr>
          <w:rFonts w:ascii="Arial" w:hAnsi="Arial" w:cs="Arial"/>
          <w:b/>
          <w:szCs w:val="22"/>
          <w:lang w:val="es-CR"/>
        </w:rPr>
      </w:pPr>
    </w:p>
    <w:p w14:paraId="1848E2CB" w14:textId="77777777" w:rsidR="00D92327" w:rsidRPr="008B1AF0" w:rsidRDefault="00D92327" w:rsidP="00D92327">
      <w:pPr>
        <w:jc w:val="both"/>
        <w:rPr>
          <w:rFonts w:ascii="Arial" w:hAnsi="Arial" w:cs="Arial"/>
          <w:b/>
          <w:bCs/>
          <w:color w:val="000000" w:themeColor="text1"/>
        </w:rPr>
      </w:pPr>
      <w:r w:rsidRPr="008B1AF0">
        <w:rPr>
          <w:rFonts w:ascii="Arial" w:hAnsi="Arial" w:cs="Arial"/>
          <w:b/>
          <w:bCs/>
          <w:color w:val="000000" w:themeColor="text1"/>
        </w:rPr>
        <w:t>Artículo 10. Registro de los Hechos relevantes en el Registro Nacional de Valores e Intermediarios (RNVI)</w:t>
      </w:r>
    </w:p>
    <w:p w14:paraId="3F314B5B" w14:textId="77777777" w:rsidR="00D92327" w:rsidRPr="008B1AF0" w:rsidRDefault="00D92327" w:rsidP="00D92327">
      <w:pPr>
        <w:jc w:val="both"/>
        <w:rPr>
          <w:rFonts w:ascii="Arial" w:hAnsi="Arial" w:cs="Arial"/>
          <w:color w:val="000000" w:themeColor="text1"/>
        </w:rPr>
      </w:pPr>
    </w:p>
    <w:p w14:paraId="6124B215" w14:textId="77777777" w:rsidR="00D92327" w:rsidRPr="008B1AF0" w:rsidRDefault="00D92327" w:rsidP="00D92327">
      <w:pPr>
        <w:jc w:val="both"/>
        <w:rPr>
          <w:rFonts w:ascii="Arial" w:hAnsi="Arial" w:cs="Arial"/>
          <w:color w:val="000000" w:themeColor="text1"/>
        </w:rPr>
      </w:pPr>
      <w:r w:rsidRPr="008B1AF0">
        <w:rPr>
          <w:rFonts w:ascii="Arial" w:hAnsi="Arial" w:cs="Arial"/>
          <w:color w:val="000000" w:themeColor="text1"/>
        </w:rPr>
        <w:t xml:space="preserve">Los Hechos Relevantes remitidos por medio del portal SUGEVAL Directo en la herramienta de CHR Sugeval se asientan directamente en el RNVI, por lo que las entidades deben asegurarse de que </w:t>
      </w:r>
      <w:proofErr w:type="gramStart"/>
      <w:r w:rsidRPr="008B1AF0">
        <w:rPr>
          <w:rFonts w:ascii="Arial" w:hAnsi="Arial" w:cs="Arial"/>
          <w:color w:val="000000" w:themeColor="text1"/>
        </w:rPr>
        <w:t>la  información</w:t>
      </w:r>
      <w:proofErr w:type="gramEnd"/>
      <w:r w:rsidRPr="008B1AF0">
        <w:rPr>
          <w:rFonts w:ascii="Arial" w:hAnsi="Arial" w:cs="Arial"/>
          <w:color w:val="000000" w:themeColor="text1"/>
        </w:rPr>
        <w:t xml:space="preserve"> que contiene sea  oportuna y  comunicada al mercado de forma inmediata para la toma de decisiones. </w:t>
      </w:r>
    </w:p>
    <w:p w14:paraId="57D0A92B" w14:textId="77777777" w:rsidR="00D92327" w:rsidRPr="008B1AF0" w:rsidRDefault="00D92327" w:rsidP="00D92327">
      <w:pPr>
        <w:jc w:val="both"/>
        <w:rPr>
          <w:rFonts w:ascii="Arial" w:hAnsi="Arial" w:cs="Arial"/>
          <w:color w:val="000000" w:themeColor="text1"/>
        </w:rPr>
      </w:pPr>
    </w:p>
    <w:p w14:paraId="7AF6B2C8" w14:textId="77777777" w:rsidR="00D92327" w:rsidRPr="008B1AF0" w:rsidRDefault="00D92327" w:rsidP="00D92327">
      <w:pPr>
        <w:jc w:val="both"/>
        <w:rPr>
          <w:rFonts w:ascii="Arial" w:hAnsi="Arial" w:cs="Arial"/>
          <w:color w:val="000000" w:themeColor="text1"/>
        </w:rPr>
      </w:pPr>
      <w:r w:rsidRPr="008B1AF0">
        <w:rPr>
          <w:rFonts w:ascii="Arial" w:hAnsi="Arial" w:cs="Arial"/>
          <w:color w:val="000000" w:themeColor="text1"/>
        </w:rPr>
        <w:t xml:space="preserve">La información correspondiente a la actualización periódica de la calificación de riesgo, así como la primera calificación de riesgo de  los programas de emisiones, en este último caso cuando dicha información no se haya aportado en el proceso de inscripción, quedará  actualizada directamente en el RNVI al momento del envío del Comunicado de Hecho Relevante, por lo que las Sociedades Calificadoras de Riesgo y los Emisores respectivamente,  deberán  asegurarse que la información comunicada es clara y exacta. </w:t>
      </w:r>
    </w:p>
    <w:p w14:paraId="65358C87" w14:textId="77777777" w:rsidR="00D92327" w:rsidRDefault="00D92327" w:rsidP="00D92327">
      <w:pPr>
        <w:jc w:val="both"/>
        <w:rPr>
          <w:rFonts w:ascii="Arial" w:hAnsi="Arial" w:cs="Arial"/>
          <w:color w:val="0070C0"/>
        </w:rPr>
      </w:pPr>
    </w:p>
    <w:p w14:paraId="525D0A35" w14:textId="77777777" w:rsidR="00D92327" w:rsidRDefault="00D92327" w:rsidP="00D92327">
      <w:pPr>
        <w:pStyle w:val="Textoindependiente3"/>
        <w:spacing w:after="0"/>
        <w:jc w:val="both"/>
        <w:rPr>
          <w:rFonts w:ascii="Arial" w:hAnsi="Arial" w:cs="Arial"/>
          <w:b/>
          <w:color w:val="0070C0"/>
          <w:sz w:val="22"/>
          <w:szCs w:val="22"/>
        </w:rPr>
      </w:pPr>
    </w:p>
    <w:p w14:paraId="565D740F" w14:textId="77777777" w:rsidR="00D92327" w:rsidRPr="008B1AF0" w:rsidRDefault="00D92327" w:rsidP="00D92327">
      <w:pPr>
        <w:pStyle w:val="Textoindependiente3"/>
        <w:spacing w:after="0"/>
        <w:jc w:val="both"/>
        <w:rPr>
          <w:rFonts w:ascii="Arial" w:hAnsi="Arial" w:cs="Arial"/>
          <w:b/>
          <w:color w:val="000000" w:themeColor="text1"/>
          <w:sz w:val="22"/>
          <w:szCs w:val="22"/>
        </w:rPr>
      </w:pPr>
      <w:r w:rsidRPr="008B1AF0">
        <w:rPr>
          <w:rFonts w:ascii="Arial" w:hAnsi="Arial" w:cs="Arial"/>
          <w:b/>
          <w:color w:val="000000" w:themeColor="text1"/>
          <w:sz w:val="22"/>
          <w:szCs w:val="22"/>
        </w:rPr>
        <w:t>ANEXO 1 AL ACUERDO SGV-A-61</w:t>
      </w:r>
    </w:p>
    <w:p w14:paraId="5A3A575D" w14:textId="77777777" w:rsidR="00D92327" w:rsidRPr="008B1AF0" w:rsidRDefault="00D92327" w:rsidP="00D92327">
      <w:pPr>
        <w:keepNext/>
        <w:widowControl w:val="0"/>
        <w:jc w:val="both"/>
        <w:outlineLvl w:val="3"/>
        <w:rPr>
          <w:rFonts w:ascii="Arial" w:hAnsi="Arial" w:cs="Arial"/>
          <w:b/>
          <w:bCs/>
          <w:color w:val="000000" w:themeColor="text1"/>
        </w:rPr>
      </w:pPr>
    </w:p>
    <w:tbl>
      <w:tblPr>
        <w:tblW w:w="9145" w:type="dxa"/>
        <w:tblCellMar>
          <w:left w:w="70" w:type="dxa"/>
          <w:right w:w="70" w:type="dxa"/>
        </w:tblCellMar>
        <w:tblLook w:val="04A0" w:firstRow="1" w:lastRow="0" w:firstColumn="1" w:lastColumn="0" w:noHBand="0" w:noVBand="1"/>
      </w:tblPr>
      <w:tblGrid>
        <w:gridCol w:w="4248"/>
        <w:gridCol w:w="1417"/>
        <w:gridCol w:w="1701"/>
        <w:gridCol w:w="1779"/>
      </w:tblGrid>
      <w:tr w:rsidR="00D92327" w:rsidRPr="008B1AF0" w14:paraId="0797FDF5" w14:textId="77777777" w:rsidTr="00E32820">
        <w:trPr>
          <w:trHeight w:val="9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6648E" w14:textId="77777777" w:rsidR="00D92327" w:rsidRPr="008B1AF0" w:rsidRDefault="00D92327" w:rsidP="00E32820">
            <w:pPr>
              <w:jc w:val="center"/>
              <w:rPr>
                <w:rFonts w:ascii="Arial" w:hAnsi="Arial" w:cs="Arial"/>
                <w:b/>
                <w:bCs/>
                <w:color w:val="000000" w:themeColor="text1"/>
                <w:lang w:eastAsia="es-CR"/>
              </w:rPr>
            </w:pPr>
            <w:r w:rsidRPr="008B1AF0">
              <w:rPr>
                <w:rFonts w:ascii="Arial" w:hAnsi="Arial" w:cs="Arial"/>
                <w:b/>
                <w:bCs/>
                <w:color w:val="000000" w:themeColor="text1"/>
                <w:lang w:eastAsia="es-CR"/>
              </w:rPr>
              <w:t>LISTA NO EXHAUSTIVA DE HECHOS RELEVANTES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0BC3FED" w14:textId="77777777" w:rsidR="00D92327" w:rsidRPr="008B1AF0" w:rsidRDefault="00D92327" w:rsidP="00E32820">
            <w:pPr>
              <w:jc w:val="center"/>
              <w:rPr>
                <w:rFonts w:ascii="Arial" w:hAnsi="Arial" w:cs="Arial"/>
                <w:b/>
                <w:bCs/>
                <w:color w:val="000000" w:themeColor="text1"/>
                <w:lang w:eastAsia="es-CR"/>
              </w:rPr>
            </w:pPr>
            <w:r w:rsidRPr="008B1AF0">
              <w:rPr>
                <w:rFonts w:ascii="Arial" w:hAnsi="Arial" w:cs="Arial"/>
                <w:b/>
                <w:bCs/>
                <w:color w:val="000000" w:themeColor="text1"/>
                <w:lang w:eastAsia="es-CR"/>
              </w:rPr>
              <w:t>EMISORES DE DEUDA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0ED449D" w14:textId="77777777" w:rsidR="00D92327" w:rsidRPr="008B1AF0" w:rsidRDefault="00D92327" w:rsidP="00E32820">
            <w:pPr>
              <w:jc w:val="center"/>
              <w:rPr>
                <w:rFonts w:ascii="Arial" w:hAnsi="Arial" w:cs="Arial"/>
                <w:b/>
                <w:bCs/>
                <w:color w:val="000000" w:themeColor="text1"/>
                <w:lang w:eastAsia="es-CR"/>
              </w:rPr>
            </w:pPr>
            <w:r w:rsidRPr="008B1AF0">
              <w:rPr>
                <w:rFonts w:ascii="Arial" w:hAnsi="Arial" w:cs="Arial"/>
                <w:b/>
                <w:bCs/>
                <w:color w:val="000000" w:themeColor="text1"/>
                <w:lang w:eastAsia="es-CR"/>
              </w:rPr>
              <w:t>EMISORES DE VALORES DE CONTENIDO PATRIMONIAL O MIXTO</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14:paraId="796DE285" w14:textId="77777777" w:rsidR="00D92327" w:rsidRPr="008B1AF0" w:rsidRDefault="00D92327" w:rsidP="00E32820">
            <w:pPr>
              <w:jc w:val="center"/>
              <w:rPr>
                <w:rFonts w:ascii="Arial" w:hAnsi="Arial" w:cs="Arial"/>
                <w:b/>
                <w:bCs/>
                <w:color w:val="000000" w:themeColor="text1"/>
                <w:lang w:eastAsia="es-CR"/>
              </w:rPr>
            </w:pPr>
            <w:r w:rsidRPr="008B1AF0">
              <w:rPr>
                <w:rFonts w:ascii="Arial" w:hAnsi="Arial" w:cs="Arial"/>
                <w:b/>
                <w:bCs/>
                <w:color w:val="000000" w:themeColor="text1"/>
                <w:lang w:eastAsia="es-CR"/>
              </w:rPr>
              <w:t>OTROS</w:t>
            </w:r>
          </w:p>
        </w:tc>
      </w:tr>
      <w:tr w:rsidR="00D92327" w:rsidRPr="008B1AF0" w14:paraId="0FF0F58B" w14:textId="77777777" w:rsidTr="00E32820">
        <w:trPr>
          <w:trHeight w:val="300"/>
        </w:trPr>
        <w:tc>
          <w:tcPr>
            <w:tcW w:w="9145" w:type="dxa"/>
            <w:gridSpan w:val="4"/>
            <w:tcBorders>
              <w:top w:val="nil"/>
              <w:left w:val="single" w:sz="4" w:space="0" w:color="auto"/>
              <w:bottom w:val="single" w:sz="4" w:space="0" w:color="auto"/>
              <w:right w:val="single" w:sz="4" w:space="0" w:color="000000"/>
            </w:tcBorders>
            <w:shd w:val="clear" w:color="000000" w:fill="B4C6E7"/>
            <w:vAlign w:val="center"/>
            <w:hideMark/>
          </w:tcPr>
          <w:p w14:paraId="6CF65A5F" w14:textId="77777777" w:rsidR="00D92327" w:rsidRPr="008B1AF0" w:rsidRDefault="00D92327" w:rsidP="00E32820">
            <w:pPr>
              <w:jc w:val="center"/>
              <w:rPr>
                <w:rFonts w:ascii="Arial" w:hAnsi="Arial" w:cs="Arial"/>
                <w:b/>
                <w:bCs/>
                <w:color w:val="000000" w:themeColor="text1"/>
                <w:lang w:eastAsia="es-CR"/>
              </w:rPr>
            </w:pPr>
            <w:r w:rsidRPr="008B1AF0">
              <w:rPr>
                <w:rFonts w:ascii="Arial" w:hAnsi="Arial" w:cs="Arial"/>
                <w:b/>
                <w:bCs/>
                <w:color w:val="000000" w:themeColor="text1"/>
                <w:lang w:eastAsia="es-CR"/>
              </w:rPr>
              <w:t>Información financiera</w:t>
            </w:r>
          </w:p>
          <w:p w14:paraId="41F5DB75" w14:textId="77777777" w:rsidR="00D92327" w:rsidRPr="008B1AF0" w:rsidRDefault="00D92327" w:rsidP="00E32820">
            <w:pPr>
              <w:jc w:val="center"/>
              <w:rPr>
                <w:rFonts w:ascii="Arial" w:hAnsi="Arial" w:cs="Arial"/>
                <w:b/>
                <w:bCs/>
                <w:color w:val="000000" w:themeColor="text1"/>
                <w:lang w:eastAsia="es-CR"/>
              </w:rPr>
            </w:pPr>
            <w:r w:rsidRPr="008B1AF0">
              <w:rPr>
                <w:rFonts w:ascii="Arial" w:hAnsi="Arial" w:cs="Arial"/>
                <w:b/>
                <w:bCs/>
                <w:color w:val="000000" w:themeColor="text1"/>
                <w:lang w:eastAsia="es-CR"/>
              </w:rPr>
              <w:t> </w:t>
            </w:r>
          </w:p>
        </w:tc>
      </w:tr>
      <w:tr w:rsidR="00D92327" w:rsidRPr="00E23FF7" w14:paraId="48D6A63C" w14:textId="77777777" w:rsidTr="00E32820">
        <w:trPr>
          <w:trHeight w:val="1065"/>
        </w:trPr>
        <w:tc>
          <w:tcPr>
            <w:tcW w:w="4248" w:type="dxa"/>
            <w:tcBorders>
              <w:top w:val="nil"/>
              <w:left w:val="single" w:sz="4" w:space="0" w:color="auto"/>
              <w:bottom w:val="single" w:sz="4" w:space="0" w:color="auto"/>
              <w:right w:val="single" w:sz="4" w:space="0" w:color="auto"/>
            </w:tcBorders>
            <w:shd w:val="clear" w:color="auto" w:fill="auto"/>
            <w:hideMark/>
          </w:tcPr>
          <w:p w14:paraId="2A088766"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Prórrogas aprobadas para la presentación de la información periódica o actualización del prospecto, con indicación del plazo otorgado para su presentación. </w:t>
            </w:r>
          </w:p>
        </w:tc>
        <w:tc>
          <w:tcPr>
            <w:tcW w:w="1417" w:type="dxa"/>
            <w:tcBorders>
              <w:top w:val="nil"/>
              <w:left w:val="nil"/>
              <w:bottom w:val="single" w:sz="4" w:space="0" w:color="auto"/>
              <w:right w:val="single" w:sz="4" w:space="0" w:color="auto"/>
            </w:tcBorders>
            <w:shd w:val="clear" w:color="auto" w:fill="auto"/>
            <w:vAlign w:val="center"/>
            <w:hideMark/>
          </w:tcPr>
          <w:p w14:paraId="243F2CD9" w14:textId="77777777" w:rsidR="00D92327" w:rsidRPr="006F0048" w:rsidRDefault="00D92327" w:rsidP="00E32820">
            <w:pPr>
              <w:jc w:val="center"/>
              <w:rPr>
                <w:rFonts w:ascii="Arial" w:hAnsi="Arial" w:cs="Arial"/>
                <w:color w:val="000000" w:themeColor="text1"/>
                <w:lang w:eastAsia="es-CR"/>
              </w:rPr>
            </w:pPr>
            <w:r w:rsidRPr="006F0048">
              <w:rPr>
                <w:rFonts w:ascii="Arial" w:hAnsi="Arial" w:cs="Arial"/>
                <w:color w:val="000000" w:themeColor="text1"/>
                <w:lang w:eastAsia="es-CR"/>
              </w:rPr>
              <w:t>X</w:t>
            </w:r>
          </w:p>
        </w:tc>
        <w:tc>
          <w:tcPr>
            <w:tcW w:w="1701" w:type="dxa"/>
            <w:tcBorders>
              <w:top w:val="nil"/>
              <w:left w:val="nil"/>
              <w:bottom w:val="single" w:sz="4" w:space="0" w:color="auto"/>
              <w:right w:val="single" w:sz="4" w:space="0" w:color="auto"/>
            </w:tcBorders>
            <w:shd w:val="clear" w:color="auto" w:fill="auto"/>
            <w:vAlign w:val="center"/>
            <w:hideMark/>
          </w:tcPr>
          <w:p w14:paraId="26A83DAD" w14:textId="77777777" w:rsidR="00D92327" w:rsidRPr="006F0048" w:rsidRDefault="00D92327" w:rsidP="00E32820">
            <w:pPr>
              <w:jc w:val="center"/>
              <w:rPr>
                <w:rFonts w:ascii="Arial" w:hAnsi="Arial" w:cs="Arial"/>
                <w:color w:val="000000" w:themeColor="text1"/>
                <w:lang w:eastAsia="es-CR"/>
              </w:rPr>
            </w:pPr>
            <w:r w:rsidRPr="006F0048">
              <w:rPr>
                <w:rFonts w:ascii="Arial" w:hAnsi="Arial" w:cs="Arial"/>
                <w:color w:val="000000" w:themeColor="text1"/>
                <w:lang w:eastAsia="es-CR"/>
              </w:rPr>
              <w:t>X</w:t>
            </w:r>
          </w:p>
        </w:tc>
        <w:tc>
          <w:tcPr>
            <w:tcW w:w="1779" w:type="dxa"/>
            <w:tcBorders>
              <w:top w:val="nil"/>
              <w:left w:val="nil"/>
              <w:bottom w:val="single" w:sz="4" w:space="0" w:color="auto"/>
              <w:right w:val="single" w:sz="4" w:space="0" w:color="auto"/>
            </w:tcBorders>
            <w:shd w:val="clear" w:color="auto" w:fill="auto"/>
            <w:vAlign w:val="center"/>
            <w:hideMark/>
          </w:tcPr>
          <w:p w14:paraId="1F52DC35" w14:textId="77777777" w:rsidR="00D92327" w:rsidRPr="006F0048" w:rsidRDefault="00D92327" w:rsidP="00E32820">
            <w:pPr>
              <w:jc w:val="center"/>
              <w:rPr>
                <w:rFonts w:ascii="Arial" w:hAnsi="Arial" w:cs="Arial"/>
                <w:color w:val="000000" w:themeColor="text1"/>
                <w:lang w:eastAsia="es-CR"/>
              </w:rPr>
            </w:pPr>
            <w:r w:rsidRPr="006F0048">
              <w:rPr>
                <w:rFonts w:ascii="Arial" w:hAnsi="Arial" w:cs="Arial"/>
                <w:color w:val="000000" w:themeColor="text1"/>
                <w:lang w:eastAsia="es-CR"/>
              </w:rPr>
              <w:t>X</w:t>
            </w:r>
          </w:p>
        </w:tc>
      </w:tr>
      <w:tr w:rsidR="00D92327" w:rsidRPr="00E23FF7" w14:paraId="63084846" w14:textId="77777777" w:rsidTr="00E32820">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6DB4227D"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Atrasos en la presentación de Información periódica, con indicación de la fecha prevista de presentación.</w:t>
            </w:r>
          </w:p>
        </w:tc>
        <w:tc>
          <w:tcPr>
            <w:tcW w:w="1417" w:type="dxa"/>
            <w:tcBorders>
              <w:top w:val="nil"/>
              <w:left w:val="nil"/>
              <w:bottom w:val="single" w:sz="4" w:space="0" w:color="auto"/>
              <w:right w:val="single" w:sz="4" w:space="0" w:color="auto"/>
            </w:tcBorders>
            <w:shd w:val="clear" w:color="auto" w:fill="auto"/>
            <w:vAlign w:val="center"/>
            <w:hideMark/>
          </w:tcPr>
          <w:p w14:paraId="329BF552" w14:textId="77777777" w:rsidR="00D92327" w:rsidRPr="006F0048" w:rsidRDefault="00D92327" w:rsidP="00E32820">
            <w:pPr>
              <w:jc w:val="center"/>
              <w:rPr>
                <w:rFonts w:ascii="Arial" w:hAnsi="Arial" w:cs="Arial"/>
                <w:color w:val="000000" w:themeColor="text1"/>
                <w:lang w:eastAsia="es-CR"/>
              </w:rPr>
            </w:pPr>
            <w:r w:rsidRPr="006F0048">
              <w:rPr>
                <w:rFonts w:ascii="Arial" w:hAnsi="Arial" w:cs="Arial"/>
                <w:color w:val="000000" w:themeColor="text1"/>
                <w:lang w:eastAsia="es-CR"/>
              </w:rPr>
              <w:t>X</w:t>
            </w:r>
          </w:p>
        </w:tc>
        <w:tc>
          <w:tcPr>
            <w:tcW w:w="1701" w:type="dxa"/>
            <w:tcBorders>
              <w:top w:val="nil"/>
              <w:left w:val="nil"/>
              <w:bottom w:val="single" w:sz="4" w:space="0" w:color="auto"/>
              <w:right w:val="single" w:sz="4" w:space="0" w:color="auto"/>
            </w:tcBorders>
            <w:shd w:val="clear" w:color="auto" w:fill="auto"/>
            <w:vAlign w:val="center"/>
            <w:hideMark/>
          </w:tcPr>
          <w:p w14:paraId="241F1173" w14:textId="77777777" w:rsidR="00D92327" w:rsidRPr="006F0048" w:rsidRDefault="00D92327" w:rsidP="00E32820">
            <w:pPr>
              <w:jc w:val="center"/>
              <w:rPr>
                <w:rFonts w:ascii="Arial" w:hAnsi="Arial" w:cs="Arial"/>
                <w:color w:val="000000" w:themeColor="text1"/>
                <w:lang w:eastAsia="es-CR"/>
              </w:rPr>
            </w:pPr>
            <w:r w:rsidRPr="006F0048">
              <w:rPr>
                <w:rFonts w:ascii="Arial" w:hAnsi="Arial" w:cs="Arial"/>
                <w:color w:val="000000" w:themeColor="text1"/>
                <w:lang w:eastAsia="es-CR"/>
              </w:rPr>
              <w:t>X</w:t>
            </w:r>
          </w:p>
        </w:tc>
        <w:tc>
          <w:tcPr>
            <w:tcW w:w="1779" w:type="dxa"/>
            <w:tcBorders>
              <w:top w:val="nil"/>
              <w:left w:val="nil"/>
              <w:bottom w:val="single" w:sz="4" w:space="0" w:color="auto"/>
              <w:right w:val="single" w:sz="4" w:space="0" w:color="auto"/>
            </w:tcBorders>
            <w:shd w:val="clear" w:color="auto" w:fill="auto"/>
            <w:vAlign w:val="center"/>
            <w:hideMark/>
          </w:tcPr>
          <w:p w14:paraId="56ED2744" w14:textId="77777777" w:rsidR="00D92327" w:rsidRPr="006F0048" w:rsidRDefault="00D92327" w:rsidP="00E32820">
            <w:pPr>
              <w:jc w:val="center"/>
              <w:rPr>
                <w:rFonts w:ascii="Arial" w:hAnsi="Arial" w:cs="Arial"/>
                <w:color w:val="000000" w:themeColor="text1"/>
                <w:lang w:eastAsia="es-CR"/>
              </w:rPr>
            </w:pPr>
            <w:r w:rsidRPr="006F0048">
              <w:rPr>
                <w:rFonts w:ascii="Arial" w:hAnsi="Arial" w:cs="Arial"/>
                <w:color w:val="000000" w:themeColor="text1"/>
                <w:lang w:eastAsia="es-CR"/>
              </w:rPr>
              <w:t>X</w:t>
            </w:r>
          </w:p>
        </w:tc>
      </w:tr>
      <w:tr w:rsidR="00D92327" w:rsidRPr="00E23FF7" w14:paraId="769EFCCC" w14:textId="77777777" w:rsidTr="00E32820">
        <w:trPr>
          <w:trHeight w:val="1485"/>
        </w:trPr>
        <w:tc>
          <w:tcPr>
            <w:tcW w:w="4248" w:type="dxa"/>
            <w:tcBorders>
              <w:top w:val="nil"/>
              <w:left w:val="single" w:sz="4" w:space="0" w:color="auto"/>
              <w:bottom w:val="nil"/>
              <w:right w:val="single" w:sz="4" w:space="0" w:color="auto"/>
            </w:tcBorders>
            <w:shd w:val="clear" w:color="auto" w:fill="auto"/>
            <w:hideMark/>
          </w:tcPr>
          <w:p w14:paraId="4FC986D6"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lastRenderedPageBreak/>
              <w:t xml:space="preserve">Sustitución o reenvío de información periódica trimestral y anual de emisores no </w:t>
            </w:r>
            <w:proofErr w:type="gramStart"/>
            <w:r w:rsidRPr="006E491B">
              <w:rPr>
                <w:rFonts w:ascii="Arial" w:hAnsi="Arial" w:cs="Arial"/>
                <w:color w:val="000000" w:themeColor="text1"/>
              </w:rPr>
              <w:t>financieros  e</w:t>
            </w:r>
            <w:proofErr w:type="gramEnd"/>
            <w:r w:rsidRPr="006E491B">
              <w:rPr>
                <w:rFonts w:ascii="Arial" w:hAnsi="Arial" w:cs="Arial"/>
                <w:color w:val="000000" w:themeColor="text1"/>
              </w:rPr>
              <w:t xml:space="preserve"> información mensual, trimestral y anual de los fondos de inversión, con indicación de: el nombre del regulado, el nombre del reporte, la fecha de corte del reporte que se sustituye y el motivo de la sustitución.</w:t>
            </w:r>
          </w:p>
        </w:tc>
        <w:tc>
          <w:tcPr>
            <w:tcW w:w="1417" w:type="dxa"/>
            <w:tcBorders>
              <w:top w:val="nil"/>
              <w:left w:val="nil"/>
              <w:bottom w:val="single" w:sz="4" w:space="0" w:color="auto"/>
              <w:right w:val="single" w:sz="4" w:space="0" w:color="auto"/>
            </w:tcBorders>
            <w:shd w:val="clear" w:color="000000" w:fill="FFFFFF"/>
            <w:vAlign w:val="center"/>
            <w:hideMark/>
          </w:tcPr>
          <w:p w14:paraId="01469EAE" w14:textId="77777777" w:rsidR="00D92327" w:rsidRPr="006F0048" w:rsidRDefault="00D92327" w:rsidP="00E32820">
            <w:pPr>
              <w:jc w:val="center"/>
              <w:rPr>
                <w:rFonts w:ascii="Arial" w:hAnsi="Arial" w:cs="Arial"/>
                <w:color w:val="000000" w:themeColor="text1"/>
                <w:lang w:eastAsia="es-CR"/>
              </w:rPr>
            </w:pPr>
            <w:r w:rsidRPr="006F0048">
              <w:rPr>
                <w:rFonts w:ascii="Arial" w:hAnsi="Arial" w:cs="Arial"/>
                <w:color w:val="000000" w:themeColor="text1"/>
                <w:lang w:eastAsia="es-CR"/>
              </w:rPr>
              <w:t>X</w:t>
            </w:r>
          </w:p>
        </w:tc>
        <w:tc>
          <w:tcPr>
            <w:tcW w:w="1701" w:type="dxa"/>
            <w:tcBorders>
              <w:top w:val="nil"/>
              <w:left w:val="nil"/>
              <w:bottom w:val="single" w:sz="4" w:space="0" w:color="auto"/>
              <w:right w:val="single" w:sz="4" w:space="0" w:color="auto"/>
            </w:tcBorders>
            <w:shd w:val="clear" w:color="000000" w:fill="FFFFFF"/>
            <w:vAlign w:val="center"/>
            <w:hideMark/>
          </w:tcPr>
          <w:p w14:paraId="0D423203" w14:textId="77777777" w:rsidR="00D92327" w:rsidRPr="006F0048" w:rsidRDefault="00D92327" w:rsidP="00E32820">
            <w:pPr>
              <w:jc w:val="center"/>
              <w:rPr>
                <w:rFonts w:ascii="Arial" w:hAnsi="Arial" w:cs="Arial"/>
                <w:color w:val="000000" w:themeColor="text1"/>
                <w:lang w:eastAsia="es-CR"/>
              </w:rPr>
            </w:pPr>
            <w:r w:rsidRPr="006F0048">
              <w:rPr>
                <w:rFonts w:ascii="Arial" w:hAnsi="Arial" w:cs="Arial"/>
                <w:color w:val="000000" w:themeColor="text1"/>
                <w:lang w:eastAsia="es-CR"/>
              </w:rPr>
              <w:t>X</w:t>
            </w:r>
          </w:p>
        </w:tc>
        <w:tc>
          <w:tcPr>
            <w:tcW w:w="1779" w:type="dxa"/>
            <w:tcBorders>
              <w:top w:val="nil"/>
              <w:left w:val="nil"/>
              <w:bottom w:val="single" w:sz="4" w:space="0" w:color="auto"/>
              <w:right w:val="single" w:sz="4" w:space="0" w:color="auto"/>
            </w:tcBorders>
            <w:shd w:val="clear" w:color="000000" w:fill="FFFFFF"/>
            <w:vAlign w:val="center"/>
            <w:hideMark/>
          </w:tcPr>
          <w:p w14:paraId="3F85446E" w14:textId="77777777" w:rsidR="00D92327" w:rsidRPr="006F0048" w:rsidRDefault="00D92327" w:rsidP="00E32820">
            <w:pPr>
              <w:jc w:val="center"/>
              <w:rPr>
                <w:rFonts w:ascii="Arial" w:hAnsi="Arial" w:cs="Arial"/>
                <w:color w:val="000000" w:themeColor="text1"/>
                <w:lang w:eastAsia="es-CR"/>
              </w:rPr>
            </w:pPr>
            <w:r w:rsidRPr="006F0048">
              <w:rPr>
                <w:rFonts w:ascii="Arial" w:hAnsi="Arial" w:cs="Arial"/>
                <w:color w:val="000000" w:themeColor="text1"/>
                <w:lang w:eastAsia="es-CR"/>
              </w:rPr>
              <w:t> </w:t>
            </w:r>
          </w:p>
        </w:tc>
      </w:tr>
      <w:tr w:rsidR="00D92327" w:rsidRPr="00E23FF7" w14:paraId="22202FFD" w14:textId="77777777" w:rsidTr="00E32820">
        <w:trPr>
          <w:trHeight w:val="795"/>
        </w:trPr>
        <w:tc>
          <w:tcPr>
            <w:tcW w:w="4248" w:type="dxa"/>
            <w:tcBorders>
              <w:top w:val="single" w:sz="4" w:space="0" w:color="auto"/>
              <w:left w:val="single" w:sz="4" w:space="0" w:color="auto"/>
              <w:bottom w:val="nil"/>
              <w:right w:val="single" w:sz="4" w:space="0" w:color="auto"/>
            </w:tcBorders>
            <w:shd w:val="clear" w:color="auto" w:fill="auto"/>
            <w:hideMark/>
          </w:tcPr>
          <w:p w14:paraId="4C55158B"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 Cambios en las políticas contables utilizados, cuando se trate de una </w:t>
            </w:r>
            <w:proofErr w:type="gramStart"/>
            <w:r w:rsidRPr="006E491B">
              <w:rPr>
                <w:rFonts w:ascii="Arial" w:hAnsi="Arial" w:cs="Arial"/>
                <w:color w:val="000000" w:themeColor="text1"/>
              </w:rPr>
              <w:t>decisión  de</w:t>
            </w:r>
            <w:proofErr w:type="gramEnd"/>
            <w:r w:rsidRPr="006E491B">
              <w:rPr>
                <w:rFonts w:ascii="Arial" w:hAnsi="Arial" w:cs="Arial"/>
                <w:color w:val="000000" w:themeColor="text1"/>
              </w:rPr>
              <w:t xml:space="preserve"> la entidad y no de una disposición de carácter general.</w:t>
            </w:r>
          </w:p>
        </w:tc>
        <w:tc>
          <w:tcPr>
            <w:tcW w:w="1417" w:type="dxa"/>
            <w:tcBorders>
              <w:top w:val="nil"/>
              <w:left w:val="nil"/>
              <w:bottom w:val="nil"/>
              <w:right w:val="single" w:sz="4" w:space="0" w:color="auto"/>
            </w:tcBorders>
            <w:shd w:val="clear" w:color="auto" w:fill="auto"/>
            <w:vAlign w:val="center"/>
            <w:hideMark/>
          </w:tcPr>
          <w:p w14:paraId="77286403" w14:textId="77777777" w:rsidR="00D92327" w:rsidRPr="006F0048" w:rsidRDefault="00D92327" w:rsidP="00E32820">
            <w:pPr>
              <w:jc w:val="center"/>
              <w:rPr>
                <w:rFonts w:ascii="Arial" w:hAnsi="Arial" w:cs="Arial"/>
                <w:color w:val="000000" w:themeColor="text1"/>
                <w:lang w:eastAsia="es-CR"/>
              </w:rPr>
            </w:pPr>
            <w:r w:rsidRPr="006F0048">
              <w:rPr>
                <w:rFonts w:ascii="Arial" w:hAnsi="Arial" w:cs="Arial"/>
                <w:color w:val="000000" w:themeColor="text1"/>
                <w:lang w:eastAsia="es-CR"/>
              </w:rPr>
              <w:t>X</w:t>
            </w:r>
          </w:p>
        </w:tc>
        <w:tc>
          <w:tcPr>
            <w:tcW w:w="1701" w:type="dxa"/>
            <w:tcBorders>
              <w:top w:val="nil"/>
              <w:left w:val="nil"/>
              <w:bottom w:val="nil"/>
              <w:right w:val="single" w:sz="4" w:space="0" w:color="auto"/>
            </w:tcBorders>
            <w:shd w:val="clear" w:color="auto" w:fill="auto"/>
            <w:vAlign w:val="center"/>
            <w:hideMark/>
          </w:tcPr>
          <w:p w14:paraId="6391C438" w14:textId="77777777" w:rsidR="00D92327" w:rsidRPr="006F0048" w:rsidRDefault="00D92327" w:rsidP="00E32820">
            <w:pPr>
              <w:jc w:val="center"/>
              <w:rPr>
                <w:rFonts w:ascii="Arial" w:hAnsi="Arial" w:cs="Arial"/>
                <w:color w:val="000000" w:themeColor="text1"/>
                <w:lang w:eastAsia="es-CR"/>
              </w:rPr>
            </w:pPr>
            <w:r w:rsidRPr="006F0048">
              <w:rPr>
                <w:rFonts w:ascii="Arial" w:hAnsi="Arial" w:cs="Arial"/>
                <w:color w:val="000000" w:themeColor="text1"/>
                <w:lang w:eastAsia="es-CR"/>
              </w:rPr>
              <w:t>X</w:t>
            </w:r>
          </w:p>
        </w:tc>
        <w:tc>
          <w:tcPr>
            <w:tcW w:w="1779" w:type="dxa"/>
            <w:tcBorders>
              <w:top w:val="nil"/>
              <w:left w:val="nil"/>
              <w:bottom w:val="nil"/>
              <w:right w:val="single" w:sz="4" w:space="0" w:color="auto"/>
            </w:tcBorders>
            <w:shd w:val="clear" w:color="auto" w:fill="auto"/>
            <w:vAlign w:val="center"/>
            <w:hideMark/>
          </w:tcPr>
          <w:p w14:paraId="6A217F5E" w14:textId="77777777" w:rsidR="00D92327" w:rsidRPr="006F0048" w:rsidRDefault="00D92327" w:rsidP="00E32820">
            <w:pPr>
              <w:jc w:val="center"/>
              <w:rPr>
                <w:rFonts w:ascii="Arial" w:hAnsi="Arial" w:cs="Arial"/>
                <w:color w:val="000000" w:themeColor="text1"/>
                <w:lang w:eastAsia="es-CR"/>
              </w:rPr>
            </w:pPr>
            <w:r w:rsidRPr="006F0048">
              <w:rPr>
                <w:rFonts w:ascii="Arial" w:hAnsi="Arial" w:cs="Arial"/>
                <w:color w:val="000000" w:themeColor="text1"/>
                <w:lang w:eastAsia="es-CR"/>
              </w:rPr>
              <w:t> </w:t>
            </w:r>
          </w:p>
        </w:tc>
      </w:tr>
      <w:tr w:rsidR="00D92327" w:rsidRPr="00E23FF7" w14:paraId="0E878104" w14:textId="77777777" w:rsidTr="00E32820">
        <w:trPr>
          <w:trHeight w:val="705"/>
        </w:trPr>
        <w:tc>
          <w:tcPr>
            <w:tcW w:w="9145" w:type="dxa"/>
            <w:gridSpan w:val="4"/>
            <w:tcBorders>
              <w:top w:val="single" w:sz="4" w:space="0" w:color="auto"/>
              <w:left w:val="single" w:sz="4" w:space="0" w:color="auto"/>
              <w:bottom w:val="single" w:sz="4" w:space="0" w:color="auto"/>
              <w:right w:val="single" w:sz="4" w:space="0" w:color="000000"/>
            </w:tcBorders>
            <w:shd w:val="clear" w:color="000000" w:fill="B4C6E7"/>
            <w:vAlign w:val="center"/>
            <w:hideMark/>
          </w:tcPr>
          <w:p w14:paraId="47DDB388" w14:textId="77777777" w:rsidR="00D92327" w:rsidRPr="006E491B" w:rsidRDefault="00D92327" w:rsidP="00E32820">
            <w:pPr>
              <w:jc w:val="center"/>
              <w:rPr>
                <w:rFonts w:ascii="Arial" w:hAnsi="Arial" w:cs="Arial"/>
                <w:b/>
                <w:bCs/>
                <w:color w:val="0070C0"/>
                <w:lang w:eastAsia="es-CR"/>
              </w:rPr>
            </w:pPr>
            <w:r w:rsidRPr="006E491B">
              <w:rPr>
                <w:rFonts w:ascii="Arial" w:hAnsi="Arial" w:cs="Arial"/>
                <w:b/>
                <w:bCs/>
                <w:color w:val="0070C0"/>
                <w:lang w:eastAsia="es-CR"/>
              </w:rPr>
              <w:t>Gobierno Corporativo</w:t>
            </w:r>
          </w:p>
          <w:p w14:paraId="1F3D5235" w14:textId="77777777" w:rsidR="00D92327" w:rsidRPr="006E491B" w:rsidRDefault="00D92327" w:rsidP="00E32820">
            <w:pPr>
              <w:jc w:val="center"/>
              <w:rPr>
                <w:rFonts w:ascii="Arial" w:hAnsi="Arial" w:cs="Arial"/>
                <w:color w:val="0070C0"/>
                <w:lang w:eastAsia="es-CR"/>
              </w:rPr>
            </w:pPr>
            <w:r w:rsidRPr="006E491B">
              <w:rPr>
                <w:rFonts w:ascii="Arial" w:hAnsi="Arial" w:cs="Arial"/>
                <w:color w:val="0070C0"/>
                <w:lang w:eastAsia="es-CR"/>
              </w:rPr>
              <w:t> </w:t>
            </w:r>
          </w:p>
        </w:tc>
      </w:tr>
      <w:tr w:rsidR="00D92327" w:rsidRPr="00E23FF7" w14:paraId="73E6FB2F" w14:textId="77777777" w:rsidTr="00E32820">
        <w:trPr>
          <w:trHeight w:val="684"/>
        </w:trPr>
        <w:tc>
          <w:tcPr>
            <w:tcW w:w="4248" w:type="dxa"/>
            <w:tcBorders>
              <w:top w:val="nil"/>
              <w:left w:val="single" w:sz="4" w:space="0" w:color="auto"/>
              <w:bottom w:val="nil"/>
              <w:right w:val="single" w:sz="4" w:space="0" w:color="auto"/>
            </w:tcBorders>
            <w:shd w:val="clear" w:color="auto" w:fill="auto"/>
          </w:tcPr>
          <w:p w14:paraId="7F6D2E0C"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Cambio en las horas de corte y plazos para reembolso de las participaciones.</w:t>
            </w:r>
          </w:p>
        </w:tc>
        <w:tc>
          <w:tcPr>
            <w:tcW w:w="1417" w:type="dxa"/>
            <w:tcBorders>
              <w:top w:val="nil"/>
              <w:left w:val="nil"/>
              <w:bottom w:val="single" w:sz="4" w:space="0" w:color="auto"/>
              <w:right w:val="single" w:sz="4" w:space="0" w:color="auto"/>
            </w:tcBorders>
            <w:shd w:val="clear" w:color="auto" w:fill="auto"/>
            <w:noWrap/>
            <w:vAlign w:val="center"/>
          </w:tcPr>
          <w:p w14:paraId="1A8C7A06"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1A31EECE"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08A31846" w14:textId="77777777" w:rsidR="00D92327" w:rsidRPr="006F0048" w:rsidRDefault="00D92327" w:rsidP="00E32820">
            <w:pPr>
              <w:jc w:val="center"/>
              <w:rPr>
                <w:rFonts w:ascii="Arial" w:hAnsi="Arial" w:cs="Arial"/>
                <w:color w:val="000000" w:themeColor="text1"/>
                <w:lang w:eastAsia="es-CR"/>
              </w:rPr>
            </w:pPr>
          </w:p>
        </w:tc>
      </w:tr>
      <w:tr w:rsidR="00D92327" w:rsidRPr="00E23FF7" w14:paraId="6932C367" w14:textId="77777777" w:rsidTr="00E32820">
        <w:trPr>
          <w:trHeight w:val="410"/>
        </w:trPr>
        <w:tc>
          <w:tcPr>
            <w:tcW w:w="4248" w:type="dxa"/>
            <w:tcBorders>
              <w:top w:val="single" w:sz="4" w:space="0" w:color="auto"/>
              <w:left w:val="single" w:sz="4" w:space="0" w:color="auto"/>
              <w:bottom w:val="nil"/>
              <w:right w:val="single" w:sz="4" w:space="0" w:color="auto"/>
            </w:tcBorders>
            <w:shd w:val="clear" w:color="auto" w:fill="auto"/>
          </w:tcPr>
          <w:p w14:paraId="7F3F3E65"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Cambio del nombre del fondo de inversión.</w:t>
            </w:r>
          </w:p>
        </w:tc>
        <w:tc>
          <w:tcPr>
            <w:tcW w:w="1417" w:type="dxa"/>
            <w:tcBorders>
              <w:top w:val="nil"/>
              <w:left w:val="nil"/>
              <w:bottom w:val="single" w:sz="4" w:space="0" w:color="auto"/>
              <w:right w:val="single" w:sz="4" w:space="0" w:color="auto"/>
            </w:tcBorders>
            <w:shd w:val="clear" w:color="auto" w:fill="auto"/>
            <w:noWrap/>
            <w:vAlign w:val="center"/>
          </w:tcPr>
          <w:p w14:paraId="3849A081"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7B9F396B"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266AC5CB" w14:textId="77777777" w:rsidR="00D92327" w:rsidRPr="006F0048" w:rsidRDefault="00D92327" w:rsidP="00E32820">
            <w:pPr>
              <w:jc w:val="center"/>
              <w:rPr>
                <w:rFonts w:ascii="Arial" w:hAnsi="Arial" w:cs="Arial"/>
                <w:color w:val="000000" w:themeColor="text1"/>
                <w:lang w:eastAsia="es-CR"/>
              </w:rPr>
            </w:pPr>
          </w:p>
        </w:tc>
      </w:tr>
      <w:tr w:rsidR="00D92327" w:rsidRPr="00E23FF7" w14:paraId="20B3DDD3" w14:textId="77777777" w:rsidTr="00E32820">
        <w:trPr>
          <w:trHeight w:val="900"/>
        </w:trPr>
        <w:tc>
          <w:tcPr>
            <w:tcW w:w="4248" w:type="dxa"/>
            <w:tcBorders>
              <w:top w:val="single" w:sz="4" w:space="0" w:color="auto"/>
              <w:left w:val="single" w:sz="4" w:space="0" w:color="auto"/>
              <w:bottom w:val="single" w:sz="4" w:space="0" w:color="auto"/>
              <w:right w:val="nil"/>
            </w:tcBorders>
            <w:shd w:val="clear" w:color="000000" w:fill="FFFFFF"/>
          </w:tcPr>
          <w:p w14:paraId="5B7F2B45"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En el caso </w:t>
            </w:r>
            <w:proofErr w:type="gramStart"/>
            <w:r w:rsidRPr="006E491B">
              <w:rPr>
                <w:rFonts w:ascii="Arial" w:hAnsi="Arial" w:cs="Arial"/>
                <w:color w:val="000000" w:themeColor="text1"/>
              </w:rPr>
              <w:t>de  fondos</w:t>
            </w:r>
            <w:proofErr w:type="gramEnd"/>
            <w:r w:rsidRPr="006E491B">
              <w:rPr>
                <w:rFonts w:ascii="Arial" w:hAnsi="Arial" w:cs="Arial"/>
                <w:color w:val="000000" w:themeColor="text1"/>
              </w:rPr>
              <w:t xml:space="preserve"> de inversión: cambio de la entidad que llevará el libro oficial centralizado en el cual se acredita la titularidad de los inversionistas.</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38ABE2A3"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000000" w:fill="FFFFFF"/>
            <w:vAlign w:val="center"/>
          </w:tcPr>
          <w:p w14:paraId="3522689F"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000000" w:fill="FFFFFF"/>
            <w:vAlign w:val="center"/>
          </w:tcPr>
          <w:p w14:paraId="04147AB3" w14:textId="77777777" w:rsidR="00D92327" w:rsidRPr="006F0048" w:rsidRDefault="00D92327" w:rsidP="00E32820">
            <w:pPr>
              <w:jc w:val="center"/>
              <w:rPr>
                <w:rFonts w:ascii="Arial" w:hAnsi="Arial" w:cs="Arial"/>
                <w:color w:val="000000" w:themeColor="text1"/>
                <w:lang w:eastAsia="es-CR"/>
              </w:rPr>
            </w:pPr>
          </w:p>
        </w:tc>
      </w:tr>
      <w:tr w:rsidR="00D92327" w:rsidRPr="00E23FF7" w14:paraId="33E78EA9" w14:textId="77777777" w:rsidTr="00E32820">
        <w:trPr>
          <w:trHeight w:val="1035"/>
        </w:trPr>
        <w:tc>
          <w:tcPr>
            <w:tcW w:w="4248" w:type="dxa"/>
            <w:tcBorders>
              <w:top w:val="nil"/>
              <w:left w:val="single" w:sz="4" w:space="0" w:color="auto"/>
              <w:bottom w:val="single" w:sz="4" w:space="0" w:color="auto"/>
              <w:right w:val="nil"/>
            </w:tcBorders>
            <w:shd w:val="clear" w:color="auto" w:fill="auto"/>
          </w:tcPr>
          <w:p w14:paraId="2F51B55B"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Convocatoria a Asambleas ordinarias y extraordinarias de accionistas de un Emisor o un Fondo de Inversión. Deberá indicarse la fecha de cierre del libro de accionistas o inversionistas para efectos de determinar cuáles tendrán derecho de asistir a la asamblea, así como la fecha y el lugar donde estará disponible la información que será objeto de la Asamblea. En el caso de fondos de capital de riesgo, esto aplica solo para aquellos cuyas participaciones estén registradas para su negociación en un mercado secundario organizado.</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CA72565"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63527C84"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6E7FB249" w14:textId="77777777" w:rsidR="00D92327" w:rsidRPr="006F0048" w:rsidRDefault="00D92327" w:rsidP="00E32820">
            <w:pPr>
              <w:jc w:val="center"/>
              <w:rPr>
                <w:rFonts w:ascii="Arial" w:hAnsi="Arial" w:cs="Arial"/>
                <w:color w:val="000000" w:themeColor="text1"/>
                <w:lang w:eastAsia="es-CR"/>
              </w:rPr>
            </w:pPr>
          </w:p>
        </w:tc>
      </w:tr>
      <w:tr w:rsidR="00D92327" w:rsidRPr="00E23FF7" w14:paraId="2815A914" w14:textId="77777777" w:rsidTr="00E32820">
        <w:trPr>
          <w:trHeight w:val="1245"/>
        </w:trPr>
        <w:tc>
          <w:tcPr>
            <w:tcW w:w="4248" w:type="dxa"/>
            <w:tcBorders>
              <w:top w:val="nil"/>
              <w:left w:val="single" w:sz="4" w:space="0" w:color="auto"/>
              <w:bottom w:val="single" w:sz="4" w:space="0" w:color="auto"/>
              <w:right w:val="nil"/>
            </w:tcBorders>
            <w:shd w:val="clear" w:color="000000" w:fill="FFFFFF"/>
          </w:tcPr>
          <w:p w14:paraId="5558B1D9"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Resultados de la Asamblea de Accionistas de un Emisor o Fondo de Inversión, con indicación del número o el porcentaje de votos a favor, en contra y/o abstención obtenidos. En el caso de que el Acuerdo se refiera a decisiones de aumento o disminución del capital social, desdoblamientos o desdoblamientos inversos de acciones y declaración de dividendos, el hecho relevante deberá incluir en forma clara la fecha fijada para determinar los accionistas o inversionistas sobre los cuales recaerá el Acuerdo. En el </w:t>
            </w:r>
            <w:r w:rsidRPr="006E491B">
              <w:rPr>
                <w:rFonts w:ascii="Arial" w:hAnsi="Arial" w:cs="Arial"/>
                <w:color w:val="000000" w:themeColor="text1"/>
              </w:rPr>
              <w:lastRenderedPageBreak/>
              <w:t>caso de fondos de capital de riesgo, esto aplica solo para aquellos cuyas participaciones estén registradas para su negociación en un mercado secundario organizado.</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6ABC479"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469D2C59"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16BB3CBC" w14:textId="77777777" w:rsidR="00D92327" w:rsidRPr="006F0048" w:rsidRDefault="00D92327" w:rsidP="00E32820">
            <w:pPr>
              <w:jc w:val="center"/>
              <w:rPr>
                <w:rFonts w:ascii="Arial" w:hAnsi="Arial" w:cs="Arial"/>
                <w:color w:val="000000" w:themeColor="text1"/>
                <w:lang w:eastAsia="es-CR"/>
              </w:rPr>
            </w:pPr>
          </w:p>
        </w:tc>
      </w:tr>
      <w:tr w:rsidR="00D92327" w:rsidRPr="00E23FF7" w14:paraId="3BC3FAC1" w14:textId="77777777" w:rsidTr="00E32820">
        <w:trPr>
          <w:trHeight w:val="1417"/>
        </w:trPr>
        <w:tc>
          <w:tcPr>
            <w:tcW w:w="4248" w:type="dxa"/>
            <w:tcBorders>
              <w:top w:val="nil"/>
              <w:left w:val="single" w:sz="4" w:space="0" w:color="auto"/>
              <w:bottom w:val="single" w:sz="4" w:space="0" w:color="auto"/>
              <w:right w:val="nil"/>
            </w:tcBorders>
            <w:shd w:val="clear" w:color="auto" w:fill="auto"/>
          </w:tcPr>
          <w:p w14:paraId="62042141"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Nombramiento y remoción de los miembros de Junta Directiva, alta gerencia y representantes legales con poderes de apoderados general y generalísimo; comité de inversiones, gestor de portafolios y comité de riesgos.</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37CB545"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7242FF2A"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0F43EC11"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 (Solo SAFIS)</w:t>
            </w:r>
          </w:p>
        </w:tc>
      </w:tr>
      <w:tr w:rsidR="00D92327" w:rsidRPr="00E23FF7" w14:paraId="2C516FBC" w14:textId="77777777" w:rsidTr="00E32820">
        <w:trPr>
          <w:trHeight w:val="390"/>
        </w:trPr>
        <w:tc>
          <w:tcPr>
            <w:tcW w:w="4248" w:type="dxa"/>
            <w:tcBorders>
              <w:top w:val="nil"/>
              <w:left w:val="single" w:sz="4" w:space="0" w:color="auto"/>
              <w:bottom w:val="single" w:sz="4" w:space="0" w:color="auto"/>
              <w:right w:val="nil"/>
            </w:tcBorders>
            <w:shd w:val="clear" w:color="auto" w:fill="auto"/>
          </w:tcPr>
          <w:p w14:paraId="687788E4"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Nombramiento y remoción de alta gerencia y representantes legales con poderes de apoderados general y generalísimo.</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CCB774E"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34ACDB6E" w14:textId="77777777" w:rsidR="00D92327" w:rsidRPr="006F0048" w:rsidRDefault="00D92327" w:rsidP="00E32820">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vAlign w:val="center"/>
          </w:tcPr>
          <w:p w14:paraId="666ADA9C"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 (Entidades diferentes a SAFIS)</w:t>
            </w:r>
          </w:p>
        </w:tc>
      </w:tr>
      <w:tr w:rsidR="00D92327" w:rsidRPr="00E23FF7" w14:paraId="5DA4DB68" w14:textId="77777777" w:rsidTr="00E32820">
        <w:trPr>
          <w:trHeight w:val="735"/>
        </w:trPr>
        <w:tc>
          <w:tcPr>
            <w:tcW w:w="4248" w:type="dxa"/>
            <w:tcBorders>
              <w:top w:val="nil"/>
              <w:left w:val="single" w:sz="4" w:space="0" w:color="auto"/>
              <w:bottom w:val="single" w:sz="4" w:space="0" w:color="auto"/>
              <w:right w:val="nil"/>
            </w:tcBorders>
            <w:shd w:val="clear" w:color="auto" w:fill="auto"/>
          </w:tcPr>
          <w:p w14:paraId="4B3849B3"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Cambios en las participaciones significativas. Cambios en la propiedad o toma de control de la entidad. El alcance de este ítem está acotado a cambios en la propiedad de la entidad informante.</w:t>
            </w:r>
          </w:p>
        </w:tc>
        <w:tc>
          <w:tcPr>
            <w:tcW w:w="1417" w:type="dxa"/>
            <w:tcBorders>
              <w:top w:val="nil"/>
              <w:left w:val="single" w:sz="4" w:space="0" w:color="auto"/>
              <w:bottom w:val="single" w:sz="4" w:space="0" w:color="auto"/>
              <w:right w:val="single" w:sz="4" w:space="0" w:color="auto"/>
            </w:tcBorders>
            <w:shd w:val="clear" w:color="auto" w:fill="auto"/>
            <w:vAlign w:val="center"/>
          </w:tcPr>
          <w:p w14:paraId="49704007"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72552AE0"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485AC784" w14:textId="77777777" w:rsidR="00D92327" w:rsidRPr="006F0048" w:rsidRDefault="00D92327" w:rsidP="00E32820">
            <w:pPr>
              <w:jc w:val="center"/>
              <w:rPr>
                <w:rFonts w:ascii="Arial" w:hAnsi="Arial" w:cs="Arial"/>
                <w:color w:val="000000" w:themeColor="text1"/>
                <w:lang w:eastAsia="es-CR"/>
              </w:rPr>
            </w:pPr>
          </w:p>
        </w:tc>
      </w:tr>
      <w:tr w:rsidR="00D92327" w:rsidRPr="00E23FF7" w14:paraId="0D3D9EA6" w14:textId="77777777" w:rsidTr="00E32820">
        <w:trPr>
          <w:trHeight w:val="1350"/>
        </w:trPr>
        <w:tc>
          <w:tcPr>
            <w:tcW w:w="4248" w:type="dxa"/>
            <w:tcBorders>
              <w:top w:val="nil"/>
              <w:left w:val="single" w:sz="4" w:space="0" w:color="auto"/>
              <w:bottom w:val="single" w:sz="4" w:space="0" w:color="auto"/>
              <w:right w:val="nil"/>
            </w:tcBorders>
            <w:shd w:val="clear" w:color="auto" w:fill="auto"/>
          </w:tcPr>
          <w:p w14:paraId="1882176D"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Pagos de dividendos o </w:t>
            </w:r>
            <w:proofErr w:type="gramStart"/>
            <w:r w:rsidRPr="006E491B">
              <w:rPr>
                <w:rFonts w:ascii="Arial" w:hAnsi="Arial" w:cs="Arial"/>
                <w:color w:val="000000" w:themeColor="text1"/>
              </w:rPr>
              <w:t>beneficios  con</w:t>
            </w:r>
            <w:proofErr w:type="gramEnd"/>
            <w:r w:rsidRPr="006E491B">
              <w:rPr>
                <w:rFonts w:ascii="Arial" w:hAnsi="Arial" w:cs="Arial"/>
                <w:color w:val="000000" w:themeColor="text1"/>
              </w:rPr>
              <w:t xml:space="preserve"> indicación del monto por acción o participación, la fecha de pago y la fecha de corte, de manera que exista total claridad de cuáles acciones o inversionistas tendrán derecho al pago.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1C960A0"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358CC486"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745C1FD2" w14:textId="77777777" w:rsidR="00D92327" w:rsidRPr="006F0048" w:rsidRDefault="00D92327" w:rsidP="00E32820">
            <w:pPr>
              <w:jc w:val="center"/>
              <w:rPr>
                <w:rFonts w:ascii="Arial" w:hAnsi="Arial" w:cs="Arial"/>
                <w:color w:val="000000" w:themeColor="text1"/>
                <w:lang w:eastAsia="es-CR"/>
              </w:rPr>
            </w:pPr>
          </w:p>
        </w:tc>
      </w:tr>
      <w:tr w:rsidR="00D92327" w:rsidRPr="00E23FF7" w14:paraId="0E4E206A" w14:textId="77777777" w:rsidTr="00E32820">
        <w:trPr>
          <w:trHeight w:val="1665"/>
        </w:trPr>
        <w:tc>
          <w:tcPr>
            <w:tcW w:w="4248" w:type="dxa"/>
            <w:tcBorders>
              <w:top w:val="nil"/>
              <w:left w:val="single" w:sz="4" w:space="0" w:color="auto"/>
              <w:bottom w:val="single" w:sz="4" w:space="0" w:color="auto"/>
              <w:right w:val="nil"/>
            </w:tcBorders>
            <w:shd w:val="clear" w:color="auto" w:fill="auto"/>
          </w:tcPr>
          <w:p w14:paraId="0FFBF464"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Establecimiento o cambio en la política de remuneraciones y pago de remuneraciones del Órgano de Dirección y Alta Gerencia.    Decisiones adoptadas que establezcan o modifiquen planes, sistemas o modalidades de recompensas y reconocimientos que estructuran la remuneración total de los integrantes del órgano de administración, de fiscalización, comités especiales y empleados, con presentación de copia de tales documentos.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FDB48A4"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2A7E8AC7"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539ECDE8" w14:textId="77777777" w:rsidR="00D92327" w:rsidRPr="006F0048" w:rsidRDefault="00D92327" w:rsidP="00E32820">
            <w:pPr>
              <w:jc w:val="center"/>
              <w:rPr>
                <w:rFonts w:ascii="Arial" w:hAnsi="Arial" w:cs="Arial"/>
                <w:color w:val="000000" w:themeColor="text1"/>
                <w:lang w:eastAsia="es-CR"/>
              </w:rPr>
            </w:pPr>
          </w:p>
        </w:tc>
      </w:tr>
      <w:tr w:rsidR="00D92327" w:rsidRPr="00E23FF7" w14:paraId="1C3C891B" w14:textId="77777777" w:rsidTr="00E32820">
        <w:trPr>
          <w:trHeight w:val="412"/>
        </w:trPr>
        <w:tc>
          <w:tcPr>
            <w:tcW w:w="4248" w:type="dxa"/>
            <w:tcBorders>
              <w:top w:val="nil"/>
              <w:left w:val="single" w:sz="4" w:space="0" w:color="auto"/>
              <w:bottom w:val="single" w:sz="4" w:space="0" w:color="auto"/>
              <w:right w:val="nil"/>
            </w:tcBorders>
            <w:shd w:val="clear" w:color="auto" w:fill="auto"/>
          </w:tcPr>
          <w:p w14:paraId="663E41E5"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Acuerdos de </w:t>
            </w:r>
            <w:proofErr w:type="spellStart"/>
            <w:r w:rsidRPr="006E491B">
              <w:rPr>
                <w:rFonts w:ascii="Arial" w:hAnsi="Arial" w:cs="Arial"/>
                <w:color w:val="000000" w:themeColor="text1"/>
              </w:rPr>
              <w:t>OPA´s</w:t>
            </w:r>
            <w:proofErr w:type="spellEnd"/>
            <w:r w:rsidRPr="006E491B">
              <w:rPr>
                <w:rFonts w:ascii="Arial" w:hAnsi="Arial" w:cs="Arial"/>
                <w:color w:val="000000" w:themeColor="text1"/>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D72E1A7"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3B47C059"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4AAAF9C3" w14:textId="77777777" w:rsidR="00D92327" w:rsidRPr="006F0048" w:rsidRDefault="00D92327" w:rsidP="00E32820">
            <w:pPr>
              <w:jc w:val="center"/>
              <w:rPr>
                <w:rFonts w:ascii="Arial" w:hAnsi="Arial" w:cs="Arial"/>
                <w:color w:val="000000" w:themeColor="text1"/>
                <w:lang w:eastAsia="es-CR"/>
              </w:rPr>
            </w:pPr>
          </w:p>
        </w:tc>
      </w:tr>
      <w:tr w:rsidR="00D92327" w:rsidRPr="00E23FF7" w14:paraId="3AE45BC7" w14:textId="77777777" w:rsidTr="00E32820">
        <w:trPr>
          <w:trHeight w:val="843"/>
        </w:trPr>
        <w:tc>
          <w:tcPr>
            <w:tcW w:w="4248" w:type="dxa"/>
            <w:tcBorders>
              <w:top w:val="nil"/>
              <w:left w:val="single" w:sz="4" w:space="0" w:color="auto"/>
              <w:bottom w:val="single" w:sz="4" w:space="0" w:color="auto"/>
              <w:right w:val="nil"/>
            </w:tcBorders>
            <w:shd w:val="clear" w:color="auto" w:fill="auto"/>
          </w:tcPr>
          <w:p w14:paraId="59648D6D"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Cambios en la firma de auditores externos una vez que éstos han iniciado el proceso de auditoria para el cual fueron contratados.</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192666B"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686FC5D9"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230611C4"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r>
      <w:tr w:rsidR="00D92327" w:rsidRPr="00E23FF7" w14:paraId="057EB302" w14:textId="77777777" w:rsidTr="00E32820">
        <w:trPr>
          <w:trHeight w:val="2970"/>
        </w:trPr>
        <w:tc>
          <w:tcPr>
            <w:tcW w:w="4248" w:type="dxa"/>
            <w:tcBorders>
              <w:top w:val="nil"/>
              <w:left w:val="single" w:sz="4" w:space="0" w:color="auto"/>
              <w:bottom w:val="single" w:sz="4" w:space="0" w:color="auto"/>
              <w:right w:val="nil"/>
            </w:tcBorders>
            <w:shd w:val="clear" w:color="auto" w:fill="auto"/>
          </w:tcPr>
          <w:p w14:paraId="65A1B762"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lastRenderedPageBreak/>
              <w:t>Aprobación de la Junta Directiva u órgano equivalente, de transacciones que involucren la adquisición, venta, hipoteca o prenda de activos de la compañía emisora que representen un porcentaje igual o superior al diez por ciento (10 %) de los activos totales de ésta.</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8051F7E"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4795E609"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5CA6C920" w14:textId="77777777" w:rsidR="00D92327" w:rsidRPr="006F0048" w:rsidRDefault="00D92327" w:rsidP="00E32820">
            <w:pPr>
              <w:jc w:val="center"/>
              <w:rPr>
                <w:rFonts w:ascii="Arial" w:hAnsi="Arial" w:cs="Arial"/>
                <w:color w:val="000000" w:themeColor="text1"/>
                <w:lang w:eastAsia="es-CR"/>
              </w:rPr>
            </w:pPr>
          </w:p>
        </w:tc>
      </w:tr>
      <w:tr w:rsidR="00D92327" w:rsidRPr="00E23FF7" w14:paraId="4A3AF495" w14:textId="77777777" w:rsidTr="00E32820">
        <w:trPr>
          <w:trHeight w:val="1700"/>
        </w:trPr>
        <w:tc>
          <w:tcPr>
            <w:tcW w:w="4248" w:type="dxa"/>
            <w:tcBorders>
              <w:top w:val="nil"/>
              <w:left w:val="single" w:sz="4" w:space="0" w:color="auto"/>
              <w:bottom w:val="single" w:sz="4" w:space="0" w:color="auto"/>
              <w:right w:val="nil"/>
            </w:tcBorders>
            <w:shd w:val="clear" w:color="auto" w:fill="auto"/>
          </w:tcPr>
          <w:p w14:paraId="68A61A28"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Recompra de acciones mediante un programa de recompra, con indicación de: la fecha de inicio del programa, la cantidad de acciones o el monto total a recomprar, el período de duración del programa, así como el puesto de bolsa representante. El comunicado se realiza al menos un día hábil antes del inicio de la recompra.</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74666D8"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72E43F09"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395342EB" w14:textId="77777777" w:rsidR="00D92327" w:rsidRPr="006F0048" w:rsidRDefault="00D92327" w:rsidP="00E32820">
            <w:pPr>
              <w:jc w:val="center"/>
              <w:rPr>
                <w:rFonts w:ascii="Arial" w:hAnsi="Arial" w:cs="Arial"/>
                <w:color w:val="000000" w:themeColor="text1"/>
                <w:lang w:eastAsia="es-CR"/>
              </w:rPr>
            </w:pPr>
          </w:p>
        </w:tc>
      </w:tr>
      <w:tr w:rsidR="00D92327" w:rsidRPr="00E23FF7" w14:paraId="5E521040" w14:textId="77777777" w:rsidTr="00E32820">
        <w:trPr>
          <w:trHeight w:val="990"/>
        </w:trPr>
        <w:tc>
          <w:tcPr>
            <w:tcW w:w="4248" w:type="dxa"/>
            <w:tcBorders>
              <w:top w:val="nil"/>
              <w:left w:val="single" w:sz="4" w:space="0" w:color="auto"/>
              <w:bottom w:val="single" w:sz="4" w:space="0" w:color="auto"/>
              <w:right w:val="nil"/>
            </w:tcBorders>
            <w:shd w:val="clear" w:color="000000" w:fill="FFFFFF"/>
          </w:tcPr>
          <w:p w14:paraId="52C5CF58"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Recompra de acciones mediante subasta inversa, con indicación de: la fecha de la subasta inversa, la cantidad de acciones o el monto a recomprar, la regla para la asignación, así como los casos en que se considerará desierta una subasta. El comunicado se realiza al menos tres días hábiles antes de la subasta.</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09B04D4C"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000000" w:fill="FFFFFF"/>
            <w:vAlign w:val="center"/>
          </w:tcPr>
          <w:p w14:paraId="4B92066B"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000000" w:fill="FFFFFF"/>
            <w:vAlign w:val="center"/>
          </w:tcPr>
          <w:p w14:paraId="3C0D1E59" w14:textId="77777777" w:rsidR="00D92327" w:rsidRPr="006F0048" w:rsidRDefault="00D92327" w:rsidP="00E32820">
            <w:pPr>
              <w:jc w:val="center"/>
              <w:rPr>
                <w:rFonts w:ascii="Arial" w:hAnsi="Arial" w:cs="Arial"/>
                <w:color w:val="000000" w:themeColor="text1"/>
                <w:lang w:eastAsia="es-CR"/>
              </w:rPr>
            </w:pPr>
          </w:p>
        </w:tc>
      </w:tr>
      <w:tr w:rsidR="00D92327" w:rsidRPr="00E23FF7" w14:paraId="5DFC2621" w14:textId="77777777" w:rsidTr="00E32820">
        <w:trPr>
          <w:trHeight w:val="1320"/>
        </w:trPr>
        <w:tc>
          <w:tcPr>
            <w:tcW w:w="4248" w:type="dxa"/>
            <w:tcBorders>
              <w:top w:val="nil"/>
              <w:left w:val="single" w:sz="4" w:space="0" w:color="auto"/>
              <w:bottom w:val="single" w:sz="4" w:space="0" w:color="auto"/>
              <w:right w:val="nil"/>
            </w:tcBorders>
            <w:shd w:val="clear" w:color="000000" w:fill="FFFFFF"/>
          </w:tcPr>
          <w:p w14:paraId="0D4651E0"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Recompra de acciones a un socio estratégico, con indicación de:  la fecha o fechas de la recompra, la cantidad de acciones a recomprar, el monto total de la transacción y la identificación del socio estratégico. El comunicado se realiza al menos un día hábil antes del inicio de la recompra.</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DBFC40F"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000000" w:fill="FFFFFF"/>
            <w:vAlign w:val="center"/>
          </w:tcPr>
          <w:p w14:paraId="20D14A71"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000000" w:fill="FFFFFF"/>
            <w:vAlign w:val="center"/>
          </w:tcPr>
          <w:p w14:paraId="1821A679" w14:textId="77777777" w:rsidR="00D92327" w:rsidRPr="006F0048" w:rsidRDefault="00D92327" w:rsidP="00E32820">
            <w:pPr>
              <w:jc w:val="center"/>
              <w:rPr>
                <w:rFonts w:ascii="Arial" w:hAnsi="Arial" w:cs="Arial"/>
                <w:color w:val="000000" w:themeColor="text1"/>
                <w:lang w:eastAsia="es-CR"/>
              </w:rPr>
            </w:pPr>
          </w:p>
        </w:tc>
      </w:tr>
      <w:tr w:rsidR="00D92327" w:rsidRPr="00E23FF7" w14:paraId="7CA1AF65" w14:textId="77777777" w:rsidTr="00E32820">
        <w:trPr>
          <w:trHeight w:val="1080"/>
        </w:trPr>
        <w:tc>
          <w:tcPr>
            <w:tcW w:w="4248" w:type="dxa"/>
            <w:tcBorders>
              <w:top w:val="nil"/>
              <w:left w:val="single" w:sz="4" w:space="0" w:color="auto"/>
              <w:bottom w:val="single" w:sz="4" w:space="0" w:color="auto"/>
              <w:right w:val="single" w:sz="4" w:space="0" w:color="auto"/>
            </w:tcBorders>
            <w:shd w:val="clear" w:color="000000" w:fill="FFFFFF"/>
          </w:tcPr>
          <w:p w14:paraId="2D4FA657"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Recompras de acciones: adicional a los HR sobre recompras, deberá informarse sobre:  la cantidad de acciones readquiridas cada día, el precio pagado por acción, así como el monto o cantidad acumulado pendiente de recompra del programa o al socio estratégico.  En el caso de subastas inversas y recompras a socios estratégicos, el comunicado se realiza a más tardar un día hábil después de cada día en que el emisor realizó transacciones con sus propias acciones. En el caso de recompras a través de un programa, el comunicado se realiza a más </w:t>
            </w:r>
            <w:r w:rsidRPr="006E491B">
              <w:rPr>
                <w:rFonts w:ascii="Arial" w:hAnsi="Arial" w:cs="Arial"/>
                <w:color w:val="000000" w:themeColor="text1"/>
              </w:rPr>
              <w:lastRenderedPageBreak/>
              <w:t xml:space="preserve">tardar el día hábil siguiente de finalizada la semana en que hubiera realizado compras. </w:t>
            </w:r>
          </w:p>
        </w:tc>
        <w:tc>
          <w:tcPr>
            <w:tcW w:w="1417" w:type="dxa"/>
            <w:tcBorders>
              <w:top w:val="nil"/>
              <w:left w:val="nil"/>
              <w:bottom w:val="single" w:sz="4" w:space="0" w:color="auto"/>
              <w:right w:val="single" w:sz="4" w:space="0" w:color="auto"/>
            </w:tcBorders>
            <w:shd w:val="clear" w:color="000000" w:fill="FFFFFF"/>
            <w:noWrap/>
            <w:vAlign w:val="center"/>
          </w:tcPr>
          <w:p w14:paraId="63AD3617"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000000" w:fill="FFFFFF"/>
            <w:vAlign w:val="center"/>
          </w:tcPr>
          <w:p w14:paraId="0700EC12"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000000" w:fill="FFFFFF"/>
            <w:vAlign w:val="center"/>
          </w:tcPr>
          <w:p w14:paraId="496D2E9A" w14:textId="77777777" w:rsidR="00D92327" w:rsidRPr="006F0048" w:rsidRDefault="00D92327" w:rsidP="00E32820">
            <w:pPr>
              <w:jc w:val="center"/>
              <w:rPr>
                <w:rFonts w:ascii="Arial" w:hAnsi="Arial" w:cs="Arial"/>
                <w:color w:val="000000" w:themeColor="text1"/>
                <w:lang w:eastAsia="es-CR"/>
              </w:rPr>
            </w:pPr>
          </w:p>
        </w:tc>
      </w:tr>
      <w:tr w:rsidR="00D92327" w:rsidRPr="00E23FF7" w14:paraId="281D04DD" w14:textId="77777777" w:rsidTr="00E32820">
        <w:trPr>
          <w:trHeight w:val="870"/>
        </w:trPr>
        <w:tc>
          <w:tcPr>
            <w:tcW w:w="4248" w:type="dxa"/>
            <w:tcBorders>
              <w:top w:val="nil"/>
              <w:left w:val="single" w:sz="4" w:space="0" w:color="auto"/>
              <w:bottom w:val="single" w:sz="4" w:space="0" w:color="auto"/>
              <w:right w:val="single" w:sz="4" w:space="0" w:color="auto"/>
            </w:tcBorders>
            <w:shd w:val="clear" w:color="000000" w:fill="FFFFFF"/>
          </w:tcPr>
          <w:p w14:paraId="61D2B3A5"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Transacciones realizadas en forma directa o indirecta por el Emisor a través de una empresa subsidiaria o filial, tendiente a adquirir valores acciones que posteriormente redistribuirá como parte de un programa de remuneración a los miembros de su Junta Directiva u otro personal, el comunicado deberá indicar: la cantidad de acciones adquiridas, el precio y el monto pagado, la entidad que realizó la recompra (si es el emisor directamente o si es través de una subsidiaria) y el día en que se llevó a cabo la operación. Dicho comunicado deberá remitirse a más tardar al día hábil siguiente a la fecha de la transacción.   </w:t>
            </w:r>
          </w:p>
        </w:tc>
        <w:tc>
          <w:tcPr>
            <w:tcW w:w="1417" w:type="dxa"/>
            <w:tcBorders>
              <w:top w:val="nil"/>
              <w:left w:val="nil"/>
              <w:bottom w:val="single" w:sz="4" w:space="0" w:color="auto"/>
              <w:right w:val="single" w:sz="4" w:space="0" w:color="auto"/>
            </w:tcBorders>
            <w:shd w:val="clear" w:color="auto" w:fill="auto"/>
            <w:noWrap/>
            <w:vAlign w:val="center"/>
          </w:tcPr>
          <w:p w14:paraId="6B42A7D1"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772CE5D3"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1079B4E2" w14:textId="77777777" w:rsidR="00D92327" w:rsidRPr="006F0048" w:rsidRDefault="00D92327" w:rsidP="00E32820">
            <w:pPr>
              <w:jc w:val="center"/>
              <w:rPr>
                <w:rFonts w:ascii="Arial" w:hAnsi="Arial" w:cs="Arial"/>
                <w:color w:val="000000" w:themeColor="text1"/>
                <w:lang w:eastAsia="es-CR"/>
              </w:rPr>
            </w:pPr>
          </w:p>
        </w:tc>
      </w:tr>
      <w:tr w:rsidR="00D92327" w:rsidRPr="00E23FF7" w14:paraId="62DFB9D3" w14:textId="77777777" w:rsidTr="00E32820">
        <w:trPr>
          <w:trHeight w:val="765"/>
        </w:trPr>
        <w:tc>
          <w:tcPr>
            <w:tcW w:w="4248" w:type="dxa"/>
            <w:tcBorders>
              <w:top w:val="nil"/>
              <w:left w:val="single" w:sz="4" w:space="0" w:color="auto"/>
              <w:bottom w:val="single" w:sz="4" w:space="0" w:color="auto"/>
              <w:right w:val="single" w:sz="4" w:space="0" w:color="auto"/>
            </w:tcBorders>
            <w:shd w:val="clear" w:color="000000" w:fill="FFFFFF"/>
          </w:tcPr>
          <w:p w14:paraId="7C50660D"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Contratos de cualquier naturaleza que establezcan limitaciones a la distribución de utilidades o a las facultades de los órganos sociales, con presentación de copia de tales contratos. </w:t>
            </w:r>
          </w:p>
        </w:tc>
        <w:tc>
          <w:tcPr>
            <w:tcW w:w="1417" w:type="dxa"/>
            <w:tcBorders>
              <w:top w:val="nil"/>
              <w:left w:val="nil"/>
              <w:bottom w:val="single" w:sz="4" w:space="0" w:color="auto"/>
              <w:right w:val="single" w:sz="4" w:space="0" w:color="auto"/>
            </w:tcBorders>
            <w:shd w:val="clear" w:color="auto" w:fill="auto"/>
            <w:noWrap/>
            <w:vAlign w:val="center"/>
          </w:tcPr>
          <w:p w14:paraId="336803C6"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noWrap/>
            <w:vAlign w:val="center"/>
          </w:tcPr>
          <w:p w14:paraId="386590EE"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2B75D7AC" w14:textId="77777777" w:rsidR="00D92327" w:rsidRPr="006F0048" w:rsidRDefault="00D92327" w:rsidP="00E32820">
            <w:pPr>
              <w:jc w:val="center"/>
              <w:rPr>
                <w:rFonts w:ascii="Arial" w:hAnsi="Arial" w:cs="Arial"/>
                <w:color w:val="000000" w:themeColor="text1"/>
                <w:lang w:eastAsia="es-CR"/>
              </w:rPr>
            </w:pPr>
          </w:p>
        </w:tc>
      </w:tr>
      <w:tr w:rsidR="00D92327" w:rsidRPr="00E23FF7" w14:paraId="717A1AB7" w14:textId="77777777" w:rsidTr="00E32820">
        <w:trPr>
          <w:trHeight w:val="1110"/>
        </w:trPr>
        <w:tc>
          <w:tcPr>
            <w:tcW w:w="4248" w:type="dxa"/>
            <w:tcBorders>
              <w:top w:val="nil"/>
              <w:left w:val="single" w:sz="4" w:space="0" w:color="auto"/>
              <w:bottom w:val="single" w:sz="4" w:space="0" w:color="auto"/>
              <w:right w:val="nil"/>
            </w:tcBorders>
            <w:shd w:val="clear" w:color="000000" w:fill="FFFFFF"/>
          </w:tcPr>
          <w:p w14:paraId="3BE8B369"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Venta por cuenta de los fondos inmobiliarios y de desarrollo de proyectos, de activos inmobiliarios o sus títulos representativos a socios, directores, empleados y entidades del grupo de interés económico de la sociedad administradora.</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937A23A"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1657782B"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34A9CF15" w14:textId="77777777" w:rsidR="00D92327" w:rsidRPr="006F0048" w:rsidRDefault="00D92327" w:rsidP="00E32820">
            <w:pPr>
              <w:jc w:val="center"/>
              <w:rPr>
                <w:rFonts w:ascii="Arial" w:hAnsi="Arial" w:cs="Arial"/>
                <w:color w:val="000000" w:themeColor="text1"/>
                <w:lang w:eastAsia="es-CR"/>
              </w:rPr>
            </w:pPr>
          </w:p>
        </w:tc>
      </w:tr>
      <w:tr w:rsidR="00D92327" w:rsidRPr="00E23FF7" w14:paraId="390EAEDA" w14:textId="77777777" w:rsidTr="00E32820">
        <w:trPr>
          <w:trHeight w:val="1110"/>
        </w:trPr>
        <w:tc>
          <w:tcPr>
            <w:tcW w:w="4248" w:type="dxa"/>
            <w:tcBorders>
              <w:top w:val="nil"/>
              <w:left w:val="single" w:sz="4" w:space="0" w:color="auto"/>
              <w:bottom w:val="single" w:sz="4" w:space="0" w:color="auto"/>
              <w:right w:val="nil"/>
            </w:tcBorders>
            <w:shd w:val="clear" w:color="000000" w:fill="FFFFFF"/>
          </w:tcPr>
          <w:p w14:paraId="745FC042"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Revelación de los contratos de arrendamiento entre fondos de inversión inmobiliarios y los fondos de inversión de desarrollo de proyectos con la Safi o entidades de su grupo económico.</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85FA5D4"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2869879D"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73846474" w14:textId="77777777" w:rsidR="00D92327" w:rsidRPr="006F0048" w:rsidRDefault="00D92327" w:rsidP="00E32820">
            <w:pPr>
              <w:jc w:val="center"/>
              <w:rPr>
                <w:rFonts w:ascii="Arial" w:hAnsi="Arial" w:cs="Arial"/>
                <w:color w:val="000000" w:themeColor="text1"/>
                <w:lang w:eastAsia="es-CR"/>
              </w:rPr>
            </w:pPr>
          </w:p>
        </w:tc>
      </w:tr>
      <w:tr w:rsidR="00D92327" w:rsidRPr="00E23FF7" w14:paraId="04621934" w14:textId="77777777" w:rsidTr="00E32820">
        <w:trPr>
          <w:trHeight w:val="727"/>
        </w:trPr>
        <w:tc>
          <w:tcPr>
            <w:tcW w:w="4248" w:type="dxa"/>
            <w:tcBorders>
              <w:top w:val="nil"/>
              <w:left w:val="single" w:sz="4" w:space="0" w:color="auto"/>
              <w:bottom w:val="single" w:sz="4" w:space="0" w:color="auto"/>
              <w:right w:val="nil"/>
            </w:tcBorders>
            <w:shd w:val="clear" w:color="000000" w:fill="FFFFFF"/>
          </w:tcPr>
          <w:p w14:paraId="0356ACA7"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Nombramiento y remoción del gestor de portafolios en Fondos de Inversión de Capital de Riesgo.</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F2A32C6"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00EAA0F0"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442CC3D8" w14:textId="77777777" w:rsidR="00D92327" w:rsidRPr="006F0048" w:rsidRDefault="00D92327" w:rsidP="00E32820">
            <w:pPr>
              <w:jc w:val="center"/>
              <w:rPr>
                <w:rFonts w:ascii="Arial" w:hAnsi="Arial" w:cs="Arial"/>
                <w:color w:val="000000" w:themeColor="text1"/>
                <w:lang w:eastAsia="es-CR"/>
              </w:rPr>
            </w:pPr>
          </w:p>
        </w:tc>
      </w:tr>
      <w:tr w:rsidR="00D92327" w:rsidRPr="00E23FF7" w14:paraId="30EF67CA" w14:textId="77777777" w:rsidTr="00E32820">
        <w:trPr>
          <w:trHeight w:val="851"/>
        </w:trPr>
        <w:tc>
          <w:tcPr>
            <w:tcW w:w="4248" w:type="dxa"/>
            <w:tcBorders>
              <w:top w:val="nil"/>
              <w:left w:val="single" w:sz="4" w:space="0" w:color="auto"/>
              <w:bottom w:val="single" w:sz="4" w:space="0" w:color="auto"/>
              <w:right w:val="nil"/>
            </w:tcBorders>
            <w:shd w:val="clear" w:color="000000" w:fill="FFFFFF"/>
          </w:tcPr>
          <w:p w14:paraId="426D95C4"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Informar sobre las condiciones del crédito cuando provenga de una empresa relacionada con la sociedad administradora.</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1174AB0"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7598E42D"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057692EE" w14:textId="77777777" w:rsidR="00D92327" w:rsidRPr="006F0048" w:rsidRDefault="00D92327" w:rsidP="00E32820">
            <w:pPr>
              <w:jc w:val="center"/>
              <w:rPr>
                <w:rFonts w:ascii="Arial" w:hAnsi="Arial" w:cs="Arial"/>
                <w:color w:val="000000" w:themeColor="text1"/>
                <w:lang w:eastAsia="es-CR"/>
              </w:rPr>
            </w:pPr>
          </w:p>
        </w:tc>
      </w:tr>
      <w:tr w:rsidR="00D92327" w:rsidRPr="00E23FF7" w14:paraId="6DED5244" w14:textId="77777777" w:rsidTr="00E32820">
        <w:trPr>
          <w:trHeight w:val="1110"/>
        </w:trPr>
        <w:tc>
          <w:tcPr>
            <w:tcW w:w="4248" w:type="dxa"/>
            <w:tcBorders>
              <w:top w:val="nil"/>
              <w:left w:val="single" w:sz="4" w:space="0" w:color="auto"/>
              <w:bottom w:val="single" w:sz="4" w:space="0" w:color="auto"/>
              <w:right w:val="nil"/>
            </w:tcBorders>
            <w:shd w:val="clear" w:color="000000" w:fill="FFFFFF"/>
          </w:tcPr>
          <w:p w14:paraId="6B6D741E" w14:textId="77777777" w:rsidR="00D92327" w:rsidRPr="006E491B" w:rsidRDefault="00D92327" w:rsidP="00E32820">
            <w:pPr>
              <w:jc w:val="both"/>
              <w:rPr>
                <w:rFonts w:ascii="Arial" w:hAnsi="Arial" w:cs="Arial"/>
                <w:color w:val="000000" w:themeColor="text1"/>
              </w:rPr>
            </w:pPr>
            <w:r w:rsidRPr="006E491B">
              <w:rPr>
                <w:rFonts w:ascii="Arial" w:hAnsi="Arial" w:cs="Arial"/>
                <w:color w:val="000000" w:themeColor="text1"/>
              </w:rPr>
              <w:t xml:space="preserve">Aclaración de consultas planteadas por los accionistas de previo a la realización de una asamblea en la que se vaya a acordar la </w:t>
            </w:r>
            <w:proofErr w:type="spellStart"/>
            <w:r w:rsidRPr="006E491B">
              <w:rPr>
                <w:rFonts w:ascii="Arial" w:hAnsi="Arial" w:cs="Arial"/>
                <w:color w:val="000000" w:themeColor="text1"/>
              </w:rPr>
              <w:t>desinscripción</w:t>
            </w:r>
            <w:proofErr w:type="spellEnd"/>
            <w:r w:rsidRPr="006E491B">
              <w:rPr>
                <w:rFonts w:ascii="Arial" w:hAnsi="Arial" w:cs="Arial"/>
                <w:color w:val="000000" w:themeColor="text1"/>
              </w:rPr>
              <w:t xml:space="preserve"> de una emisión de acciones, en caso de que el emisor </w:t>
            </w:r>
            <w:r w:rsidRPr="006E491B">
              <w:rPr>
                <w:rFonts w:ascii="Arial" w:hAnsi="Arial" w:cs="Arial"/>
                <w:color w:val="000000" w:themeColor="text1"/>
              </w:rPr>
              <w:lastRenderedPageBreak/>
              <w:t xml:space="preserve">considere necesario utilizar este mecanismo.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10C8487"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384522F5" w14:textId="77777777" w:rsidR="00D92327" w:rsidRPr="006F0048" w:rsidRDefault="00D92327" w:rsidP="00E32820">
            <w:pPr>
              <w:jc w:val="center"/>
              <w:rPr>
                <w:color w:val="000000" w:themeColor="text1"/>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4F5AEAC4" w14:textId="77777777" w:rsidR="00D92327" w:rsidRPr="006F0048" w:rsidRDefault="00D92327" w:rsidP="00E32820">
            <w:pPr>
              <w:jc w:val="center"/>
              <w:rPr>
                <w:rFonts w:ascii="Arial" w:hAnsi="Arial" w:cs="Arial"/>
                <w:color w:val="000000" w:themeColor="text1"/>
                <w:lang w:eastAsia="es-CR"/>
              </w:rPr>
            </w:pPr>
          </w:p>
        </w:tc>
      </w:tr>
      <w:tr w:rsidR="00D92327" w:rsidRPr="00E23FF7" w14:paraId="1728419E" w14:textId="77777777" w:rsidTr="00E32820">
        <w:trPr>
          <w:trHeight w:val="765"/>
        </w:trPr>
        <w:tc>
          <w:tcPr>
            <w:tcW w:w="9145" w:type="dxa"/>
            <w:gridSpan w:val="4"/>
            <w:tcBorders>
              <w:top w:val="nil"/>
              <w:left w:val="single" w:sz="4" w:space="0" w:color="auto"/>
              <w:bottom w:val="single" w:sz="4" w:space="0" w:color="auto"/>
              <w:right w:val="single" w:sz="4" w:space="0" w:color="000000"/>
            </w:tcBorders>
            <w:shd w:val="clear" w:color="000000" w:fill="B4C6E7"/>
            <w:vAlign w:val="center"/>
          </w:tcPr>
          <w:p w14:paraId="4479FE94" w14:textId="77777777" w:rsidR="00D92327" w:rsidRPr="00E23FF7" w:rsidRDefault="00D92327" w:rsidP="00E32820">
            <w:pPr>
              <w:jc w:val="center"/>
              <w:rPr>
                <w:rFonts w:ascii="Arial" w:hAnsi="Arial" w:cs="Arial"/>
                <w:color w:val="0070C0"/>
                <w:lang w:eastAsia="es-CR"/>
              </w:rPr>
            </w:pPr>
            <w:r w:rsidRPr="002D492C">
              <w:rPr>
                <w:rFonts w:ascii="Arial" w:hAnsi="Arial" w:cs="Arial"/>
                <w:b/>
                <w:bCs/>
                <w:color w:val="0070C0"/>
                <w:lang w:eastAsia="es-CR"/>
              </w:rPr>
              <w:t>Calificaciones de Riesgo</w:t>
            </w:r>
          </w:p>
        </w:tc>
      </w:tr>
      <w:tr w:rsidR="00D92327" w:rsidRPr="00E23FF7" w14:paraId="2F603A5D" w14:textId="77777777" w:rsidTr="00E32820">
        <w:trPr>
          <w:trHeight w:val="900"/>
        </w:trPr>
        <w:tc>
          <w:tcPr>
            <w:tcW w:w="4248" w:type="dxa"/>
            <w:tcBorders>
              <w:top w:val="nil"/>
              <w:left w:val="single" w:sz="4" w:space="0" w:color="auto"/>
              <w:bottom w:val="single" w:sz="4" w:space="0" w:color="auto"/>
              <w:right w:val="nil"/>
            </w:tcBorders>
            <w:shd w:val="clear" w:color="000000" w:fill="FFFFFF"/>
          </w:tcPr>
          <w:p w14:paraId="7E6A19AB"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La calificación </w:t>
            </w:r>
            <w:proofErr w:type="gramStart"/>
            <w:r w:rsidRPr="006E491B">
              <w:rPr>
                <w:rFonts w:ascii="Arial" w:hAnsi="Arial" w:cs="Arial"/>
                <w:color w:val="000000" w:themeColor="text1"/>
              </w:rPr>
              <w:t>inicial</w:t>
            </w:r>
            <w:proofErr w:type="gramEnd"/>
            <w:r w:rsidRPr="006E491B">
              <w:rPr>
                <w:rFonts w:ascii="Arial" w:hAnsi="Arial" w:cs="Arial"/>
                <w:color w:val="000000" w:themeColor="text1"/>
              </w:rPr>
              <w:t xml:space="preserve"> así como el resultado de las revisiones semestrales, y/o producto de la ocurrencia o no de eventos especiales (tanto si se mantiene como si se modifica la calificación otorgada).</w:t>
            </w:r>
          </w:p>
        </w:tc>
        <w:tc>
          <w:tcPr>
            <w:tcW w:w="1417" w:type="dxa"/>
            <w:tcBorders>
              <w:top w:val="nil"/>
              <w:left w:val="single" w:sz="4" w:space="0" w:color="auto"/>
              <w:bottom w:val="single" w:sz="4" w:space="0" w:color="auto"/>
              <w:right w:val="single" w:sz="4" w:space="0" w:color="auto"/>
            </w:tcBorders>
            <w:shd w:val="clear" w:color="auto" w:fill="auto"/>
            <w:vAlign w:val="center"/>
          </w:tcPr>
          <w:p w14:paraId="4767BC11"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noWrap/>
            <w:vAlign w:val="center"/>
          </w:tcPr>
          <w:p w14:paraId="71A6B742" w14:textId="77777777" w:rsidR="00D92327" w:rsidRPr="006F0048" w:rsidRDefault="00D92327" w:rsidP="00E32820">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noWrap/>
            <w:vAlign w:val="center"/>
          </w:tcPr>
          <w:p w14:paraId="23D14C13" w14:textId="77777777" w:rsidR="00D92327" w:rsidRPr="006F0048" w:rsidRDefault="00D92327" w:rsidP="00E32820">
            <w:pPr>
              <w:jc w:val="center"/>
              <w:rPr>
                <w:rFonts w:ascii="Arial" w:hAnsi="Arial" w:cs="Arial"/>
                <w:color w:val="000000" w:themeColor="text1"/>
                <w:lang w:eastAsia="es-CR"/>
              </w:rPr>
            </w:pPr>
            <w:r>
              <w:rPr>
                <w:rFonts w:ascii="Arial" w:hAnsi="Arial" w:cs="Arial"/>
                <w:color w:val="000000" w:themeColor="text1"/>
                <w:lang w:eastAsia="es-CR"/>
              </w:rPr>
              <w:t>X</w:t>
            </w:r>
          </w:p>
        </w:tc>
      </w:tr>
      <w:tr w:rsidR="00D92327" w:rsidRPr="00E23FF7" w14:paraId="49D54C5A" w14:textId="77777777" w:rsidTr="00E32820">
        <w:trPr>
          <w:trHeight w:val="465"/>
        </w:trPr>
        <w:tc>
          <w:tcPr>
            <w:tcW w:w="4248" w:type="dxa"/>
            <w:tcBorders>
              <w:top w:val="nil"/>
              <w:left w:val="single" w:sz="4" w:space="0" w:color="auto"/>
              <w:bottom w:val="single" w:sz="4" w:space="0" w:color="auto"/>
              <w:right w:val="nil"/>
            </w:tcBorders>
            <w:shd w:val="clear" w:color="000000" w:fill="FFFFFF"/>
          </w:tcPr>
          <w:p w14:paraId="19ABC3E0"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Atrasos en la actualización de la calificación de riesgo. </w:t>
            </w:r>
          </w:p>
        </w:tc>
        <w:tc>
          <w:tcPr>
            <w:tcW w:w="1417" w:type="dxa"/>
            <w:tcBorders>
              <w:top w:val="nil"/>
              <w:left w:val="single" w:sz="4" w:space="0" w:color="auto"/>
              <w:bottom w:val="single" w:sz="4" w:space="0" w:color="auto"/>
              <w:right w:val="single" w:sz="4" w:space="0" w:color="auto"/>
            </w:tcBorders>
            <w:shd w:val="clear" w:color="auto" w:fill="auto"/>
            <w:vAlign w:val="center"/>
          </w:tcPr>
          <w:p w14:paraId="6D8623CA"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noWrap/>
            <w:vAlign w:val="center"/>
          </w:tcPr>
          <w:p w14:paraId="4E17FE28" w14:textId="77777777" w:rsidR="00D92327" w:rsidRPr="006F0048" w:rsidRDefault="00D92327" w:rsidP="00E32820">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noWrap/>
            <w:vAlign w:val="center"/>
          </w:tcPr>
          <w:p w14:paraId="097E3574" w14:textId="77777777" w:rsidR="00D92327" w:rsidRPr="006F0048" w:rsidRDefault="00D92327" w:rsidP="00E32820">
            <w:pPr>
              <w:jc w:val="center"/>
              <w:rPr>
                <w:rFonts w:ascii="Arial" w:hAnsi="Arial" w:cs="Arial"/>
                <w:color w:val="000000" w:themeColor="text1"/>
                <w:lang w:eastAsia="es-CR"/>
              </w:rPr>
            </w:pPr>
            <w:r>
              <w:rPr>
                <w:rFonts w:ascii="Arial" w:hAnsi="Arial" w:cs="Arial"/>
                <w:color w:val="000000" w:themeColor="text1"/>
                <w:lang w:eastAsia="es-CR"/>
              </w:rPr>
              <w:t>X</w:t>
            </w:r>
          </w:p>
        </w:tc>
      </w:tr>
      <w:tr w:rsidR="00D92327" w:rsidRPr="00E23FF7" w14:paraId="22236AA3" w14:textId="77777777" w:rsidTr="00E32820">
        <w:trPr>
          <w:trHeight w:val="885"/>
        </w:trPr>
        <w:tc>
          <w:tcPr>
            <w:tcW w:w="4248" w:type="dxa"/>
            <w:tcBorders>
              <w:top w:val="nil"/>
              <w:left w:val="single" w:sz="4" w:space="0" w:color="auto"/>
              <w:bottom w:val="single" w:sz="4" w:space="0" w:color="auto"/>
              <w:right w:val="nil"/>
            </w:tcBorders>
            <w:shd w:val="clear" w:color="auto" w:fill="auto"/>
          </w:tcPr>
          <w:p w14:paraId="16DEEECA"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Derogación unilateral o consensuada, del contrato con la sociedad calificadora de riesgos, explicando los motivos en que se fundamenta. </w:t>
            </w:r>
          </w:p>
        </w:tc>
        <w:tc>
          <w:tcPr>
            <w:tcW w:w="1417" w:type="dxa"/>
            <w:tcBorders>
              <w:top w:val="nil"/>
              <w:left w:val="single" w:sz="4" w:space="0" w:color="auto"/>
              <w:bottom w:val="single" w:sz="4" w:space="0" w:color="auto"/>
              <w:right w:val="single" w:sz="4" w:space="0" w:color="auto"/>
            </w:tcBorders>
            <w:shd w:val="clear" w:color="auto" w:fill="auto"/>
            <w:vAlign w:val="center"/>
          </w:tcPr>
          <w:p w14:paraId="017B89E9"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noWrap/>
            <w:vAlign w:val="center"/>
          </w:tcPr>
          <w:p w14:paraId="7B6670E7" w14:textId="77777777" w:rsidR="00D92327" w:rsidRPr="006F0048" w:rsidRDefault="00D92327" w:rsidP="00E32820">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noWrap/>
            <w:vAlign w:val="center"/>
          </w:tcPr>
          <w:p w14:paraId="24065624" w14:textId="77777777" w:rsidR="00D92327" w:rsidRPr="006F0048" w:rsidRDefault="00D92327" w:rsidP="00E32820">
            <w:pPr>
              <w:jc w:val="center"/>
              <w:rPr>
                <w:rFonts w:ascii="Arial" w:hAnsi="Arial" w:cs="Arial"/>
                <w:color w:val="000000" w:themeColor="text1"/>
                <w:lang w:eastAsia="es-CR"/>
              </w:rPr>
            </w:pPr>
            <w:r>
              <w:rPr>
                <w:rFonts w:ascii="Arial" w:hAnsi="Arial" w:cs="Arial"/>
                <w:color w:val="000000" w:themeColor="text1"/>
                <w:lang w:eastAsia="es-CR"/>
              </w:rPr>
              <w:t>X</w:t>
            </w:r>
          </w:p>
        </w:tc>
      </w:tr>
      <w:tr w:rsidR="00D92327" w:rsidRPr="00E23FF7" w14:paraId="19356965" w14:textId="77777777" w:rsidTr="00E32820">
        <w:trPr>
          <w:trHeight w:val="1725"/>
        </w:trPr>
        <w:tc>
          <w:tcPr>
            <w:tcW w:w="4248" w:type="dxa"/>
            <w:tcBorders>
              <w:top w:val="nil"/>
              <w:left w:val="single" w:sz="4" w:space="0" w:color="auto"/>
              <w:bottom w:val="single" w:sz="4" w:space="0" w:color="auto"/>
              <w:right w:val="single" w:sz="4" w:space="0" w:color="auto"/>
            </w:tcBorders>
            <w:shd w:val="clear" w:color="000000" w:fill="FFFFFF"/>
          </w:tcPr>
          <w:p w14:paraId="43BEB499"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Revelación semestral por parte de las Calificadoras de Riesgo en caso de que los honorarios profesionales provenientes de un mismo cliente o su grupo económico exceda el equivalente al 10% de sus ingresos totales de los últimos doce </w:t>
            </w:r>
            <w:proofErr w:type="gramStart"/>
            <w:r w:rsidRPr="006E491B">
              <w:rPr>
                <w:rFonts w:ascii="Arial" w:hAnsi="Arial" w:cs="Arial"/>
                <w:color w:val="000000" w:themeColor="text1"/>
              </w:rPr>
              <w:t>meses  (</w:t>
            </w:r>
            <w:proofErr w:type="gramEnd"/>
            <w:r w:rsidRPr="006E491B">
              <w:rPr>
                <w:rFonts w:ascii="Arial" w:hAnsi="Arial" w:cs="Arial"/>
                <w:color w:val="000000" w:themeColor="text1"/>
              </w:rPr>
              <w:t>el HR debe realizarse en los primeros 10 días hábiles del mes de enero y julio de cada año).</w:t>
            </w:r>
          </w:p>
        </w:tc>
        <w:tc>
          <w:tcPr>
            <w:tcW w:w="1417" w:type="dxa"/>
            <w:tcBorders>
              <w:top w:val="nil"/>
              <w:left w:val="nil"/>
              <w:bottom w:val="single" w:sz="4" w:space="0" w:color="auto"/>
              <w:right w:val="single" w:sz="4" w:space="0" w:color="auto"/>
            </w:tcBorders>
            <w:shd w:val="clear" w:color="auto" w:fill="auto"/>
            <w:vAlign w:val="center"/>
          </w:tcPr>
          <w:p w14:paraId="06233311"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noWrap/>
            <w:vAlign w:val="center"/>
          </w:tcPr>
          <w:p w14:paraId="0F6AD2B8" w14:textId="77777777" w:rsidR="00D92327" w:rsidRPr="006F0048" w:rsidRDefault="00D92327" w:rsidP="00E32820">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vAlign w:val="center"/>
          </w:tcPr>
          <w:p w14:paraId="10229186"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r>
      <w:tr w:rsidR="00D92327" w:rsidRPr="00E23FF7" w14:paraId="01EA958D" w14:textId="77777777" w:rsidTr="00E32820">
        <w:trPr>
          <w:trHeight w:val="870"/>
        </w:trPr>
        <w:tc>
          <w:tcPr>
            <w:tcW w:w="9145" w:type="dxa"/>
            <w:gridSpan w:val="4"/>
            <w:tcBorders>
              <w:top w:val="nil"/>
              <w:left w:val="single" w:sz="4" w:space="0" w:color="auto"/>
              <w:bottom w:val="single" w:sz="4" w:space="0" w:color="auto"/>
              <w:right w:val="single" w:sz="4" w:space="0" w:color="000000"/>
            </w:tcBorders>
            <w:shd w:val="clear" w:color="000000" w:fill="B4C6E7"/>
            <w:vAlign w:val="center"/>
            <w:hideMark/>
          </w:tcPr>
          <w:p w14:paraId="31190582" w14:textId="77777777" w:rsidR="00D92327" w:rsidRPr="00E23FF7" w:rsidRDefault="00D92327" w:rsidP="00E32820">
            <w:pPr>
              <w:jc w:val="center"/>
              <w:rPr>
                <w:rFonts w:ascii="Arial" w:hAnsi="Arial" w:cs="Arial"/>
                <w:b/>
                <w:bCs/>
                <w:color w:val="0070C0"/>
                <w:lang w:eastAsia="es-CR"/>
              </w:rPr>
            </w:pPr>
            <w:r w:rsidRPr="00E23FF7">
              <w:rPr>
                <w:rFonts w:ascii="Arial" w:hAnsi="Arial" w:cs="Arial"/>
                <w:b/>
                <w:bCs/>
                <w:color w:val="0070C0"/>
                <w:lang w:eastAsia="es-CR"/>
              </w:rPr>
              <w:t>Características, condiciones y colocación de la emisión o fondo</w:t>
            </w:r>
          </w:p>
          <w:p w14:paraId="27F52073" w14:textId="77777777" w:rsidR="00D92327" w:rsidRPr="00E23FF7" w:rsidRDefault="00D92327" w:rsidP="00E32820">
            <w:pPr>
              <w:jc w:val="center"/>
              <w:rPr>
                <w:rFonts w:ascii="Arial" w:hAnsi="Arial" w:cs="Arial"/>
                <w:color w:val="0070C0"/>
                <w:lang w:eastAsia="es-CR"/>
              </w:rPr>
            </w:pPr>
            <w:r w:rsidRPr="00E23FF7">
              <w:rPr>
                <w:rFonts w:ascii="Arial" w:hAnsi="Arial" w:cs="Arial"/>
                <w:color w:val="0070C0"/>
                <w:lang w:eastAsia="es-CR"/>
              </w:rPr>
              <w:t> </w:t>
            </w:r>
          </w:p>
        </w:tc>
      </w:tr>
      <w:tr w:rsidR="00D92327" w:rsidRPr="00E23FF7" w14:paraId="43E340C1" w14:textId="77777777" w:rsidTr="00E32820">
        <w:trPr>
          <w:trHeight w:val="705"/>
        </w:trPr>
        <w:tc>
          <w:tcPr>
            <w:tcW w:w="4248" w:type="dxa"/>
            <w:tcBorders>
              <w:top w:val="nil"/>
              <w:left w:val="single" w:sz="4" w:space="0" w:color="auto"/>
              <w:bottom w:val="single" w:sz="4" w:space="0" w:color="auto"/>
              <w:right w:val="nil"/>
            </w:tcBorders>
            <w:shd w:val="clear" w:color="000000" w:fill="FFFFFF"/>
            <w:hideMark/>
          </w:tcPr>
          <w:p w14:paraId="1F77F76D"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Autorización de oferta pública de un Emisor o producto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85BC2BA"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hideMark/>
          </w:tcPr>
          <w:p w14:paraId="534A37E7"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hideMark/>
          </w:tcPr>
          <w:p w14:paraId="614F8D0E" w14:textId="77777777" w:rsidR="00D92327" w:rsidRPr="006F0048" w:rsidRDefault="00D92327" w:rsidP="00E32820">
            <w:pPr>
              <w:jc w:val="center"/>
              <w:rPr>
                <w:rFonts w:ascii="Arial" w:hAnsi="Arial" w:cs="Arial"/>
                <w:color w:val="000000" w:themeColor="text1"/>
                <w:lang w:eastAsia="es-CR"/>
              </w:rPr>
            </w:pPr>
          </w:p>
        </w:tc>
      </w:tr>
      <w:tr w:rsidR="00D92327" w:rsidRPr="00E23FF7" w14:paraId="3437C799" w14:textId="77777777" w:rsidTr="00E32820">
        <w:trPr>
          <w:trHeight w:val="510"/>
        </w:trPr>
        <w:tc>
          <w:tcPr>
            <w:tcW w:w="4248" w:type="dxa"/>
            <w:tcBorders>
              <w:top w:val="nil"/>
              <w:left w:val="single" w:sz="4" w:space="0" w:color="auto"/>
              <w:bottom w:val="single" w:sz="4" w:space="0" w:color="auto"/>
              <w:right w:val="nil"/>
            </w:tcBorders>
            <w:shd w:val="clear" w:color="000000" w:fill="FFFFFF"/>
            <w:hideMark/>
          </w:tcPr>
          <w:p w14:paraId="003810D2"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Definición de </w:t>
            </w:r>
            <w:proofErr w:type="gramStart"/>
            <w:r w:rsidRPr="006E491B">
              <w:rPr>
                <w:rFonts w:ascii="Arial" w:hAnsi="Arial" w:cs="Arial"/>
                <w:color w:val="000000" w:themeColor="text1"/>
              </w:rPr>
              <w:t>características  de</w:t>
            </w:r>
            <w:proofErr w:type="gramEnd"/>
            <w:r w:rsidRPr="006E491B">
              <w:rPr>
                <w:rFonts w:ascii="Arial" w:hAnsi="Arial" w:cs="Arial"/>
                <w:color w:val="000000" w:themeColor="text1"/>
              </w:rPr>
              <w:t xml:space="preserve"> emisiones.</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01EA0090"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hideMark/>
          </w:tcPr>
          <w:p w14:paraId="0924579A"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hideMark/>
          </w:tcPr>
          <w:p w14:paraId="52417524" w14:textId="77777777" w:rsidR="00D92327" w:rsidRPr="006F0048" w:rsidRDefault="00D92327" w:rsidP="00E32820">
            <w:pPr>
              <w:jc w:val="center"/>
              <w:rPr>
                <w:rFonts w:ascii="Arial" w:hAnsi="Arial" w:cs="Arial"/>
                <w:color w:val="000000" w:themeColor="text1"/>
                <w:lang w:eastAsia="es-CR"/>
              </w:rPr>
            </w:pPr>
          </w:p>
        </w:tc>
      </w:tr>
      <w:tr w:rsidR="00D92327" w:rsidRPr="00E23FF7" w14:paraId="3C4493DD" w14:textId="77777777" w:rsidTr="00E32820">
        <w:trPr>
          <w:trHeight w:val="780"/>
        </w:trPr>
        <w:tc>
          <w:tcPr>
            <w:tcW w:w="4248" w:type="dxa"/>
            <w:tcBorders>
              <w:top w:val="nil"/>
              <w:left w:val="single" w:sz="4" w:space="0" w:color="auto"/>
              <w:bottom w:val="single" w:sz="4" w:space="0" w:color="auto"/>
              <w:right w:val="nil"/>
            </w:tcBorders>
            <w:shd w:val="clear" w:color="000000" w:fill="FFFFFF"/>
            <w:hideMark/>
          </w:tcPr>
          <w:p w14:paraId="5AF10EC0"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Convocatoria de una colocación, </w:t>
            </w:r>
            <w:proofErr w:type="gramStart"/>
            <w:r w:rsidRPr="006E491B">
              <w:rPr>
                <w:rFonts w:ascii="Arial" w:hAnsi="Arial" w:cs="Arial"/>
                <w:color w:val="000000" w:themeColor="text1"/>
              </w:rPr>
              <w:t>que  contenga</w:t>
            </w:r>
            <w:proofErr w:type="gramEnd"/>
            <w:r w:rsidRPr="006E491B">
              <w:rPr>
                <w:rFonts w:ascii="Arial" w:hAnsi="Arial" w:cs="Arial"/>
                <w:color w:val="000000" w:themeColor="text1"/>
              </w:rPr>
              <w:t xml:space="preserve"> el mecanismo de colocación seleccionado, las condiciones y las reglas aplicables a éste.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CCFB13E"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000000" w:fill="FFFFFF"/>
            <w:vAlign w:val="center"/>
            <w:hideMark/>
          </w:tcPr>
          <w:p w14:paraId="76CF7B06"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hideMark/>
          </w:tcPr>
          <w:p w14:paraId="10AF9DC7" w14:textId="77777777" w:rsidR="00D92327" w:rsidRPr="006F0048" w:rsidRDefault="00D92327" w:rsidP="00E32820">
            <w:pPr>
              <w:jc w:val="center"/>
              <w:rPr>
                <w:rFonts w:ascii="Arial" w:hAnsi="Arial" w:cs="Arial"/>
                <w:color w:val="000000" w:themeColor="text1"/>
                <w:lang w:eastAsia="es-CR"/>
              </w:rPr>
            </w:pPr>
          </w:p>
        </w:tc>
      </w:tr>
      <w:tr w:rsidR="00D92327" w:rsidRPr="00E23FF7" w14:paraId="4BBC9305" w14:textId="77777777" w:rsidTr="00E32820">
        <w:trPr>
          <w:trHeight w:val="1050"/>
        </w:trPr>
        <w:tc>
          <w:tcPr>
            <w:tcW w:w="4248" w:type="dxa"/>
            <w:tcBorders>
              <w:top w:val="nil"/>
              <w:left w:val="single" w:sz="4" w:space="0" w:color="auto"/>
              <w:bottom w:val="single" w:sz="4" w:space="0" w:color="auto"/>
              <w:right w:val="nil"/>
            </w:tcBorders>
            <w:shd w:val="clear" w:color="auto" w:fill="auto"/>
            <w:hideMark/>
          </w:tcPr>
          <w:p w14:paraId="2DE96472"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Revelación del monto colocado de una emisión al finalizar el plazo máximo para su colocación, en el caso de series colocadas parcialmente.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DBF371D"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noWrap/>
            <w:vAlign w:val="center"/>
            <w:hideMark/>
          </w:tcPr>
          <w:p w14:paraId="5BB23B3C" w14:textId="77777777" w:rsidR="00D92327" w:rsidRPr="006F0048" w:rsidRDefault="00D92327" w:rsidP="00E32820">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noWrap/>
            <w:vAlign w:val="center"/>
            <w:hideMark/>
          </w:tcPr>
          <w:p w14:paraId="5F97559F" w14:textId="77777777" w:rsidR="00D92327" w:rsidRPr="006F0048" w:rsidRDefault="00D92327" w:rsidP="00E32820">
            <w:pPr>
              <w:jc w:val="center"/>
              <w:rPr>
                <w:rFonts w:ascii="Arial" w:hAnsi="Arial" w:cs="Arial"/>
                <w:color w:val="000000" w:themeColor="text1"/>
                <w:lang w:eastAsia="es-CR"/>
              </w:rPr>
            </w:pPr>
          </w:p>
        </w:tc>
      </w:tr>
      <w:tr w:rsidR="00D92327" w:rsidRPr="00E23FF7" w14:paraId="29E27D0E" w14:textId="77777777" w:rsidTr="00E32820">
        <w:trPr>
          <w:trHeight w:val="1755"/>
        </w:trPr>
        <w:tc>
          <w:tcPr>
            <w:tcW w:w="4248" w:type="dxa"/>
            <w:tcBorders>
              <w:top w:val="nil"/>
              <w:left w:val="single" w:sz="4" w:space="0" w:color="auto"/>
              <w:bottom w:val="single" w:sz="4" w:space="0" w:color="auto"/>
              <w:right w:val="nil"/>
            </w:tcBorders>
            <w:shd w:val="clear" w:color="000000" w:fill="FFFFFF"/>
          </w:tcPr>
          <w:p w14:paraId="1C6113FD"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lastRenderedPageBreak/>
              <w:t>Colocación con sobresuscripción:  El día hábil siguiente a la colocación, el emisor deberá remitir un Comunicado de Hecho Relevante informando sobre la sobresuscripción efectuada, con la indicación expresa del nombre de la serie, monto colocado en exceso al nominal de la emisión, así como el monto nominal de la serie antes y después de la sobresuscripción.</w:t>
            </w:r>
          </w:p>
        </w:tc>
        <w:tc>
          <w:tcPr>
            <w:tcW w:w="1417" w:type="dxa"/>
            <w:tcBorders>
              <w:top w:val="nil"/>
              <w:left w:val="single" w:sz="4" w:space="0" w:color="auto"/>
              <w:bottom w:val="single" w:sz="4" w:space="0" w:color="auto"/>
              <w:right w:val="single" w:sz="4" w:space="0" w:color="auto"/>
            </w:tcBorders>
            <w:shd w:val="clear" w:color="auto" w:fill="auto"/>
            <w:vAlign w:val="center"/>
          </w:tcPr>
          <w:p w14:paraId="53489D56"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noWrap/>
            <w:vAlign w:val="center"/>
          </w:tcPr>
          <w:p w14:paraId="23C8D093" w14:textId="77777777" w:rsidR="00D92327" w:rsidRPr="006F0048" w:rsidRDefault="00D92327" w:rsidP="00E32820">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noWrap/>
            <w:vAlign w:val="center"/>
          </w:tcPr>
          <w:p w14:paraId="69F65331" w14:textId="77777777" w:rsidR="00D92327" w:rsidRPr="006F0048" w:rsidRDefault="00D92327" w:rsidP="00E32820">
            <w:pPr>
              <w:jc w:val="center"/>
              <w:rPr>
                <w:rFonts w:ascii="Arial" w:hAnsi="Arial" w:cs="Arial"/>
                <w:color w:val="000000" w:themeColor="text1"/>
                <w:lang w:eastAsia="es-CR"/>
              </w:rPr>
            </w:pPr>
          </w:p>
        </w:tc>
      </w:tr>
      <w:tr w:rsidR="00D92327" w:rsidRPr="00E23FF7" w14:paraId="20E1E368" w14:textId="77777777" w:rsidTr="00E32820">
        <w:trPr>
          <w:trHeight w:val="1665"/>
        </w:trPr>
        <w:tc>
          <w:tcPr>
            <w:tcW w:w="4248" w:type="dxa"/>
            <w:tcBorders>
              <w:top w:val="nil"/>
              <w:left w:val="single" w:sz="4" w:space="0" w:color="auto"/>
              <w:bottom w:val="single" w:sz="4" w:space="0" w:color="auto"/>
              <w:right w:val="nil"/>
            </w:tcBorders>
            <w:shd w:val="clear" w:color="auto" w:fill="auto"/>
          </w:tcPr>
          <w:p w14:paraId="70E45E65"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Redención anticipada o de conversión de </w:t>
            </w:r>
            <w:proofErr w:type="gramStart"/>
            <w:r w:rsidRPr="006E491B">
              <w:rPr>
                <w:rFonts w:ascii="Arial" w:hAnsi="Arial" w:cs="Arial"/>
                <w:color w:val="000000" w:themeColor="text1"/>
              </w:rPr>
              <w:t>una  emisión</w:t>
            </w:r>
            <w:proofErr w:type="gramEnd"/>
            <w:r w:rsidRPr="006E491B">
              <w:rPr>
                <w:rFonts w:ascii="Arial" w:hAnsi="Arial" w:cs="Arial"/>
                <w:color w:val="000000" w:themeColor="text1"/>
              </w:rPr>
              <w:t xml:space="preserve"> (1.58), en caso de que las emisiones cuenten con dicha opción y esta se ejecute, a más tardar el día hábil siguiente a la fecha de redención, con indicación de: el nombre de la emisión, la fecha de ejecución de la redención, el monto redimido y el saldo en circulación después de ejecutada la redención.</w:t>
            </w:r>
          </w:p>
        </w:tc>
        <w:tc>
          <w:tcPr>
            <w:tcW w:w="1417" w:type="dxa"/>
            <w:tcBorders>
              <w:top w:val="nil"/>
              <w:left w:val="single" w:sz="4" w:space="0" w:color="auto"/>
              <w:bottom w:val="single" w:sz="4" w:space="0" w:color="auto"/>
              <w:right w:val="single" w:sz="4" w:space="0" w:color="auto"/>
            </w:tcBorders>
            <w:shd w:val="clear" w:color="auto" w:fill="auto"/>
            <w:vAlign w:val="center"/>
          </w:tcPr>
          <w:p w14:paraId="04064081"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noWrap/>
            <w:vAlign w:val="center"/>
          </w:tcPr>
          <w:p w14:paraId="7EE5596B" w14:textId="77777777" w:rsidR="00D92327" w:rsidRPr="006F0048" w:rsidRDefault="00D92327" w:rsidP="00E32820">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noWrap/>
            <w:vAlign w:val="center"/>
          </w:tcPr>
          <w:p w14:paraId="3FA465CB" w14:textId="77777777" w:rsidR="00D92327" w:rsidRPr="006F0048" w:rsidRDefault="00D92327" w:rsidP="00E32820">
            <w:pPr>
              <w:jc w:val="center"/>
              <w:rPr>
                <w:rFonts w:ascii="Arial" w:hAnsi="Arial" w:cs="Arial"/>
                <w:color w:val="000000" w:themeColor="text1"/>
                <w:lang w:eastAsia="es-CR"/>
              </w:rPr>
            </w:pPr>
          </w:p>
        </w:tc>
      </w:tr>
      <w:tr w:rsidR="00D92327" w:rsidRPr="00E23FF7" w14:paraId="09547DE7" w14:textId="77777777" w:rsidTr="00E32820">
        <w:trPr>
          <w:trHeight w:val="735"/>
        </w:trPr>
        <w:tc>
          <w:tcPr>
            <w:tcW w:w="4248" w:type="dxa"/>
            <w:tcBorders>
              <w:top w:val="nil"/>
              <w:left w:val="single" w:sz="4" w:space="0" w:color="auto"/>
              <w:bottom w:val="single" w:sz="4" w:space="0" w:color="auto"/>
              <w:right w:val="nil"/>
            </w:tcBorders>
            <w:shd w:val="clear" w:color="000000" w:fill="FFFFFF"/>
          </w:tcPr>
          <w:p w14:paraId="14DDCB46"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Subastas de emisiones autorizadas que sean declaradas desiertas, identificando el motivo. </w:t>
            </w:r>
          </w:p>
        </w:tc>
        <w:tc>
          <w:tcPr>
            <w:tcW w:w="1417" w:type="dxa"/>
            <w:tcBorders>
              <w:top w:val="nil"/>
              <w:left w:val="single" w:sz="4" w:space="0" w:color="auto"/>
              <w:bottom w:val="single" w:sz="4" w:space="0" w:color="auto"/>
              <w:right w:val="single" w:sz="4" w:space="0" w:color="auto"/>
            </w:tcBorders>
            <w:shd w:val="clear" w:color="auto" w:fill="auto"/>
            <w:vAlign w:val="center"/>
          </w:tcPr>
          <w:p w14:paraId="1BCC02A4"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noWrap/>
            <w:vAlign w:val="center"/>
          </w:tcPr>
          <w:p w14:paraId="7C8E089E" w14:textId="77777777" w:rsidR="00D92327" w:rsidRPr="006F0048" w:rsidRDefault="00D92327" w:rsidP="00E32820">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noWrap/>
            <w:vAlign w:val="center"/>
          </w:tcPr>
          <w:p w14:paraId="6FED9AB1" w14:textId="77777777" w:rsidR="00D92327" w:rsidRPr="006F0048" w:rsidRDefault="00D92327" w:rsidP="00E32820">
            <w:pPr>
              <w:jc w:val="center"/>
              <w:rPr>
                <w:rFonts w:ascii="Arial" w:hAnsi="Arial" w:cs="Arial"/>
                <w:color w:val="000000" w:themeColor="text1"/>
                <w:lang w:eastAsia="es-CR"/>
              </w:rPr>
            </w:pPr>
          </w:p>
        </w:tc>
      </w:tr>
      <w:tr w:rsidR="00D92327" w:rsidRPr="00E23FF7" w14:paraId="1522C8F0" w14:textId="77777777" w:rsidTr="00E32820">
        <w:trPr>
          <w:trHeight w:val="810"/>
        </w:trPr>
        <w:tc>
          <w:tcPr>
            <w:tcW w:w="4248" w:type="dxa"/>
            <w:tcBorders>
              <w:top w:val="nil"/>
              <w:left w:val="single" w:sz="4" w:space="0" w:color="auto"/>
              <w:bottom w:val="single" w:sz="4" w:space="0" w:color="auto"/>
              <w:right w:val="nil"/>
            </w:tcBorders>
            <w:shd w:val="clear" w:color="auto" w:fill="auto"/>
          </w:tcPr>
          <w:p w14:paraId="096EB54D"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Amortizar una emisión. Este punto aplica cuando la fecha de la amortización no se encuentra establecida como parte de las características de la emisión. </w:t>
            </w:r>
          </w:p>
        </w:tc>
        <w:tc>
          <w:tcPr>
            <w:tcW w:w="1417" w:type="dxa"/>
            <w:tcBorders>
              <w:top w:val="nil"/>
              <w:left w:val="single" w:sz="4" w:space="0" w:color="auto"/>
              <w:bottom w:val="single" w:sz="4" w:space="0" w:color="auto"/>
              <w:right w:val="single" w:sz="4" w:space="0" w:color="auto"/>
            </w:tcBorders>
            <w:shd w:val="clear" w:color="auto" w:fill="auto"/>
            <w:vAlign w:val="center"/>
          </w:tcPr>
          <w:p w14:paraId="772E0F28"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noWrap/>
            <w:vAlign w:val="center"/>
          </w:tcPr>
          <w:p w14:paraId="3D08569C" w14:textId="77777777" w:rsidR="00D92327" w:rsidRPr="006F0048" w:rsidRDefault="00D92327" w:rsidP="00E32820">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noWrap/>
            <w:vAlign w:val="center"/>
          </w:tcPr>
          <w:p w14:paraId="03EF79DD" w14:textId="77777777" w:rsidR="00D92327" w:rsidRPr="006F0048" w:rsidRDefault="00D92327" w:rsidP="00E32820">
            <w:pPr>
              <w:jc w:val="center"/>
              <w:rPr>
                <w:rFonts w:ascii="Arial" w:hAnsi="Arial" w:cs="Arial"/>
                <w:color w:val="000000" w:themeColor="text1"/>
                <w:lang w:eastAsia="es-CR"/>
              </w:rPr>
            </w:pPr>
          </w:p>
        </w:tc>
      </w:tr>
      <w:tr w:rsidR="00D92327" w:rsidRPr="00E23FF7" w14:paraId="2431939A" w14:textId="77777777" w:rsidTr="00E32820">
        <w:trPr>
          <w:trHeight w:val="420"/>
        </w:trPr>
        <w:tc>
          <w:tcPr>
            <w:tcW w:w="4248" w:type="dxa"/>
            <w:tcBorders>
              <w:top w:val="nil"/>
              <w:left w:val="single" w:sz="4" w:space="0" w:color="auto"/>
              <w:bottom w:val="single" w:sz="4" w:space="0" w:color="auto"/>
              <w:right w:val="nil"/>
            </w:tcBorders>
            <w:shd w:val="clear" w:color="auto" w:fill="auto"/>
          </w:tcPr>
          <w:p w14:paraId="728354C2"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Cambios en el tratamiento tributario de las emisiones.</w:t>
            </w:r>
          </w:p>
        </w:tc>
        <w:tc>
          <w:tcPr>
            <w:tcW w:w="1417" w:type="dxa"/>
            <w:tcBorders>
              <w:top w:val="nil"/>
              <w:left w:val="single" w:sz="4" w:space="0" w:color="auto"/>
              <w:bottom w:val="single" w:sz="4" w:space="0" w:color="auto"/>
              <w:right w:val="single" w:sz="4" w:space="0" w:color="auto"/>
            </w:tcBorders>
            <w:shd w:val="clear" w:color="auto" w:fill="auto"/>
            <w:vAlign w:val="center"/>
          </w:tcPr>
          <w:p w14:paraId="335791CF"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000000" w:fill="FFFFFF"/>
            <w:vAlign w:val="center"/>
          </w:tcPr>
          <w:p w14:paraId="41818B70"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21CF2E57" w14:textId="77777777" w:rsidR="00D92327" w:rsidRPr="006F0048" w:rsidRDefault="00D92327" w:rsidP="00E32820">
            <w:pPr>
              <w:jc w:val="center"/>
              <w:rPr>
                <w:rFonts w:ascii="Arial" w:hAnsi="Arial" w:cs="Arial"/>
                <w:color w:val="000000" w:themeColor="text1"/>
                <w:lang w:eastAsia="es-CR"/>
              </w:rPr>
            </w:pPr>
          </w:p>
        </w:tc>
      </w:tr>
      <w:tr w:rsidR="00D92327" w:rsidRPr="00E23FF7" w14:paraId="7A501894" w14:textId="77777777" w:rsidTr="00E32820">
        <w:trPr>
          <w:trHeight w:val="690"/>
        </w:trPr>
        <w:tc>
          <w:tcPr>
            <w:tcW w:w="4248" w:type="dxa"/>
            <w:tcBorders>
              <w:top w:val="nil"/>
              <w:left w:val="single" w:sz="4" w:space="0" w:color="auto"/>
              <w:bottom w:val="single" w:sz="4" w:space="0" w:color="auto"/>
              <w:right w:val="single" w:sz="4" w:space="0" w:color="auto"/>
            </w:tcBorders>
            <w:shd w:val="clear" w:color="auto" w:fill="auto"/>
          </w:tcPr>
          <w:p w14:paraId="1CF8462D"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 La creación de un programa de creadores de mercado, los participantes y los valores sujetos al programa.</w:t>
            </w:r>
          </w:p>
        </w:tc>
        <w:tc>
          <w:tcPr>
            <w:tcW w:w="1417" w:type="dxa"/>
            <w:tcBorders>
              <w:top w:val="nil"/>
              <w:left w:val="nil"/>
              <w:bottom w:val="single" w:sz="4" w:space="0" w:color="auto"/>
              <w:right w:val="single" w:sz="4" w:space="0" w:color="auto"/>
            </w:tcBorders>
            <w:shd w:val="clear" w:color="auto" w:fill="auto"/>
            <w:vAlign w:val="center"/>
          </w:tcPr>
          <w:p w14:paraId="7BA8EDE8"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1ABBDB03" w14:textId="77777777" w:rsidR="00D92327" w:rsidRPr="006F0048" w:rsidRDefault="00D92327" w:rsidP="00E32820">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noWrap/>
            <w:vAlign w:val="center"/>
          </w:tcPr>
          <w:p w14:paraId="33CDD423" w14:textId="77777777" w:rsidR="00D92327" w:rsidRPr="006F0048" w:rsidRDefault="00D92327" w:rsidP="00E32820">
            <w:pPr>
              <w:jc w:val="center"/>
              <w:rPr>
                <w:rFonts w:ascii="Arial" w:hAnsi="Arial" w:cs="Arial"/>
                <w:color w:val="000000" w:themeColor="text1"/>
                <w:lang w:eastAsia="es-CR"/>
              </w:rPr>
            </w:pPr>
          </w:p>
        </w:tc>
      </w:tr>
      <w:tr w:rsidR="00D92327" w:rsidRPr="00E23FF7" w14:paraId="59698C84" w14:textId="77777777" w:rsidTr="00E32820">
        <w:trPr>
          <w:trHeight w:val="1020"/>
        </w:trPr>
        <w:tc>
          <w:tcPr>
            <w:tcW w:w="4248" w:type="dxa"/>
            <w:tcBorders>
              <w:top w:val="nil"/>
              <w:left w:val="single" w:sz="4" w:space="0" w:color="auto"/>
              <w:bottom w:val="single" w:sz="4" w:space="0" w:color="auto"/>
              <w:right w:val="single" w:sz="4" w:space="0" w:color="auto"/>
            </w:tcBorders>
            <w:shd w:val="clear" w:color="auto" w:fill="auto"/>
          </w:tcPr>
          <w:p w14:paraId="6DCBEC1C"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Incumplimiento de las reglas de protección y términos de las garantías ofrecidas en el prospecto informativo, así como los planes de acción para subsanar la situación. </w:t>
            </w:r>
          </w:p>
        </w:tc>
        <w:tc>
          <w:tcPr>
            <w:tcW w:w="1417" w:type="dxa"/>
            <w:tcBorders>
              <w:top w:val="nil"/>
              <w:left w:val="nil"/>
              <w:bottom w:val="single" w:sz="4" w:space="0" w:color="auto"/>
              <w:right w:val="single" w:sz="4" w:space="0" w:color="auto"/>
            </w:tcBorders>
            <w:shd w:val="clear" w:color="auto" w:fill="auto"/>
            <w:vAlign w:val="center"/>
          </w:tcPr>
          <w:p w14:paraId="432DE23C"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524CFF92"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6EF573D4" w14:textId="77777777" w:rsidR="00D92327" w:rsidRPr="006F0048" w:rsidRDefault="00D92327" w:rsidP="00E32820">
            <w:pPr>
              <w:jc w:val="center"/>
              <w:rPr>
                <w:rFonts w:ascii="Arial" w:hAnsi="Arial" w:cs="Arial"/>
                <w:color w:val="000000" w:themeColor="text1"/>
                <w:lang w:eastAsia="es-CR"/>
              </w:rPr>
            </w:pPr>
          </w:p>
        </w:tc>
      </w:tr>
      <w:tr w:rsidR="00D92327" w:rsidRPr="00E23FF7" w14:paraId="5555C7D8" w14:textId="77777777" w:rsidTr="00E32820">
        <w:trPr>
          <w:trHeight w:val="720"/>
        </w:trPr>
        <w:tc>
          <w:tcPr>
            <w:tcW w:w="4248" w:type="dxa"/>
            <w:tcBorders>
              <w:top w:val="nil"/>
              <w:left w:val="single" w:sz="4" w:space="0" w:color="auto"/>
              <w:bottom w:val="single" w:sz="4" w:space="0" w:color="auto"/>
              <w:right w:val="single" w:sz="4" w:space="0" w:color="auto"/>
            </w:tcBorders>
            <w:shd w:val="clear" w:color="auto" w:fill="auto"/>
          </w:tcPr>
          <w:p w14:paraId="41409193"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Cualquier cambio en las comisiones cobradas al fondo de inversión, dentro de las bandas establecidas en el prospecto. </w:t>
            </w:r>
          </w:p>
        </w:tc>
        <w:tc>
          <w:tcPr>
            <w:tcW w:w="1417" w:type="dxa"/>
            <w:tcBorders>
              <w:top w:val="nil"/>
              <w:left w:val="nil"/>
              <w:bottom w:val="single" w:sz="4" w:space="0" w:color="auto"/>
              <w:right w:val="single" w:sz="4" w:space="0" w:color="auto"/>
            </w:tcBorders>
            <w:shd w:val="clear" w:color="auto" w:fill="auto"/>
            <w:vAlign w:val="center"/>
          </w:tcPr>
          <w:p w14:paraId="651D8446"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38686365"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17B9FE19" w14:textId="77777777" w:rsidR="00D92327" w:rsidRPr="006F0048" w:rsidRDefault="00D92327" w:rsidP="00E32820">
            <w:pPr>
              <w:jc w:val="center"/>
              <w:rPr>
                <w:rFonts w:ascii="Arial" w:hAnsi="Arial" w:cs="Arial"/>
                <w:color w:val="000000" w:themeColor="text1"/>
                <w:lang w:eastAsia="es-CR"/>
              </w:rPr>
            </w:pPr>
          </w:p>
        </w:tc>
      </w:tr>
      <w:tr w:rsidR="00D92327" w:rsidRPr="00E23FF7" w14:paraId="42F02661" w14:textId="77777777" w:rsidTr="00E32820">
        <w:trPr>
          <w:trHeight w:val="720"/>
        </w:trPr>
        <w:tc>
          <w:tcPr>
            <w:tcW w:w="4248" w:type="dxa"/>
            <w:tcBorders>
              <w:top w:val="nil"/>
              <w:left w:val="single" w:sz="4" w:space="0" w:color="auto"/>
              <w:bottom w:val="single" w:sz="4" w:space="0" w:color="auto"/>
              <w:right w:val="single" w:sz="4" w:space="0" w:color="auto"/>
            </w:tcBorders>
            <w:shd w:val="clear" w:color="000000" w:fill="FFFFFF"/>
          </w:tcPr>
          <w:p w14:paraId="56E07D3D"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Suspensión de la suscripción o reembolso de las participaciones de fondos de inversión.</w:t>
            </w:r>
          </w:p>
        </w:tc>
        <w:tc>
          <w:tcPr>
            <w:tcW w:w="1417" w:type="dxa"/>
            <w:tcBorders>
              <w:top w:val="nil"/>
              <w:left w:val="nil"/>
              <w:bottom w:val="single" w:sz="4" w:space="0" w:color="auto"/>
              <w:right w:val="single" w:sz="4" w:space="0" w:color="auto"/>
            </w:tcBorders>
            <w:shd w:val="clear" w:color="auto" w:fill="auto"/>
            <w:vAlign w:val="center"/>
          </w:tcPr>
          <w:p w14:paraId="7D3169D8"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6BB677C1"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521D23B8" w14:textId="77777777" w:rsidR="00D92327" w:rsidRPr="006F0048" w:rsidRDefault="00D92327" w:rsidP="00E32820">
            <w:pPr>
              <w:jc w:val="center"/>
              <w:rPr>
                <w:rFonts w:ascii="Arial" w:hAnsi="Arial" w:cs="Arial"/>
                <w:color w:val="000000" w:themeColor="text1"/>
                <w:lang w:eastAsia="es-CR"/>
              </w:rPr>
            </w:pPr>
          </w:p>
        </w:tc>
      </w:tr>
      <w:tr w:rsidR="00D92327" w:rsidRPr="00E23FF7" w14:paraId="0E34EAA7" w14:textId="77777777" w:rsidTr="00E32820">
        <w:trPr>
          <w:trHeight w:val="720"/>
        </w:trPr>
        <w:tc>
          <w:tcPr>
            <w:tcW w:w="4248" w:type="dxa"/>
            <w:tcBorders>
              <w:top w:val="nil"/>
              <w:left w:val="single" w:sz="4" w:space="0" w:color="auto"/>
              <w:bottom w:val="single" w:sz="4" w:space="0" w:color="auto"/>
              <w:right w:val="single" w:sz="4" w:space="0" w:color="auto"/>
            </w:tcBorders>
            <w:shd w:val="clear" w:color="000000" w:fill="FFFFFF"/>
          </w:tcPr>
          <w:p w14:paraId="11FD3D98" w14:textId="77777777" w:rsidR="00D92327" w:rsidRPr="006E491B" w:rsidRDefault="00D92327" w:rsidP="00E32820">
            <w:pPr>
              <w:jc w:val="both"/>
              <w:rPr>
                <w:rFonts w:ascii="Arial" w:hAnsi="Arial" w:cs="Arial"/>
                <w:color w:val="000000" w:themeColor="text1"/>
              </w:rPr>
            </w:pPr>
            <w:r w:rsidRPr="006E491B">
              <w:rPr>
                <w:rFonts w:ascii="Arial" w:hAnsi="Arial" w:cs="Arial"/>
                <w:color w:val="000000" w:themeColor="text1"/>
              </w:rPr>
              <w:t xml:space="preserve">Plazo para acatamiento de porcentajes definidos en el Prospecto de inversión: a) informar si el proceso de corrección para ajustarse a los límites establecidos en la política de inversión del prospecto requerirá de un plazo superior a diez días; b) informar si no se alcanzan los porcentajes de diversificación de activos y </w:t>
            </w:r>
            <w:r w:rsidRPr="006E491B">
              <w:rPr>
                <w:rFonts w:ascii="Arial" w:hAnsi="Arial" w:cs="Arial"/>
                <w:color w:val="000000" w:themeColor="text1"/>
              </w:rPr>
              <w:lastRenderedPageBreak/>
              <w:t>de ingresos de fondos inmobiliarios en el plazo indicado en la normativa.</w:t>
            </w:r>
          </w:p>
        </w:tc>
        <w:tc>
          <w:tcPr>
            <w:tcW w:w="1417" w:type="dxa"/>
            <w:tcBorders>
              <w:top w:val="nil"/>
              <w:left w:val="nil"/>
              <w:bottom w:val="single" w:sz="4" w:space="0" w:color="auto"/>
              <w:right w:val="single" w:sz="4" w:space="0" w:color="auto"/>
            </w:tcBorders>
            <w:shd w:val="clear" w:color="auto" w:fill="auto"/>
            <w:vAlign w:val="center"/>
          </w:tcPr>
          <w:p w14:paraId="3B30A857"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54B6ED51" w14:textId="77777777" w:rsidR="00D92327" w:rsidRPr="006F0048" w:rsidRDefault="00D92327" w:rsidP="00E32820">
            <w:pPr>
              <w:jc w:val="center"/>
              <w:rPr>
                <w:color w:val="000000" w:themeColor="text1"/>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08BB22DB" w14:textId="77777777" w:rsidR="00D92327" w:rsidRPr="006F0048" w:rsidRDefault="00D92327" w:rsidP="00E32820">
            <w:pPr>
              <w:jc w:val="center"/>
              <w:rPr>
                <w:rFonts w:ascii="Arial" w:hAnsi="Arial" w:cs="Arial"/>
                <w:color w:val="000000" w:themeColor="text1"/>
                <w:lang w:eastAsia="es-CR"/>
              </w:rPr>
            </w:pPr>
          </w:p>
        </w:tc>
      </w:tr>
      <w:tr w:rsidR="00D92327" w:rsidRPr="00E23FF7" w14:paraId="0F218ED7" w14:textId="77777777" w:rsidTr="00E32820">
        <w:trPr>
          <w:trHeight w:val="720"/>
        </w:trPr>
        <w:tc>
          <w:tcPr>
            <w:tcW w:w="4248" w:type="dxa"/>
            <w:tcBorders>
              <w:top w:val="nil"/>
              <w:left w:val="single" w:sz="4" w:space="0" w:color="auto"/>
              <w:bottom w:val="single" w:sz="4" w:space="0" w:color="auto"/>
              <w:right w:val="single" w:sz="4" w:space="0" w:color="auto"/>
            </w:tcBorders>
            <w:shd w:val="clear" w:color="000000" w:fill="FFFFFF"/>
          </w:tcPr>
          <w:p w14:paraId="1F1AB9E6" w14:textId="77777777" w:rsidR="00D92327" w:rsidRPr="006E491B" w:rsidRDefault="00D92327" w:rsidP="00E32820">
            <w:pPr>
              <w:jc w:val="both"/>
              <w:rPr>
                <w:rFonts w:ascii="Arial" w:hAnsi="Arial" w:cs="Arial"/>
                <w:color w:val="000000" w:themeColor="text1"/>
              </w:rPr>
            </w:pPr>
            <w:r w:rsidRPr="006E491B">
              <w:rPr>
                <w:rFonts w:ascii="Arial" w:hAnsi="Arial" w:cs="Arial"/>
                <w:color w:val="000000" w:themeColor="text1"/>
              </w:rPr>
              <w:t>Pérdida de la denominación verde social o sostenible de una emisión, programa de emisiones o fondos de inversión, que incluya las razones por las cuales perdió su denominación.</w:t>
            </w:r>
          </w:p>
        </w:tc>
        <w:tc>
          <w:tcPr>
            <w:tcW w:w="1417" w:type="dxa"/>
            <w:tcBorders>
              <w:top w:val="nil"/>
              <w:left w:val="nil"/>
              <w:bottom w:val="single" w:sz="4" w:space="0" w:color="auto"/>
              <w:right w:val="single" w:sz="4" w:space="0" w:color="auto"/>
            </w:tcBorders>
            <w:shd w:val="clear" w:color="auto" w:fill="auto"/>
            <w:vAlign w:val="center"/>
          </w:tcPr>
          <w:p w14:paraId="5F5A6CFE"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2B142E35" w14:textId="77777777" w:rsidR="00D92327" w:rsidRPr="006F0048" w:rsidRDefault="00D92327" w:rsidP="00E32820">
            <w:pPr>
              <w:jc w:val="center"/>
              <w:rPr>
                <w:color w:val="000000" w:themeColor="text1"/>
              </w:rPr>
            </w:pPr>
            <w:r w:rsidRPr="006F0048">
              <w:rPr>
                <w:color w:val="000000" w:themeColor="text1"/>
              </w:rPr>
              <w:t>X (fondo de inversión)</w:t>
            </w:r>
          </w:p>
        </w:tc>
        <w:tc>
          <w:tcPr>
            <w:tcW w:w="1779" w:type="dxa"/>
            <w:tcBorders>
              <w:top w:val="nil"/>
              <w:left w:val="nil"/>
              <w:bottom w:val="single" w:sz="4" w:space="0" w:color="auto"/>
              <w:right w:val="single" w:sz="4" w:space="0" w:color="auto"/>
            </w:tcBorders>
            <w:shd w:val="clear" w:color="auto" w:fill="auto"/>
            <w:noWrap/>
            <w:vAlign w:val="center"/>
          </w:tcPr>
          <w:p w14:paraId="403D6A3D" w14:textId="77777777" w:rsidR="00D92327" w:rsidRPr="006F0048" w:rsidRDefault="00D92327" w:rsidP="00E32820">
            <w:pPr>
              <w:jc w:val="center"/>
              <w:rPr>
                <w:rFonts w:ascii="Arial" w:hAnsi="Arial" w:cs="Arial"/>
                <w:color w:val="000000" w:themeColor="text1"/>
                <w:lang w:eastAsia="es-CR"/>
              </w:rPr>
            </w:pPr>
          </w:p>
        </w:tc>
      </w:tr>
      <w:tr w:rsidR="00D92327" w:rsidRPr="00E23FF7" w14:paraId="7877347A" w14:textId="77777777" w:rsidTr="00E32820">
        <w:trPr>
          <w:trHeight w:val="720"/>
        </w:trPr>
        <w:tc>
          <w:tcPr>
            <w:tcW w:w="4248" w:type="dxa"/>
            <w:tcBorders>
              <w:top w:val="nil"/>
              <w:left w:val="single" w:sz="4" w:space="0" w:color="auto"/>
              <w:bottom w:val="single" w:sz="4" w:space="0" w:color="auto"/>
              <w:right w:val="single" w:sz="4" w:space="0" w:color="auto"/>
            </w:tcBorders>
            <w:shd w:val="clear" w:color="000000" w:fill="FFFFFF"/>
          </w:tcPr>
          <w:p w14:paraId="15717811" w14:textId="77777777" w:rsidR="00D92327" w:rsidRPr="006E491B" w:rsidRDefault="00D92327" w:rsidP="00E32820">
            <w:pPr>
              <w:jc w:val="both"/>
              <w:rPr>
                <w:rFonts w:ascii="Arial" w:hAnsi="Arial" w:cs="Arial"/>
                <w:color w:val="000000" w:themeColor="text1"/>
              </w:rPr>
            </w:pPr>
            <w:proofErr w:type="spellStart"/>
            <w:r w:rsidRPr="006E491B">
              <w:rPr>
                <w:rFonts w:ascii="Arial" w:hAnsi="Arial" w:cs="Arial"/>
                <w:color w:val="000000" w:themeColor="text1"/>
              </w:rPr>
              <w:t>Desinscripción</w:t>
            </w:r>
            <w:proofErr w:type="spellEnd"/>
            <w:r w:rsidRPr="006E491B">
              <w:rPr>
                <w:rFonts w:ascii="Arial" w:hAnsi="Arial" w:cs="Arial"/>
                <w:color w:val="000000" w:themeColor="text1"/>
              </w:rPr>
              <w:t xml:space="preserve"> de un </w:t>
            </w:r>
            <w:proofErr w:type="gramStart"/>
            <w:r w:rsidRPr="006E491B">
              <w:rPr>
                <w:rFonts w:ascii="Arial" w:hAnsi="Arial" w:cs="Arial"/>
                <w:color w:val="000000" w:themeColor="text1"/>
              </w:rPr>
              <w:t>fondos abierto</w:t>
            </w:r>
            <w:proofErr w:type="gramEnd"/>
            <w:r w:rsidRPr="006E491B">
              <w:rPr>
                <w:rFonts w:ascii="Arial" w:hAnsi="Arial" w:cs="Arial"/>
                <w:color w:val="000000" w:themeColor="text1"/>
              </w:rPr>
              <w:t xml:space="preserve">: informar de la decisión de la junta directiva. </w:t>
            </w:r>
          </w:p>
        </w:tc>
        <w:tc>
          <w:tcPr>
            <w:tcW w:w="1417" w:type="dxa"/>
            <w:tcBorders>
              <w:top w:val="nil"/>
              <w:left w:val="nil"/>
              <w:bottom w:val="single" w:sz="4" w:space="0" w:color="auto"/>
              <w:right w:val="single" w:sz="4" w:space="0" w:color="auto"/>
            </w:tcBorders>
            <w:shd w:val="clear" w:color="auto" w:fill="auto"/>
            <w:vAlign w:val="center"/>
          </w:tcPr>
          <w:p w14:paraId="3D17F33A"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5ADAC3BF" w14:textId="77777777" w:rsidR="00D92327" w:rsidRPr="006F0048" w:rsidRDefault="00D92327" w:rsidP="00E32820">
            <w:pPr>
              <w:jc w:val="center"/>
              <w:rPr>
                <w:color w:val="000000" w:themeColor="text1"/>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159461C3" w14:textId="77777777" w:rsidR="00D92327" w:rsidRPr="006F0048" w:rsidRDefault="00D92327" w:rsidP="00E32820">
            <w:pPr>
              <w:jc w:val="center"/>
              <w:rPr>
                <w:rFonts w:ascii="Arial" w:hAnsi="Arial" w:cs="Arial"/>
                <w:color w:val="000000" w:themeColor="text1"/>
                <w:lang w:eastAsia="es-CR"/>
              </w:rPr>
            </w:pPr>
          </w:p>
        </w:tc>
      </w:tr>
      <w:tr w:rsidR="00D92327" w:rsidRPr="00E23FF7" w14:paraId="32E9B1FF" w14:textId="77777777" w:rsidTr="00E32820">
        <w:trPr>
          <w:trHeight w:val="720"/>
        </w:trPr>
        <w:tc>
          <w:tcPr>
            <w:tcW w:w="4248" w:type="dxa"/>
            <w:tcBorders>
              <w:top w:val="nil"/>
              <w:left w:val="single" w:sz="4" w:space="0" w:color="auto"/>
              <w:bottom w:val="single" w:sz="4" w:space="0" w:color="auto"/>
              <w:right w:val="single" w:sz="4" w:space="0" w:color="auto"/>
            </w:tcBorders>
            <w:shd w:val="clear" w:color="000000" w:fill="FFFFFF"/>
          </w:tcPr>
          <w:p w14:paraId="102526D5" w14:textId="77777777" w:rsidR="00D92327" w:rsidRPr="006E491B" w:rsidRDefault="00D92327" w:rsidP="00E32820">
            <w:pPr>
              <w:jc w:val="both"/>
              <w:rPr>
                <w:rFonts w:ascii="Arial" w:hAnsi="Arial" w:cs="Arial"/>
                <w:color w:val="000000" w:themeColor="text1"/>
              </w:rPr>
            </w:pPr>
            <w:r w:rsidRPr="006E491B">
              <w:rPr>
                <w:rFonts w:ascii="Arial" w:hAnsi="Arial" w:cs="Arial"/>
                <w:color w:val="000000" w:themeColor="text1"/>
              </w:rPr>
              <w:t xml:space="preserve">Modificación a los mecanismos de </w:t>
            </w:r>
            <w:proofErr w:type="gramStart"/>
            <w:r w:rsidRPr="006E491B">
              <w:rPr>
                <w:rFonts w:ascii="Arial" w:hAnsi="Arial" w:cs="Arial"/>
                <w:color w:val="000000" w:themeColor="text1"/>
              </w:rPr>
              <w:t>colocación</w:t>
            </w:r>
            <w:proofErr w:type="gramEnd"/>
            <w:r w:rsidRPr="006E491B">
              <w:rPr>
                <w:rFonts w:ascii="Arial" w:hAnsi="Arial" w:cs="Arial"/>
                <w:color w:val="000000" w:themeColor="text1"/>
              </w:rPr>
              <w:t xml:space="preserve"> así como la incorporación o exclusión de la posibilidad de realizar colocaciones en mercados extranjeros. </w:t>
            </w:r>
          </w:p>
        </w:tc>
        <w:tc>
          <w:tcPr>
            <w:tcW w:w="1417" w:type="dxa"/>
            <w:tcBorders>
              <w:top w:val="nil"/>
              <w:left w:val="nil"/>
              <w:bottom w:val="single" w:sz="4" w:space="0" w:color="auto"/>
              <w:right w:val="single" w:sz="4" w:space="0" w:color="auto"/>
            </w:tcBorders>
            <w:shd w:val="clear" w:color="auto" w:fill="auto"/>
            <w:vAlign w:val="center"/>
          </w:tcPr>
          <w:p w14:paraId="7C4F6C40"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0DF8E045" w14:textId="77777777" w:rsidR="00D92327" w:rsidRPr="006F0048" w:rsidRDefault="00D92327" w:rsidP="00E32820">
            <w:pPr>
              <w:jc w:val="center"/>
              <w:rPr>
                <w:color w:val="000000" w:themeColor="text1"/>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1FC064DA" w14:textId="77777777" w:rsidR="00D92327" w:rsidRPr="006F0048" w:rsidRDefault="00D92327" w:rsidP="00E32820">
            <w:pPr>
              <w:jc w:val="center"/>
              <w:rPr>
                <w:rFonts w:ascii="Arial" w:hAnsi="Arial" w:cs="Arial"/>
                <w:color w:val="000000" w:themeColor="text1"/>
                <w:lang w:eastAsia="es-CR"/>
              </w:rPr>
            </w:pPr>
          </w:p>
        </w:tc>
      </w:tr>
      <w:tr w:rsidR="00D92327" w:rsidRPr="00E23FF7" w14:paraId="303C5415" w14:textId="77777777" w:rsidTr="00E32820">
        <w:trPr>
          <w:trHeight w:val="720"/>
        </w:trPr>
        <w:tc>
          <w:tcPr>
            <w:tcW w:w="4248" w:type="dxa"/>
            <w:tcBorders>
              <w:top w:val="nil"/>
              <w:left w:val="single" w:sz="4" w:space="0" w:color="auto"/>
              <w:bottom w:val="single" w:sz="4" w:space="0" w:color="auto"/>
              <w:right w:val="single" w:sz="4" w:space="0" w:color="auto"/>
            </w:tcBorders>
            <w:shd w:val="clear" w:color="000000" w:fill="FFFFFF"/>
          </w:tcPr>
          <w:p w14:paraId="4A5E6352" w14:textId="77777777" w:rsidR="00D92327" w:rsidRPr="006E491B" w:rsidRDefault="00D92327" w:rsidP="00E32820">
            <w:pPr>
              <w:jc w:val="both"/>
              <w:rPr>
                <w:rFonts w:ascii="Arial" w:hAnsi="Arial" w:cs="Arial"/>
                <w:color w:val="000000" w:themeColor="text1"/>
              </w:rPr>
            </w:pPr>
            <w:r w:rsidRPr="006E491B">
              <w:rPr>
                <w:rFonts w:ascii="Arial" w:hAnsi="Arial" w:cs="Arial"/>
                <w:color w:val="000000" w:themeColor="text1"/>
              </w:rPr>
              <w:t>Límites a la suscripción de nuevas participaciones: informar sobre la suspensión de suscripción de participaciones y la reapertura del fondo.</w:t>
            </w:r>
          </w:p>
        </w:tc>
        <w:tc>
          <w:tcPr>
            <w:tcW w:w="1417" w:type="dxa"/>
            <w:tcBorders>
              <w:top w:val="nil"/>
              <w:left w:val="nil"/>
              <w:bottom w:val="single" w:sz="4" w:space="0" w:color="auto"/>
              <w:right w:val="single" w:sz="4" w:space="0" w:color="auto"/>
            </w:tcBorders>
            <w:shd w:val="clear" w:color="auto" w:fill="auto"/>
            <w:vAlign w:val="center"/>
          </w:tcPr>
          <w:p w14:paraId="221518E8"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1E694723" w14:textId="77777777" w:rsidR="00D92327" w:rsidRPr="006F0048" w:rsidRDefault="00D92327" w:rsidP="00E32820">
            <w:pPr>
              <w:jc w:val="center"/>
              <w:rPr>
                <w:color w:val="000000" w:themeColor="text1"/>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47DACECC" w14:textId="77777777" w:rsidR="00D92327" w:rsidRPr="006F0048" w:rsidRDefault="00D92327" w:rsidP="00E32820">
            <w:pPr>
              <w:jc w:val="center"/>
              <w:rPr>
                <w:rFonts w:ascii="Arial" w:hAnsi="Arial" w:cs="Arial"/>
                <w:color w:val="000000" w:themeColor="text1"/>
                <w:lang w:eastAsia="es-CR"/>
              </w:rPr>
            </w:pPr>
          </w:p>
        </w:tc>
      </w:tr>
      <w:tr w:rsidR="00D92327" w:rsidRPr="00E23FF7" w14:paraId="3C68B654" w14:textId="77777777" w:rsidTr="00E32820">
        <w:trPr>
          <w:trHeight w:val="720"/>
        </w:trPr>
        <w:tc>
          <w:tcPr>
            <w:tcW w:w="4248" w:type="dxa"/>
            <w:tcBorders>
              <w:top w:val="nil"/>
              <w:left w:val="single" w:sz="4" w:space="0" w:color="auto"/>
              <w:bottom w:val="single" w:sz="4" w:space="0" w:color="auto"/>
              <w:right w:val="single" w:sz="4" w:space="0" w:color="auto"/>
            </w:tcBorders>
            <w:shd w:val="clear" w:color="000000" w:fill="FFFFFF"/>
          </w:tcPr>
          <w:p w14:paraId="157279A8" w14:textId="77777777" w:rsidR="00D92327" w:rsidRPr="006E491B" w:rsidRDefault="00D92327" w:rsidP="00E32820">
            <w:pPr>
              <w:jc w:val="both"/>
              <w:rPr>
                <w:rFonts w:ascii="Arial" w:hAnsi="Arial" w:cs="Arial"/>
                <w:color w:val="000000" w:themeColor="text1"/>
              </w:rPr>
            </w:pPr>
            <w:r w:rsidRPr="006E491B">
              <w:rPr>
                <w:rFonts w:ascii="Arial" w:hAnsi="Arial" w:cs="Arial"/>
                <w:color w:val="000000" w:themeColor="text1"/>
              </w:rPr>
              <w:t>Disminución del mínimo de inversión, aportes adicionales, saldo mínimo en la cuenta, inversión inicial.</w:t>
            </w:r>
          </w:p>
        </w:tc>
        <w:tc>
          <w:tcPr>
            <w:tcW w:w="1417" w:type="dxa"/>
            <w:tcBorders>
              <w:top w:val="nil"/>
              <w:left w:val="nil"/>
              <w:bottom w:val="single" w:sz="4" w:space="0" w:color="auto"/>
              <w:right w:val="single" w:sz="4" w:space="0" w:color="auto"/>
            </w:tcBorders>
            <w:shd w:val="clear" w:color="auto" w:fill="auto"/>
            <w:vAlign w:val="center"/>
          </w:tcPr>
          <w:p w14:paraId="63B1D535"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384D2E6B" w14:textId="77777777" w:rsidR="00D92327" w:rsidRPr="006F0048" w:rsidRDefault="00D92327" w:rsidP="00E32820">
            <w:pPr>
              <w:jc w:val="center"/>
              <w:rPr>
                <w:color w:val="000000" w:themeColor="text1"/>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03FA8263" w14:textId="77777777" w:rsidR="00D92327" w:rsidRPr="006F0048" w:rsidRDefault="00D92327" w:rsidP="00E32820">
            <w:pPr>
              <w:jc w:val="center"/>
              <w:rPr>
                <w:rFonts w:ascii="Arial" w:hAnsi="Arial" w:cs="Arial"/>
                <w:color w:val="000000" w:themeColor="text1"/>
                <w:lang w:eastAsia="es-CR"/>
              </w:rPr>
            </w:pPr>
          </w:p>
        </w:tc>
      </w:tr>
      <w:tr w:rsidR="00D92327" w:rsidRPr="00E23FF7" w14:paraId="43C623FE" w14:textId="77777777" w:rsidTr="00E32820">
        <w:trPr>
          <w:trHeight w:val="720"/>
        </w:trPr>
        <w:tc>
          <w:tcPr>
            <w:tcW w:w="4248" w:type="dxa"/>
            <w:tcBorders>
              <w:top w:val="nil"/>
              <w:left w:val="single" w:sz="4" w:space="0" w:color="auto"/>
              <w:bottom w:val="single" w:sz="4" w:space="0" w:color="auto"/>
              <w:right w:val="single" w:sz="4" w:space="0" w:color="auto"/>
            </w:tcBorders>
            <w:shd w:val="clear" w:color="000000" w:fill="FFFFFF"/>
          </w:tcPr>
          <w:p w14:paraId="18278E5B" w14:textId="77777777" w:rsidR="00D92327" w:rsidRPr="006E491B" w:rsidRDefault="00D92327" w:rsidP="00E32820">
            <w:pPr>
              <w:jc w:val="both"/>
              <w:rPr>
                <w:rFonts w:ascii="Arial" w:hAnsi="Arial" w:cs="Arial"/>
                <w:color w:val="000000" w:themeColor="text1"/>
              </w:rPr>
            </w:pPr>
            <w:proofErr w:type="spellStart"/>
            <w:r w:rsidRPr="006E491B">
              <w:rPr>
                <w:rFonts w:ascii="Arial" w:hAnsi="Arial" w:cs="Arial"/>
                <w:color w:val="000000" w:themeColor="text1"/>
              </w:rPr>
              <w:t>Desinscripción</w:t>
            </w:r>
            <w:proofErr w:type="spellEnd"/>
            <w:r w:rsidRPr="006E491B">
              <w:rPr>
                <w:rFonts w:ascii="Arial" w:hAnsi="Arial" w:cs="Arial"/>
                <w:color w:val="000000" w:themeColor="text1"/>
              </w:rPr>
              <w:t xml:space="preserve"> de emisiones sobre las cuales no se haya realizado colocación alguna dentro del plazo dispuesto </w:t>
            </w:r>
            <w:proofErr w:type="gramStart"/>
            <w:r w:rsidRPr="006E491B">
              <w:rPr>
                <w:rFonts w:ascii="Arial" w:hAnsi="Arial" w:cs="Arial"/>
                <w:color w:val="000000" w:themeColor="text1"/>
              </w:rPr>
              <w:t>o  programas</w:t>
            </w:r>
            <w:proofErr w:type="gramEnd"/>
            <w:r w:rsidRPr="006E491B">
              <w:rPr>
                <w:rFonts w:ascii="Arial" w:hAnsi="Arial" w:cs="Arial"/>
                <w:color w:val="000000" w:themeColor="text1"/>
              </w:rPr>
              <w:t xml:space="preserve"> que no hayan definido emisiones en el plazo establecido en la normativa</w:t>
            </w:r>
          </w:p>
        </w:tc>
        <w:tc>
          <w:tcPr>
            <w:tcW w:w="1417" w:type="dxa"/>
            <w:tcBorders>
              <w:top w:val="nil"/>
              <w:left w:val="nil"/>
              <w:bottom w:val="single" w:sz="4" w:space="0" w:color="auto"/>
              <w:right w:val="single" w:sz="4" w:space="0" w:color="auto"/>
            </w:tcBorders>
            <w:shd w:val="clear" w:color="auto" w:fill="auto"/>
            <w:vAlign w:val="center"/>
          </w:tcPr>
          <w:p w14:paraId="408D0ABB" w14:textId="77777777" w:rsidR="00D92327" w:rsidRPr="006F0048" w:rsidRDefault="00D92327" w:rsidP="00E32820">
            <w:pPr>
              <w:jc w:val="center"/>
              <w:rPr>
                <w:rFonts w:ascii="Arial" w:hAnsi="Arial" w:cs="Arial"/>
                <w:color w:val="000000" w:themeColor="text1"/>
                <w:lang w:eastAsia="es-CR"/>
              </w:rPr>
            </w:pPr>
            <w:r>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7DE18152" w14:textId="77777777" w:rsidR="00D92327" w:rsidRPr="006F0048" w:rsidRDefault="00D92327" w:rsidP="00E32820">
            <w:pPr>
              <w:jc w:val="center"/>
              <w:rPr>
                <w:color w:val="000000" w:themeColor="text1"/>
              </w:rPr>
            </w:pPr>
            <w:r>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4F2B1B60" w14:textId="77777777" w:rsidR="00D92327" w:rsidRPr="006F0048" w:rsidRDefault="00D92327" w:rsidP="00E32820">
            <w:pPr>
              <w:jc w:val="center"/>
              <w:rPr>
                <w:rFonts w:ascii="Arial" w:hAnsi="Arial" w:cs="Arial"/>
                <w:color w:val="000000" w:themeColor="text1"/>
                <w:lang w:eastAsia="es-CR"/>
              </w:rPr>
            </w:pPr>
          </w:p>
        </w:tc>
      </w:tr>
      <w:tr w:rsidR="00D92327" w:rsidRPr="00E23FF7" w14:paraId="4A9CEFDF" w14:textId="77777777" w:rsidTr="00E32820">
        <w:trPr>
          <w:trHeight w:val="780"/>
        </w:trPr>
        <w:tc>
          <w:tcPr>
            <w:tcW w:w="9145" w:type="dxa"/>
            <w:gridSpan w:val="4"/>
            <w:tcBorders>
              <w:top w:val="nil"/>
              <w:left w:val="single" w:sz="4" w:space="0" w:color="auto"/>
              <w:bottom w:val="single" w:sz="4" w:space="0" w:color="auto"/>
              <w:right w:val="single" w:sz="4" w:space="0" w:color="000000"/>
            </w:tcBorders>
            <w:shd w:val="clear" w:color="000000" w:fill="B4C6E7"/>
            <w:vAlign w:val="center"/>
            <w:hideMark/>
          </w:tcPr>
          <w:p w14:paraId="235F9341" w14:textId="77777777" w:rsidR="00D92327" w:rsidRPr="00E23FF7" w:rsidRDefault="00D92327" w:rsidP="00E32820">
            <w:pPr>
              <w:jc w:val="center"/>
              <w:rPr>
                <w:rFonts w:ascii="Arial" w:hAnsi="Arial" w:cs="Arial"/>
                <w:b/>
                <w:bCs/>
                <w:color w:val="0070C0"/>
                <w:lang w:eastAsia="es-CR"/>
              </w:rPr>
            </w:pPr>
            <w:r w:rsidRPr="00E23FF7">
              <w:rPr>
                <w:rFonts w:ascii="Arial" w:hAnsi="Arial" w:cs="Arial"/>
                <w:b/>
                <w:bCs/>
                <w:color w:val="0070C0"/>
                <w:lang w:eastAsia="es-CR"/>
              </w:rPr>
              <w:t>Prospecto</w:t>
            </w:r>
          </w:p>
          <w:p w14:paraId="24A0DF22" w14:textId="77777777" w:rsidR="00D92327" w:rsidRPr="00E23FF7" w:rsidRDefault="00D92327" w:rsidP="00E32820">
            <w:pPr>
              <w:jc w:val="center"/>
              <w:rPr>
                <w:rFonts w:ascii="Arial" w:hAnsi="Arial" w:cs="Arial"/>
                <w:color w:val="0070C0"/>
                <w:lang w:eastAsia="es-CR"/>
              </w:rPr>
            </w:pPr>
            <w:r w:rsidRPr="00E23FF7">
              <w:rPr>
                <w:rFonts w:ascii="Arial" w:hAnsi="Arial" w:cs="Arial"/>
                <w:color w:val="0070C0"/>
                <w:lang w:eastAsia="es-CR"/>
              </w:rPr>
              <w:t> </w:t>
            </w:r>
          </w:p>
        </w:tc>
      </w:tr>
      <w:tr w:rsidR="00D92327" w:rsidRPr="00E23FF7" w14:paraId="3C1ED94F" w14:textId="77777777" w:rsidTr="00E32820">
        <w:trPr>
          <w:trHeight w:val="1680"/>
        </w:trPr>
        <w:tc>
          <w:tcPr>
            <w:tcW w:w="4248" w:type="dxa"/>
            <w:tcBorders>
              <w:top w:val="nil"/>
              <w:left w:val="single" w:sz="4" w:space="0" w:color="auto"/>
              <w:bottom w:val="single" w:sz="4" w:space="0" w:color="auto"/>
              <w:right w:val="single" w:sz="4" w:space="0" w:color="auto"/>
            </w:tcBorders>
            <w:shd w:val="clear" w:color="auto" w:fill="auto"/>
          </w:tcPr>
          <w:p w14:paraId="01AB13A9"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Modificación o ampliación en la revelación de los riesgos (que se susciten por causas internas de la empresa o por cambios en el entorno económico, tecnológico, político, social, legal o normativo etc., que afecten tanto a la empresa como a los mercados que atiende, así como a sus principales proveedores y clientes, tanto a nivel local como internacional. </w:t>
            </w:r>
          </w:p>
        </w:tc>
        <w:tc>
          <w:tcPr>
            <w:tcW w:w="1417" w:type="dxa"/>
            <w:tcBorders>
              <w:top w:val="nil"/>
              <w:left w:val="nil"/>
              <w:bottom w:val="single" w:sz="4" w:space="0" w:color="auto"/>
              <w:right w:val="single" w:sz="4" w:space="0" w:color="auto"/>
            </w:tcBorders>
            <w:shd w:val="clear" w:color="auto" w:fill="auto"/>
            <w:vAlign w:val="center"/>
          </w:tcPr>
          <w:p w14:paraId="1B1DDF1D"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64050F29"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31238E82" w14:textId="77777777" w:rsidR="00D92327" w:rsidRPr="006F0048" w:rsidRDefault="00D92327" w:rsidP="00E32820">
            <w:pPr>
              <w:jc w:val="center"/>
              <w:rPr>
                <w:rFonts w:ascii="Arial" w:hAnsi="Arial" w:cs="Arial"/>
                <w:color w:val="000000" w:themeColor="text1"/>
                <w:lang w:eastAsia="es-CR"/>
              </w:rPr>
            </w:pPr>
          </w:p>
        </w:tc>
      </w:tr>
      <w:tr w:rsidR="00D92327" w:rsidRPr="00E23FF7" w14:paraId="4A80FEC9" w14:textId="77777777" w:rsidTr="00E32820">
        <w:trPr>
          <w:trHeight w:val="1225"/>
        </w:trPr>
        <w:tc>
          <w:tcPr>
            <w:tcW w:w="4248" w:type="dxa"/>
            <w:tcBorders>
              <w:top w:val="nil"/>
              <w:left w:val="single" w:sz="4" w:space="0" w:color="auto"/>
              <w:bottom w:val="single" w:sz="4" w:space="0" w:color="auto"/>
              <w:right w:val="single" w:sz="4" w:space="0" w:color="auto"/>
            </w:tcBorders>
            <w:shd w:val="clear" w:color="auto" w:fill="auto"/>
          </w:tcPr>
          <w:p w14:paraId="06837B80"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La actualización de la información sobre los activos subyacentes cedidos al vehículo de propósito especial, para las emisiones provenientes de procesos de titularización.</w:t>
            </w:r>
          </w:p>
        </w:tc>
        <w:tc>
          <w:tcPr>
            <w:tcW w:w="1417" w:type="dxa"/>
            <w:tcBorders>
              <w:top w:val="nil"/>
              <w:left w:val="nil"/>
              <w:bottom w:val="single" w:sz="4" w:space="0" w:color="auto"/>
              <w:right w:val="single" w:sz="4" w:space="0" w:color="auto"/>
            </w:tcBorders>
            <w:shd w:val="clear" w:color="auto" w:fill="auto"/>
            <w:vAlign w:val="center"/>
          </w:tcPr>
          <w:p w14:paraId="7D25A222"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27C9DAE1"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05DEAC34" w14:textId="77777777" w:rsidR="00D92327" w:rsidRPr="006F0048" w:rsidRDefault="00D92327" w:rsidP="00E32820">
            <w:pPr>
              <w:jc w:val="center"/>
              <w:rPr>
                <w:rFonts w:ascii="Arial" w:hAnsi="Arial" w:cs="Arial"/>
                <w:color w:val="000000" w:themeColor="text1"/>
                <w:lang w:eastAsia="es-CR"/>
              </w:rPr>
            </w:pPr>
          </w:p>
        </w:tc>
      </w:tr>
      <w:tr w:rsidR="00D92327" w:rsidRPr="00E23FF7" w14:paraId="48163182" w14:textId="77777777" w:rsidTr="00E32820">
        <w:trPr>
          <w:trHeight w:val="1038"/>
        </w:trPr>
        <w:tc>
          <w:tcPr>
            <w:tcW w:w="4248" w:type="dxa"/>
            <w:tcBorders>
              <w:top w:val="nil"/>
              <w:left w:val="single" w:sz="4" w:space="0" w:color="auto"/>
              <w:bottom w:val="single" w:sz="4" w:space="0" w:color="auto"/>
              <w:right w:val="single" w:sz="4" w:space="0" w:color="auto"/>
            </w:tcBorders>
            <w:shd w:val="clear" w:color="auto" w:fill="auto"/>
          </w:tcPr>
          <w:p w14:paraId="51BB5230"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Incorporación posterior de activos subyacentes que no implique la realización de nuevas emisiones por parte del vehículo de propósito especial de titularización.</w:t>
            </w:r>
          </w:p>
        </w:tc>
        <w:tc>
          <w:tcPr>
            <w:tcW w:w="1417" w:type="dxa"/>
            <w:tcBorders>
              <w:top w:val="nil"/>
              <w:left w:val="nil"/>
              <w:bottom w:val="single" w:sz="4" w:space="0" w:color="auto"/>
              <w:right w:val="single" w:sz="4" w:space="0" w:color="auto"/>
            </w:tcBorders>
            <w:shd w:val="clear" w:color="auto" w:fill="auto"/>
            <w:vAlign w:val="center"/>
          </w:tcPr>
          <w:p w14:paraId="1A4CEE3B"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145C0B67"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2A2E2A36" w14:textId="77777777" w:rsidR="00D92327" w:rsidRPr="006F0048" w:rsidRDefault="00D92327" w:rsidP="00E32820">
            <w:pPr>
              <w:jc w:val="center"/>
              <w:rPr>
                <w:rFonts w:ascii="Arial" w:hAnsi="Arial" w:cs="Arial"/>
                <w:color w:val="000000" w:themeColor="text1"/>
                <w:lang w:eastAsia="es-CR"/>
              </w:rPr>
            </w:pPr>
          </w:p>
        </w:tc>
      </w:tr>
      <w:tr w:rsidR="00D92327" w:rsidRPr="00E23FF7" w14:paraId="3BD6B8C1" w14:textId="77777777" w:rsidTr="00E32820">
        <w:trPr>
          <w:trHeight w:val="566"/>
        </w:trPr>
        <w:tc>
          <w:tcPr>
            <w:tcW w:w="4248" w:type="dxa"/>
            <w:tcBorders>
              <w:top w:val="nil"/>
              <w:left w:val="single" w:sz="4" w:space="0" w:color="auto"/>
              <w:bottom w:val="single" w:sz="4" w:space="0" w:color="auto"/>
              <w:right w:val="single" w:sz="4" w:space="0" w:color="auto"/>
            </w:tcBorders>
            <w:shd w:val="clear" w:color="auto" w:fill="auto"/>
          </w:tcPr>
          <w:p w14:paraId="1676248B"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lastRenderedPageBreak/>
              <w:t>Inclusión o eliminación de costos o gastos que asume directamente el fondo.</w:t>
            </w:r>
          </w:p>
        </w:tc>
        <w:tc>
          <w:tcPr>
            <w:tcW w:w="1417" w:type="dxa"/>
            <w:tcBorders>
              <w:top w:val="nil"/>
              <w:left w:val="nil"/>
              <w:bottom w:val="single" w:sz="4" w:space="0" w:color="auto"/>
              <w:right w:val="single" w:sz="4" w:space="0" w:color="auto"/>
            </w:tcBorders>
            <w:shd w:val="clear" w:color="auto" w:fill="auto"/>
            <w:vAlign w:val="center"/>
          </w:tcPr>
          <w:p w14:paraId="4D649394"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000000" w:fill="FFFFFF"/>
            <w:vAlign w:val="center"/>
          </w:tcPr>
          <w:p w14:paraId="267E7F9E"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5DF2849F" w14:textId="77777777" w:rsidR="00D92327" w:rsidRPr="006F0048" w:rsidRDefault="00D92327" w:rsidP="00E32820">
            <w:pPr>
              <w:jc w:val="center"/>
              <w:rPr>
                <w:rFonts w:ascii="Arial" w:hAnsi="Arial" w:cs="Arial"/>
                <w:color w:val="000000" w:themeColor="text1"/>
                <w:lang w:eastAsia="es-CR"/>
              </w:rPr>
            </w:pPr>
          </w:p>
        </w:tc>
      </w:tr>
      <w:tr w:rsidR="00D92327" w:rsidRPr="00E23FF7" w14:paraId="35DA4A89" w14:textId="77777777" w:rsidTr="00E32820">
        <w:trPr>
          <w:trHeight w:val="1020"/>
        </w:trPr>
        <w:tc>
          <w:tcPr>
            <w:tcW w:w="4248" w:type="dxa"/>
            <w:tcBorders>
              <w:top w:val="nil"/>
              <w:left w:val="single" w:sz="4" w:space="0" w:color="auto"/>
              <w:bottom w:val="single" w:sz="4" w:space="0" w:color="auto"/>
              <w:right w:val="single" w:sz="4" w:space="0" w:color="auto"/>
            </w:tcBorders>
            <w:shd w:val="clear" w:color="auto" w:fill="auto"/>
          </w:tcPr>
          <w:p w14:paraId="377A9AA8"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En el caso de Fondos de Proyectos la estrategia de inversión y </w:t>
            </w:r>
            <w:proofErr w:type="spellStart"/>
            <w:r w:rsidRPr="006E491B">
              <w:rPr>
                <w:rFonts w:ascii="Arial" w:hAnsi="Arial" w:cs="Arial"/>
                <w:color w:val="000000" w:themeColor="text1"/>
              </w:rPr>
              <w:t>desinscripción</w:t>
            </w:r>
            <w:proofErr w:type="spellEnd"/>
            <w:r w:rsidRPr="006E491B">
              <w:rPr>
                <w:rFonts w:ascii="Arial" w:hAnsi="Arial" w:cs="Arial"/>
                <w:color w:val="000000" w:themeColor="text1"/>
              </w:rPr>
              <w:t xml:space="preserve"> del proyecto: informar sobre la actualización de proyecciones, plan de inversión y autorizaciones o permisos.</w:t>
            </w:r>
          </w:p>
        </w:tc>
        <w:tc>
          <w:tcPr>
            <w:tcW w:w="1417" w:type="dxa"/>
            <w:tcBorders>
              <w:top w:val="nil"/>
              <w:left w:val="nil"/>
              <w:bottom w:val="single" w:sz="4" w:space="0" w:color="auto"/>
              <w:right w:val="single" w:sz="4" w:space="0" w:color="auto"/>
            </w:tcBorders>
            <w:shd w:val="clear" w:color="auto" w:fill="auto"/>
            <w:vAlign w:val="center"/>
          </w:tcPr>
          <w:p w14:paraId="758BF100"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000000" w:fill="FFFFFF"/>
            <w:vAlign w:val="center"/>
          </w:tcPr>
          <w:p w14:paraId="14A98244"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45F72885" w14:textId="77777777" w:rsidR="00D92327" w:rsidRPr="006F0048" w:rsidRDefault="00D92327" w:rsidP="00E32820">
            <w:pPr>
              <w:jc w:val="center"/>
              <w:rPr>
                <w:rFonts w:ascii="Arial" w:hAnsi="Arial" w:cs="Arial"/>
                <w:color w:val="000000" w:themeColor="text1"/>
                <w:lang w:eastAsia="es-CR"/>
              </w:rPr>
            </w:pPr>
          </w:p>
        </w:tc>
      </w:tr>
      <w:tr w:rsidR="00D92327" w:rsidRPr="00E23FF7" w14:paraId="788FF00D" w14:textId="77777777" w:rsidTr="00E32820">
        <w:trPr>
          <w:trHeight w:val="600"/>
        </w:trPr>
        <w:tc>
          <w:tcPr>
            <w:tcW w:w="4248" w:type="dxa"/>
            <w:tcBorders>
              <w:top w:val="nil"/>
              <w:left w:val="single" w:sz="4" w:space="0" w:color="auto"/>
              <w:bottom w:val="single" w:sz="4" w:space="0" w:color="auto"/>
              <w:right w:val="single" w:sz="4" w:space="0" w:color="auto"/>
            </w:tcBorders>
            <w:shd w:val="clear" w:color="000000" w:fill="FFFFFF"/>
          </w:tcPr>
          <w:p w14:paraId="126A49E8"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Modificaciones en la revelación sobre políticas y/o conflictos de interés aplicables al vehículo de propósito especial de financiamiento de proyectos de infraestructura o de titularización.</w:t>
            </w:r>
          </w:p>
        </w:tc>
        <w:tc>
          <w:tcPr>
            <w:tcW w:w="1417" w:type="dxa"/>
            <w:tcBorders>
              <w:top w:val="nil"/>
              <w:left w:val="nil"/>
              <w:bottom w:val="single" w:sz="4" w:space="0" w:color="auto"/>
              <w:right w:val="single" w:sz="4" w:space="0" w:color="auto"/>
            </w:tcBorders>
            <w:shd w:val="clear" w:color="auto" w:fill="auto"/>
            <w:noWrap/>
            <w:vAlign w:val="center"/>
          </w:tcPr>
          <w:p w14:paraId="12A1FE7C"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6BAC8D2C"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55B0BEAE" w14:textId="77777777" w:rsidR="00D92327" w:rsidRPr="006F0048" w:rsidRDefault="00D92327" w:rsidP="00E32820">
            <w:pPr>
              <w:jc w:val="center"/>
              <w:rPr>
                <w:rFonts w:ascii="Arial" w:hAnsi="Arial" w:cs="Arial"/>
                <w:color w:val="000000" w:themeColor="text1"/>
                <w:lang w:eastAsia="es-CR"/>
              </w:rPr>
            </w:pPr>
          </w:p>
        </w:tc>
      </w:tr>
      <w:tr w:rsidR="00D92327" w:rsidRPr="00E23FF7" w14:paraId="6791B030" w14:textId="77777777" w:rsidTr="00E32820">
        <w:trPr>
          <w:trHeight w:val="652"/>
        </w:trPr>
        <w:tc>
          <w:tcPr>
            <w:tcW w:w="4248" w:type="dxa"/>
            <w:tcBorders>
              <w:top w:val="nil"/>
              <w:left w:val="single" w:sz="4" w:space="0" w:color="auto"/>
              <w:bottom w:val="single" w:sz="4" w:space="0" w:color="auto"/>
              <w:right w:val="single" w:sz="4" w:space="0" w:color="auto"/>
            </w:tcBorders>
            <w:shd w:val="clear" w:color="000000" w:fill="FFFFFF"/>
          </w:tcPr>
          <w:p w14:paraId="44F91091"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Cambio en la revelación de la metodología de valoración de los activos de la cartera del fondo.</w:t>
            </w:r>
          </w:p>
        </w:tc>
        <w:tc>
          <w:tcPr>
            <w:tcW w:w="1417" w:type="dxa"/>
            <w:tcBorders>
              <w:top w:val="nil"/>
              <w:left w:val="nil"/>
              <w:bottom w:val="single" w:sz="4" w:space="0" w:color="auto"/>
              <w:right w:val="single" w:sz="4" w:space="0" w:color="auto"/>
            </w:tcBorders>
            <w:shd w:val="clear" w:color="auto" w:fill="auto"/>
            <w:vAlign w:val="center"/>
          </w:tcPr>
          <w:p w14:paraId="21FD6F9B"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12AF5A7D"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6C2F2455" w14:textId="77777777" w:rsidR="00D92327" w:rsidRPr="006F0048" w:rsidRDefault="00D92327" w:rsidP="00E32820">
            <w:pPr>
              <w:jc w:val="center"/>
              <w:rPr>
                <w:rFonts w:ascii="Arial" w:hAnsi="Arial" w:cs="Arial"/>
                <w:color w:val="000000" w:themeColor="text1"/>
                <w:lang w:eastAsia="es-CR"/>
              </w:rPr>
            </w:pPr>
          </w:p>
        </w:tc>
      </w:tr>
      <w:tr w:rsidR="00D92327" w:rsidRPr="00E23FF7" w14:paraId="1ECF3585" w14:textId="77777777" w:rsidTr="00E32820">
        <w:trPr>
          <w:trHeight w:val="420"/>
        </w:trPr>
        <w:tc>
          <w:tcPr>
            <w:tcW w:w="9145" w:type="dxa"/>
            <w:gridSpan w:val="4"/>
            <w:tcBorders>
              <w:top w:val="nil"/>
              <w:left w:val="single" w:sz="4" w:space="0" w:color="auto"/>
              <w:bottom w:val="single" w:sz="4" w:space="0" w:color="auto"/>
              <w:right w:val="single" w:sz="4" w:space="0" w:color="auto"/>
            </w:tcBorders>
            <w:shd w:val="clear" w:color="000000" w:fill="B4C6E7"/>
            <w:vAlign w:val="center"/>
            <w:hideMark/>
          </w:tcPr>
          <w:p w14:paraId="5B20FD13" w14:textId="77777777" w:rsidR="00D92327" w:rsidRPr="00E23FF7" w:rsidRDefault="00D92327" w:rsidP="00E32820">
            <w:pPr>
              <w:jc w:val="center"/>
              <w:rPr>
                <w:rFonts w:ascii="Arial" w:hAnsi="Arial" w:cs="Arial"/>
                <w:b/>
                <w:bCs/>
                <w:color w:val="0070C0"/>
                <w:lang w:eastAsia="es-CR"/>
              </w:rPr>
            </w:pPr>
            <w:r w:rsidRPr="00E23FF7">
              <w:rPr>
                <w:rFonts w:ascii="Arial" w:hAnsi="Arial" w:cs="Arial"/>
                <w:b/>
                <w:bCs/>
                <w:color w:val="0070C0"/>
                <w:lang w:eastAsia="es-CR"/>
              </w:rPr>
              <w:t>Asuntos que afectan el desempeño económico y financiero de la Entidad o Fondo</w:t>
            </w:r>
          </w:p>
          <w:p w14:paraId="1B99A15D" w14:textId="77777777" w:rsidR="00D92327" w:rsidRPr="00E23FF7" w:rsidRDefault="00D92327" w:rsidP="00E32820">
            <w:pPr>
              <w:jc w:val="center"/>
              <w:rPr>
                <w:rFonts w:ascii="Arial" w:hAnsi="Arial" w:cs="Arial"/>
                <w:color w:val="0070C0"/>
                <w:lang w:eastAsia="es-CR"/>
              </w:rPr>
            </w:pPr>
            <w:r w:rsidRPr="00E23FF7">
              <w:rPr>
                <w:rFonts w:ascii="Arial" w:hAnsi="Arial" w:cs="Arial"/>
                <w:color w:val="0070C0"/>
                <w:lang w:eastAsia="es-CR"/>
              </w:rPr>
              <w:t> </w:t>
            </w:r>
          </w:p>
          <w:p w14:paraId="6FD02FFE" w14:textId="77777777" w:rsidR="00D92327" w:rsidRPr="00E23FF7" w:rsidRDefault="00D92327" w:rsidP="00E32820">
            <w:pPr>
              <w:jc w:val="center"/>
              <w:rPr>
                <w:rFonts w:ascii="Arial" w:hAnsi="Arial" w:cs="Arial"/>
                <w:color w:val="0070C0"/>
                <w:lang w:eastAsia="es-CR"/>
              </w:rPr>
            </w:pPr>
            <w:r w:rsidRPr="00E23FF7">
              <w:rPr>
                <w:rFonts w:ascii="Arial" w:hAnsi="Arial" w:cs="Arial"/>
                <w:color w:val="0070C0"/>
                <w:lang w:eastAsia="es-CR"/>
              </w:rPr>
              <w:t> </w:t>
            </w:r>
          </w:p>
          <w:p w14:paraId="20CE20DB" w14:textId="77777777" w:rsidR="00D92327" w:rsidRPr="00E23FF7" w:rsidRDefault="00D92327" w:rsidP="00E32820">
            <w:pPr>
              <w:rPr>
                <w:rFonts w:ascii="Arial" w:hAnsi="Arial" w:cs="Arial"/>
                <w:color w:val="0070C0"/>
                <w:lang w:eastAsia="es-CR"/>
              </w:rPr>
            </w:pPr>
            <w:r w:rsidRPr="00E23FF7">
              <w:rPr>
                <w:rFonts w:ascii="Arial" w:hAnsi="Arial" w:cs="Arial"/>
                <w:color w:val="0070C0"/>
                <w:lang w:eastAsia="es-CR"/>
              </w:rPr>
              <w:t> </w:t>
            </w:r>
          </w:p>
        </w:tc>
      </w:tr>
      <w:tr w:rsidR="00D92327" w:rsidRPr="00E23FF7" w14:paraId="2F5359C1" w14:textId="77777777" w:rsidTr="00E32820">
        <w:trPr>
          <w:trHeight w:val="1830"/>
        </w:trPr>
        <w:tc>
          <w:tcPr>
            <w:tcW w:w="4248" w:type="dxa"/>
            <w:tcBorders>
              <w:top w:val="nil"/>
              <w:left w:val="single" w:sz="4" w:space="0" w:color="auto"/>
              <w:bottom w:val="single" w:sz="4" w:space="0" w:color="auto"/>
              <w:right w:val="single" w:sz="4" w:space="0" w:color="auto"/>
            </w:tcBorders>
            <w:shd w:val="clear" w:color="auto" w:fill="auto"/>
          </w:tcPr>
          <w:p w14:paraId="0E44FF7E"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Pérdidas incurridas que no sean consideradas como parte normal del negocio, producto de: eventos naturales, macroeconómicos, estafas, robos, etc. </w:t>
            </w:r>
            <w:proofErr w:type="gramStart"/>
            <w:r w:rsidRPr="006E491B">
              <w:rPr>
                <w:rFonts w:ascii="Arial" w:hAnsi="Arial" w:cs="Arial"/>
                <w:color w:val="000000" w:themeColor="text1"/>
              </w:rPr>
              <w:t>con  indicación</w:t>
            </w:r>
            <w:proofErr w:type="gramEnd"/>
            <w:r w:rsidRPr="006E491B">
              <w:rPr>
                <w:rFonts w:ascii="Arial" w:hAnsi="Arial" w:cs="Arial"/>
                <w:color w:val="000000" w:themeColor="text1"/>
              </w:rPr>
              <w:t xml:space="preserve"> de las principales causas y las medidas que ha tomado la empresa para normalizar la situación.  Se consideran pérdidas normales del negocio las que obedecen a factores previamente descritos en el prospecto. </w:t>
            </w:r>
          </w:p>
        </w:tc>
        <w:tc>
          <w:tcPr>
            <w:tcW w:w="1417" w:type="dxa"/>
            <w:tcBorders>
              <w:top w:val="nil"/>
              <w:left w:val="nil"/>
              <w:bottom w:val="single" w:sz="4" w:space="0" w:color="auto"/>
              <w:right w:val="single" w:sz="4" w:space="0" w:color="auto"/>
            </w:tcBorders>
            <w:shd w:val="clear" w:color="auto" w:fill="auto"/>
            <w:vAlign w:val="center"/>
          </w:tcPr>
          <w:p w14:paraId="080A45E4"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0D27E963"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4F313F39" w14:textId="77777777" w:rsidR="00D92327" w:rsidRPr="006F0048" w:rsidRDefault="00D92327" w:rsidP="00E32820">
            <w:pPr>
              <w:jc w:val="center"/>
              <w:rPr>
                <w:rFonts w:ascii="Arial" w:hAnsi="Arial" w:cs="Arial"/>
                <w:color w:val="000000" w:themeColor="text1"/>
                <w:lang w:eastAsia="es-CR"/>
              </w:rPr>
            </w:pPr>
          </w:p>
        </w:tc>
      </w:tr>
      <w:tr w:rsidR="00D92327" w:rsidRPr="00E23FF7" w14:paraId="3C398408" w14:textId="77777777" w:rsidTr="00E32820">
        <w:trPr>
          <w:trHeight w:val="705"/>
        </w:trPr>
        <w:tc>
          <w:tcPr>
            <w:tcW w:w="4248" w:type="dxa"/>
            <w:tcBorders>
              <w:top w:val="nil"/>
              <w:left w:val="single" w:sz="4" w:space="0" w:color="auto"/>
              <w:bottom w:val="single" w:sz="4" w:space="0" w:color="auto"/>
              <w:right w:val="single" w:sz="4" w:space="0" w:color="auto"/>
            </w:tcBorders>
            <w:shd w:val="clear" w:color="auto" w:fill="auto"/>
          </w:tcPr>
          <w:p w14:paraId="2BA7181B"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Contingencias y pasivos contingentes: También deberá de informar los resultados una vez materializada la contingencia.</w:t>
            </w:r>
          </w:p>
        </w:tc>
        <w:tc>
          <w:tcPr>
            <w:tcW w:w="1417" w:type="dxa"/>
            <w:tcBorders>
              <w:top w:val="nil"/>
              <w:left w:val="nil"/>
              <w:bottom w:val="single" w:sz="4" w:space="0" w:color="auto"/>
              <w:right w:val="single" w:sz="4" w:space="0" w:color="auto"/>
            </w:tcBorders>
            <w:shd w:val="clear" w:color="auto" w:fill="auto"/>
            <w:vAlign w:val="center"/>
          </w:tcPr>
          <w:p w14:paraId="4454993A"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7C87229A"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67477AA9" w14:textId="77777777" w:rsidR="00D92327" w:rsidRPr="006F0048" w:rsidRDefault="00D92327" w:rsidP="00E32820">
            <w:pPr>
              <w:jc w:val="center"/>
              <w:rPr>
                <w:rFonts w:ascii="Arial" w:hAnsi="Arial" w:cs="Arial"/>
                <w:color w:val="000000" w:themeColor="text1"/>
                <w:lang w:eastAsia="es-CR"/>
              </w:rPr>
            </w:pPr>
          </w:p>
        </w:tc>
      </w:tr>
      <w:tr w:rsidR="00D92327" w:rsidRPr="00E23FF7" w14:paraId="285F89A4" w14:textId="77777777" w:rsidTr="00E32820">
        <w:trPr>
          <w:trHeight w:val="1080"/>
        </w:trPr>
        <w:tc>
          <w:tcPr>
            <w:tcW w:w="4248" w:type="dxa"/>
            <w:tcBorders>
              <w:top w:val="nil"/>
              <w:left w:val="single" w:sz="4" w:space="0" w:color="auto"/>
              <w:bottom w:val="single" w:sz="4" w:space="0" w:color="auto"/>
              <w:right w:val="single" w:sz="4" w:space="0" w:color="auto"/>
            </w:tcBorders>
            <w:shd w:val="clear" w:color="auto" w:fill="auto"/>
          </w:tcPr>
          <w:p w14:paraId="058AEA32"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Fusiones, escisiones </w:t>
            </w:r>
            <w:proofErr w:type="gramStart"/>
            <w:r w:rsidRPr="006E491B">
              <w:rPr>
                <w:rFonts w:ascii="Arial" w:hAnsi="Arial" w:cs="Arial"/>
                <w:color w:val="000000" w:themeColor="text1"/>
              </w:rPr>
              <w:t>o  adquisición</w:t>
            </w:r>
            <w:proofErr w:type="gramEnd"/>
            <w:r w:rsidRPr="006E491B">
              <w:rPr>
                <w:rFonts w:ascii="Arial" w:hAnsi="Arial" w:cs="Arial"/>
                <w:color w:val="000000" w:themeColor="text1"/>
              </w:rPr>
              <w:t xml:space="preserve"> o venta de empresas relacionadas y subsidiarias, con indicación del monto y porcentaje de la  inversión o venta. Alianzas estratégicas con otras entidades o grupos</w:t>
            </w:r>
          </w:p>
        </w:tc>
        <w:tc>
          <w:tcPr>
            <w:tcW w:w="1417" w:type="dxa"/>
            <w:tcBorders>
              <w:top w:val="nil"/>
              <w:left w:val="nil"/>
              <w:bottom w:val="single" w:sz="4" w:space="0" w:color="auto"/>
              <w:right w:val="single" w:sz="4" w:space="0" w:color="auto"/>
            </w:tcBorders>
            <w:shd w:val="clear" w:color="auto" w:fill="auto"/>
            <w:vAlign w:val="center"/>
          </w:tcPr>
          <w:p w14:paraId="3D4737FC"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703BA4BF"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3B2C2A4C" w14:textId="77777777" w:rsidR="00D92327" w:rsidRPr="006F0048" w:rsidRDefault="00D92327" w:rsidP="00E32820">
            <w:pPr>
              <w:jc w:val="center"/>
              <w:rPr>
                <w:rFonts w:ascii="Arial" w:hAnsi="Arial" w:cs="Arial"/>
                <w:color w:val="000000" w:themeColor="text1"/>
                <w:lang w:eastAsia="es-CR"/>
              </w:rPr>
            </w:pPr>
          </w:p>
        </w:tc>
      </w:tr>
      <w:tr w:rsidR="00D92327" w:rsidRPr="00E23FF7" w14:paraId="17243B96" w14:textId="77777777" w:rsidTr="00E32820">
        <w:trPr>
          <w:trHeight w:val="1095"/>
        </w:trPr>
        <w:tc>
          <w:tcPr>
            <w:tcW w:w="4248" w:type="dxa"/>
            <w:tcBorders>
              <w:top w:val="nil"/>
              <w:left w:val="single" w:sz="4" w:space="0" w:color="auto"/>
              <w:bottom w:val="single" w:sz="4" w:space="0" w:color="auto"/>
              <w:right w:val="single" w:sz="4" w:space="0" w:color="auto"/>
            </w:tcBorders>
            <w:shd w:val="clear" w:color="auto" w:fill="auto"/>
          </w:tcPr>
          <w:p w14:paraId="74301EDC" w14:textId="77777777" w:rsidR="00D92327" w:rsidRPr="006E491B" w:rsidRDefault="00D92327" w:rsidP="00E32820">
            <w:pPr>
              <w:jc w:val="both"/>
              <w:rPr>
                <w:rFonts w:ascii="Arial" w:hAnsi="Arial" w:cs="Arial"/>
                <w:color w:val="000000" w:themeColor="text1"/>
              </w:rPr>
            </w:pPr>
            <w:r w:rsidRPr="006E491B">
              <w:rPr>
                <w:rFonts w:ascii="Arial" w:hAnsi="Arial" w:cs="Arial"/>
                <w:color w:val="000000" w:themeColor="text1"/>
              </w:rPr>
              <w:t xml:space="preserve">Inicio, suspensión o cese de nuevas actividades o líneas del negocio. Cambios en los procesos de producción, tecnología utilizada, sistemas de información y control, entre otros. </w:t>
            </w:r>
          </w:p>
        </w:tc>
        <w:tc>
          <w:tcPr>
            <w:tcW w:w="1417" w:type="dxa"/>
            <w:tcBorders>
              <w:top w:val="nil"/>
              <w:left w:val="nil"/>
              <w:bottom w:val="single" w:sz="4" w:space="0" w:color="auto"/>
              <w:right w:val="single" w:sz="4" w:space="0" w:color="auto"/>
            </w:tcBorders>
            <w:shd w:val="clear" w:color="auto" w:fill="auto"/>
            <w:noWrap/>
            <w:vAlign w:val="center"/>
          </w:tcPr>
          <w:p w14:paraId="751CC64B"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6BF02C7F"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77E7EAB6" w14:textId="77777777" w:rsidR="00D92327" w:rsidRPr="006F0048" w:rsidRDefault="00D92327" w:rsidP="00E32820">
            <w:pPr>
              <w:jc w:val="center"/>
              <w:rPr>
                <w:rFonts w:ascii="Arial" w:hAnsi="Arial" w:cs="Arial"/>
                <w:color w:val="000000" w:themeColor="text1"/>
                <w:lang w:eastAsia="es-CR"/>
              </w:rPr>
            </w:pPr>
          </w:p>
        </w:tc>
      </w:tr>
      <w:tr w:rsidR="00D92327" w:rsidRPr="00E23FF7" w14:paraId="5B838A31" w14:textId="77777777" w:rsidTr="00E32820">
        <w:trPr>
          <w:trHeight w:val="1320"/>
        </w:trPr>
        <w:tc>
          <w:tcPr>
            <w:tcW w:w="4248" w:type="dxa"/>
            <w:tcBorders>
              <w:top w:val="nil"/>
              <w:left w:val="single" w:sz="4" w:space="0" w:color="auto"/>
              <w:bottom w:val="single" w:sz="4" w:space="0" w:color="auto"/>
              <w:right w:val="single" w:sz="4" w:space="0" w:color="auto"/>
            </w:tcBorders>
            <w:shd w:val="clear" w:color="000000" w:fill="FFFFFF"/>
          </w:tcPr>
          <w:p w14:paraId="640E9985" w14:textId="77777777" w:rsidR="00D92327" w:rsidRPr="006E491B" w:rsidRDefault="00D92327" w:rsidP="00E32820">
            <w:pPr>
              <w:jc w:val="both"/>
              <w:rPr>
                <w:rFonts w:ascii="Arial" w:hAnsi="Arial" w:cs="Arial"/>
                <w:color w:val="000000" w:themeColor="text1"/>
              </w:rPr>
            </w:pPr>
            <w:r w:rsidRPr="006E491B">
              <w:rPr>
                <w:rFonts w:ascii="Arial" w:hAnsi="Arial" w:cs="Arial"/>
                <w:color w:val="000000" w:themeColor="text1"/>
              </w:rPr>
              <w:t xml:space="preserve">Cambios significativos en variables como: tamaño del mercado interno y externo; dependencia de un único mercado o producto; dependencia de los proveedores de materias primas o </w:t>
            </w:r>
            <w:r w:rsidRPr="006E491B">
              <w:rPr>
                <w:rFonts w:ascii="Arial" w:hAnsi="Arial" w:cs="Arial"/>
                <w:color w:val="000000" w:themeColor="text1"/>
              </w:rPr>
              <w:lastRenderedPageBreak/>
              <w:t>modificaciones en los patrones de consumo de los compradores.</w:t>
            </w:r>
          </w:p>
        </w:tc>
        <w:tc>
          <w:tcPr>
            <w:tcW w:w="1417" w:type="dxa"/>
            <w:tcBorders>
              <w:top w:val="nil"/>
              <w:left w:val="nil"/>
              <w:bottom w:val="single" w:sz="4" w:space="0" w:color="auto"/>
              <w:right w:val="single" w:sz="4" w:space="0" w:color="auto"/>
            </w:tcBorders>
            <w:shd w:val="clear" w:color="auto" w:fill="auto"/>
            <w:vAlign w:val="center"/>
          </w:tcPr>
          <w:p w14:paraId="1F246DB8"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5391DC9F"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1DC9A31E" w14:textId="77777777" w:rsidR="00D92327" w:rsidRPr="006F0048" w:rsidRDefault="00D92327" w:rsidP="00E32820">
            <w:pPr>
              <w:jc w:val="center"/>
              <w:rPr>
                <w:rFonts w:ascii="Arial" w:hAnsi="Arial" w:cs="Arial"/>
                <w:color w:val="000000" w:themeColor="text1"/>
                <w:lang w:eastAsia="es-CR"/>
              </w:rPr>
            </w:pPr>
          </w:p>
        </w:tc>
      </w:tr>
      <w:tr w:rsidR="00D92327" w:rsidRPr="00E23FF7" w14:paraId="759D7BE6" w14:textId="77777777" w:rsidTr="00E32820">
        <w:trPr>
          <w:trHeight w:val="750"/>
        </w:trPr>
        <w:tc>
          <w:tcPr>
            <w:tcW w:w="4248" w:type="dxa"/>
            <w:tcBorders>
              <w:top w:val="nil"/>
              <w:left w:val="single" w:sz="4" w:space="0" w:color="auto"/>
              <w:bottom w:val="single" w:sz="4" w:space="0" w:color="auto"/>
              <w:right w:val="single" w:sz="4" w:space="0" w:color="auto"/>
            </w:tcBorders>
            <w:shd w:val="clear" w:color="000000" w:fill="FFFFFF"/>
          </w:tcPr>
          <w:p w14:paraId="605960E7"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Celebración y cancelación de contratos de distribución, concesión, franquicia o cualquier otro tipo de licencia o contrato comercial.</w:t>
            </w:r>
          </w:p>
        </w:tc>
        <w:tc>
          <w:tcPr>
            <w:tcW w:w="1417" w:type="dxa"/>
            <w:tcBorders>
              <w:top w:val="nil"/>
              <w:left w:val="nil"/>
              <w:bottom w:val="single" w:sz="4" w:space="0" w:color="auto"/>
              <w:right w:val="single" w:sz="4" w:space="0" w:color="auto"/>
            </w:tcBorders>
            <w:shd w:val="clear" w:color="000000" w:fill="FFFFFF"/>
            <w:vAlign w:val="center"/>
          </w:tcPr>
          <w:p w14:paraId="5FE7555C"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000000" w:fill="FFFFFF"/>
            <w:vAlign w:val="center"/>
          </w:tcPr>
          <w:p w14:paraId="48C28349"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693371B1" w14:textId="77777777" w:rsidR="00D92327" w:rsidRPr="006F0048" w:rsidRDefault="00D92327" w:rsidP="00E32820">
            <w:pPr>
              <w:jc w:val="center"/>
              <w:rPr>
                <w:rFonts w:ascii="Arial" w:hAnsi="Arial" w:cs="Arial"/>
                <w:color w:val="000000" w:themeColor="text1"/>
                <w:lang w:eastAsia="es-CR"/>
              </w:rPr>
            </w:pPr>
          </w:p>
        </w:tc>
      </w:tr>
      <w:tr w:rsidR="00D92327" w:rsidRPr="00E23FF7" w14:paraId="68B63C1A" w14:textId="77777777" w:rsidTr="00E32820">
        <w:trPr>
          <w:trHeight w:val="840"/>
        </w:trPr>
        <w:tc>
          <w:tcPr>
            <w:tcW w:w="4248" w:type="dxa"/>
            <w:tcBorders>
              <w:top w:val="nil"/>
              <w:left w:val="single" w:sz="4" w:space="0" w:color="auto"/>
              <w:bottom w:val="single" w:sz="4" w:space="0" w:color="auto"/>
              <w:right w:val="single" w:sz="4" w:space="0" w:color="auto"/>
            </w:tcBorders>
            <w:shd w:val="clear" w:color="auto" w:fill="auto"/>
          </w:tcPr>
          <w:p w14:paraId="35A71646"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Manifestación de cualquier causa de disolución, liquidación o quiebra con indicación de las medidas que, dado el caso, vayan a ponerse o adoptarse. </w:t>
            </w:r>
          </w:p>
        </w:tc>
        <w:tc>
          <w:tcPr>
            <w:tcW w:w="1417" w:type="dxa"/>
            <w:tcBorders>
              <w:top w:val="nil"/>
              <w:left w:val="nil"/>
              <w:bottom w:val="single" w:sz="4" w:space="0" w:color="auto"/>
              <w:right w:val="single" w:sz="4" w:space="0" w:color="auto"/>
            </w:tcBorders>
            <w:shd w:val="clear" w:color="000000" w:fill="FFFFFF"/>
            <w:vAlign w:val="center"/>
          </w:tcPr>
          <w:p w14:paraId="660E4EAC"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000000" w:fill="FFFFFF"/>
            <w:vAlign w:val="center"/>
          </w:tcPr>
          <w:p w14:paraId="4DED151E"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1B500AAC" w14:textId="77777777" w:rsidR="00D92327" w:rsidRPr="006F0048" w:rsidRDefault="00D92327" w:rsidP="00E32820">
            <w:pPr>
              <w:jc w:val="center"/>
              <w:rPr>
                <w:rFonts w:ascii="Arial" w:hAnsi="Arial" w:cs="Arial"/>
                <w:color w:val="000000" w:themeColor="text1"/>
                <w:lang w:eastAsia="es-CR"/>
              </w:rPr>
            </w:pPr>
          </w:p>
        </w:tc>
      </w:tr>
      <w:tr w:rsidR="00D92327" w:rsidRPr="00E23FF7" w14:paraId="55117E7B" w14:textId="77777777" w:rsidTr="00E32820">
        <w:trPr>
          <w:trHeight w:val="1065"/>
        </w:trPr>
        <w:tc>
          <w:tcPr>
            <w:tcW w:w="4248" w:type="dxa"/>
            <w:tcBorders>
              <w:top w:val="nil"/>
              <w:left w:val="single" w:sz="4" w:space="0" w:color="auto"/>
              <w:bottom w:val="single" w:sz="4" w:space="0" w:color="auto"/>
              <w:right w:val="single" w:sz="4" w:space="0" w:color="auto"/>
            </w:tcBorders>
            <w:shd w:val="clear" w:color="auto" w:fill="auto"/>
          </w:tcPr>
          <w:p w14:paraId="322CA68F"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Cese parcial o total en el pago de sus obligaciones.  Deberá indicarse las medidas que, de ser el caso, vayan a proponerse o aplicarse cuando la causa sea subsanable. </w:t>
            </w:r>
          </w:p>
        </w:tc>
        <w:tc>
          <w:tcPr>
            <w:tcW w:w="1417" w:type="dxa"/>
            <w:tcBorders>
              <w:top w:val="nil"/>
              <w:left w:val="nil"/>
              <w:bottom w:val="single" w:sz="4" w:space="0" w:color="auto"/>
              <w:right w:val="single" w:sz="4" w:space="0" w:color="auto"/>
            </w:tcBorders>
            <w:shd w:val="clear" w:color="auto" w:fill="auto"/>
            <w:vAlign w:val="center"/>
          </w:tcPr>
          <w:p w14:paraId="75FE921D"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42385E64"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078A05E9" w14:textId="77777777" w:rsidR="00D92327" w:rsidRPr="006F0048" w:rsidRDefault="00D92327" w:rsidP="00E32820">
            <w:pPr>
              <w:jc w:val="center"/>
              <w:rPr>
                <w:rFonts w:ascii="Arial" w:hAnsi="Arial" w:cs="Arial"/>
                <w:color w:val="000000" w:themeColor="text1"/>
                <w:lang w:eastAsia="es-CR"/>
              </w:rPr>
            </w:pPr>
          </w:p>
        </w:tc>
      </w:tr>
      <w:tr w:rsidR="00D92327" w:rsidRPr="00E23FF7" w14:paraId="4C102C86" w14:textId="77777777" w:rsidTr="00E32820">
        <w:trPr>
          <w:trHeight w:val="3000"/>
        </w:trPr>
        <w:tc>
          <w:tcPr>
            <w:tcW w:w="4248" w:type="dxa"/>
            <w:tcBorders>
              <w:top w:val="nil"/>
              <w:left w:val="single" w:sz="4" w:space="0" w:color="auto"/>
              <w:bottom w:val="single" w:sz="4" w:space="0" w:color="auto"/>
              <w:right w:val="single" w:sz="4" w:space="0" w:color="auto"/>
            </w:tcBorders>
            <w:shd w:val="clear" w:color="000000" w:fill="FFFFFF"/>
          </w:tcPr>
          <w:p w14:paraId="1B2E0F6D"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Suscripción de convenios o realización de renegociaciones con deudores y acreedores.   Iniciación de decisiones para formalizar un acuerdo preventivo extrajudicial con todos o parte de sus acreedores, solicitud de apertura de concurso preventivo, rechazo, homologación, cumplimiento y nulidad del acuerdo; solicitud de concurso por agrupamiento, homologación de los acuerdos preventivos extrajudiciales, pedido de quiebra por la entidad o por terceros, declaración de quiebra o su rechazo explicitando las causas o conversión en concurso, modo de conclusión: pago, avenimiento, clausura, pedidos de extensión de quiebra y responsabilidades derivadas. </w:t>
            </w:r>
          </w:p>
        </w:tc>
        <w:tc>
          <w:tcPr>
            <w:tcW w:w="1417" w:type="dxa"/>
            <w:tcBorders>
              <w:top w:val="nil"/>
              <w:left w:val="nil"/>
              <w:bottom w:val="single" w:sz="4" w:space="0" w:color="auto"/>
              <w:right w:val="single" w:sz="4" w:space="0" w:color="auto"/>
            </w:tcBorders>
            <w:shd w:val="clear" w:color="000000" w:fill="FFFFFF"/>
            <w:vAlign w:val="center"/>
          </w:tcPr>
          <w:p w14:paraId="51127ACD"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000000" w:fill="FFFFFF"/>
            <w:vAlign w:val="center"/>
          </w:tcPr>
          <w:p w14:paraId="4CFDD8C6" w14:textId="77777777" w:rsidR="00D92327" w:rsidRPr="006F0048" w:rsidRDefault="00D92327" w:rsidP="00E32820">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000000" w:fill="FFFFFF"/>
            <w:noWrap/>
            <w:vAlign w:val="center"/>
          </w:tcPr>
          <w:p w14:paraId="4171F6A7" w14:textId="77777777" w:rsidR="00D92327" w:rsidRPr="006F0048" w:rsidRDefault="00D92327" w:rsidP="00E32820">
            <w:pPr>
              <w:jc w:val="center"/>
              <w:rPr>
                <w:rFonts w:ascii="Arial" w:hAnsi="Arial" w:cs="Arial"/>
                <w:color w:val="000000" w:themeColor="text1"/>
                <w:lang w:eastAsia="es-CR"/>
              </w:rPr>
            </w:pPr>
          </w:p>
        </w:tc>
      </w:tr>
      <w:tr w:rsidR="00D92327" w:rsidRPr="00E23FF7" w14:paraId="54CA91CF" w14:textId="77777777" w:rsidTr="00E32820">
        <w:trPr>
          <w:trHeight w:val="885"/>
        </w:trPr>
        <w:tc>
          <w:tcPr>
            <w:tcW w:w="4248" w:type="dxa"/>
            <w:tcBorders>
              <w:top w:val="nil"/>
              <w:left w:val="single" w:sz="4" w:space="0" w:color="auto"/>
              <w:bottom w:val="single" w:sz="4" w:space="0" w:color="auto"/>
              <w:right w:val="single" w:sz="4" w:space="0" w:color="auto"/>
            </w:tcBorders>
            <w:shd w:val="clear" w:color="auto" w:fill="auto"/>
          </w:tcPr>
          <w:p w14:paraId="2388F1F0"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Cambios en el marco normativo y de la regulación sectorial que afecten las actividades de la entidad o su grupo. </w:t>
            </w:r>
          </w:p>
        </w:tc>
        <w:tc>
          <w:tcPr>
            <w:tcW w:w="1417" w:type="dxa"/>
            <w:tcBorders>
              <w:top w:val="nil"/>
              <w:left w:val="nil"/>
              <w:bottom w:val="single" w:sz="4" w:space="0" w:color="auto"/>
              <w:right w:val="single" w:sz="4" w:space="0" w:color="auto"/>
            </w:tcBorders>
            <w:shd w:val="clear" w:color="auto" w:fill="auto"/>
            <w:vAlign w:val="center"/>
          </w:tcPr>
          <w:p w14:paraId="57B6552F"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08EED37B"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4D33BC45" w14:textId="77777777" w:rsidR="00D92327" w:rsidRPr="006F0048" w:rsidRDefault="00D92327" w:rsidP="00E32820">
            <w:pPr>
              <w:jc w:val="center"/>
              <w:rPr>
                <w:rFonts w:ascii="Arial" w:hAnsi="Arial" w:cs="Arial"/>
                <w:color w:val="000000" w:themeColor="text1"/>
                <w:lang w:eastAsia="es-CR"/>
              </w:rPr>
            </w:pPr>
          </w:p>
        </w:tc>
      </w:tr>
      <w:tr w:rsidR="00D92327" w:rsidRPr="00E23FF7" w14:paraId="45AEE2AF" w14:textId="77777777" w:rsidTr="00E32820">
        <w:trPr>
          <w:trHeight w:val="1395"/>
        </w:trPr>
        <w:tc>
          <w:tcPr>
            <w:tcW w:w="4248" w:type="dxa"/>
            <w:tcBorders>
              <w:top w:val="nil"/>
              <w:left w:val="single" w:sz="4" w:space="0" w:color="auto"/>
              <w:bottom w:val="single" w:sz="4" w:space="0" w:color="auto"/>
              <w:right w:val="single" w:sz="4" w:space="0" w:color="auto"/>
            </w:tcBorders>
            <w:shd w:val="clear" w:color="auto" w:fill="auto"/>
          </w:tcPr>
          <w:p w14:paraId="7A489DDE"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Variaciones en las proyecciones financieras de la empresa, presentadas en el prospecto informativo, en los estados financieros, en un comunicado de hechos relevantes o en información difundida por algún medio de comunicación colectiva. </w:t>
            </w:r>
          </w:p>
        </w:tc>
        <w:tc>
          <w:tcPr>
            <w:tcW w:w="1417" w:type="dxa"/>
            <w:tcBorders>
              <w:top w:val="nil"/>
              <w:left w:val="nil"/>
              <w:bottom w:val="single" w:sz="4" w:space="0" w:color="auto"/>
              <w:right w:val="single" w:sz="4" w:space="0" w:color="auto"/>
            </w:tcBorders>
            <w:shd w:val="clear" w:color="auto" w:fill="auto"/>
            <w:vAlign w:val="center"/>
          </w:tcPr>
          <w:p w14:paraId="4EDD4E86"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1B1A54B5"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5C30580D" w14:textId="77777777" w:rsidR="00D92327" w:rsidRPr="006F0048" w:rsidRDefault="00D92327" w:rsidP="00E32820">
            <w:pPr>
              <w:jc w:val="center"/>
              <w:rPr>
                <w:rFonts w:ascii="Arial" w:hAnsi="Arial" w:cs="Arial"/>
                <w:color w:val="000000" w:themeColor="text1"/>
                <w:lang w:eastAsia="es-CR"/>
              </w:rPr>
            </w:pPr>
          </w:p>
        </w:tc>
      </w:tr>
      <w:tr w:rsidR="00D92327" w:rsidRPr="00E23FF7" w14:paraId="12F6BEB6" w14:textId="77777777" w:rsidTr="00E32820">
        <w:trPr>
          <w:trHeight w:val="1200"/>
        </w:trPr>
        <w:tc>
          <w:tcPr>
            <w:tcW w:w="4248" w:type="dxa"/>
            <w:tcBorders>
              <w:top w:val="nil"/>
              <w:left w:val="single" w:sz="4" w:space="0" w:color="auto"/>
              <w:bottom w:val="single" w:sz="4" w:space="0" w:color="auto"/>
              <w:right w:val="single" w:sz="4" w:space="0" w:color="auto"/>
            </w:tcBorders>
            <w:shd w:val="clear" w:color="auto" w:fill="auto"/>
          </w:tcPr>
          <w:p w14:paraId="613B25FE"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Variaciones significativas en montos, tasas de interés, plazos y otras condiciones de las deudas, capitalizaciones de créditos y/o </w:t>
            </w:r>
            <w:r w:rsidRPr="006E491B">
              <w:rPr>
                <w:rFonts w:ascii="Arial" w:hAnsi="Arial" w:cs="Arial"/>
                <w:color w:val="000000" w:themeColor="text1"/>
              </w:rPr>
              <w:lastRenderedPageBreak/>
              <w:t xml:space="preserve">condonación parcial o total de las deudas, todas ellas, resultantes de negociaciones o de suscripción de convenios de pago con acreedores. </w:t>
            </w:r>
          </w:p>
        </w:tc>
        <w:tc>
          <w:tcPr>
            <w:tcW w:w="1417" w:type="dxa"/>
            <w:tcBorders>
              <w:top w:val="nil"/>
              <w:left w:val="nil"/>
              <w:bottom w:val="single" w:sz="4" w:space="0" w:color="auto"/>
              <w:right w:val="single" w:sz="4" w:space="0" w:color="auto"/>
            </w:tcBorders>
            <w:shd w:val="clear" w:color="auto" w:fill="auto"/>
            <w:vAlign w:val="center"/>
          </w:tcPr>
          <w:p w14:paraId="352D79FC"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lastRenderedPageBreak/>
              <w:t>X</w:t>
            </w:r>
          </w:p>
        </w:tc>
        <w:tc>
          <w:tcPr>
            <w:tcW w:w="1701" w:type="dxa"/>
            <w:tcBorders>
              <w:top w:val="nil"/>
              <w:left w:val="nil"/>
              <w:bottom w:val="single" w:sz="4" w:space="0" w:color="auto"/>
              <w:right w:val="single" w:sz="4" w:space="0" w:color="auto"/>
            </w:tcBorders>
            <w:shd w:val="clear" w:color="auto" w:fill="auto"/>
            <w:vAlign w:val="center"/>
          </w:tcPr>
          <w:p w14:paraId="2CAD83ED"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17AAEA99" w14:textId="77777777" w:rsidR="00D92327" w:rsidRPr="006F0048" w:rsidRDefault="00D92327" w:rsidP="00E32820">
            <w:pPr>
              <w:jc w:val="center"/>
              <w:rPr>
                <w:rFonts w:ascii="Arial" w:hAnsi="Arial" w:cs="Arial"/>
                <w:color w:val="000000" w:themeColor="text1"/>
                <w:lang w:eastAsia="es-CR"/>
              </w:rPr>
            </w:pPr>
          </w:p>
        </w:tc>
      </w:tr>
      <w:tr w:rsidR="00D92327" w:rsidRPr="00E23FF7" w14:paraId="0A085E5F" w14:textId="77777777" w:rsidTr="00E32820">
        <w:trPr>
          <w:trHeight w:val="990"/>
        </w:trPr>
        <w:tc>
          <w:tcPr>
            <w:tcW w:w="4248" w:type="dxa"/>
            <w:tcBorders>
              <w:top w:val="nil"/>
              <w:left w:val="single" w:sz="4" w:space="0" w:color="auto"/>
              <w:bottom w:val="single" w:sz="4" w:space="0" w:color="auto"/>
              <w:right w:val="single" w:sz="4" w:space="0" w:color="auto"/>
            </w:tcBorders>
            <w:shd w:val="clear" w:color="auto" w:fill="auto"/>
          </w:tcPr>
          <w:p w14:paraId="1EFEF867"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Otorgamiento o cancelación de concesiones o derechos relevantes por parte de entidades estatales, así como su terminación. </w:t>
            </w:r>
          </w:p>
        </w:tc>
        <w:tc>
          <w:tcPr>
            <w:tcW w:w="1417" w:type="dxa"/>
            <w:tcBorders>
              <w:top w:val="nil"/>
              <w:left w:val="nil"/>
              <w:bottom w:val="single" w:sz="4" w:space="0" w:color="auto"/>
              <w:right w:val="single" w:sz="4" w:space="0" w:color="auto"/>
            </w:tcBorders>
            <w:shd w:val="clear" w:color="auto" w:fill="auto"/>
            <w:vAlign w:val="center"/>
          </w:tcPr>
          <w:p w14:paraId="368C484F"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3EBEBDB7"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3680E61B" w14:textId="77777777" w:rsidR="00D92327" w:rsidRPr="006F0048" w:rsidRDefault="00D92327" w:rsidP="00E32820">
            <w:pPr>
              <w:jc w:val="center"/>
              <w:rPr>
                <w:rFonts w:ascii="Arial" w:hAnsi="Arial" w:cs="Arial"/>
                <w:color w:val="000000" w:themeColor="text1"/>
                <w:lang w:eastAsia="es-CR"/>
              </w:rPr>
            </w:pPr>
          </w:p>
        </w:tc>
      </w:tr>
      <w:tr w:rsidR="00D92327" w:rsidRPr="00E23FF7" w14:paraId="39C51E26" w14:textId="77777777" w:rsidTr="00E32820">
        <w:trPr>
          <w:trHeight w:val="1620"/>
        </w:trPr>
        <w:tc>
          <w:tcPr>
            <w:tcW w:w="4248" w:type="dxa"/>
            <w:tcBorders>
              <w:top w:val="nil"/>
              <w:left w:val="single" w:sz="4" w:space="0" w:color="auto"/>
              <w:bottom w:val="single" w:sz="4" w:space="0" w:color="auto"/>
              <w:right w:val="single" w:sz="4" w:space="0" w:color="auto"/>
            </w:tcBorders>
            <w:shd w:val="clear" w:color="auto" w:fill="auto"/>
          </w:tcPr>
          <w:p w14:paraId="7E191DB4"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Restricción o gravamen de activos que afecte en forma significativa la operación de la entidad.  Avales y fianzas significativos otorgados, con indicación de las causas determinantes, personas afianzadas y monto de la obligación.  Adquisición de otro tipo de activos financieros u otorgamiento de garantías sobre esos activos. </w:t>
            </w:r>
          </w:p>
        </w:tc>
        <w:tc>
          <w:tcPr>
            <w:tcW w:w="1417" w:type="dxa"/>
            <w:tcBorders>
              <w:top w:val="nil"/>
              <w:left w:val="nil"/>
              <w:bottom w:val="single" w:sz="4" w:space="0" w:color="auto"/>
              <w:right w:val="single" w:sz="4" w:space="0" w:color="auto"/>
            </w:tcBorders>
            <w:shd w:val="clear" w:color="auto" w:fill="auto"/>
            <w:vAlign w:val="center"/>
          </w:tcPr>
          <w:p w14:paraId="24956F43"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13DA3456"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3516764C" w14:textId="77777777" w:rsidR="00D92327" w:rsidRPr="006F0048" w:rsidRDefault="00D92327" w:rsidP="00E32820">
            <w:pPr>
              <w:jc w:val="center"/>
              <w:rPr>
                <w:rFonts w:ascii="Arial" w:hAnsi="Arial" w:cs="Arial"/>
                <w:color w:val="000000" w:themeColor="text1"/>
                <w:lang w:eastAsia="es-CR"/>
              </w:rPr>
            </w:pPr>
          </w:p>
        </w:tc>
      </w:tr>
      <w:tr w:rsidR="00D92327" w:rsidRPr="00E23FF7" w14:paraId="228A3B2E" w14:textId="77777777" w:rsidTr="00E32820">
        <w:trPr>
          <w:trHeight w:val="450"/>
        </w:trPr>
        <w:tc>
          <w:tcPr>
            <w:tcW w:w="4248" w:type="dxa"/>
            <w:tcBorders>
              <w:top w:val="nil"/>
              <w:left w:val="single" w:sz="4" w:space="0" w:color="auto"/>
              <w:bottom w:val="single" w:sz="4" w:space="0" w:color="auto"/>
              <w:right w:val="single" w:sz="4" w:space="0" w:color="auto"/>
            </w:tcBorders>
            <w:shd w:val="clear" w:color="auto" w:fill="auto"/>
          </w:tcPr>
          <w:p w14:paraId="5A2257CB"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Conclusión de la etapa </w:t>
            </w:r>
            <w:proofErr w:type="spellStart"/>
            <w:r w:rsidRPr="006E491B">
              <w:rPr>
                <w:rFonts w:ascii="Arial" w:hAnsi="Arial" w:cs="Arial"/>
                <w:color w:val="000000" w:themeColor="text1"/>
              </w:rPr>
              <w:t>pre-operativa</w:t>
            </w:r>
            <w:proofErr w:type="spellEnd"/>
            <w:r w:rsidRPr="006E491B">
              <w:rPr>
                <w:rFonts w:ascii="Arial" w:hAnsi="Arial" w:cs="Arial"/>
                <w:color w:val="000000" w:themeColor="text1"/>
              </w:rPr>
              <w:t xml:space="preserve">. </w:t>
            </w:r>
          </w:p>
        </w:tc>
        <w:tc>
          <w:tcPr>
            <w:tcW w:w="1417" w:type="dxa"/>
            <w:tcBorders>
              <w:top w:val="nil"/>
              <w:left w:val="nil"/>
              <w:bottom w:val="single" w:sz="4" w:space="0" w:color="auto"/>
              <w:right w:val="single" w:sz="4" w:space="0" w:color="auto"/>
            </w:tcBorders>
            <w:shd w:val="clear" w:color="auto" w:fill="auto"/>
            <w:vAlign w:val="center"/>
          </w:tcPr>
          <w:p w14:paraId="728EE53A"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6EFCE425"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76C945DE" w14:textId="77777777" w:rsidR="00D92327" w:rsidRPr="006F0048" w:rsidRDefault="00D92327" w:rsidP="00E32820">
            <w:pPr>
              <w:jc w:val="center"/>
              <w:rPr>
                <w:rFonts w:ascii="Arial" w:hAnsi="Arial" w:cs="Arial"/>
                <w:color w:val="000000" w:themeColor="text1"/>
                <w:lang w:eastAsia="es-CR"/>
              </w:rPr>
            </w:pPr>
          </w:p>
        </w:tc>
      </w:tr>
      <w:tr w:rsidR="00D92327" w:rsidRPr="00E23FF7" w14:paraId="7B11547F" w14:textId="77777777" w:rsidTr="00E32820">
        <w:trPr>
          <w:trHeight w:val="420"/>
        </w:trPr>
        <w:tc>
          <w:tcPr>
            <w:tcW w:w="4248" w:type="dxa"/>
            <w:tcBorders>
              <w:top w:val="nil"/>
              <w:left w:val="single" w:sz="4" w:space="0" w:color="auto"/>
              <w:bottom w:val="single" w:sz="4" w:space="0" w:color="auto"/>
              <w:right w:val="single" w:sz="4" w:space="0" w:color="auto"/>
            </w:tcBorders>
            <w:shd w:val="clear" w:color="auto" w:fill="auto"/>
          </w:tcPr>
          <w:p w14:paraId="2C0D0BFC"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Situaciones de desocupación en el caso de los fondos inmobiliarios. </w:t>
            </w:r>
          </w:p>
        </w:tc>
        <w:tc>
          <w:tcPr>
            <w:tcW w:w="1417" w:type="dxa"/>
            <w:tcBorders>
              <w:top w:val="nil"/>
              <w:left w:val="nil"/>
              <w:bottom w:val="single" w:sz="4" w:space="0" w:color="auto"/>
              <w:right w:val="single" w:sz="4" w:space="0" w:color="auto"/>
            </w:tcBorders>
            <w:shd w:val="clear" w:color="auto" w:fill="auto"/>
            <w:vAlign w:val="center"/>
          </w:tcPr>
          <w:p w14:paraId="0B9185D6"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68C81A90"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5FAFEC83" w14:textId="77777777" w:rsidR="00D92327" w:rsidRPr="006F0048" w:rsidRDefault="00D92327" w:rsidP="00E32820">
            <w:pPr>
              <w:jc w:val="center"/>
              <w:rPr>
                <w:rFonts w:ascii="Arial" w:hAnsi="Arial" w:cs="Arial"/>
                <w:color w:val="000000" w:themeColor="text1"/>
                <w:lang w:eastAsia="es-CR"/>
              </w:rPr>
            </w:pPr>
          </w:p>
        </w:tc>
      </w:tr>
      <w:tr w:rsidR="00D92327" w:rsidRPr="00E23FF7" w14:paraId="4D5B15F2" w14:textId="77777777" w:rsidTr="00E32820">
        <w:trPr>
          <w:trHeight w:val="795"/>
        </w:trPr>
        <w:tc>
          <w:tcPr>
            <w:tcW w:w="4248" w:type="dxa"/>
            <w:tcBorders>
              <w:top w:val="nil"/>
              <w:left w:val="single" w:sz="4" w:space="0" w:color="auto"/>
              <w:bottom w:val="single" w:sz="4" w:space="0" w:color="auto"/>
              <w:right w:val="single" w:sz="4" w:space="0" w:color="auto"/>
            </w:tcBorders>
            <w:shd w:val="clear" w:color="000000" w:fill="FFFFFF"/>
          </w:tcPr>
          <w:p w14:paraId="62E39674"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Informar sobre la segregación de la cartera de valores, las razones de su actuación y la forma en que serán administrados los activos separados.</w:t>
            </w:r>
          </w:p>
        </w:tc>
        <w:tc>
          <w:tcPr>
            <w:tcW w:w="1417" w:type="dxa"/>
            <w:tcBorders>
              <w:top w:val="nil"/>
              <w:left w:val="nil"/>
              <w:bottom w:val="single" w:sz="4" w:space="0" w:color="auto"/>
              <w:right w:val="single" w:sz="4" w:space="0" w:color="auto"/>
            </w:tcBorders>
            <w:shd w:val="clear" w:color="auto" w:fill="auto"/>
            <w:noWrap/>
            <w:vAlign w:val="center"/>
          </w:tcPr>
          <w:p w14:paraId="500FC5F8"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082A8F2B"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tcPr>
          <w:p w14:paraId="63C31074" w14:textId="77777777" w:rsidR="00D92327" w:rsidRPr="006F0048" w:rsidRDefault="00D92327" w:rsidP="00E32820">
            <w:pPr>
              <w:jc w:val="center"/>
              <w:rPr>
                <w:rFonts w:ascii="Arial" w:hAnsi="Arial" w:cs="Arial"/>
                <w:color w:val="000000" w:themeColor="text1"/>
                <w:lang w:eastAsia="es-CR"/>
              </w:rPr>
            </w:pPr>
          </w:p>
        </w:tc>
      </w:tr>
      <w:tr w:rsidR="00D92327" w:rsidRPr="00E23FF7" w14:paraId="543002CD" w14:textId="77777777" w:rsidTr="00E32820">
        <w:trPr>
          <w:trHeight w:val="795"/>
        </w:trPr>
        <w:tc>
          <w:tcPr>
            <w:tcW w:w="4248" w:type="dxa"/>
            <w:tcBorders>
              <w:top w:val="nil"/>
              <w:left w:val="single" w:sz="4" w:space="0" w:color="auto"/>
              <w:bottom w:val="single" w:sz="4" w:space="0" w:color="auto"/>
              <w:right w:val="single" w:sz="4" w:space="0" w:color="auto"/>
            </w:tcBorders>
            <w:shd w:val="clear" w:color="000000" w:fill="FFFFFF"/>
          </w:tcPr>
          <w:p w14:paraId="3A65BCA8"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Los honorarios totales que perciba un Proveedor de precios por los servicios que presta a un mismo sujeto supervisado, no podrán ser superiores al veinticinco por ciento de sus ingresos totales de los últimos doce meses. </w:t>
            </w:r>
          </w:p>
        </w:tc>
        <w:tc>
          <w:tcPr>
            <w:tcW w:w="1417" w:type="dxa"/>
            <w:tcBorders>
              <w:top w:val="nil"/>
              <w:left w:val="nil"/>
              <w:bottom w:val="single" w:sz="4" w:space="0" w:color="auto"/>
              <w:right w:val="single" w:sz="4" w:space="0" w:color="auto"/>
            </w:tcBorders>
            <w:shd w:val="clear" w:color="auto" w:fill="auto"/>
            <w:noWrap/>
            <w:vAlign w:val="center"/>
          </w:tcPr>
          <w:p w14:paraId="6C034767"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54D73A78" w14:textId="77777777" w:rsidR="00D92327" w:rsidRPr="006F0048" w:rsidRDefault="00D92327" w:rsidP="00E32820">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noWrap/>
            <w:vAlign w:val="center"/>
          </w:tcPr>
          <w:p w14:paraId="5FEAF7C4"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r>
      <w:tr w:rsidR="00D92327" w:rsidRPr="00E23FF7" w14:paraId="24904FC3" w14:textId="77777777" w:rsidTr="00E32820">
        <w:trPr>
          <w:trHeight w:val="900"/>
        </w:trPr>
        <w:tc>
          <w:tcPr>
            <w:tcW w:w="9145" w:type="dxa"/>
            <w:gridSpan w:val="4"/>
            <w:tcBorders>
              <w:top w:val="nil"/>
              <w:left w:val="single" w:sz="4" w:space="0" w:color="auto"/>
              <w:bottom w:val="single" w:sz="4" w:space="0" w:color="auto"/>
              <w:right w:val="single" w:sz="4" w:space="0" w:color="000000"/>
            </w:tcBorders>
            <w:shd w:val="clear" w:color="000000" w:fill="B4C6E7"/>
            <w:vAlign w:val="center"/>
            <w:hideMark/>
          </w:tcPr>
          <w:p w14:paraId="50E86231" w14:textId="77777777" w:rsidR="00D92327" w:rsidRPr="00E23FF7" w:rsidRDefault="00D92327" w:rsidP="00E32820">
            <w:pPr>
              <w:jc w:val="center"/>
              <w:rPr>
                <w:rFonts w:ascii="Arial" w:hAnsi="Arial" w:cs="Arial"/>
                <w:b/>
                <w:bCs/>
                <w:color w:val="0070C0"/>
                <w:lang w:eastAsia="es-CR"/>
              </w:rPr>
            </w:pPr>
            <w:r w:rsidRPr="00E23FF7">
              <w:rPr>
                <w:rFonts w:ascii="Arial" w:hAnsi="Arial" w:cs="Arial"/>
                <w:b/>
                <w:bCs/>
                <w:color w:val="0070C0"/>
                <w:lang w:eastAsia="es-CR"/>
              </w:rPr>
              <w:t>Incumplimiento de normativa / Procesos sancionatorios y disciplinarios / Medidas precautorias emitidas por SUGEVAL</w:t>
            </w:r>
          </w:p>
          <w:p w14:paraId="7E0BC4F8" w14:textId="77777777" w:rsidR="00D92327" w:rsidRPr="00E23FF7" w:rsidRDefault="00D92327" w:rsidP="00E32820">
            <w:pPr>
              <w:jc w:val="center"/>
              <w:rPr>
                <w:rFonts w:ascii="Arial" w:hAnsi="Arial" w:cs="Arial"/>
                <w:color w:val="0070C0"/>
                <w:lang w:eastAsia="es-CR"/>
              </w:rPr>
            </w:pPr>
            <w:r w:rsidRPr="00E23FF7">
              <w:rPr>
                <w:rFonts w:ascii="Arial" w:hAnsi="Arial" w:cs="Arial"/>
                <w:color w:val="0070C0"/>
                <w:lang w:eastAsia="es-CR"/>
              </w:rPr>
              <w:t> </w:t>
            </w:r>
          </w:p>
        </w:tc>
      </w:tr>
      <w:tr w:rsidR="00D92327" w:rsidRPr="00E23FF7" w14:paraId="490D34E2" w14:textId="77777777" w:rsidTr="00E32820">
        <w:trPr>
          <w:trHeight w:val="566"/>
        </w:trPr>
        <w:tc>
          <w:tcPr>
            <w:tcW w:w="4248" w:type="dxa"/>
            <w:tcBorders>
              <w:top w:val="nil"/>
              <w:left w:val="single" w:sz="4" w:space="0" w:color="auto"/>
              <w:bottom w:val="single" w:sz="4" w:space="0" w:color="auto"/>
              <w:right w:val="single" w:sz="4" w:space="0" w:color="auto"/>
            </w:tcBorders>
            <w:shd w:val="clear" w:color="000000" w:fill="FFFFFF"/>
            <w:hideMark/>
          </w:tcPr>
          <w:p w14:paraId="4F50B472"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Nivel de endeudamiento de previo a la colocación, cuando al momento </w:t>
            </w:r>
            <w:proofErr w:type="gramStart"/>
            <w:r w:rsidRPr="006E491B">
              <w:rPr>
                <w:rFonts w:ascii="Arial" w:hAnsi="Arial" w:cs="Arial"/>
                <w:color w:val="000000" w:themeColor="text1"/>
              </w:rPr>
              <w:t>de  registro</w:t>
            </w:r>
            <w:proofErr w:type="gramEnd"/>
            <w:r w:rsidRPr="006E491B">
              <w:rPr>
                <w:rFonts w:ascii="Arial" w:hAnsi="Arial" w:cs="Arial"/>
                <w:color w:val="000000" w:themeColor="text1"/>
              </w:rPr>
              <w:t xml:space="preserve"> de las emisiones  se sobrepasaba el nivel de endeudamiento. Incumplimiento posterior del nivel de endeudamiento establecido en la Ley Orgánica del Banco Central de Costa Rica.</w:t>
            </w:r>
          </w:p>
        </w:tc>
        <w:tc>
          <w:tcPr>
            <w:tcW w:w="1417" w:type="dxa"/>
            <w:tcBorders>
              <w:top w:val="nil"/>
              <w:left w:val="nil"/>
              <w:bottom w:val="single" w:sz="4" w:space="0" w:color="auto"/>
              <w:right w:val="single" w:sz="4" w:space="0" w:color="auto"/>
            </w:tcBorders>
            <w:shd w:val="clear" w:color="auto" w:fill="auto"/>
            <w:vAlign w:val="center"/>
            <w:hideMark/>
          </w:tcPr>
          <w:p w14:paraId="662753A0"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hideMark/>
          </w:tcPr>
          <w:p w14:paraId="0DC015A4" w14:textId="77777777" w:rsidR="00D92327" w:rsidRPr="006F0048" w:rsidRDefault="00D92327" w:rsidP="00E32820">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noWrap/>
            <w:vAlign w:val="center"/>
            <w:hideMark/>
          </w:tcPr>
          <w:p w14:paraId="1D0AF95D" w14:textId="77777777" w:rsidR="00D92327" w:rsidRPr="006F0048" w:rsidRDefault="00D92327" w:rsidP="00E32820">
            <w:pPr>
              <w:jc w:val="center"/>
              <w:rPr>
                <w:rFonts w:ascii="Arial" w:hAnsi="Arial" w:cs="Arial"/>
                <w:color w:val="000000" w:themeColor="text1"/>
                <w:lang w:eastAsia="es-CR"/>
              </w:rPr>
            </w:pPr>
          </w:p>
        </w:tc>
      </w:tr>
      <w:tr w:rsidR="00D92327" w:rsidRPr="00E23FF7" w14:paraId="256E754B" w14:textId="77777777" w:rsidTr="00E32820">
        <w:trPr>
          <w:trHeight w:val="1290"/>
        </w:trPr>
        <w:tc>
          <w:tcPr>
            <w:tcW w:w="4248" w:type="dxa"/>
            <w:tcBorders>
              <w:top w:val="nil"/>
              <w:left w:val="single" w:sz="4" w:space="0" w:color="auto"/>
              <w:bottom w:val="single" w:sz="4" w:space="0" w:color="auto"/>
              <w:right w:val="single" w:sz="4" w:space="0" w:color="auto"/>
            </w:tcBorders>
            <w:shd w:val="clear" w:color="auto" w:fill="auto"/>
            <w:hideMark/>
          </w:tcPr>
          <w:p w14:paraId="1AB2A29D"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Sanciones impuestas por autoridades de control locales o internacionales de importancia o trascendencia económica para la entidad regulada por esta Superintendencia que impacte el desenvolvimiento de sus actividades.</w:t>
            </w:r>
          </w:p>
        </w:tc>
        <w:tc>
          <w:tcPr>
            <w:tcW w:w="1417" w:type="dxa"/>
            <w:tcBorders>
              <w:top w:val="nil"/>
              <w:left w:val="nil"/>
              <w:bottom w:val="single" w:sz="4" w:space="0" w:color="auto"/>
              <w:right w:val="single" w:sz="4" w:space="0" w:color="auto"/>
            </w:tcBorders>
            <w:shd w:val="clear" w:color="auto" w:fill="auto"/>
            <w:vAlign w:val="center"/>
            <w:hideMark/>
          </w:tcPr>
          <w:p w14:paraId="521512B6"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noWrap/>
            <w:vAlign w:val="center"/>
            <w:hideMark/>
          </w:tcPr>
          <w:p w14:paraId="0D7BBA5E"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noWrap/>
            <w:vAlign w:val="center"/>
            <w:hideMark/>
          </w:tcPr>
          <w:p w14:paraId="5EA9715A"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r>
      <w:tr w:rsidR="00D92327" w:rsidRPr="00E23FF7" w14:paraId="52A97555" w14:textId="77777777" w:rsidTr="00E32820">
        <w:trPr>
          <w:trHeight w:val="765"/>
        </w:trPr>
        <w:tc>
          <w:tcPr>
            <w:tcW w:w="9145" w:type="dxa"/>
            <w:gridSpan w:val="4"/>
            <w:tcBorders>
              <w:top w:val="nil"/>
              <w:left w:val="single" w:sz="4" w:space="0" w:color="auto"/>
              <w:bottom w:val="single" w:sz="4" w:space="0" w:color="auto"/>
              <w:right w:val="single" w:sz="4" w:space="0" w:color="000000"/>
            </w:tcBorders>
            <w:shd w:val="clear" w:color="000000" w:fill="B4C6E7"/>
            <w:vAlign w:val="center"/>
            <w:hideMark/>
          </w:tcPr>
          <w:p w14:paraId="199691CB" w14:textId="77777777" w:rsidR="00D92327" w:rsidRPr="00E23FF7" w:rsidRDefault="00D92327" w:rsidP="00E32820">
            <w:pPr>
              <w:jc w:val="center"/>
              <w:rPr>
                <w:rFonts w:ascii="Arial" w:hAnsi="Arial" w:cs="Arial"/>
                <w:b/>
                <w:bCs/>
                <w:color w:val="0070C0"/>
                <w:lang w:eastAsia="es-CR"/>
              </w:rPr>
            </w:pPr>
            <w:r w:rsidRPr="00E23FF7">
              <w:rPr>
                <w:rFonts w:ascii="Arial" w:hAnsi="Arial" w:cs="Arial"/>
                <w:b/>
                <w:bCs/>
                <w:color w:val="0070C0"/>
                <w:lang w:eastAsia="es-CR"/>
              </w:rPr>
              <w:lastRenderedPageBreak/>
              <w:t>Otros</w:t>
            </w:r>
          </w:p>
          <w:p w14:paraId="4063E087" w14:textId="77777777" w:rsidR="00D92327" w:rsidRPr="00E23FF7" w:rsidRDefault="00D92327" w:rsidP="00E32820">
            <w:pPr>
              <w:jc w:val="center"/>
              <w:rPr>
                <w:rFonts w:ascii="Arial" w:hAnsi="Arial" w:cs="Arial"/>
                <w:color w:val="0070C0"/>
                <w:lang w:eastAsia="es-CR"/>
              </w:rPr>
            </w:pPr>
            <w:r w:rsidRPr="00E23FF7">
              <w:rPr>
                <w:rFonts w:ascii="Arial" w:hAnsi="Arial" w:cs="Arial"/>
                <w:color w:val="0070C0"/>
                <w:lang w:eastAsia="es-CR"/>
              </w:rPr>
              <w:t> </w:t>
            </w:r>
          </w:p>
        </w:tc>
      </w:tr>
      <w:tr w:rsidR="00D92327" w:rsidRPr="00E23FF7" w14:paraId="5C14B3AB" w14:textId="77777777" w:rsidTr="00E32820">
        <w:trPr>
          <w:trHeight w:val="1680"/>
        </w:trPr>
        <w:tc>
          <w:tcPr>
            <w:tcW w:w="4248" w:type="dxa"/>
            <w:tcBorders>
              <w:top w:val="nil"/>
              <w:left w:val="single" w:sz="4" w:space="0" w:color="auto"/>
              <w:bottom w:val="single" w:sz="4" w:space="0" w:color="auto"/>
              <w:right w:val="single" w:sz="4" w:space="0" w:color="auto"/>
            </w:tcBorders>
            <w:shd w:val="clear" w:color="auto" w:fill="auto"/>
          </w:tcPr>
          <w:p w14:paraId="4A0712FF"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Las entidades autorizadas para actuar en la prestación de servicios en el mercado de valores, respecto a todo hecho concreto o situación no habitual que por su importancia esté afectando o pueda esperarse razonablemente que afecte el desenvolvimiento de sus operaciones o responsabilidades frente a los servicios que presta. </w:t>
            </w:r>
          </w:p>
        </w:tc>
        <w:tc>
          <w:tcPr>
            <w:tcW w:w="1417" w:type="dxa"/>
            <w:tcBorders>
              <w:top w:val="nil"/>
              <w:left w:val="nil"/>
              <w:bottom w:val="single" w:sz="4" w:space="0" w:color="auto"/>
              <w:right w:val="single" w:sz="4" w:space="0" w:color="auto"/>
            </w:tcBorders>
            <w:shd w:val="clear" w:color="auto" w:fill="auto"/>
            <w:noWrap/>
            <w:vAlign w:val="center"/>
          </w:tcPr>
          <w:p w14:paraId="0C70A7AB"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noWrap/>
            <w:vAlign w:val="center"/>
          </w:tcPr>
          <w:p w14:paraId="58DCF53B" w14:textId="77777777" w:rsidR="00D92327" w:rsidRPr="006F0048" w:rsidRDefault="00D92327" w:rsidP="00E32820">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noWrap/>
            <w:vAlign w:val="center"/>
          </w:tcPr>
          <w:p w14:paraId="2FB8B56C"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r>
      <w:tr w:rsidR="00D92327" w:rsidRPr="00E23FF7" w14:paraId="7D7AD791" w14:textId="77777777" w:rsidTr="00E32820">
        <w:trPr>
          <w:trHeight w:val="960"/>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13D933F" w14:textId="77777777" w:rsidR="00D92327" w:rsidRPr="006E491B" w:rsidRDefault="00D92327" w:rsidP="00E32820">
            <w:pPr>
              <w:jc w:val="both"/>
              <w:rPr>
                <w:rFonts w:ascii="Arial" w:hAnsi="Arial" w:cs="Arial"/>
                <w:color w:val="000000" w:themeColor="text1"/>
                <w:lang w:eastAsia="es-CR"/>
              </w:rPr>
            </w:pPr>
            <w:proofErr w:type="spellStart"/>
            <w:r w:rsidRPr="006E491B">
              <w:rPr>
                <w:rFonts w:ascii="Arial" w:hAnsi="Arial" w:cs="Arial"/>
                <w:color w:val="000000" w:themeColor="text1"/>
              </w:rPr>
              <w:t>Desinscripción</w:t>
            </w:r>
            <w:proofErr w:type="spellEnd"/>
            <w:r w:rsidRPr="006E491B">
              <w:rPr>
                <w:rFonts w:ascii="Arial" w:hAnsi="Arial" w:cs="Arial"/>
                <w:color w:val="000000" w:themeColor="text1"/>
              </w:rPr>
              <w:t xml:space="preserve"> de un puesto de bolsa, sociedad </w:t>
            </w:r>
            <w:proofErr w:type="spellStart"/>
            <w:r w:rsidRPr="006E491B">
              <w:rPr>
                <w:rFonts w:ascii="Arial" w:hAnsi="Arial" w:cs="Arial"/>
                <w:color w:val="000000" w:themeColor="text1"/>
              </w:rPr>
              <w:t>titularizadora</w:t>
            </w:r>
            <w:proofErr w:type="spellEnd"/>
            <w:r w:rsidRPr="006E491B">
              <w:rPr>
                <w:rFonts w:ascii="Arial" w:hAnsi="Arial" w:cs="Arial"/>
                <w:color w:val="000000" w:themeColor="text1"/>
              </w:rPr>
              <w:t>, sociedad de compensación y liquidación, sociedades calificadoras de riesgo</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2468F7C" w14:textId="77777777" w:rsidR="00D92327" w:rsidRPr="006F0048" w:rsidRDefault="00D92327" w:rsidP="00E32820">
            <w:pPr>
              <w:jc w:val="center"/>
              <w:rPr>
                <w:rFonts w:ascii="Arial" w:hAnsi="Arial" w:cs="Arial"/>
                <w:color w:val="000000" w:themeColor="text1"/>
                <w:lang w:eastAsia="es-CR"/>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7FB5957" w14:textId="77777777" w:rsidR="00D92327" w:rsidRPr="006F0048" w:rsidRDefault="00D92327" w:rsidP="00E32820">
            <w:pPr>
              <w:jc w:val="center"/>
              <w:rPr>
                <w:rFonts w:ascii="Arial" w:hAnsi="Arial" w:cs="Arial"/>
                <w:color w:val="000000" w:themeColor="text1"/>
                <w:lang w:eastAsia="es-CR"/>
              </w:rPr>
            </w:pPr>
          </w:p>
        </w:tc>
        <w:tc>
          <w:tcPr>
            <w:tcW w:w="1779" w:type="dxa"/>
            <w:tcBorders>
              <w:top w:val="single" w:sz="4" w:space="0" w:color="auto"/>
              <w:left w:val="nil"/>
              <w:bottom w:val="single" w:sz="4" w:space="0" w:color="auto"/>
              <w:right w:val="single" w:sz="4" w:space="0" w:color="auto"/>
            </w:tcBorders>
            <w:shd w:val="clear" w:color="auto" w:fill="auto"/>
            <w:vAlign w:val="center"/>
          </w:tcPr>
          <w:p w14:paraId="009F61E2"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r>
      <w:tr w:rsidR="00D92327" w:rsidRPr="00E23FF7" w14:paraId="0E77EA10" w14:textId="77777777" w:rsidTr="00E32820">
        <w:trPr>
          <w:trHeight w:val="960"/>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6CACC5EB"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 xml:space="preserve">Cualquier otro hecho que produzca o pueda producir influencia positiva o negativa en la marcha de la empresa, en sus valores o en la oferta de ellos.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B31B17F"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C7328FA"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single" w:sz="4" w:space="0" w:color="auto"/>
              <w:left w:val="nil"/>
              <w:bottom w:val="single" w:sz="4" w:space="0" w:color="auto"/>
              <w:right w:val="single" w:sz="4" w:space="0" w:color="auto"/>
            </w:tcBorders>
            <w:shd w:val="clear" w:color="auto" w:fill="auto"/>
            <w:vAlign w:val="center"/>
          </w:tcPr>
          <w:p w14:paraId="68F808D6"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r>
    </w:tbl>
    <w:p w14:paraId="295B2601" w14:textId="77777777" w:rsidR="00D92327" w:rsidRDefault="00D92327" w:rsidP="00D92327">
      <w:pPr>
        <w:spacing w:before="240" w:after="240"/>
        <w:jc w:val="both"/>
        <w:rPr>
          <w:rFonts w:ascii="Arial" w:hAnsi="Arial" w:cs="Arial"/>
          <w:b/>
          <w:color w:val="000000" w:themeColor="text1"/>
          <w:szCs w:val="22"/>
        </w:rPr>
      </w:pPr>
    </w:p>
    <w:p w14:paraId="28CDC510" w14:textId="77777777" w:rsidR="00D92327" w:rsidRDefault="00D92327" w:rsidP="00D92327">
      <w:pPr>
        <w:spacing w:before="240" w:after="240"/>
        <w:jc w:val="both"/>
        <w:rPr>
          <w:rFonts w:ascii="Arial" w:hAnsi="Arial" w:cs="Arial"/>
          <w:b/>
          <w:color w:val="000000" w:themeColor="text1"/>
          <w:szCs w:val="22"/>
        </w:rPr>
      </w:pPr>
    </w:p>
    <w:p w14:paraId="790DC256" w14:textId="77777777" w:rsidR="00D92327" w:rsidRDefault="00D92327" w:rsidP="00D92327">
      <w:pPr>
        <w:spacing w:before="240" w:after="240"/>
        <w:jc w:val="both"/>
        <w:rPr>
          <w:rFonts w:ascii="Arial" w:hAnsi="Arial" w:cs="Arial"/>
          <w:b/>
          <w:color w:val="000000" w:themeColor="text1"/>
          <w:szCs w:val="22"/>
        </w:rPr>
      </w:pPr>
    </w:p>
    <w:p w14:paraId="1FE5610B" w14:textId="77777777" w:rsidR="00D92327" w:rsidRDefault="00D92327" w:rsidP="00D92327">
      <w:pPr>
        <w:spacing w:before="240" w:after="240"/>
        <w:jc w:val="both"/>
        <w:rPr>
          <w:rFonts w:ascii="Arial" w:hAnsi="Arial" w:cs="Arial"/>
          <w:b/>
          <w:color w:val="000000" w:themeColor="text1"/>
          <w:szCs w:val="22"/>
        </w:rPr>
      </w:pPr>
    </w:p>
    <w:p w14:paraId="3DC8A9F4" w14:textId="77777777" w:rsidR="00D92327" w:rsidRDefault="00D92327" w:rsidP="00D92327">
      <w:pPr>
        <w:spacing w:before="240" w:after="240"/>
        <w:jc w:val="both"/>
        <w:rPr>
          <w:rFonts w:ascii="Arial" w:hAnsi="Arial" w:cs="Arial"/>
          <w:b/>
          <w:color w:val="000000" w:themeColor="text1"/>
          <w:szCs w:val="22"/>
        </w:rPr>
      </w:pPr>
    </w:p>
    <w:p w14:paraId="562CD001" w14:textId="77777777" w:rsidR="00D92327" w:rsidRDefault="00D92327" w:rsidP="00D92327">
      <w:pPr>
        <w:spacing w:before="240" w:after="240"/>
        <w:jc w:val="both"/>
        <w:rPr>
          <w:rFonts w:ascii="Arial" w:hAnsi="Arial" w:cs="Arial"/>
          <w:b/>
          <w:color w:val="000000" w:themeColor="text1"/>
          <w:szCs w:val="22"/>
        </w:rPr>
      </w:pPr>
    </w:p>
    <w:tbl>
      <w:tblPr>
        <w:tblW w:w="9145" w:type="dxa"/>
        <w:tblCellMar>
          <w:left w:w="70" w:type="dxa"/>
          <w:right w:w="70" w:type="dxa"/>
        </w:tblCellMar>
        <w:tblLook w:val="04A0" w:firstRow="1" w:lastRow="0" w:firstColumn="1" w:lastColumn="0" w:noHBand="0" w:noVBand="1"/>
      </w:tblPr>
      <w:tblGrid>
        <w:gridCol w:w="4248"/>
        <w:gridCol w:w="1417"/>
        <w:gridCol w:w="1701"/>
        <w:gridCol w:w="1779"/>
      </w:tblGrid>
      <w:tr w:rsidR="00D92327" w:rsidRPr="00E23FF7" w14:paraId="489C3238" w14:textId="77777777" w:rsidTr="00E32820">
        <w:trPr>
          <w:trHeight w:val="9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49274" w14:textId="77777777" w:rsidR="00D92327" w:rsidRPr="00E23FF7" w:rsidRDefault="00D92327" w:rsidP="00E32820">
            <w:pPr>
              <w:jc w:val="center"/>
              <w:rPr>
                <w:rFonts w:ascii="Arial" w:hAnsi="Arial" w:cs="Arial"/>
                <w:b/>
                <w:bCs/>
                <w:color w:val="0070C0"/>
                <w:lang w:eastAsia="es-CR"/>
              </w:rPr>
            </w:pPr>
            <w:r w:rsidRPr="00E23FF7">
              <w:rPr>
                <w:rFonts w:ascii="Arial" w:hAnsi="Arial" w:cs="Arial"/>
                <w:b/>
                <w:bCs/>
                <w:color w:val="0070C0"/>
                <w:lang w:eastAsia="es-CR"/>
              </w:rPr>
              <w:t xml:space="preserve">LISTA NO EXHAUSTIVA DE </w:t>
            </w:r>
            <w:r>
              <w:rPr>
                <w:rFonts w:ascii="Arial" w:hAnsi="Arial" w:cs="Arial"/>
                <w:b/>
                <w:bCs/>
                <w:color w:val="0070C0"/>
                <w:lang w:eastAsia="es-CR"/>
              </w:rPr>
              <w:t>COMUNICADOS DE INTERES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BE328AF" w14:textId="77777777" w:rsidR="00D92327" w:rsidRPr="00E23FF7" w:rsidRDefault="00D92327" w:rsidP="00E32820">
            <w:pPr>
              <w:jc w:val="center"/>
              <w:rPr>
                <w:rFonts w:ascii="Arial" w:hAnsi="Arial" w:cs="Arial"/>
                <w:b/>
                <w:bCs/>
                <w:color w:val="0070C0"/>
                <w:lang w:eastAsia="es-CR"/>
              </w:rPr>
            </w:pPr>
            <w:r w:rsidRPr="00E23FF7">
              <w:rPr>
                <w:rFonts w:ascii="Arial" w:hAnsi="Arial" w:cs="Arial"/>
                <w:b/>
                <w:bCs/>
                <w:color w:val="0070C0"/>
                <w:lang w:eastAsia="es-CR"/>
              </w:rPr>
              <w:t>EMISORES DE DEUDA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49C926C" w14:textId="77777777" w:rsidR="00D92327" w:rsidRPr="00E23FF7" w:rsidRDefault="00D92327" w:rsidP="00E32820">
            <w:pPr>
              <w:jc w:val="center"/>
              <w:rPr>
                <w:rFonts w:ascii="Arial" w:hAnsi="Arial" w:cs="Arial"/>
                <w:b/>
                <w:bCs/>
                <w:color w:val="0070C0"/>
                <w:lang w:eastAsia="es-CR"/>
              </w:rPr>
            </w:pPr>
            <w:r w:rsidRPr="00E23FF7">
              <w:rPr>
                <w:rFonts w:ascii="Arial" w:hAnsi="Arial" w:cs="Arial"/>
                <w:b/>
                <w:bCs/>
                <w:color w:val="0070C0"/>
                <w:lang w:eastAsia="es-CR"/>
              </w:rPr>
              <w:t>EMISORES DE VALORES DE CONTENIDO PATRIMONIAL O MIXTO</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14:paraId="65AA12B2" w14:textId="77777777" w:rsidR="00D92327" w:rsidRPr="00E23FF7" w:rsidRDefault="00D92327" w:rsidP="00E32820">
            <w:pPr>
              <w:jc w:val="center"/>
              <w:rPr>
                <w:rFonts w:ascii="Arial" w:hAnsi="Arial" w:cs="Arial"/>
                <w:b/>
                <w:bCs/>
                <w:color w:val="0070C0"/>
                <w:lang w:eastAsia="es-CR"/>
              </w:rPr>
            </w:pPr>
            <w:r w:rsidRPr="00E23FF7">
              <w:rPr>
                <w:rFonts w:ascii="Arial" w:hAnsi="Arial" w:cs="Arial"/>
                <w:b/>
                <w:bCs/>
                <w:color w:val="0070C0"/>
                <w:lang w:eastAsia="es-CR"/>
              </w:rPr>
              <w:t>OTROS</w:t>
            </w:r>
          </w:p>
        </w:tc>
      </w:tr>
      <w:tr w:rsidR="00D92327" w:rsidRPr="00E23FF7" w14:paraId="6E659454" w14:textId="77777777" w:rsidTr="00E32820">
        <w:trPr>
          <w:trHeight w:val="1065"/>
        </w:trPr>
        <w:tc>
          <w:tcPr>
            <w:tcW w:w="4248" w:type="dxa"/>
            <w:tcBorders>
              <w:top w:val="nil"/>
              <w:left w:val="single" w:sz="4" w:space="0" w:color="auto"/>
              <w:bottom w:val="single" w:sz="4" w:space="0" w:color="auto"/>
              <w:right w:val="single" w:sz="4" w:space="0" w:color="auto"/>
            </w:tcBorders>
            <w:shd w:val="clear" w:color="auto" w:fill="auto"/>
          </w:tcPr>
          <w:p w14:paraId="2B3F7C57" w14:textId="77777777" w:rsidR="00D92327" w:rsidRPr="006E491B" w:rsidRDefault="00D92327" w:rsidP="00E32820">
            <w:pPr>
              <w:jc w:val="both"/>
              <w:rPr>
                <w:rFonts w:ascii="Arial" w:hAnsi="Arial" w:cs="Arial"/>
                <w:color w:val="000000" w:themeColor="text1"/>
                <w:lang w:eastAsia="es-CR"/>
              </w:rPr>
            </w:pPr>
            <w:r w:rsidRPr="006E491B">
              <w:rPr>
                <w:rFonts w:ascii="Arial" w:hAnsi="Arial" w:cs="Arial"/>
                <w:color w:val="000000" w:themeColor="text1"/>
              </w:rPr>
              <w:t>Cualquier sustitución o reenvío de información periódica distinto al establecido en el apartado de "Información Financiera" de la lista no exhaustiva de comunicados de hechos relevantes.</w:t>
            </w:r>
          </w:p>
        </w:tc>
        <w:tc>
          <w:tcPr>
            <w:tcW w:w="1417" w:type="dxa"/>
            <w:tcBorders>
              <w:top w:val="nil"/>
              <w:left w:val="nil"/>
              <w:bottom w:val="single" w:sz="4" w:space="0" w:color="auto"/>
              <w:right w:val="single" w:sz="4" w:space="0" w:color="auto"/>
            </w:tcBorders>
            <w:shd w:val="clear" w:color="auto" w:fill="auto"/>
            <w:vAlign w:val="center"/>
          </w:tcPr>
          <w:p w14:paraId="3D91E1F5"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01" w:type="dxa"/>
            <w:tcBorders>
              <w:top w:val="nil"/>
              <w:left w:val="nil"/>
              <w:bottom w:val="single" w:sz="4" w:space="0" w:color="auto"/>
              <w:right w:val="single" w:sz="4" w:space="0" w:color="auto"/>
            </w:tcBorders>
            <w:shd w:val="clear" w:color="auto" w:fill="auto"/>
            <w:vAlign w:val="center"/>
          </w:tcPr>
          <w:p w14:paraId="2096515E"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c>
          <w:tcPr>
            <w:tcW w:w="1779" w:type="dxa"/>
            <w:tcBorders>
              <w:top w:val="nil"/>
              <w:left w:val="nil"/>
              <w:bottom w:val="single" w:sz="4" w:space="0" w:color="auto"/>
              <w:right w:val="single" w:sz="4" w:space="0" w:color="auto"/>
            </w:tcBorders>
            <w:shd w:val="clear" w:color="auto" w:fill="auto"/>
            <w:vAlign w:val="center"/>
          </w:tcPr>
          <w:p w14:paraId="41BC4310"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r>
      <w:tr w:rsidR="00D92327" w:rsidRPr="00E23FF7" w14:paraId="377747CA" w14:textId="77777777" w:rsidTr="00E32820">
        <w:trPr>
          <w:trHeight w:val="1065"/>
        </w:trPr>
        <w:tc>
          <w:tcPr>
            <w:tcW w:w="4248" w:type="dxa"/>
            <w:tcBorders>
              <w:top w:val="nil"/>
              <w:left w:val="single" w:sz="4" w:space="0" w:color="auto"/>
              <w:bottom w:val="single" w:sz="4" w:space="0" w:color="auto"/>
              <w:right w:val="single" w:sz="4" w:space="0" w:color="auto"/>
            </w:tcBorders>
            <w:shd w:val="clear" w:color="auto" w:fill="auto"/>
          </w:tcPr>
          <w:p w14:paraId="49F83A59" w14:textId="77777777" w:rsidR="00D92327" w:rsidRPr="006E491B" w:rsidRDefault="00D92327" w:rsidP="00E32820">
            <w:pPr>
              <w:jc w:val="both"/>
              <w:rPr>
                <w:rFonts w:ascii="Arial" w:hAnsi="Arial" w:cs="Arial"/>
                <w:color w:val="000000" w:themeColor="text1"/>
              </w:rPr>
            </w:pPr>
            <w:r w:rsidRPr="006E491B">
              <w:rPr>
                <w:rFonts w:ascii="Arial" w:hAnsi="Arial" w:cs="Arial"/>
                <w:color w:val="000000" w:themeColor="text1"/>
              </w:rPr>
              <w:t>Atrasos en la presentación de Información periódica, con indicación de la fecha prevista de presentación.</w:t>
            </w:r>
          </w:p>
        </w:tc>
        <w:tc>
          <w:tcPr>
            <w:tcW w:w="1417" w:type="dxa"/>
            <w:tcBorders>
              <w:top w:val="nil"/>
              <w:left w:val="nil"/>
              <w:bottom w:val="single" w:sz="4" w:space="0" w:color="auto"/>
              <w:right w:val="single" w:sz="4" w:space="0" w:color="auto"/>
            </w:tcBorders>
            <w:shd w:val="clear" w:color="auto" w:fill="auto"/>
            <w:vAlign w:val="center"/>
          </w:tcPr>
          <w:p w14:paraId="52E34E75" w14:textId="77777777" w:rsidR="00D92327" w:rsidRPr="006F0048" w:rsidRDefault="00D92327" w:rsidP="00E32820">
            <w:pPr>
              <w:jc w:val="center"/>
              <w:rPr>
                <w:rFonts w:ascii="Arial" w:hAnsi="Arial" w:cs="Arial"/>
                <w:color w:val="000000" w:themeColor="text1"/>
                <w:lang w:eastAsia="es-CR"/>
              </w:rPr>
            </w:pPr>
          </w:p>
        </w:tc>
        <w:tc>
          <w:tcPr>
            <w:tcW w:w="1701" w:type="dxa"/>
            <w:tcBorders>
              <w:top w:val="nil"/>
              <w:left w:val="nil"/>
              <w:bottom w:val="single" w:sz="4" w:space="0" w:color="auto"/>
              <w:right w:val="single" w:sz="4" w:space="0" w:color="auto"/>
            </w:tcBorders>
            <w:shd w:val="clear" w:color="auto" w:fill="auto"/>
            <w:vAlign w:val="center"/>
          </w:tcPr>
          <w:p w14:paraId="7545CE72" w14:textId="77777777" w:rsidR="00D92327" w:rsidRPr="006F0048" w:rsidRDefault="00D92327" w:rsidP="00E32820">
            <w:pPr>
              <w:jc w:val="center"/>
              <w:rPr>
                <w:rFonts w:ascii="Arial" w:hAnsi="Arial" w:cs="Arial"/>
                <w:color w:val="000000" w:themeColor="text1"/>
                <w:lang w:eastAsia="es-CR"/>
              </w:rPr>
            </w:pPr>
          </w:p>
        </w:tc>
        <w:tc>
          <w:tcPr>
            <w:tcW w:w="1779" w:type="dxa"/>
            <w:tcBorders>
              <w:top w:val="nil"/>
              <w:left w:val="nil"/>
              <w:bottom w:val="single" w:sz="4" w:space="0" w:color="auto"/>
              <w:right w:val="single" w:sz="4" w:space="0" w:color="auto"/>
            </w:tcBorders>
            <w:shd w:val="clear" w:color="auto" w:fill="auto"/>
            <w:vAlign w:val="center"/>
          </w:tcPr>
          <w:p w14:paraId="120DD37E" w14:textId="77777777" w:rsidR="00D92327" w:rsidRPr="006F0048" w:rsidRDefault="00D92327" w:rsidP="00E32820">
            <w:pPr>
              <w:jc w:val="center"/>
              <w:rPr>
                <w:rFonts w:ascii="Arial" w:hAnsi="Arial" w:cs="Arial"/>
                <w:color w:val="000000" w:themeColor="text1"/>
                <w:lang w:eastAsia="es-CR"/>
              </w:rPr>
            </w:pPr>
            <w:r w:rsidRPr="006F0048">
              <w:rPr>
                <w:color w:val="000000" w:themeColor="text1"/>
              </w:rPr>
              <w:t>X</w:t>
            </w:r>
          </w:p>
        </w:tc>
      </w:tr>
    </w:tbl>
    <w:p w14:paraId="7609E101" w14:textId="77777777" w:rsidR="00D92327" w:rsidRDefault="00D92327" w:rsidP="00D92327">
      <w:pPr>
        <w:spacing w:before="240" w:after="240"/>
        <w:jc w:val="both"/>
        <w:rPr>
          <w:rFonts w:ascii="Arial" w:hAnsi="Arial" w:cs="Arial"/>
          <w:b/>
          <w:color w:val="000000" w:themeColor="text1"/>
          <w:szCs w:val="22"/>
        </w:rPr>
      </w:pPr>
    </w:p>
    <w:p w14:paraId="7409CE48" w14:textId="77777777" w:rsidR="00D92327" w:rsidRPr="008D57BF" w:rsidRDefault="00D92327" w:rsidP="00D92327">
      <w:pPr>
        <w:spacing w:before="240" w:after="240"/>
        <w:jc w:val="both"/>
        <w:rPr>
          <w:rFonts w:ascii="Arial" w:hAnsi="Arial" w:cs="Arial"/>
          <w:b/>
          <w:color w:val="000000" w:themeColor="text1"/>
          <w:szCs w:val="22"/>
        </w:rPr>
      </w:pPr>
      <w:r w:rsidRPr="008D57BF">
        <w:rPr>
          <w:rFonts w:ascii="Arial" w:hAnsi="Arial" w:cs="Arial"/>
          <w:b/>
          <w:color w:val="000000" w:themeColor="text1"/>
          <w:szCs w:val="22"/>
        </w:rPr>
        <w:lastRenderedPageBreak/>
        <w:t>Artículo 2. Vigencia</w:t>
      </w:r>
    </w:p>
    <w:p w14:paraId="373BA827" w14:textId="77777777" w:rsidR="00D92327" w:rsidRDefault="00D92327" w:rsidP="00D92327">
      <w:pPr>
        <w:tabs>
          <w:tab w:val="left" w:pos="8910"/>
        </w:tabs>
        <w:spacing w:before="240" w:after="240"/>
        <w:jc w:val="both"/>
        <w:rPr>
          <w:rFonts w:ascii="Arial" w:hAnsi="Arial" w:cs="Arial"/>
          <w:szCs w:val="22"/>
        </w:rPr>
      </w:pPr>
      <w:r w:rsidRPr="008D57BF">
        <w:rPr>
          <w:rFonts w:ascii="Arial" w:hAnsi="Arial" w:cs="Arial"/>
          <w:szCs w:val="22"/>
        </w:rPr>
        <w:t xml:space="preserve">Rige a partir del </w:t>
      </w:r>
      <w:r>
        <w:rPr>
          <w:rFonts w:ascii="Arial" w:hAnsi="Arial" w:cs="Arial"/>
          <w:szCs w:val="22"/>
        </w:rPr>
        <w:t>31</w:t>
      </w:r>
      <w:r w:rsidRPr="008D57BF">
        <w:rPr>
          <w:rFonts w:ascii="Arial" w:hAnsi="Arial" w:cs="Arial"/>
          <w:szCs w:val="22"/>
        </w:rPr>
        <w:t xml:space="preserve"> de </w:t>
      </w:r>
      <w:r>
        <w:rPr>
          <w:rFonts w:ascii="Arial" w:hAnsi="Arial" w:cs="Arial"/>
          <w:szCs w:val="22"/>
        </w:rPr>
        <w:t>marzo</w:t>
      </w:r>
      <w:r w:rsidRPr="008D57BF">
        <w:rPr>
          <w:rFonts w:ascii="Arial" w:hAnsi="Arial" w:cs="Arial"/>
          <w:szCs w:val="22"/>
        </w:rPr>
        <w:t xml:space="preserve"> del 202</w:t>
      </w:r>
      <w:r>
        <w:rPr>
          <w:rFonts w:ascii="Arial" w:hAnsi="Arial" w:cs="Arial"/>
          <w:szCs w:val="22"/>
        </w:rPr>
        <w:t>2</w:t>
      </w:r>
      <w:r w:rsidRPr="008D57BF">
        <w:rPr>
          <w:rFonts w:ascii="Arial" w:hAnsi="Arial" w:cs="Arial"/>
          <w:szCs w:val="22"/>
        </w:rPr>
        <w:t>.</w:t>
      </w:r>
    </w:p>
    <w:p w14:paraId="6E7D8B86" w14:textId="57FC8646" w:rsidR="00B2356E" w:rsidRPr="00D92327" w:rsidRDefault="00B2356E" w:rsidP="00B2356E">
      <w:pPr>
        <w:pStyle w:val="Textoindependiente"/>
        <w:spacing w:after="0"/>
        <w:jc w:val="both"/>
        <w:rPr>
          <w:rFonts w:ascii="Arial" w:hAnsi="Arial" w:cs="Arial"/>
          <w:b/>
          <w:szCs w:val="22"/>
          <w:lang w:eastAsia="en-US"/>
        </w:rPr>
      </w:pPr>
    </w:p>
    <w:sectPr w:rsidR="00B2356E" w:rsidRPr="00D92327" w:rsidSect="00880E31">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C7069" w14:textId="77777777" w:rsidR="00E642AA" w:rsidRDefault="00E642AA" w:rsidP="005A768E">
      <w:r>
        <w:separator/>
      </w:r>
    </w:p>
  </w:endnote>
  <w:endnote w:type="continuationSeparator" w:id="0">
    <w:p w14:paraId="56C2E265" w14:textId="77777777" w:rsidR="00E642AA" w:rsidRDefault="00E642AA" w:rsidP="005A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PCL6)">
    <w:altName w:val="Garamond"/>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938CD" w14:textId="77777777" w:rsidR="003959B0" w:rsidRDefault="003959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569F" w14:textId="77777777" w:rsidR="003959B0" w:rsidRPr="003959B0" w:rsidRDefault="003959B0" w:rsidP="003959B0">
    <w:pPr>
      <w:pStyle w:val="Piedepgina"/>
      <w:pBdr>
        <w:top w:val="single" w:sz="4" w:space="1" w:color="D9D9D9"/>
      </w:pBdr>
      <w:rPr>
        <w:rFonts w:ascii="Arial" w:hAnsi="Arial" w:cs="Arial"/>
        <w:b/>
        <w:bCs/>
        <w:color w:val="1B75BB"/>
      </w:rPr>
    </w:pPr>
    <w:r w:rsidRPr="003959B0">
      <w:rPr>
        <w:rFonts w:ascii="Arial" w:hAnsi="Arial" w:cs="Arial"/>
        <w:b/>
        <w:bCs/>
        <w:color w:val="1B75BB"/>
      </w:rPr>
      <w:fldChar w:fldCharType="begin"/>
    </w:r>
    <w:r w:rsidRPr="003959B0">
      <w:rPr>
        <w:rFonts w:ascii="Arial" w:hAnsi="Arial" w:cs="Arial"/>
        <w:b/>
        <w:bCs/>
        <w:color w:val="1B75BB"/>
      </w:rPr>
      <w:instrText xml:space="preserve"> PAGE   \* MERGEFORMAT </w:instrText>
    </w:r>
    <w:r w:rsidRPr="003959B0">
      <w:rPr>
        <w:rFonts w:ascii="Arial" w:hAnsi="Arial" w:cs="Arial"/>
        <w:b/>
        <w:bCs/>
        <w:color w:val="1B75BB"/>
      </w:rPr>
      <w:fldChar w:fldCharType="separate"/>
    </w:r>
    <w:r w:rsidRPr="003959B0">
      <w:rPr>
        <w:rFonts w:ascii="Arial" w:hAnsi="Arial" w:cs="Arial"/>
        <w:b/>
        <w:bCs/>
        <w:color w:val="1B75BB"/>
      </w:rPr>
      <w:t>2</w:t>
    </w:r>
    <w:r w:rsidRPr="003959B0">
      <w:rPr>
        <w:rFonts w:ascii="Arial" w:hAnsi="Arial" w:cs="Arial"/>
        <w:b/>
        <w:bCs/>
        <w:noProof/>
        <w:color w:val="1B75BB"/>
      </w:rPr>
      <w:fldChar w:fldCharType="end"/>
    </w:r>
    <w:r w:rsidRPr="003959B0">
      <w:rPr>
        <w:rFonts w:ascii="Arial" w:hAnsi="Arial" w:cs="Arial"/>
        <w:b/>
        <w:bCs/>
        <w:color w:val="1B75BB"/>
      </w:rPr>
      <w:t xml:space="preserve"> | </w:t>
    </w:r>
  </w:p>
  <w:p w14:paraId="7599CC34" w14:textId="77777777" w:rsidR="003959B0" w:rsidRDefault="003959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594C" w14:textId="77777777" w:rsidR="003959B0" w:rsidRDefault="003959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50819" w14:textId="77777777" w:rsidR="00E642AA" w:rsidRDefault="00E642AA" w:rsidP="005A768E">
      <w:r>
        <w:separator/>
      </w:r>
    </w:p>
  </w:footnote>
  <w:footnote w:type="continuationSeparator" w:id="0">
    <w:p w14:paraId="2D958F47" w14:textId="77777777" w:rsidR="00E642AA" w:rsidRDefault="00E642AA" w:rsidP="005A768E">
      <w:r>
        <w:continuationSeparator/>
      </w:r>
    </w:p>
  </w:footnote>
  <w:footnote w:id="1">
    <w:p w14:paraId="5409BD7D" w14:textId="77777777" w:rsidR="00F0599F" w:rsidRPr="00F0599F" w:rsidRDefault="00D92327" w:rsidP="00F0599F">
      <w:pPr>
        <w:spacing w:line="276" w:lineRule="auto"/>
        <w:jc w:val="both"/>
        <w:rPr>
          <w:sz w:val="20"/>
          <w:szCs w:val="20"/>
          <w:lang w:val="es-CR" w:eastAsia="es-CR"/>
        </w:rPr>
      </w:pPr>
      <w:r w:rsidRPr="00762134">
        <w:rPr>
          <w:rStyle w:val="Refdenotaalpie"/>
          <w:rFonts w:ascii="Arial" w:hAnsi="Arial" w:cs="Arial"/>
        </w:rPr>
        <w:footnoteRef/>
      </w:r>
      <w:r w:rsidRPr="00762134">
        <w:rPr>
          <w:rFonts w:ascii="Arial" w:hAnsi="Arial" w:cs="Arial"/>
        </w:rPr>
        <w:t xml:space="preserve"> </w:t>
      </w:r>
      <w:r w:rsidRPr="00F0599F">
        <w:rPr>
          <w:rFonts w:ascii="Arial" w:hAnsi="Arial" w:cs="Arial"/>
          <w:sz w:val="20"/>
          <w:szCs w:val="20"/>
          <w:lang w:val="es-CR"/>
        </w:rPr>
        <w:t>Superintendencia General de Valores. Despacho del Superintendente. A las nueve horas del treinta y uno de marzo del dos mil veintidós.</w:t>
      </w:r>
      <w:r w:rsidR="00F0599F" w:rsidRPr="00F0599F">
        <w:rPr>
          <w:rFonts w:ascii="Arial" w:hAnsi="Arial" w:cs="Arial"/>
          <w:sz w:val="20"/>
          <w:szCs w:val="20"/>
          <w:lang w:val="es-CR"/>
        </w:rPr>
        <w:t xml:space="preserve"> </w:t>
      </w:r>
      <w:r w:rsidR="00F0599F" w:rsidRPr="00F0599F">
        <w:rPr>
          <w:rFonts w:ascii="Arial" w:hAnsi="Arial" w:cs="Arial"/>
          <w:sz w:val="20"/>
          <w:szCs w:val="20"/>
        </w:rPr>
        <w:t>Publicado en el Diario Oficial La Gaceta No. 70 del 7 de abril del 2022</w:t>
      </w:r>
    </w:p>
    <w:p w14:paraId="2D5A2B85" w14:textId="14B74C30" w:rsidR="00D92327" w:rsidRPr="00F0599F" w:rsidRDefault="00D92327" w:rsidP="00D92327">
      <w:pPr>
        <w:pStyle w:val="Textoindependiente3"/>
        <w:rPr>
          <w:rFonts w:ascii="Arial" w:hAnsi="Arial" w:cs="Arial"/>
          <w:sz w:val="20"/>
          <w:szCs w:val="20"/>
          <w:lang w:val="es-CR"/>
        </w:rPr>
      </w:pPr>
    </w:p>
    <w:p w14:paraId="764B459B" w14:textId="77445EE9" w:rsidR="00D92327" w:rsidRPr="00D92327" w:rsidRDefault="00D92327" w:rsidP="00D92327">
      <w:pPr>
        <w:pStyle w:val="Textodereglamento"/>
        <w:spacing w:before="0"/>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FE5BB" w14:textId="77777777" w:rsidR="003959B0" w:rsidRDefault="003959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B8D0B" w14:textId="6CA23C8D" w:rsidR="003959B0" w:rsidRDefault="003959B0" w:rsidP="003959B0">
    <w:pPr>
      <w:pStyle w:val="Encabezado"/>
      <w:jc w:val="right"/>
    </w:pPr>
    <w:r>
      <w:rPr>
        <w:rFonts w:ascii="Calibri" w:hAnsi="Calibri" w:cs="Arial"/>
        <w:i/>
        <w:noProof/>
        <w:sz w:val="20"/>
        <w:szCs w:val="20"/>
        <w:lang w:val="es-CR" w:eastAsia="es-CR"/>
      </w:rPr>
      <w:drawing>
        <wp:inline distT="0" distB="0" distL="0" distR="0" wp14:anchorId="0B3EEFA0" wp14:editId="1FFF97B8">
          <wp:extent cx="1555750" cy="368300"/>
          <wp:effectExtent l="0" t="0" r="6350" b="0"/>
          <wp:docPr id="1" name="Imagen 1"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368300"/>
                  </a:xfrm>
                  <a:prstGeom prst="rect">
                    <a:avLst/>
                  </a:prstGeom>
                  <a:noFill/>
                  <a:ln>
                    <a:noFill/>
                  </a:ln>
                </pic:spPr>
              </pic:pic>
            </a:graphicData>
          </a:graphic>
        </wp:inline>
      </w:drawing>
    </w:r>
  </w:p>
  <w:p w14:paraId="06DE9027" w14:textId="7260EDDE" w:rsidR="003959B0" w:rsidRDefault="003959B0" w:rsidP="003959B0">
    <w:pPr>
      <w:pStyle w:val="Encabezado"/>
    </w:pPr>
    <w:r>
      <w:rPr>
        <w:noProof/>
      </w:rPr>
      <mc:AlternateContent>
        <mc:Choice Requires="wps">
          <w:drawing>
            <wp:anchor distT="4294967292" distB="4294967292" distL="114300" distR="114300" simplePos="0" relativeHeight="251658240" behindDoc="0" locked="0" layoutInCell="1" allowOverlap="1" wp14:anchorId="5F92511F" wp14:editId="2125B130">
              <wp:simplePos x="0" y="0"/>
              <wp:positionH relativeFrom="margin">
                <wp:align>right</wp:align>
              </wp:positionH>
              <wp:positionV relativeFrom="paragraph">
                <wp:posOffset>33020</wp:posOffset>
              </wp:positionV>
              <wp:extent cx="5575300" cy="6350"/>
              <wp:effectExtent l="0" t="0" r="25400" b="317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5300" cy="635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99C69" id="Conector recto 4" o:spid="_x0000_s1026" style="position:absolute;flip:y;z-index:251658240;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87.8pt,2.6pt" to="82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" strokecolor="#1b75bb" strokeweight="1.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A9BBF" w14:textId="77777777" w:rsidR="003959B0" w:rsidRDefault="003959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A0C"/>
    <w:multiLevelType w:val="hybridMultilevel"/>
    <w:tmpl w:val="028C2EEA"/>
    <w:lvl w:ilvl="0" w:tplc="0CCC61C8">
      <w:start w:val="1"/>
      <w:numFmt w:val="decimal"/>
      <w:pStyle w:val="Numeracin"/>
      <w:lvlText w:val="%1."/>
      <w:lvlJc w:val="left"/>
      <w:pPr>
        <w:ind w:left="1636" w:hanging="360"/>
      </w:pPr>
      <w:rPr>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0CC50570"/>
    <w:multiLevelType w:val="hybridMultilevel"/>
    <w:tmpl w:val="EC40DA3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76C3292"/>
    <w:multiLevelType w:val="hybridMultilevel"/>
    <w:tmpl w:val="36DE43A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C023D6D"/>
    <w:multiLevelType w:val="hybridMultilevel"/>
    <w:tmpl w:val="317246F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6AC5608"/>
    <w:multiLevelType w:val="hybridMultilevel"/>
    <w:tmpl w:val="D7B0357E"/>
    <w:lvl w:ilvl="0" w:tplc="991095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DF231C"/>
    <w:multiLevelType w:val="hybridMultilevel"/>
    <w:tmpl w:val="486CB57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AE359D2"/>
    <w:multiLevelType w:val="multilevel"/>
    <w:tmpl w:val="82A0C576"/>
    <w:lvl w:ilvl="0">
      <w:start w:val="3"/>
      <w:numFmt w:val="decimal"/>
      <w:lvlText w:val="%1."/>
      <w:lvlJc w:val="left"/>
      <w:pPr>
        <w:tabs>
          <w:tab w:val="num" w:pos="360"/>
        </w:tabs>
        <w:ind w:left="360" w:hanging="360"/>
      </w:pPr>
      <w:rPr>
        <w:rFonts w:hint="default"/>
        <w:b/>
        <w:i w:val="0"/>
        <w:color w:val="FFFFFF"/>
        <w:sz w:val="4"/>
        <w:szCs w:val="4"/>
      </w:rPr>
    </w:lvl>
    <w:lvl w:ilvl="1">
      <w:start w:val="1"/>
      <w:numFmt w:val="decimal"/>
      <w:lvlText w:val="%1.%2."/>
      <w:lvlJc w:val="left"/>
      <w:pPr>
        <w:tabs>
          <w:tab w:val="num" w:pos="792"/>
        </w:tabs>
        <w:ind w:left="792" w:hanging="432"/>
      </w:pPr>
      <w:rPr>
        <w:rFonts w:hint="default"/>
        <w:b w:val="0"/>
        <w:i w:val="0"/>
        <w:sz w:val="22"/>
        <w:szCs w:val="16"/>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b w:val="0"/>
      </w:rPr>
    </w:lvl>
    <w:lvl w:ilvl="5">
      <w:start w:val="1"/>
      <w:numFmt w:val="decimal"/>
      <w:lvlText w:val="%1.%2.%3.%4.%5.%6."/>
      <w:lvlJc w:val="left"/>
      <w:pPr>
        <w:tabs>
          <w:tab w:val="num" w:pos="2736"/>
        </w:tabs>
        <w:ind w:left="2736" w:hanging="936"/>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744"/>
        </w:tabs>
        <w:ind w:left="3744" w:hanging="1224"/>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7" w15:restartNumberingAfterBreak="0">
    <w:nsid w:val="3F346C2E"/>
    <w:multiLevelType w:val="hybridMultilevel"/>
    <w:tmpl w:val="34448716"/>
    <w:lvl w:ilvl="0" w:tplc="31A0341A">
      <w:start w:val="1"/>
      <w:numFmt w:val="lowerLetter"/>
      <w:pStyle w:val="incisos"/>
      <w:lvlText w:val="%1)"/>
      <w:lvlJc w:val="left"/>
      <w:pPr>
        <w:tabs>
          <w:tab w:val="num" w:pos="609"/>
        </w:tabs>
        <w:ind w:left="609" w:hanging="339"/>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2806BEA"/>
    <w:multiLevelType w:val="hybridMultilevel"/>
    <w:tmpl w:val="9D32FF96"/>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ED50A52"/>
    <w:multiLevelType w:val="hybridMultilevel"/>
    <w:tmpl w:val="B85E8EB4"/>
    <w:lvl w:ilvl="0" w:tplc="D4CC4FE6">
      <w:start w:val="1"/>
      <w:numFmt w:val="upperLetter"/>
      <w:pStyle w:val="Ttulo5"/>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20D3B"/>
    <w:multiLevelType w:val="hybridMultilevel"/>
    <w:tmpl w:val="0066AC7C"/>
    <w:lvl w:ilvl="0" w:tplc="17AA22B4">
      <w:start w:val="1"/>
      <w:numFmt w:val="decimal"/>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5"/>
  </w:num>
  <w:num w:numId="3">
    <w:abstractNumId w:val="0"/>
  </w:num>
  <w:num w:numId="4">
    <w:abstractNumId w:val="9"/>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2"/>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8E"/>
    <w:rsid w:val="00007388"/>
    <w:rsid w:val="00015BA6"/>
    <w:rsid w:val="00031E3C"/>
    <w:rsid w:val="000702E4"/>
    <w:rsid w:val="000C62EE"/>
    <w:rsid w:val="000F4C2E"/>
    <w:rsid w:val="00134708"/>
    <w:rsid w:val="00211A42"/>
    <w:rsid w:val="00212A1A"/>
    <w:rsid w:val="00227AA2"/>
    <w:rsid w:val="00237AB7"/>
    <w:rsid w:val="002462B7"/>
    <w:rsid w:val="00272406"/>
    <w:rsid w:val="00341FBE"/>
    <w:rsid w:val="003959B0"/>
    <w:rsid w:val="003B50ED"/>
    <w:rsid w:val="004A41F7"/>
    <w:rsid w:val="00581D39"/>
    <w:rsid w:val="005A768E"/>
    <w:rsid w:val="00616D90"/>
    <w:rsid w:val="0063177A"/>
    <w:rsid w:val="006354AB"/>
    <w:rsid w:val="006B1248"/>
    <w:rsid w:val="006C1493"/>
    <w:rsid w:val="006E491B"/>
    <w:rsid w:val="0076523E"/>
    <w:rsid w:val="00772D1A"/>
    <w:rsid w:val="00783B2C"/>
    <w:rsid w:val="007B4C1A"/>
    <w:rsid w:val="0082122F"/>
    <w:rsid w:val="0084108F"/>
    <w:rsid w:val="00880E31"/>
    <w:rsid w:val="0093370A"/>
    <w:rsid w:val="0093499C"/>
    <w:rsid w:val="00982F89"/>
    <w:rsid w:val="00987928"/>
    <w:rsid w:val="009B31B2"/>
    <w:rsid w:val="00A748BA"/>
    <w:rsid w:val="00AA48A8"/>
    <w:rsid w:val="00AF6325"/>
    <w:rsid w:val="00B2356E"/>
    <w:rsid w:val="00B44D0F"/>
    <w:rsid w:val="00B45F9C"/>
    <w:rsid w:val="00C34BC2"/>
    <w:rsid w:val="00CD5F5E"/>
    <w:rsid w:val="00CE39B3"/>
    <w:rsid w:val="00CF1CDA"/>
    <w:rsid w:val="00D92327"/>
    <w:rsid w:val="00DE26A5"/>
    <w:rsid w:val="00DF6B05"/>
    <w:rsid w:val="00E13153"/>
    <w:rsid w:val="00E642AA"/>
    <w:rsid w:val="00F0599F"/>
    <w:rsid w:val="00F37284"/>
    <w:rsid w:val="00F4079E"/>
    <w:rsid w:val="00F47843"/>
    <w:rsid w:val="00F77EA4"/>
    <w:rsid w:val="00FA5D7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1FAC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8E"/>
    <w:pPr>
      <w:spacing w:after="0" w:line="240" w:lineRule="auto"/>
    </w:pPr>
    <w:rPr>
      <w:rFonts w:ascii="Times New Roman" w:eastAsia="Times New Roman" w:hAnsi="Times New Roman" w:cs="Times New Roman"/>
      <w:szCs w:val="24"/>
      <w:lang w:val="es-ES" w:eastAsia="es-ES"/>
    </w:rPr>
  </w:style>
  <w:style w:type="paragraph" w:styleId="Ttulo1">
    <w:name w:val="heading 1"/>
    <w:basedOn w:val="Normal"/>
    <w:next w:val="Normal"/>
    <w:link w:val="Ttulo1Car"/>
    <w:uiPriority w:val="9"/>
    <w:qFormat/>
    <w:rsid w:val="00DF6B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iPriority w:val="9"/>
    <w:semiHidden/>
    <w:unhideWhenUsed/>
    <w:qFormat/>
    <w:rsid w:val="000702E4"/>
    <w:pPr>
      <w:keepNext/>
      <w:keepLines/>
      <w:spacing w:before="40"/>
      <w:outlineLvl w:val="3"/>
    </w:pPr>
    <w:rPr>
      <w:rFonts w:asciiTheme="majorHAnsi" w:eastAsiaTheme="majorEastAsia" w:hAnsiTheme="majorHAnsi" w:cstheme="majorBidi"/>
      <w:i/>
      <w:iCs/>
      <w:color w:val="2F5496" w:themeColor="accent1" w:themeShade="BF"/>
      <w:lang w:val="es-CR"/>
    </w:rPr>
  </w:style>
  <w:style w:type="paragraph" w:styleId="Ttulo5">
    <w:name w:val="heading 5"/>
    <w:aliases w:val="ANEXO NIVEL 2"/>
    <w:basedOn w:val="Normal"/>
    <w:next w:val="Numeracin"/>
    <w:link w:val="Ttulo5Car"/>
    <w:qFormat/>
    <w:rsid w:val="003959B0"/>
    <w:pPr>
      <w:keepNext/>
      <w:numPr>
        <w:numId w:val="4"/>
      </w:numPr>
      <w:spacing w:before="120"/>
      <w:jc w:val="both"/>
      <w:outlineLvl w:val="4"/>
    </w:pPr>
    <w:rPr>
      <w:rFonts w:eastAsia="Arial Unicode MS" w:cs="Arial"/>
      <w:b/>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reglamento">
    <w:name w:val="Texto de reglamento"/>
    <w:basedOn w:val="Normal"/>
    <w:link w:val="TextodereglamentoChar"/>
    <w:qFormat/>
    <w:rsid w:val="005A768E"/>
    <w:pPr>
      <w:spacing w:before="120"/>
      <w:jc w:val="both"/>
    </w:pPr>
  </w:style>
  <w:style w:type="paragraph" w:customStyle="1" w:styleId="Numeracin">
    <w:name w:val="Numeración"/>
    <w:basedOn w:val="Textodereglamento"/>
    <w:link w:val="NumeracinChar"/>
    <w:qFormat/>
    <w:rsid w:val="005A768E"/>
    <w:pPr>
      <w:numPr>
        <w:numId w:val="1"/>
      </w:numPr>
    </w:pPr>
  </w:style>
  <w:style w:type="character" w:customStyle="1" w:styleId="TextodereglamentoChar">
    <w:name w:val="Texto de reglamento Char"/>
    <w:link w:val="Textodereglamento"/>
    <w:rsid w:val="005A768E"/>
    <w:rPr>
      <w:rFonts w:ascii="Times New Roman" w:eastAsia="Times New Roman" w:hAnsi="Times New Roman" w:cs="Times New Roman"/>
      <w:szCs w:val="24"/>
      <w:lang w:val="es-ES" w:eastAsia="es-ES"/>
    </w:rPr>
  </w:style>
  <w:style w:type="character" w:customStyle="1" w:styleId="NumeracinChar">
    <w:name w:val="Numeración Char"/>
    <w:link w:val="Numeracin"/>
    <w:rsid w:val="005A768E"/>
    <w:rPr>
      <w:rFonts w:ascii="Times New Roman" w:eastAsia="Times New Roman" w:hAnsi="Times New Roman" w:cs="Times New Roman"/>
      <w:szCs w:val="24"/>
      <w:lang w:val="es-ES" w:eastAsia="es-ES"/>
    </w:rPr>
  </w:style>
  <w:style w:type="paragraph" w:styleId="Textoindependiente">
    <w:name w:val="Body Text"/>
    <w:basedOn w:val="Normal"/>
    <w:link w:val="TextoindependienteCar"/>
    <w:rsid w:val="005A768E"/>
    <w:pPr>
      <w:spacing w:after="120"/>
    </w:pPr>
  </w:style>
  <w:style w:type="character" w:customStyle="1" w:styleId="TextoindependienteCar">
    <w:name w:val="Texto independiente Car"/>
    <w:basedOn w:val="Fuentedeprrafopredeter"/>
    <w:link w:val="Textoindependiente"/>
    <w:rsid w:val="005A768E"/>
    <w:rPr>
      <w:rFonts w:ascii="Times New Roman" w:eastAsia="Times New Roman" w:hAnsi="Times New Roman" w:cs="Times New Roman"/>
      <w:szCs w:val="24"/>
      <w:lang w:val="es-ES" w:eastAsia="es-ES"/>
    </w:rPr>
  </w:style>
  <w:style w:type="paragraph" w:styleId="Prrafodelista">
    <w:name w:val="List Paragraph"/>
    <w:aliases w:val="Informe,Con viñetas,Normal con viñetas,3,Use Case List Paragraph,Bullet 1,List Paragraph 1,Numbered List Paragraph,Main numbered paragraph,Bullets,List Paragraph (numbered (a)),Akapit z listą BS,List_Paragraph,Multilevel para_II"/>
    <w:basedOn w:val="Normal"/>
    <w:link w:val="PrrafodelistaCar"/>
    <w:uiPriority w:val="34"/>
    <w:qFormat/>
    <w:rsid w:val="005A768E"/>
    <w:pPr>
      <w:ind w:left="720"/>
      <w:contextualSpacing/>
    </w:p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n,single space"/>
    <w:basedOn w:val="Normal"/>
    <w:link w:val="TextonotapieCar"/>
    <w:unhideWhenUsed/>
    <w:rsid w:val="005A768E"/>
    <w:rPr>
      <w:sz w:val="20"/>
      <w:szCs w:val="20"/>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basedOn w:val="Fuentedeprrafopredeter"/>
    <w:link w:val="Textonotapie"/>
    <w:uiPriority w:val="99"/>
    <w:rsid w:val="005A768E"/>
    <w:rPr>
      <w:rFonts w:ascii="Times New Roman" w:eastAsia="Times New Roman" w:hAnsi="Times New Roman" w:cs="Times New Roman"/>
      <w:sz w:val="20"/>
      <w:szCs w:val="20"/>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basedOn w:val="Fuentedeprrafopredeter"/>
    <w:unhideWhenUsed/>
    <w:qFormat/>
    <w:rsid w:val="005A768E"/>
    <w:rPr>
      <w:vertAlign w:val="superscript"/>
    </w:rPr>
  </w:style>
  <w:style w:type="paragraph" w:styleId="Encabezado">
    <w:name w:val="header"/>
    <w:basedOn w:val="Normal"/>
    <w:link w:val="EncabezadoCar"/>
    <w:uiPriority w:val="99"/>
    <w:unhideWhenUsed/>
    <w:rsid w:val="00CD5F5E"/>
    <w:pPr>
      <w:tabs>
        <w:tab w:val="center" w:pos="4419"/>
        <w:tab w:val="right" w:pos="8838"/>
      </w:tabs>
    </w:pPr>
  </w:style>
  <w:style w:type="character" w:customStyle="1" w:styleId="EncabezadoCar">
    <w:name w:val="Encabezado Car"/>
    <w:basedOn w:val="Fuentedeprrafopredeter"/>
    <w:link w:val="Encabezado"/>
    <w:uiPriority w:val="99"/>
    <w:rsid w:val="00CD5F5E"/>
    <w:rPr>
      <w:rFonts w:ascii="Times New Roman" w:eastAsia="Times New Roman" w:hAnsi="Times New Roman" w:cs="Times New Roman"/>
      <w:szCs w:val="24"/>
      <w:lang w:val="es-ES" w:eastAsia="es-ES"/>
    </w:rPr>
  </w:style>
  <w:style w:type="paragraph" w:styleId="Piedepgina">
    <w:name w:val="footer"/>
    <w:basedOn w:val="Normal"/>
    <w:link w:val="PiedepginaCar"/>
    <w:uiPriority w:val="99"/>
    <w:unhideWhenUsed/>
    <w:rsid w:val="00CD5F5E"/>
    <w:pPr>
      <w:tabs>
        <w:tab w:val="center" w:pos="4419"/>
        <w:tab w:val="right" w:pos="8838"/>
      </w:tabs>
    </w:pPr>
  </w:style>
  <w:style w:type="character" w:customStyle="1" w:styleId="PiedepginaCar">
    <w:name w:val="Pie de página Car"/>
    <w:basedOn w:val="Fuentedeprrafopredeter"/>
    <w:link w:val="Piedepgina"/>
    <w:uiPriority w:val="99"/>
    <w:rsid w:val="00CD5F5E"/>
    <w:rPr>
      <w:rFonts w:ascii="Times New Roman" w:eastAsia="Times New Roman" w:hAnsi="Times New Roman" w:cs="Times New Roman"/>
      <w:szCs w:val="24"/>
      <w:lang w:val="es-ES" w:eastAsia="es-ES"/>
    </w:rPr>
  </w:style>
  <w:style w:type="character" w:customStyle="1" w:styleId="Ttulo5Car">
    <w:name w:val="Título 5 Car"/>
    <w:aliases w:val="ANEXO NIVEL 2 Car"/>
    <w:basedOn w:val="Fuentedeprrafopredeter"/>
    <w:link w:val="Ttulo5"/>
    <w:rsid w:val="003959B0"/>
    <w:rPr>
      <w:rFonts w:ascii="Times New Roman" w:eastAsia="Arial Unicode MS" w:hAnsi="Times New Roman" w:cs="Arial"/>
      <w:b/>
      <w:lang w:val="es-ES" w:eastAsia="es-ES"/>
    </w:rPr>
  </w:style>
  <w:style w:type="character" w:customStyle="1" w:styleId="Ttulo1Car">
    <w:name w:val="Título 1 Car"/>
    <w:basedOn w:val="Fuentedeprrafopredeter"/>
    <w:link w:val="Ttulo1"/>
    <w:uiPriority w:val="9"/>
    <w:rsid w:val="00DF6B05"/>
    <w:rPr>
      <w:rFonts w:asciiTheme="majorHAnsi" w:eastAsiaTheme="majorEastAsia" w:hAnsiTheme="majorHAnsi" w:cstheme="majorBidi"/>
      <w:color w:val="2F5496" w:themeColor="accent1" w:themeShade="BF"/>
      <w:sz w:val="32"/>
      <w:szCs w:val="32"/>
      <w:lang w:val="es-ES" w:eastAsia="es-ES"/>
    </w:rPr>
  </w:style>
  <w:style w:type="paragraph" w:styleId="Ttulo">
    <w:name w:val="Title"/>
    <w:basedOn w:val="Normal"/>
    <w:link w:val="TtuloCar"/>
    <w:qFormat/>
    <w:rsid w:val="00DF6B05"/>
    <w:pPr>
      <w:widowControl w:val="0"/>
      <w:jc w:val="center"/>
      <w:outlineLvl w:val="0"/>
    </w:pPr>
    <w:rPr>
      <w:rFonts w:ascii="Arial" w:hAnsi="Arial"/>
      <w:b/>
      <w:i/>
      <w:sz w:val="24"/>
      <w:lang w:val="es-CR" w:eastAsia="en-US"/>
    </w:rPr>
  </w:style>
  <w:style w:type="character" w:customStyle="1" w:styleId="TtuloCar">
    <w:name w:val="Título Car"/>
    <w:basedOn w:val="Fuentedeprrafopredeter"/>
    <w:link w:val="Ttulo"/>
    <w:rsid w:val="00DF6B05"/>
    <w:rPr>
      <w:rFonts w:ascii="Arial" w:eastAsia="Times New Roman" w:hAnsi="Arial" w:cs="Times New Roman"/>
      <w:b/>
      <w:i/>
      <w:sz w:val="24"/>
      <w:szCs w:val="24"/>
    </w:rPr>
  </w:style>
  <w:style w:type="character" w:customStyle="1" w:styleId="PrrafodelistaCar">
    <w:name w:val="Párrafo de lista Car"/>
    <w:aliases w:val="Informe Car,Con viñetas Car,Normal con viñetas Car,3 Car,Use Case List Paragraph Car,Bullet 1 Car,List Paragraph 1 Car,Numbered List Paragraph Car,Main numbered paragraph Car,Bullets Car,List Paragraph (numbered (a)) Car"/>
    <w:link w:val="Prrafodelista"/>
    <w:uiPriority w:val="34"/>
    <w:qFormat/>
    <w:locked/>
    <w:rsid w:val="00DF6B05"/>
    <w:rPr>
      <w:rFonts w:ascii="Times New Roman" w:eastAsia="Times New Roman" w:hAnsi="Times New Roman" w:cs="Times New Roman"/>
      <w:szCs w:val="24"/>
      <w:lang w:val="es-ES" w:eastAsia="es-ES"/>
    </w:rPr>
  </w:style>
  <w:style w:type="character" w:customStyle="1" w:styleId="PuestoCar">
    <w:name w:val="Puesto Car"/>
    <w:uiPriority w:val="10"/>
    <w:rsid w:val="00DF6B05"/>
    <w:rPr>
      <w:rFonts w:ascii="Arial" w:eastAsia="Times New Roman" w:hAnsi="Arial" w:cs="Times New Roman"/>
      <w:b/>
      <w:i/>
      <w:sz w:val="24"/>
      <w:szCs w:val="24"/>
      <w:lang w:val="es-CR"/>
    </w:rPr>
  </w:style>
  <w:style w:type="paragraph" w:customStyle="1" w:styleId="incisos">
    <w:name w:val="incisos"/>
    <w:basedOn w:val="Normal"/>
    <w:qFormat/>
    <w:rsid w:val="00DF6B05"/>
    <w:pPr>
      <w:numPr>
        <w:numId w:val="6"/>
      </w:numPr>
      <w:spacing w:before="60"/>
      <w:jc w:val="both"/>
    </w:pPr>
    <w:rPr>
      <w:rFonts w:eastAsiaTheme="minorHAnsi"/>
      <w:szCs w:val="22"/>
      <w:lang w:val="es-CR"/>
    </w:rPr>
  </w:style>
  <w:style w:type="table" w:styleId="Tablaconcuadrcula">
    <w:name w:val="Table Grid"/>
    <w:basedOn w:val="Tablanormal"/>
    <w:uiPriority w:val="39"/>
    <w:rsid w:val="00DF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0702E4"/>
    <w:pPr>
      <w:spacing w:after="120" w:line="480" w:lineRule="auto"/>
    </w:pPr>
  </w:style>
  <w:style w:type="character" w:customStyle="1" w:styleId="Textoindependiente2Car">
    <w:name w:val="Texto independiente 2 Car"/>
    <w:basedOn w:val="Fuentedeprrafopredeter"/>
    <w:link w:val="Textoindependiente2"/>
    <w:uiPriority w:val="99"/>
    <w:semiHidden/>
    <w:rsid w:val="000702E4"/>
    <w:rPr>
      <w:rFonts w:ascii="Times New Roman" w:eastAsia="Times New Roman" w:hAnsi="Times New Roman" w:cs="Times New Roman"/>
      <w:szCs w:val="24"/>
      <w:lang w:val="es-ES" w:eastAsia="es-ES"/>
    </w:rPr>
  </w:style>
  <w:style w:type="paragraph" w:styleId="Textoindependiente3">
    <w:name w:val="Body Text 3"/>
    <w:basedOn w:val="Normal"/>
    <w:link w:val="Textoindependiente3Car"/>
    <w:semiHidden/>
    <w:unhideWhenUsed/>
    <w:rsid w:val="000702E4"/>
    <w:pPr>
      <w:spacing w:after="120"/>
    </w:pPr>
    <w:rPr>
      <w:sz w:val="16"/>
      <w:szCs w:val="16"/>
    </w:rPr>
  </w:style>
  <w:style w:type="character" w:customStyle="1" w:styleId="Textoindependiente3Car">
    <w:name w:val="Texto independiente 3 Car"/>
    <w:basedOn w:val="Fuentedeprrafopredeter"/>
    <w:link w:val="Textoindependiente3"/>
    <w:semiHidden/>
    <w:rsid w:val="000702E4"/>
    <w:rPr>
      <w:rFonts w:ascii="Times New Roman" w:eastAsia="Times New Roman" w:hAnsi="Times New Roman" w:cs="Times New Roman"/>
      <w:sz w:val="16"/>
      <w:szCs w:val="16"/>
      <w:lang w:val="es-ES" w:eastAsia="es-ES"/>
    </w:rPr>
  </w:style>
  <w:style w:type="character" w:customStyle="1" w:styleId="Ttulo4Car">
    <w:name w:val="Título 4 Car"/>
    <w:basedOn w:val="Fuentedeprrafopredeter"/>
    <w:link w:val="Ttulo4"/>
    <w:uiPriority w:val="9"/>
    <w:semiHidden/>
    <w:rsid w:val="000702E4"/>
    <w:rPr>
      <w:rFonts w:asciiTheme="majorHAnsi" w:eastAsiaTheme="majorEastAsia" w:hAnsiTheme="majorHAnsi" w:cstheme="majorBidi"/>
      <w:i/>
      <w:iCs/>
      <w:color w:val="2F5496" w:themeColor="accent1" w:themeShade="BF"/>
      <w:szCs w:val="24"/>
      <w:lang w:eastAsia="es-ES"/>
    </w:rPr>
  </w:style>
  <w:style w:type="paragraph" w:customStyle="1" w:styleId="CNV">
    <w:name w:val="CNV"/>
    <w:basedOn w:val="Normal"/>
    <w:rsid w:val="000702E4"/>
    <w:pPr>
      <w:jc w:val="both"/>
    </w:pPr>
    <w:rPr>
      <w:sz w:val="24"/>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942146">
      <w:bodyDiv w:val="1"/>
      <w:marLeft w:val="0"/>
      <w:marRight w:val="0"/>
      <w:marTop w:val="0"/>
      <w:marBottom w:val="0"/>
      <w:divBdr>
        <w:top w:val="none" w:sz="0" w:space="0" w:color="auto"/>
        <w:left w:val="none" w:sz="0" w:space="0" w:color="auto"/>
        <w:bottom w:val="none" w:sz="0" w:space="0" w:color="auto"/>
        <w:right w:val="none" w:sz="0" w:space="0" w:color="auto"/>
      </w:divBdr>
    </w:div>
    <w:div w:id="815806799">
      <w:bodyDiv w:val="1"/>
      <w:marLeft w:val="0"/>
      <w:marRight w:val="0"/>
      <w:marTop w:val="0"/>
      <w:marBottom w:val="0"/>
      <w:divBdr>
        <w:top w:val="none" w:sz="0" w:space="0" w:color="auto"/>
        <w:left w:val="none" w:sz="0" w:space="0" w:color="auto"/>
        <w:bottom w:val="none" w:sz="0" w:space="0" w:color="auto"/>
        <w:right w:val="none" w:sz="0" w:space="0" w:color="auto"/>
      </w:divBdr>
    </w:div>
    <w:div w:id="899709922">
      <w:bodyDiv w:val="1"/>
      <w:marLeft w:val="0"/>
      <w:marRight w:val="0"/>
      <w:marTop w:val="0"/>
      <w:marBottom w:val="0"/>
      <w:divBdr>
        <w:top w:val="none" w:sz="0" w:space="0" w:color="auto"/>
        <w:left w:val="none" w:sz="0" w:space="0" w:color="auto"/>
        <w:bottom w:val="none" w:sz="0" w:space="0" w:color="auto"/>
        <w:right w:val="none" w:sz="0" w:space="0" w:color="auto"/>
      </w:divBdr>
    </w:div>
    <w:div w:id="21013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stado xmlns="315842a7-4cff-4ca6-8fb0-a6562d7ae952">Vigente</Estado>
    <Derogado_x0020_por_x003a_ xmlns="315842a7-4cff-4ca6-8fb0-a6562d7ae952" xsi:nil="true"/>
  </documentManagement>
</p:properties>
</file>

<file path=customXml/itemProps1.xml><?xml version="1.0" encoding="utf-8"?>
<ds:datastoreItem xmlns:ds="http://schemas.openxmlformats.org/officeDocument/2006/customXml" ds:itemID="{B259F1B5-0751-4BDF-B416-158F280C575E}">
  <ds:schemaRefs>
    <ds:schemaRef ds:uri="http://schemas.microsoft.com/sharepoint/v3/contenttype/forms"/>
  </ds:schemaRefs>
</ds:datastoreItem>
</file>

<file path=customXml/itemProps2.xml><?xml version="1.0" encoding="utf-8"?>
<ds:datastoreItem xmlns:ds="http://schemas.openxmlformats.org/officeDocument/2006/customXml" ds:itemID="{617B8116-E11C-4A97-8D81-C5C91E083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07638-A636-4D86-92A7-BC1B43A2C4E1}">
  <ds:schemaRefs>
    <ds:schemaRef ds:uri="http://schemas.openxmlformats.org/officeDocument/2006/bibliography"/>
  </ds:schemaRefs>
</ds:datastoreItem>
</file>

<file path=customXml/itemProps4.xml><?xml version="1.0" encoding="utf-8"?>
<ds:datastoreItem xmlns:ds="http://schemas.openxmlformats.org/officeDocument/2006/customXml" ds:itemID="{5D50F0A3-A173-4B90-B383-33163E36363F}">
  <ds:schemaRefs>
    <ds:schemaRef ds:uri="http://purl.org/dc/elements/1.1/"/>
    <ds:schemaRef ds:uri="http://schemas.microsoft.com/office/infopath/2007/PartnerControls"/>
    <ds:schemaRef ds:uri="http://schemas.microsoft.com/office/2006/metadata/properties"/>
    <ds:schemaRef ds:uri="fc66ef79-2d66-4fa3-90bd-e4f186d8d369"/>
    <ds:schemaRef ds:uri="http://schemas.microsoft.com/office/2006/documentManagement/types"/>
    <ds:schemaRef ds:uri="http://schemas.openxmlformats.org/package/2006/metadata/core-properties"/>
    <ds:schemaRef ds:uri="http://www.w3.org/XML/1998/namespace"/>
    <ds:schemaRef ds:uri="http://purl.org/dc/dcmitype/"/>
    <ds:schemaRef ds:uri="315842a7-4cff-4ca6-8fb0-a6562d7ae95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3828</Words>
  <Characters>21055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2022-03-31T23:07:00Z</dcterms:created>
  <dcterms:modified xsi:type="dcterms:W3CDTF">2022-04-08T21:28:00Z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