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0870" w14:textId="77777777" w:rsidR="00227AA2" w:rsidRDefault="00227AA2" w:rsidP="00227AA2">
      <w:pPr>
        <w:widowControl w:val="0"/>
        <w:tabs>
          <w:tab w:val="left" w:pos="2835"/>
        </w:tabs>
        <w:jc w:val="both"/>
        <w:outlineLvl w:val="0"/>
        <w:rPr>
          <w:rFonts w:ascii="Arial" w:hAnsi="Arial" w:cs="Arial"/>
          <w:b/>
          <w:bCs/>
          <w:iCs/>
          <w:noProof/>
          <w:sz w:val="24"/>
          <w:lang w:val="es-ES_tradnl"/>
        </w:rPr>
      </w:pPr>
    </w:p>
    <w:p w14:paraId="34B47C84" w14:textId="77777777" w:rsidR="00227AA2" w:rsidRPr="00830236" w:rsidRDefault="00227AA2" w:rsidP="00227AA2">
      <w:pPr>
        <w:widowControl w:val="0"/>
        <w:tabs>
          <w:tab w:val="left" w:pos="2835"/>
        </w:tabs>
        <w:jc w:val="both"/>
        <w:outlineLvl w:val="0"/>
        <w:rPr>
          <w:rFonts w:ascii="Garamond (PCL6)" w:hAnsi="Garamond (PCL6)"/>
          <w:b/>
          <w:bCs/>
          <w:i/>
          <w:iCs/>
          <w:noProof/>
          <w:sz w:val="36"/>
          <w:szCs w:val="20"/>
          <w:lang w:val="es-ES_tradnl"/>
        </w:rPr>
      </w:pPr>
      <w:r w:rsidRPr="00644A72">
        <w:rPr>
          <w:rFonts w:ascii="Arial" w:hAnsi="Arial" w:cs="Arial"/>
          <w:b/>
          <w:bCs/>
          <w:iCs/>
          <w:noProof/>
          <w:sz w:val="24"/>
          <w:lang w:val="es-ES_tradnl"/>
        </w:rPr>
        <w:t>SGV-A-</w:t>
      </w:r>
      <w:r>
        <w:rPr>
          <w:rFonts w:ascii="Arial" w:hAnsi="Arial" w:cs="Arial"/>
          <w:b/>
          <w:bCs/>
          <w:iCs/>
          <w:noProof/>
          <w:sz w:val="24"/>
          <w:lang w:val="es-ES_tradnl"/>
        </w:rPr>
        <w:t>260</w:t>
      </w:r>
      <w:r w:rsidRPr="00644A72">
        <w:rPr>
          <w:rFonts w:ascii="Arial" w:hAnsi="Arial" w:cs="Arial"/>
          <w:b/>
          <w:bCs/>
          <w:iCs/>
          <w:noProof/>
          <w:sz w:val="24"/>
          <w:lang w:val="es-ES_tradnl"/>
        </w:rPr>
        <w:t xml:space="preserve">. MODIFICACIÓN AL ACUERDO </w:t>
      </w:r>
      <w:r>
        <w:rPr>
          <w:rFonts w:ascii="Arial" w:hAnsi="Arial" w:cs="Arial"/>
          <w:b/>
          <w:bCs/>
          <w:iCs/>
          <w:noProof/>
          <w:sz w:val="24"/>
          <w:lang w:val="es-ES_tradnl"/>
        </w:rPr>
        <w:t>“</w:t>
      </w:r>
      <w:r w:rsidRPr="002520F8">
        <w:rPr>
          <w:rFonts w:ascii="Arial" w:hAnsi="Arial" w:cs="Arial"/>
          <w:b/>
          <w:bCs/>
          <w:iCs/>
          <w:noProof/>
          <w:sz w:val="24"/>
          <w:lang w:val="es-ES_tradnl"/>
        </w:rPr>
        <w:t>SGV-A-75. SUMINISTRO DE INFORMACIÓN PERIÓDICA</w:t>
      </w:r>
      <w:r>
        <w:rPr>
          <w:rFonts w:ascii="Arial" w:hAnsi="Arial" w:cs="Arial"/>
          <w:b/>
          <w:bCs/>
          <w:iCs/>
          <w:noProof/>
          <w:sz w:val="24"/>
          <w:lang w:val="es-ES_tradnl"/>
        </w:rPr>
        <w:t>”</w:t>
      </w:r>
      <w:r>
        <w:rPr>
          <w:rStyle w:val="Refdenotaalpie"/>
          <w:rFonts w:ascii="Garamond (PCL6)" w:hAnsi="Garamond (PCL6)"/>
          <w:b/>
          <w:bCs/>
          <w:i/>
          <w:iCs/>
          <w:noProof/>
          <w:sz w:val="36"/>
          <w:szCs w:val="20"/>
          <w:lang w:val="es-ES_tradnl"/>
        </w:rPr>
        <w:t xml:space="preserve"> </w:t>
      </w:r>
      <w:r w:rsidRPr="00E72720">
        <w:rPr>
          <w:rStyle w:val="Refdenotaalpie"/>
          <w:rFonts w:cs="Arial"/>
          <w:b/>
          <w:bCs/>
          <w:i/>
          <w:iCs/>
          <w:noProof/>
          <w:lang w:val="es-ES_tradnl"/>
        </w:rPr>
        <w:footnoteReference w:id="1"/>
      </w:r>
    </w:p>
    <w:p w14:paraId="0B19A6E7" w14:textId="77777777" w:rsidR="00227AA2" w:rsidRPr="00644A72" w:rsidRDefault="00227AA2" w:rsidP="00227AA2">
      <w:pPr>
        <w:widowControl w:val="0"/>
        <w:tabs>
          <w:tab w:val="left" w:pos="2835"/>
        </w:tabs>
        <w:jc w:val="both"/>
        <w:outlineLvl w:val="0"/>
        <w:rPr>
          <w:rFonts w:ascii="Arial" w:hAnsi="Arial" w:cs="Arial"/>
          <w:b/>
          <w:bCs/>
          <w:iCs/>
          <w:noProof/>
          <w:sz w:val="24"/>
          <w:lang w:val="es-ES_tradnl"/>
        </w:rPr>
      </w:pPr>
    </w:p>
    <w:p w14:paraId="7224A250" w14:textId="77777777" w:rsidR="00227AA2" w:rsidRPr="008D57BF" w:rsidRDefault="00227AA2" w:rsidP="00227AA2">
      <w:pPr>
        <w:pStyle w:val="Ttulo"/>
        <w:tabs>
          <w:tab w:val="left" w:pos="2835"/>
        </w:tabs>
        <w:spacing w:before="240" w:after="240"/>
        <w:jc w:val="both"/>
        <w:rPr>
          <w:rFonts w:cs="Arial"/>
          <w:bCs/>
          <w:i w:val="0"/>
          <w:iCs/>
          <w:noProof/>
          <w:sz w:val="22"/>
          <w:szCs w:val="22"/>
          <w:lang w:val="es-ES_tradnl"/>
        </w:rPr>
      </w:pPr>
      <w:r w:rsidRPr="008D57BF">
        <w:rPr>
          <w:rFonts w:cs="Arial"/>
          <w:bCs/>
          <w:i w:val="0"/>
          <w:iCs/>
          <w:noProof/>
          <w:sz w:val="22"/>
          <w:szCs w:val="22"/>
          <w:lang w:val="es-ES_tradnl"/>
        </w:rPr>
        <w:t>Considerando que:</w:t>
      </w:r>
    </w:p>
    <w:p w14:paraId="0273D253" w14:textId="77777777" w:rsidR="00227AA2" w:rsidRPr="00E72720" w:rsidRDefault="00227AA2" w:rsidP="00227AA2">
      <w:pPr>
        <w:pStyle w:val="Numeracin"/>
        <w:tabs>
          <w:tab w:val="left" w:pos="567"/>
        </w:tabs>
        <w:spacing w:before="0"/>
        <w:ind w:left="567" w:hanging="567"/>
        <w:rPr>
          <w:rFonts w:ascii="Arial" w:hAnsi="Arial" w:cs="Arial"/>
          <w:szCs w:val="22"/>
        </w:rPr>
      </w:pPr>
      <w:r w:rsidRPr="00E72720">
        <w:rPr>
          <w:rFonts w:ascii="Arial" w:hAnsi="Arial" w:cs="Arial"/>
          <w:szCs w:val="22"/>
          <w:lang w:val="es-CR"/>
        </w:rPr>
        <w:t xml:space="preserve">El </w:t>
      </w:r>
      <w:r w:rsidRPr="00E72720">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305865FD" w14:textId="77777777" w:rsidR="00227AA2" w:rsidRPr="00E72720" w:rsidRDefault="00227AA2" w:rsidP="00227AA2">
      <w:pPr>
        <w:pStyle w:val="Numeracin"/>
        <w:numPr>
          <w:ilvl w:val="0"/>
          <w:numId w:val="0"/>
        </w:numPr>
        <w:tabs>
          <w:tab w:val="left" w:pos="567"/>
        </w:tabs>
        <w:spacing w:before="0"/>
        <w:ind w:left="567"/>
        <w:rPr>
          <w:rFonts w:ascii="Arial" w:hAnsi="Arial" w:cs="Arial"/>
          <w:szCs w:val="22"/>
        </w:rPr>
      </w:pPr>
    </w:p>
    <w:p w14:paraId="4A4D585A" w14:textId="77777777" w:rsidR="00227AA2" w:rsidRPr="00E72720" w:rsidRDefault="00227AA2" w:rsidP="00227AA2">
      <w:pPr>
        <w:pStyle w:val="Numeracin"/>
        <w:tabs>
          <w:tab w:val="left" w:pos="567"/>
        </w:tabs>
        <w:spacing w:before="0"/>
        <w:ind w:left="567" w:hanging="567"/>
        <w:rPr>
          <w:rFonts w:ascii="Arial" w:hAnsi="Arial" w:cs="Arial"/>
          <w:szCs w:val="22"/>
        </w:rPr>
      </w:pPr>
      <w:r w:rsidRPr="00E72720">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14436371" w14:textId="77777777" w:rsidR="00227AA2" w:rsidRPr="00E72720" w:rsidRDefault="00227AA2" w:rsidP="00227AA2">
      <w:pPr>
        <w:pStyle w:val="Numeracin"/>
        <w:numPr>
          <w:ilvl w:val="0"/>
          <w:numId w:val="0"/>
        </w:numPr>
        <w:tabs>
          <w:tab w:val="left" w:pos="567"/>
        </w:tabs>
        <w:spacing w:before="0"/>
        <w:ind w:left="567"/>
        <w:rPr>
          <w:rFonts w:ascii="Arial" w:hAnsi="Arial" w:cs="Arial"/>
          <w:szCs w:val="22"/>
        </w:rPr>
      </w:pPr>
    </w:p>
    <w:p w14:paraId="784AAB5B" w14:textId="77777777" w:rsidR="00227AA2" w:rsidRPr="00E72720" w:rsidRDefault="00227AA2" w:rsidP="00227AA2">
      <w:pPr>
        <w:pStyle w:val="Numeracin"/>
        <w:tabs>
          <w:tab w:val="left" w:pos="567"/>
        </w:tabs>
        <w:spacing w:before="0"/>
        <w:ind w:left="567" w:hanging="567"/>
        <w:rPr>
          <w:rFonts w:ascii="Arial" w:hAnsi="Arial" w:cs="Arial"/>
          <w:szCs w:val="22"/>
        </w:rPr>
      </w:pPr>
      <w:r w:rsidRPr="00E72720">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639CC2EF" w14:textId="77777777" w:rsidR="00227AA2" w:rsidRPr="00E72720" w:rsidRDefault="00227AA2" w:rsidP="00227AA2">
      <w:pPr>
        <w:pStyle w:val="Numeracin"/>
        <w:numPr>
          <w:ilvl w:val="0"/>
          <w:numId w:val="0"/>
        </w:numPr>
        <w:tabs>
          <w:tab w:val="left" w:pos="567"/>
        </w:tabs>
        <w:spacing w:before="0"/>
        <w:ind w:left="567"/>
        <w:rPr>
          <w:rFonts w:ascii="Arial" w:hAnsi="Arial" w:cs="Arial"/>
          <w:szCs w:val="22"/>
        </w:rPr>
      </w:pPr>
    </w:p>
    <w:p w14:paraId="0FEF34DA" w14:textId="77777777" w:rsidR="00227AA2" w:rsidRPr="009B0537" w:rsidRDefault="00227AA2" w:rsidP="00227AA2">
      <w:pPr>
        <w:pStyle w:val="Numeracin"/>
        <w:tabs>
          <w:tab w:val="left" w:pos="567"/>
        </w:tabs>
        <w:spacing w:before="0"/>
        <w:ind w:left="567" w:hanging="567"/>
        <w:rPr>
          <w:rFonts w:ascii="Arial" w:hAnsi="Arial" w:cs="Arial"/>
          <w:szCs w:val="22"/>
        </w:rPr>
      </w:pPr>
      <w:bookmarkStart w:id="0" w:name="_Hlk94288821"/>
      <w:r w:rsidRPr="009B0537">
        <w:rPr>
          <w:rFonts w:ascii="Arial" w:hAnsi="Arial" w:cs="Arial"/>
          <w:szCs w:val="22"/>
        </w:rPr>
        <w:t>El Consejo Nacional de Supervisión del Sistema Financiero mediante el artículo 6 del acta de la sesión 1711-2022, celebrada el 27 de enero del 2022, aprobó en firme la modificación a los siguientes reglamentos artículos 23, 24 y 115 del 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de Valores e Intermediarios, relacionados con la</w:t>
      </w:r>
      <w:r>
        <w:rPr>
          <w:rFonts w:ascii="Arial" w:hAnsi="Arial" w:cs="Arial"/>
          <w:szCs w:val="22"/>
        </w:rPr>
        <w:t xml:space="preserve"> actualización de la</w:t>
      </w:r>
      <w:r w:rsidRPr="009B0537">
        <w:rPr>
          <w:rFonts w:ascii="Arial" w:hAnsi="Arial" w:cs="Arial"/>
          <w:szCs w:val="22"/>
        </w:rPr>
        <w:t xml:space="preserve">s normas de revelación por hechos relevantes. </w:t>
      </w:r>
    </w:p>
    <w:bookmarkEnd w:id="0"/>
    <w:p w14:paraId="66CB437E" w14:textId="77777777" w:rsidR="00227AA2" w:rsidRDefault="00227AA2" w:rsidP="00227AA2">
      <w:pPr>
        <w:pStyle w:val="Numeracin"/>
        <w:numPr>
          <w:ilvl w:val="0"/>
          <w:numId w:val="0"/>
        </w:numPr>
        <w:tabs>
          <w:tab w:val="left" w:pos="567"/>
        </w:tabs>
        <w:spacing w:before="0"/>
        <w:ind w:left="567"/>
        <w:rPr>
          <w:rFonts w:ascii="Arial" w:hAnsi="Arial" w:cs="Arial"/>
          <w:szCs w:val="22"/>
        </w:rPr>
      </w:pPr>
    </w:p>
    <w:p w14:paraId="1EE930BC" w14:textId="77777777" w:rsidR="00227AA2" w:rsidRPr="00447A8D" w:rsidRDefault="00227AA2" w:rsidP="00227AA2">
      <w:pPr>
        <w:pStyle w:val="Numeracin"/>
        <w:tabs>
          <w:tab w:val="left" w:pos="567"/>
        </w:tabs>
        <w:spacing w:before="0"/>
        <w:ind w:left="567" w:hanging="567"/>
        <w:rPr>
          <w:rFonts w:ascii="Arial" w:hAnsi="Arial" w:cs="Arial"/>
          <w:szCs w:val="22"/>
        </w:rPr>
      </w:pPr>
      <w:r>
        <w:rPr>
          <w:rFonts w:ascii="Arial" w:hAnsi="Arial" w:cs="Arial"/>
          <w:szCs w:val="22"/>
        </w:rPr>
        <w:t>A partir de dicha reforma normativa s</w:t>
      </w:r>
      <w:r w:rsidRPr="00447A8D">
        <w:rPr>
          <w:rFonts w:ascii="Arial" w:hAnsi="Arial" w:cs="Arial"/>
          <w:szCs w:val="22"/>
        </w:rPr>
        <w:t xml:space="preserve">e hace necesario actualizar los lineamientos sobre sustitución de información periódica, a partir de la separación de aquella información que se califica como Hecho Relevante y aquella que permanece como Comunicado de Interés, lo anterior con el fin de ofrecer a los inversionistas y demás usuarios de la información, seguridad razonable en cuanto a la oportunidad y veracidad de la información oficial que remiten las entidades reguladas. </w:t>
      </w:r>
    </w:p>
    <w:p w14:paraId="72FF6EB7" w14:textId="77777777" w:rsidR="00227AA2" w:rsidRPr="004E2E47" w:rsidRDefault="00227AA2" w:rsidP="00227AA2">
      <w:pPr>
        <w:pStyle w:val="Numeracin"/>
        <w:numPr>
          <w:ilvl w:val="0"/>
          <w:numId w:val="0"/>
        </w:numPr>
        <w:tabs>
          <w:tab w:val="left" w:pos="567"/>
        </w:tabs>
        <w:spacing w:before="0"/>
        <w:ind w:left="360"/>
        <w:rPr>
          <w:rFonts w:ascii="Arial" w:hAnsi="Arial" w:cs="Arial"/>
          <w:szCs w:val="22"/>
        </w:rPr>
      </w:pPr>
    </w:p>
    <w:p w14:paraId="4C475B31" w14:textId="77777777" w:rsidR="00227AA2" w:rsidRDefault="00227AA2" w:rsidP="00227AA2">
      <w:pPr>
        <w:pStyle w:val="Numeracin"/>
        <w:tabs>
          <w:tab w:val="left" w:pos="567"/>
        </w:tabs>
        <w:spacing w:before="0"/>
        <w:ind w:left="567" w:hanging="567"/>
        <w:rPr>
          <w:rFonts w:ascii="Arial" w:hAnsi="Arial" w:cs="Arial"/>
          <w:szCs w:val="22"/>
        </w:rPr>
      </w:pPr>
      <w:r w:rsidRPr="00E72720">
        <w:rPr>
          <w:rFonts w:ascii="Arial" w:hAnsi="Arial" w:cs="Arial"/>
          <w:szCs w:val="22"/>
        </w:rPr>
        <w:lastRenderedPageBreak/>
        <w:t>La presente reforma al Acuerdo fue sometido a consulta de conformidad con el Artículo 361 de la Ley General de Administración Pública.</w:t>
      </w:r>
    </w:p>
    <w:p w14:paraId="68823240" w14:textId="77777777" w:rsidR="00227AA2" w:rsidRDefault="00227AA2" w:rsidP="00227AA2">
      <w:pPr>
        <w:pStyle w:val="Prrafodelista"/>
        <w:rPr>
          <w:rFonts w:ascii="Arial" w:hAnsi="Arial" w:cs="Arial"/>
          <w:szCs w:val="22"/>
        </w:rPr>
      </w:pPr>
    </w:p>
    <w:p w14:paraId="65CEBE14" w14:textId="77777777" w:rsidR="00227AA2" w:rsidRPr="008D57BF" w:rsidRDefault="00227AA2" w:rsidP="00227AA2">
      <w:pPr>
        <w:widowControl w:val="0"/>
        <w:tabs>
          <w:tab w:val="left" w:pos="567"/>
        </w:tabs>
        <w:spacing w:before="240" w:after="240"/>
        <w:jc w:val="both"/>
        <w:rPr>
          <w:rFonts w:ascii="Arial" w:hAnsi="Arial" w:cs="Arial"/>
          <w:b/>
          <w:szCs w:val="22"/>
        </w:rPr>
      </w:pPr>
      <w:r w:rsidRPr="008D57BF">
        <w:rPr>
          <w:rFonts w:ascii="Arial" w:hAnsi="Arial" w:cs="Arial"/>
          <w:b/>
          <w:szCs w:val="22"/>
        </w:rPr>
        <w:t>Por tanto</w:t>
      </w:r>
      <w:r>
        <w:rPr>
          <w:rFonts w:ascii="Arial" w:hAnsi="Arial" w:cs="Arial"/>
          <w:b/>
          <w:szCs w:val="22"/>
        </w:rPr>
        <w:t xml:space="preserve">, </w:t>
      </w:r>
      <w:r w:rsidRPr="008D57BF">
        <w:rPr>
          <w:rFonts w:ascii="Arial" w:hAnsi="Arial" w:cs="Arial"/>
          <w:b/>
          <w:szCs w:val="22"/>
        </w:rPr>
        <w:t>dispone el presente acuerdo:</w:t>
      </w:r>
    </w:p>
    <w:p w14:paraId="475EF6A2" w14:textId="77777777" w:rsidR="00227AA2" w:rsidRPr="008D57BF" w:rsidRDefault="00227AA2" w:rsidP="00227AA2">
      <w:pPr>
        <w:tabs>
          <w:tab w:val="left" w:pos="8910"/>
        </w:tabs>
        <w:spacing w:before="240" w:after="240"/>
        <w:jc w:val="center"/>
        <w:rPr>
          <w:rFonts w:ascii="Arial" w:hAnsi="Arial" w:cs="Arial"/>
          <w:b/>
          <w:szCs w:val="22"/>
        </w:rPr>
      </w:pPr>
      <w:r w:rsidRPr="008D57BF">
        <w:rPr>
          <w:rFonts w:ascii="Arial" w:hAnsi="Arial" w:cs="Arial"/>
          <w:b/>
          <w:szCs w:val="22"/>
        </w:rPr>
        <w:t>APROBAR EL ACUERDO SGV-A-</w:t>
      </w:r>
      <w:r>
        <w:rPr>
          <w:rFonts w:ascii="Arial" w:hAnsi="Arial" w:cs="Arial"/>
          <w:b/>
          <w:szCs w:val="22"/>
        </w:rPr>
        <w:t>260</w:t>
      </w:r>
      <w:r w:rsidRPr="008D57BF">
        <w:rPr>
          <w:rFonts w:ascii="Arial" w:hAnsi="Arial" w:cs="Arial"/>
          <w:b/>
          <w:szCs w:val="22"/>
        </w:rPr>
        <w:t xml:space="preserve">.  MODIFICACIÓN AL ACUERDO </w:t>
      </w:r>
      <w:r w:rsidRPr="00A10104">
        <w:rPr>
          <w:rFonts w:ascii="Arial" w:hAnsi="Arial" w:cs="Arial"/>
          <w:b/>
          <w:szCs w:val="22"/>
        </w:rPr>
        <w:t>SGV-A-75</w:t>
      </w:r>
      <w:r w:rsidRPr="008D57BF">
        <w:rPr>
          <w:rFonts w:ascii="Arial" w:hAnsi="Arial" w:cs="Arial"/>
          <w:b/>
          <w:szCs w:val="22"/>
        </w:rPr>
        <w:t xml:space="preserve"> “</w:t>
      </w:r>
      <w:r w:rsidRPr="002520F8">
        <w:rPr>
          <w:rFonts w:ascii="Arial" w:hAnsi="Arial" w:cs="Arial"/>
          <w:b/>
          <w:szCs w:val="22"/>
        </w:rPr>
        <w:t>SUMINISTRO DE INFORMACIÓN PERIÓDICA</w:t>
      </w:r>
      <w:r w:rsidRPr="008D57BF">
        <w:rPr>
          <w:rFonts w:ascii="Arial" w:hAnsi="Arial" w:cs="Arial"/>
          <w:b/>
          <w:szCs w:val="22"/>
        </w:rPr>
        <w:t>”</w:t>
      </w:r>
    </w:p>
    <w:p w14:paraId="212877E0" w14:textId="77777777" w:rsidR="00227AA2" w:rsidRPr="008D57BF" w:rsidRDefault="00227AA2" w:rsidP="00227AA2">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1. Reforma</w:t>
      </w:r>
    </w:p>
    <w:p w14:paraId="288B89BE" w14:textId="77777777" w:rsidR="00227AA2" w:rsidRPr="001F1D74" w:rsidRDefault="00227AA2" w:rsidP="00227AA2">
      <w:pPr>
        <w:pStyle w:val="Prrafodelista"/>
        <w:numPr>
          <w:ilvl w:val="0"/>
          <w:numId w:val="5"/>
        </w:numPr>
        <w:tabs>
          <w:tab w:val="left" w:pos="8910"/>
        </w:tabs>
        <w:spacing w:before="240" w:after="240"/>
        <w:contextualSpacing w:val="0"/>
        <w:jc w:val="both"/>
        <w:rPr>
          <w:rFonts w:ascii="Arial" w:hAnsi="Arial" w:cs="Arial"/>
          <w:szCs w:val="22"/>
        </w:rPr>
      </w:pPr>
      <w:r w:rsidRPr="001F1D74">
        <w:rPr>
          <w:rFonts w:ascii="Arial" w:hAnsi="Arial" w:cs="Arial"/>
          <w:b/>
          <w:szCs w:val="22"/>
        </w:rPr>
        <w:t xml:space="preserve">Modificar </w:t>
      </w:r>
      <w:r w:rsidRPr="001F1D74">
        <w:rPr>
          <w:rFonts w:ascii="Arial" w:hAnsi="Arial" w:cs="Arial"/>
          <w:bCs/>
          <w:szCs w:val="22"/>
        </w:rPr>
        <w:t xml:space="preserve">el </w:t>
      </w:r>
      <w:r>
        <w:rPr>
          <w:rFonts w:ascii="Arial" w:hAnsi="Arial" w:cs="Arial"/>
          <w:bCs/>
          <w:szCs w:val="22"/>
        </w:rPr>
        <w:t>artículo 5.</w:t>
      </w:r>
    </w:p>
    <w:p w14:paraId="0C300ECD" w14:textId="77777777" w:rsidR="00227AA2" w:rsidRPr="008D57BF" w:rsidRDefault="00227AA2" w:rsidP="00227AA2">
      <w:pPr>
        <w:tabs>
          <w:tab w:val="left" w:pos="8910"/>
        </w:tabs>
        <w:spacing w:before="240" w:after="240"/>
        <w:contextualSpacing/>
        <w:jc w:val="both"/>
        <w:rPr>
          <w:rFonts w:ascii="Arial" w:hAnsi="Arial" w:cs="Arial"/>
          <w:szCs w:val="22"/>
        </w:rPr>
      </w:pPr>
      <w:r w:rsidRPr="008D57BF">
        <w:rPr>
          <w:rFonts w:ascii="Arial" w:hAnsi="Arial" w:cs="Arial"/>
          <w:szCs w:val="22"/>
        </w:rPr>
        <w:t xml:space="preserve">Para que se lean como sigue: </w:t>
      </w:r>
    </w:p>
    <w:p w14:paraId="2AB47A9B" w14:textId="77777777" w:rsidR="00227AA2" w:rsidRPr="0011374A" w:rsidRDefault="00227AA2" w:rsidP="00227AA2">
      <w:pPr>
        <w:pStyle w:val="Textodereglamento"/>
        <w:spacing w:before="0" w:line="276" w:lineRule="auto"/>
        <w:rPr>
          <w:rFonts w:ascii="Arial" w:hAnsi="Arial" w:cs="Arial"/>
          <w:szCs w:val="22"/>
          <w:lang w:val="es-CR"/>
        </w:rPr>
      </w:pPr>
      <w:r w:rsidRPr="0011374A">
        <w:rPr>
          <w:rFonts w:ascii="Arial" w:hAnsi="Arial" w:cs="Arial"/>
          <w:b/>
          <w:szCs w:val="22"/>
          <w:lang w:val="es-CR"/>
        </w:rPr>
        <w:t>Artículo 5.  Sustitución de información periódica</w:t>
      </w:r>
    </w:p>
    <w:p w14:paraId="68D0659F" w14:textId="77777777" w:rsidR="00227AA2" w:rsidRPr="0011374A" w:rsidRDefault="00227AA2" w:rsidP="00227AA2">
      <w:pPr>
        <w:pStyle w:val="Textodereglamento"/>
        <w:spacing w:before="0" w:line="276" w:lineRule="auto"/>
        <w:rPr>
          <w:rFonts w:ascii="Arial" w:hAnsi="Arial" w:cs="Arial"/>
          <w:szCs w:val="22"/>
          <w:lang w:val="es-CR"/>
        </w:rPr>
      </w:pPr>
    </w:p>
    <w:p w14:paraId="1DD77262" w14:textId="77777777" w:rsidR="00227AA2" w:rsidRPr="00882CB7" w:rsidRDefault="00227AA2" w:rsidP="00227AA2">
      <w:pPr>
        <w:pStyle w:val="Textodereglamento"/>
        <w:spacing w:before="0" w:line="276" w:lineRule="auto"/>
        <w:rPr>
          <w:rFonts w:ascii="Arial" w:hAnsi="Arial" w:cs="Arial"/>
          <w:color w:val="000000" w:themeColor="text1"/>
          <w:szCs w:val="22"/>
          <w:lang w:val="es-CR"/>
        </w:rPr>
      </w:pPr>
      <w:r w:rsidRPr="00882CB7">
        <w:rPr>
          <w:rFonts w:ascii="Arial" w:hAnsi="Arial" w:cs="Arial"/>
          <w:color w:val="000000" w:themeColor="text1"/>
          <w:szCs w:val="22"/>
          <w:lang w:val="es-CR"/>
        </w:rPr>
        <w:t>Cuando un regulado requiera sustituir información de carácter público, se deberá proceder de la siguiente forma:</w:t>
      </w:r>
    </w:p>
    <w:p w14:paraId="6D4BE979" w14:textId="77777777" w:rsidR="00227AA2" w:rsidRPr="00882CB7" w:rsidRDefault="00227AA2" w:rsidP="00227AA2">
      <w:pPr>
        <w:pStyle w:val="Textodereglamento"/>
        <w:spacing w:before="0" w:line="276" w:lineRule="auto"/>
        <w:rPr>
          <w:rFonts w:ascii="Arial" w:hAnsi="Arial" w:cs="Arial"/>
          <w:color w:val="000000" w:themeColor="text1"/>
          <w:szCs w:val="22"/>
          <w:lang w:val="es-CR"/>
        </w:rPr>
      </w:pPr>
    </w:p>
    <w:p w14:paraId="1448B8ED" w14:textId="77777777" w:rsidR="00227AA2" w:rsidRPr="00882CB7" w:rsidRDefault="00227AA2" w:rsidP="00227AA2">
      <w:pPr>
        <w:numPr>
          <w:ilvl w:val="0"/>
          <w:numId w:val="12"/>
        </w:numPr>
        <w:spacing w:after="160" w:line="276" w:lineRule="auto"/>
        <w:jc w:val="both"/>
        <w:rPr>
          <w:rFonts w:ascii="Arial" w:hAnsi="Arial" w:cs="Arial"/>
          <w:color w:val="000000" w:themeColor="text1"/>
        </w:rPr>
      </w:pPr>
      <w:r w:rsidRPr="00882CB7">
        <w:rPr>
          <w:rFonts w:ascii="Arial" w:hAnsi="Arial" w:cs="Arial"/>
          <w:color w:val="000000" w:themeColor="text1"/>
        </w:rPr>
        <w:t>En el caso de estados financieros trimestrales y auditados de emisores no financieros; estados mensuales, trimestrales y auditados de Fondos de Inversión: deberá informarse mediante un “Hecho Relevante”.</w:t>
      </w:r>
    </w:p>
    <w:p w14:paraId="44EB1A37" w14:textId="77777777" w:rsidR="00227AA2" w:rsidRPr="00882CB7" w:rsidRDefault="00227AA2" w:rsidP="00227AA2">
      <w:pPr>
        <w:numPr>
          <w:ilvl w:val="0"/>
          <w:numId w:val="12"/>
        </w:numPr>
        <w:spacing w:after="160" w:line="276" w:lineRule="auto"/>
        <w:jc w:val="both"/>
        <w:rPr>
          <w:rFonts w:ascii="Arial" w:hAnsi="Arial" w:cs="Arial"/>
          <w:color w:val="000000" w:themeColor="text1"/>
        </w:rPr>
      </w:pPr>
      <w:r w:rsidRPr="00882CB7">
        <w:rPr>
          <w:rFonts w:ascii="Arial" w:hAnsi="Arial" w:cs="Arial"/>
          <w:color w:val="000000" w:themeColor="text1"/>
        </w:rPr>
        <w:t>Cualquier otra información periódica distinta a la indicada en el punto a) anterior que requiera ser sustituida por cualquiera de los regulados, deberá informarse mediante un “Comunicado de interés” dirigido a la Superintendencia.</w:t>
      </w:r>
    </w:p>
    <w:p w14:paraId="0A5979B7" w14:textId="77777777" w:rsidR="00227AA2" w:rsidRPr="00882CB7" w:rsidRDefault="00227AA2" w:rsidP="00227AA2">
      <w:pPr>
        <w:spacing w:line="276" w:lineRule="auto"/>
        <w:jc w:val="both"/>
        <w:rPr>
          <w:rFonts w:ascii="Arial" w:hAnsi="Arial" w:cs="Arial"/>
          <w:color w:val="000000" w:themeColor="text1"/>
        </w:rPr>
      </w:pPr>
      <w:r w:rsidRPr="00882CB7">
        <w:rPr>
          <w:rFonts w:ascii="Arial" w:hAnsi="Arial" w:cs="Arial"/>
          <w:color w:val="000000" w:themeColor="text1"/>
        </w:rPr>
        <w:t xml:space="preserve">Indistintamente del documento remitido en los incisos a) o b) anteriores, debe consignarse el nombre del regulado, el nombre del reporte, la situación acontecida con el reporte (atraso, omisión, reenvío entre otros), la fecha de corte del reporte que se sustituye y el motivo de la sustitución. Adicionalmente, debe ser enviado el día del reenvío de la información y estar suscrito por una persona que ostente la representación legal de la empresa o que cuente con poder especial para suscribir dichos documentos, quien deberá remitir copia de </w:t>
      </w:r>
      <w:proofErr w:type="gramStart"/>
      <w:r w:rsidRPr="00882CB7">
        <w:rPr>
          <w:rFonts w:ascii="Arial" w:hAnsi="Arial" w:cs="Arial"/>
          <w:color w:val="000000" w:themeColor="text1"/>
        </w:rPr>
        <w:t>la misma</w:t>
      </w:r>
      <w:proofErr w:type="gramEnd"/>
      <w:r w:rsidRPr="00882CB7">
        <w:rPr>
          <w:rFonts w:ascii="Arial" w:hAnsi="Arial" w:cs="Arial"/>
          <w:color w:val="000000" w:themeColor="text1"/>
        </w:rPr>
        <w:t xml:space="preserve"> a su Junta Directiva u órgano de máxima dirección.</w:t>
      </w:r>
    </w:p>
    <w:p w14:paraId="259F0AC5" w14:textId="77777777" w:rsidR="00227AA2" w:rsidRPr="00882CB7" w:rsidRDefault="00227AA2" w:rsidP="00227AA2">
      <w:pPr>
        <w:pStyle w:val="Textodereglamento"/>
        <w:spacing w:before="0" w:line="276" w:lineRule="auto"/>
        <w:rPr>
          <w:rFonts w:ascii="Arial" w:hAnsi="Arial" w:cs="Arial"/>
          <w:color w:val="000000" w:themeColor="text1"/>
          <w:szCs w:val="22"/>
          <w:lang w:val="es-CR"/>
        </w:rPr>
      </w:pPr>
    </w:p>
    <w:p w14:paraId="616CDE43" w14:textId="77777777" w:rsidR="00227AA2" w:rsidRPr="00882CB7" w:rsidRDefault="00227AA2" w:rsidP="00227AA2">
      <w:pPr>
        <w:pStyle w:val="Textodereglamento"/>
        <w:spacing w:before="0" w:line="276" w:lineRule="auto"/>
        <w:rPr>
          <w:rFonts w:ascii="Arial" w:hAnsi="Arial" w:cs="Arial"/>
          <w:color w:val="000000" w:themeColor="text1"/>
          <w:szCs w:val="22"/>
          <w:lang w:val="es-CR"/>
        </w:rPr>
      </w:pPr>
      <w:r w:rsidRPr="00882CB7">
        <w:rPr>
          <w:rFonts w:ascii="Arial" w:hAnsi="Arial" w:cs="Arial"/>
          <w:color w:val="000000" w:themeColor="text1"/>
          <w:szCs w:val="22"/>
          <w:lang w:val="es-CR"/>
        </w:rPr>
        <w:t xml:space="preserve">Únicamente será considerada de carácter público y de registro en el Registro Nacional de Valores e Intermediaros, la información reenviada con su respectivo </w:t>
      </w:r>
      <w:r w:rsidRPr="00882CB7">
        <w:rPr>
          <w:rFonts w:ascii="Arial" w:hAnsi="Arial" w:cs="Arial"/>
          <w:color w:val="000000" w:themeColor="text1"/>
        </w:rPr>
        <w:t xml:space="preserve">Hecho Relevante o </w:t>
      </w:r>
      <w:r w:rsidRPr="00882CB7">
        <w:rPr>
          <w:rFonts w:ascii="Arial" w:hAnsi="Arial" w:cs="Arial"/>
          <w:color w:val="000000" w:themeColor="text1"/>
          <w:szCs w:val="22"/>
          <w:lang w:val="es-CR"/>
        </w:rPr>
        <w:t xml:space="preserve">Comunicado de Interés por parte del regulado responsable.  </w:t>
      </w:r>
    </w:p>
    <w:p w14:paraId="2897A11C" w14:textId="77777777" w:rsidR="00227AA2" w:rsidRPr="008D57BF" w:rsidRDefault="00227AA2" w:rsidP="00227AA2">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2. Vigencia</w:t>
      </w:r>
    </w:p>
    <w:p w14:paraId="5C0C70CF" w14:textId="77777777" w:rsidR="00227AA2" w:rsidRDefault="00227AA2" w:rsidP="00227AA2">
      <w:pPr>
        <w:tabs>
          <w:tab w:val="left" w:pos="8910"/>
        </w:tabs>
        <w:spacing w:before="240" w:after="240"/>
        <w:jc w:val="both"/>
        <w:rPr>
          <w:rFonts w:ascii="Arial" w:hAnsi="Arial" w:cs="Arial"/>
          <w:szCs w:val="22"/>
        </w:rPr>
      </w:pPr>
      <w:r w:rsidRPr="008D57BF">
        <w:rPr>
          <w:rFonts w:ascii="Arial" w:hAnsi="Arial" w:cs="Arial"/>
          <w:szCs w:val="22"/>
        </w:rPr>
        <w:t xml:space="preserve">Rige a partir del </w:t>
      </w:r>
      <w:r>
        <w:rPr>
          <w:rFonts w:ascii="Arial" w:hAnsi="Arial" w:cs="Arial"/>
          <w:szCs w:val="22"/>
        </w:rPr>
        <w:t>31</w:t>
      </w:r>
      <w:r w:rsidRPr="008D57BF">
        <w:rPr>
          <w:rFonts w:ascii="Arial" w:hAnsi="Arial" w:cs="Arial"/>
          <w:szCs w:val="22"/>
        </w:rPr>
        <w:t xml:space="preserve"> de </w:t>
      </w:r>
      <w:r>
        <w:rPr>
          <w:rFonts w:ascii="Arial" w:hAnsi="Arial" w:cs="Arial"/>
          <w:szCs w:val="22"/>
        </w:rPr>
        <w:t>marzo</w:t>
      </w:r>
      <w:r w:rsidRPr="008D57BF">
        <w:rPr>
          <w:rFonts w:ascii="Arial" w:hAnsi="Arial" w:cs="Arial"/>
          <w:szCs w:val="22"/>
        </w:rPr>
        <w:t xml:space="preserve"> del 202</w:t>
      </w:r>
      <w:r>
        <w:rPr>
          <w:rFonts w:ascii="Arial" w:hAnsi="Arial" w:cs="Arial"/>
          <w:szCs w:val="22"/>
        </w:rPr>
        <w:t>2</w:t>
      </w:r>
      <w:r w:rsidRPr="008D57BF">
        <w:rPr>
          <w:rFonts w:ascii="Arial" w:hAnsi="Arial" w:cs="Arial"/>
          <w:szCs w:val="22"/>
        </w:rPr>
        <w:t>.</w:t>
      </w:r>
    </w:p>
    <w:p w14:paraId="64509388" w14:textId="726CBD4A" w:rsidR="00227AA2" w:rsidRPr="008D57BF" w:rsidRDefault="00227AA2" w:rsidP="00227AA2">
      <w:pPr>
        <w:tabs>
          <w:tab w:val="left" w:pos="8910"/>
        </w:tabs>
        <w:spacing w:before="240" w:after="240"/>
        <w:jc w:val="both"/>
        <w:rPr>
          <w:rFonts w:ascii="Arial" w:hAnsi="Arial" w:cs="Arial"/>
          <w:i/>
          <w:iCs/>
          <w:szCs w:val="22"/>
        </w:rPr>
      </w:pPr>
    </w:p>
    <w:p w14:paraId="6E7D8B86" w14:textId="57FC8646" w:rsidR="00B2356E" w:rsidRPr="00DF6B05" w:rsidRDefault="00B2356E" w:rsidP="00B2356E">
      <w:pPr>
        <w:pStyle w:val="Textoindependiente"/>
        <w:spacing w:after="0"/>
        <w:jc w:val="both"/>
        <w:rPr>
          <w:rFonts w:ascii="Arial" w:hAnsi="Arial" w:cs="Arial"/>
          <w:b/>
          <w:szCs w:val="22"/>
          <w:lang w:val="es-MX" w:eastAsia="en-US"/>
        </w:rPr>
      </w:pPr>
    </w:p>
    <w:sectPr w:rsidR="00B2356E" w:rsidRPr="00DF6B05"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7069" w14:textId="77777777" w:rsidR="00E642AA" w:rsidRDefault="00E642AA" w:rsidP="005A768E">
      <w:r>
        <w:separator/>
      </w:r>
    </w:p>
  </w:endnote>
  <w:endnote w:type="continuationSeparator" w:id="0">
    <w:p w14:paraId="56C2E265" w14:textId="77777777" w:rsidR="00E642AA" w:rsidRDefault="00E642A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PCL6)">
    <w:altName w:val="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0819" w14:textId="77777777" w:rsidR="00E642AA" w:rsidRDefault="00E642AA" w:rsidP="005A768E">
      <w:r>
        <w:separator/>
      </w:r>
    </w:p>
  </w:footnote>
  <w:footnote w:type="continuationSeparator" w:id="0">
    <w:p w14:paraId="2D958F47" w14:textId="77777777" w:rsidR="00E642AA" w:rsidRDefault="00E642AA" w:rsidP="005A768E">
      <w:r>
        <w:continuationSeparator/>
      </w:r>
    </w:p>
  </w:footnote>
  <w:footnote w:id="1">
    <w:p w14:paraId="47FDF064" w14:textId="77777777" w:rsidR="00227AA2" w:rsidRDefault="00227AA2" w:rsidP="00227AA2">
      <w:pPr>
        <w:widowControl w:val="0"/>
        <w:tabs>
          <w:tab w:val="left" w:pos="2835"/>
        </w:tabs>
        <w:jc w:val="both"/>
        <w:outlineLvl w:val="0"/>
        <w:rPr>
          <w:rFonts w:ascii="Arial" w:hAnsi="Arial" w:cs="Arial"/>
          <w:b/>
          <w:bCs/>
          <w:iCs/>
          <w:noProof/>
          <w:sz w:val="24"/>
          <w:lang w:val="es-ES_tradnl"/>
        </w:rPr>
      </w:pPr>
      <w:r w:rsidRPr="009A7635">
        <w:rPr>
          <w:rStyle w:val="Refdenotaalpie"/>
          <w:rFonts w:cs="Arial"/>
          <w:szCs w:val="22"/>
        </w:rPr>
        <w:footnoteRef/>
      </w:r>
      <w:r w:rsidRPr="009A7635">
        <w:rPr>
          <w:rFonts w:ascii="Arial" w:hAnsi="Arial" w:cs="Arial"/>
          <w:szCs w:val="22"/>
        </w:rPr>
        <w:t xml:space="preserve"> Superintendencia General de Valores.  Despacho del Superintendente.  </w:t>
      </w:r>
      <w:r>
        <w:rPr>
          <w:rFonts w:ascii="Arial" w:hAnsi="Arial" w:cs="Arial"/>
          <w:iCs/>
          <w:noProof/>
          <w:szCs w:val="22"/>
          <w:lang w:val="es-ES_tradnl"/>
        </w:rPr>
        <w:t>A las nueve horas cinco minutos del treinta y uno de marzo del dos mil veintidós</w:t>
      </w:r>
    </w:p>
    <w:p w14:paraId="5398AD01" w14:textId="73FC0DCF" w:rsidR="00227AA2" w:rsidRPr="00227AA2" w:rsidRDefault="00227AA2" w:rsidP="00227AA2">
      <w:pPr>
        <w:jc w:val="both"/>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C69"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7"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0"/>
  </w:num>
  <w:num w:numId="4">
    <w:abstractNumId w:val="9"/>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62EE"/>
    <w:rsid w:val="000F4C2E"/>
    <w:rsid w:val="00134708"/>
    <w:rsid w:val="00211A42"/>
    <w:rsid w:val="00212A1A"/>
    <w:rsid w:val="00227AA2"/>
    <w:rsid w:val="00237AB7"/>
    <w:rsid w:val="002462B7"/>
    <w:rsid w:val="00272406"/>
    <w:rsid w:val="00341FBE"/>
    <w:rsid w:val="003959B0"/>
    <w:rsid w:val="003B50ED"/>
    <w:rsid w:val="004A41F7"/>
    <w:rsid w:val="00581D39"/>
    <w:rsid w:val="005A768E"/>
    <w:rsid w:val="00616D90"/>
    <w:rsid w:val="0063177A"/>
    <w:rsid w:val="006354AB"/>
    <w:rsid w:val="006B1248"/>
    <w:rsid w:val="006C1493"/>
    <w:rsid w:val="0076523E"/>
    <w:rsid w:val="00772D1A"/>
    <w:rsid w:val="00783B2C"/>
    <w:rsid w:val="007B4C1A"/>
    <w:rsid w:val="0082122F"/>
    <w:rsid w:val="0084108F"/>
    <w:rsid w:val="00880E31"/>
    <w:rsid w:val="0093370A"/>
    <w:rsid w:val="0093499C"/>
    <w:rsid w:val="00982F89"/>
    <w:rsid w:val="00987928"/>
    <w:rsid w:val="009B31B2"/>
    <w:rsid w:val="00A748BA"/>
    <w:rsid w:val="00AA48A8"/>
    <w:rsid w:val="00AF6325"/>
    <w:rsid w:val="00B2356E"/>
    <w:rsid w:val="00B44D0F"/>
    <w:rsid w:val="00B45F9C"/>
    <w:rsid w:val="00C34BC2"/>
    <w:rsid w:val="00CD5F5E"/>
    <w:rsid w:val="00CE39B3"/>
    <w:rsid w:val="00CF1CDA"/>
    <w:rsid w:val="00DE26A5"/>
    <w:rsid w:val="00DF6B05"/>
    <w:rsid w:val="00E13153"/>
    <w:rsid w:val="00E642AA"/>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uiPriority w:val="99"/>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3.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2022-03-31T23:05:00Z</dcterms:created>
  <dcterms:modified xsi:type="dcterms:W3CDTF">2022-03-31T23:05:00Z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