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FFFAE" w14:textId="77777777" w:rsidR="00987928" w:rsidRDefault="00987928" w:rsidP="00987928">
      <w:pPr>
        <w:widowControl w:val="0"/>
        <w:tabs>
          <w:tab w:val="left" w:pos="2835"/>
        </w:tabs>
        <w:jc w:val="both"/>
        <w:outlineLvl w:val="0"/>
        <w:rPr>
          <w:rFonts w:ascii="Arial" w:hAnsi="Arial" w:cs="Arial"/>
          <w:b/>
          <w:bCs/>
          <w:iCs/>
          <w:noProof/>
          <w:sz w:val="24"/>
          <w:lang w:val="es-ES_tradnl"/>
        </w:rPr>
      </w:pPr>
    </w:p>
    <w:p w14:paraId="14E05695" w14:textId="77777777" w:rsidR="00987928" w:rsidRDefault="00987928" w:rsidP="00987928">
      <w:pPr>
        <w:widowControl w:val="0"/>
        <w:tabs>
          <w:tab w:val="left" w:pos="2835"/>
        </w:tabs>
        <w:jc w:val="both"/>
        <w:outlineLvl w:val="0"/>
        <w:rPr>
          <w:rFonts w:ascii="Arial" w:hAnsi="Arial" w:cs="Arial"/>
          <w:bCs/>
          <w:iCs/>
          <w:noProof/>
          <w:lang w:val="es-ES_tradnl" w:eastAsia="en-US"/>
        </w:rPr>
      </w:pPr>
      <w:r w:rsidRPr="00644A72">
        <w:rPr>
          <w:rFonts w:ascii="Arial" w:hAnsi="Arial" w:cs="Arial"/>
          <w:b/>
          <w:bCs/>
          <w:iCs/>
          <w:noProof/>
          <w:sz w:val="24"/>
          <w:lang w:val="es-ES_tradnl"/>
        </w:rPr>
        <w:t>SGV-A-</w:t>
      </w:r>
      <w:r>
        <w:rPr>
          <w:rFonts w:ascii="Arial" w:hAnsi="Arial" w:cs="Arial"/>
          <w:b/>
          <w:bCs/>
          <w:iCs/>
          <w:noProof/>
          <w:sz w:val="24"/>
          <w:lang w:val="es-ES_tradnl"/>
        </w:rPr>
        <w:t>261</w:t>
      </w:r>
      <w:r w:rsidRPr="00644A72">
        <w:rPr>
          <w:rFonts w:ascii="Arial" w:hAnsi="Arial" w:cs="Arial"/>
          <w:b/>
          <w:bCs/>
          <w:iCs/>
          <w:noProof/>
          <w:sz w:val="24"/>
          <w:lang w:val="es-ES_tradnl"/>
        </w:rPr>
        <w:t>. MODIFICACIÓN AL ACUERDO</w:t>
      </w:r>
      <w:r>
        <w:rPr>
          <w:rFonts w:ascii="Arial" w:hAnsi="Arial" w:cs="Arial"/>
          <w:b/>
          <w:bCs/>
          <w:iCs/>
          <w:noProof/>
          <w:sz w:val="24"/>
          <w:lang w:val="es-ES_tradnl"/>
        </w:rPr>
        <w:t xml:space="preserve"> </w:t>
      </w:r>
      <w:r w:rsidRPr="00A648D1">
        <w:rPr>
          <w:rFonts w:ascii="Arial" w:hAnsi="Arial" w:cs="Arial"/>
          <w:b/>
          <w:bCs/>
          <w:i/>
          <w:noProof/>
          <w:sz w:val="24"/>
          <w:lang w:val="es-ES_tradnl"/>
        </w:rPr>
        <w:t>“SGV-A-158. GUÍA PARA LA ELABORACIÓN Y  REMISIÓN DE PROSPECTOS DE FONDOS DE INVERSIÓN”</w:t>
      </w:r>
      <w:r>
        <w:rPr>
          <w:rFonts w:ascii="Arial" w:hAnsi="Arial" w:cs="Arial"/>
          <w:b/>
          <w:bCs/>
          <w:i/>
          <w:noProof/>
          <w:sz w:val="24"/>
          <w:lang w:val="es-ES_tradnl"/>
        </w:rPr>
        <w:t xml:space="preserve"> </w:t>
      </w:r>
      <w:r>
        <w:rPr>
          <w:rStyle w:val="Refdenotaalpie"/>
          <w:rFonts w:cs="Arial"/>
          <w:bCs/>
          <w:iCs/>
          <w:noProof/>
          <w:lang w:val="es-ES_tradnl"/>
        </w:rPr>
        <w:footnoteReference w:id="1"/>
      </w:r>
    </w:p>
    <w:p w14:paraId="7D665796" w14:textId="77777777" w:rsidR="00987928" w:rsidRPr="008D57BF" w:rsidRDefault="00987928" w:rsidP="00987928">
      <w:pPr>
        <w:pStyle w:val="Ttulo"/>
        <w:tabs>
          <w:tab w:val="left" w:pos="2835"/>
        </w:tabs>
        <w:spacing w:before="240" w:after="240"/>
        <w:jc w:val="both"/>
        <w:rPr>
          <w:rFonts w:cs="Arial"/>
          <w:bCs/>
          <w:i w:val="0"/>
          <w:iCs/>
          <w:noProof/>
          <w:sz w:val="22"/>
          <w:szCs w:val="22"/>
          <w:lang w:val="es-ES_tradnl"/>
        </w:rPr>
      </w:pPr>
      <w:r w:rsidRPr="008D57BF">
        <w:rPr>
          <w:rFonts w:cs="Arial"/>
          <w:bCs/>
          <w:i w:val="0"/>
          <w:iCs/>
          <w:noProof/>
          <w:sz w:val="22"/>
          <w:szCs w:val="22"/>
          <w:lang w:val="es-ES_tradnl"/>
        </w:rPr>
        <w:t>Considerando que:</w:t>
      </w:r>
    </w:p>
    <w:p w14:paraId="5A3AFDF1" w14:textId="77777777" w:rsidR="00987928" w:rsidRPr="00A648D1" w:rsidRDefault="00987928" w:rsidP="00987928">
      <w:pPr>
        <w:pStyle w:val="Numeracin"/>
        <w:tabs>
          <w:tab w:val="left" w:pos="567"/>
        </w:tabs>
        <w:spacing w:before="0"/>
        <w:ind w:left="567" w:hanging="567"/>
        <w:rPr>
          <w:rFonts w:ascii="Arial" w:hAnsi="Arial" w:cs="Arial"/>
        </w:rPr>
      </w:pPr>
      <w:r w:rsidRPr="00A648D1">
        <w:rPr>
          <w:rFonts w:ascii="Arial" w:hAnsi="Arial" w:cs="Arial"/>
        </w:rPr>
        <w:t>Mediante el Artículo 17 de la Sesión 762-2008 del 19 de diciembre del 2008, el Consejo Nacional de Supervisión del Sistema Financiero aprobó el Reglamento General sobre Sociedades Administradoras y Fondos de Inversión</w:t>
      </w:r>
    </w:p>
    <w:p w14:paraId="242CE87C" w14:textId="77777777" w:rsidR="00987928" w:rsidRPr="00A648D1" w:rsidRDefault="00987928" w:rsidP="00987928">
      <w:pPr>
        <w:pStyle w:val="Numeracin"/>
        <w:numPr>
          <w:ilvl w:val="0"/>
          <w:numId w:val="0"/>
        </w:numPr>
        <w:tabs>
          <w:tab w:val="left" w:pos="567"/>
        </w:tabs>
        <w:spacing w:before="0"/>
        <w:ind w:left="567"/>
        <w:rPr>
          <w:rFonts w:ascii="Arial" w:hAnsi="Arial" w:cs="Arial"/>
        </w:rPr>
      </w:pPr>
    </w:p>
    <w:p w14:paraId="69DFA008" w14:textId="77777777" w:rsidR="00987928" w:rsidRPr="00A648D1" w:rsidRDefault="00987928" w:rsidP="00987928">
      <w:pPr>
        <w:pStyle w:val="Numeracin"/>
        <w:tabs>
          <w:tab w:val="left" w:pos="567"/>
        </w:tabs>
        <w:spacing w:before="0"/>
        <w:ind w:left="567" w:hanging="567"/>
        <w:rPr>
          <w:rFonts w:ascii="Arial" w:hAnsi="Arial" w:cs="Arial"/>
        </w:rPr>
      </w:pPr>
      <w:r w:rsidRPr="00A648D1">
        <w:rPr>
          <w:rFonts w:ascii="Arial" w:hAnsi="Arial" w:cs="Arial"/>
        </w:rPr>
        <w:t xml:space="preserve">El artículo 19, 23, 24 y 25 del Reglamento dispone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p w14:paraId="430B3B95" w14:textId="77777777" w:rsidR="00987928" w:rsidRPr="00A648D1" w:rsidRDefault="00987928" w:rsidP="00987928">
      <w:pPr>
        <w:pStyle w:val="Numeracin"/>
        <w:numPr>
          <w:ilvl w:val="0"/>
          <w:numId w:val="0"/>
        </w:numPr>
        <w:tabs>
          <w:tab w:val="left" w:pos="567"/>
        </w:tabs>
        <w:spacing w:before="0"/>
        <w:ind w:left="567"/>
        <w:rPr>
          <w:rFonts w:ascii="Arial" w:hAnsi="Arial" w:cs="Arial"/>
        </w:rPr>
      </w:pPr>
    </w:p>
    <w:p w14:paraId="20F99374" w14:textId="77777777" w:rsidR="00987928" w:rsidRPr="00A648D1" w:rsidRDefault="00987928" w:rsidP="00987928">
      <w:pPr>
        <w:pStyle w:val="Numeracin"/>
        <w:tabs>
          <w:tab w:val="left" w:pos="567"/>
        </w:tabs>
        <w:spacing w:before="0"/>
        <w:ind w:left="567" w:hanging="567"/>
        <w:rPr>
          <w:rFonts w:ascii="Arial" w:hAnsi="Arial" w:cs="Arial"/>
        </w:rPr>
      </w:pPr>
      <w:r w:rsidRPr="00A648D1">
        <w:rPr>
          <w:rFonts w:ascii="Arial" w:hAnsi="Arial" w:cs="Arial"/>
        </w:rPr>
        <w:t xml:space="preserve">El artículo 77 y 93 del Reglamento dispone que el Superintendente General de Valores establecerá por acuerdo las revelaciones mínimas sobre la forma jurídica y tipo de estructura social, los participantes, sean </w:t>
      </w:r>
      <w:proofErr w:type="gramStart"/>
      <w:r w:rsidRPr="00A648D1">
        <w:rPr>
          <w:rFonts w:ascii="Arial" w:hAnsi="Arial" w:cs="Arial"/>
        </w:rPr>
        <w:t>éstos</w:t>
      </w:r>
      <w:proofErr w:type="gramEnd"/>
      <w:r w:rsidRPr="00A648D1">
        <w:rPr>
          <w:rFonts w:ascii="Arial" w:hAnsi="Arial" w:cs="Arial"/>
        </w:rPr>
        <w:t xml:space="preserve"> socios u otros que tengan relación directa o indirecta con el vehículo a utilizar, y los riesgos asociados a esta estructura para la adquisición de activos inmobiliarios fuera del territorio costarricense. Por las diferencias entre las distintas jurisdicciones es importante que se informe, previo a la adquisición de activos inmobiliarios, sobre la estructura de propiedad a utilizar para que se pueda realizar una adecuada revelación a los inversionistas mediante su debida incorporación en el prospecto.</w:t>
      </w:r>
    </w:p>
    <w:p w14:paraId="219A9831" w14:textId="77777777" w:rsidR="00987928" w:rsidRPr="00A648D1" w:rsidRDefault="00987928" w:rsidP="00987928">
      <w:pPr>
        <w:pStyle w:val="Numeracin"/>
        <w:numPr>
          <w:ilvl w:val="0"/>
          <w:numId w:val="0"/>
        </w:numPr>
        <w:tabs>
          <w:tab w:val="left" w:pos="567"/>
        </w:tabs>
        <w:spacing w:before="0"/>
        <w:ind w:left="567"/>
        <w:rPr>
          <w:rFonts w:ascii="Arial" w:hAnsi="Arial" w:cs="Arial"/>
        </w:rPr>
      </w:pPr>
    </w:p>
    <w:p w14:paraId="42CD5B7A" w14:textId="77777777" w:rsidR="00987928" w:rsidRDefault="00987928" w:rsidP="00987928">
      <w:pPr>
        <w:pStyle w:val="Numeracin"/>
        <w:tabs>
          <w:tab w:val="left" w:pos="567"/>
        </w:tabs>
        <w:spacing w:before="0"/>
        <w:ind w:left="567" w:hanging="567"/>
        <w:rPr>
          <w:rFonts w:ascii="Arial" w:hAnsi="Arial" w:cs="Arial"/>
          <w:szCs w:val="22"/>
        </w:rPr>
      </w:pPr>
      <w:r w:rsidRPr="000630AF">
        <w:rPr>
          <w:rFonts w:ascii="Arial" w:hAnsi="Arial" w:cs="Arial"/>
          <w:szCs w:val="22"/>
        </w:rPr>
        <w:t>El Consejo Nacional de Supervisión del Sistema Financiero mediante el artículo 6 del acta de la sesión 1711-2022, celebrada el 27 de enero del 2022, aprobó en firme la modificación a los siguientes reglamentos artículos 23, 24 y 115 del 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de Valores e Intermediarios, relacionados con la actualización de las normas de revelación por hechos relevantes.</w:t>
      </w:r>
    </w:p>
    <w:p w14:paraId="5B3B42B1" w14:textId="77777777" w:rsidR="00987928" w:rsidRDefault="00987928" w:rsidP="00987928">
      <w:pPr>
        <w:pStyle w:val="Numeracin"/>
        <w:numPr>
          <w:ilvl w:val="0"/>
          <w:numId w:val="0"/>
        </w:numPr>
        <w:tabs>
          <w:tab w:val="left" w:pos="567"/>
        </w:tabs>
        <w:spacing w:before="0"/>
        <w:ind w:left="567"/>
        <w:rPr>
          <w:rFonts w:ascii="Arial" w:hAnsi="Arial" w:cs="Arial"/>
          <w:szCs w:val="22"/>
        </w:rPr>
      </w:pPr>
    </w:p>
    <w:p w14:paraId="0B7A654F" w14:textId="77777777" w:rsidR="00987928" w:rsidRPr="00447A8D" w:rsidRDefault="00987928" w:rsidP="00987928">
      <w:pPr>
        <w:pStyle w:val="Numeracin"/>
        <w:tabs>
          <w:tab w:val="left" w:pos="567"/>
        </w:tabs>
        <w:spacing w:before="0"/>
        <w:ind w:left="567" w:hanging="567"/>
        <w:rPr>
          <w:rFonts w:ascii="Arial" w:hAnsi="Arial" w:cs="Arial"/>
          <w:szCs w:val="22"/>
        </w:rPr>
      </w:pPr>
      <w:r>
        <w:rPr>
          <w:rFonts w:ascii="Arial" w:hAnsi="Arial" w:cs="Arial"/>
          <w:szCs w:val="22"/>
        </w:rPr>
        <w:t>A partir de dicha reforma normativa s</w:t>
      </w:r>
      <w:r w:rsidRPr="00447A8D">
        <w:rPr>
          <w:rFonts w:ascii="Arial" w:hAnsi="Arial" w:cs="Arial"/>
          <w:szCs w:val="22"/>
        </w:rPr>
        <w:t xml:space="preserve">e hace necesario actualizar </w:t>
      </w:r>
      <w:r>
        <w:rPr>
          <w:rFonts w:ascii="Arial" w:hAnsi="Arial" w:cs="Arial"/>
          <w:szCs w:val="22"/>
        </w:rPr>
        <w:t>el contenido del prospecto para eliminar del Anexo 1</w:t>
      </w:r>
      <w:r w:rsidRPr="00447A8D">
        <w:rPr>
          <w:rFonts w:ascii="Arial" w:hAnsi="Arial" w:cs="Arial"/>
          <w:szCs w:val="22"/>
        </w:rPr>
        <w:t xml:space="preserve"> </w:t>
      </w:r>
      <w:r>
        <w:rPr>
          <w:rFonts w:ascii="Arial" w:hAnsi="Arial" w:cs="Arial"/>
          <w:szCs w:val="22"/>
        </w:rPr>
        <w:t>la información relacionada con las direcciones en vista de que dicha información puede ser accedida por parte de los inversionistas en los medios tecnológicos de contacto de los que dispone la entidad y no se considera oportuno requerir una solicitud de modificación al prospecto a partir de dichos datos.</w:t>
      </w:r>
    </w:p>
    <w:p w14:paraId="718D357A" w14:textId="77777777" w:rsidR="00987928" w:rsidRPr="002520F8" w:rsidRDefault="00987928" w:rsidP="00987928">
      <w:pPr>
        <w:pStyle w:val="Prrafodelista"/>
        <w:rPr>
          <w:rFonts w:ascii="Arial" w:hAnsi="Arial" w:cs="Arial"/>
          <w:szCs w:val="22"/>
        </w:rPr>
      </w:pPr>
    </w:p>
    <w:p w14:paraId="514988D9" w14:textId="77777777" w:rsidR="00987928" w:rsidRDefault="00987928" w:rsidP="00987928">
      <w:pPr>
        <w:pStyle w:val="Numeracin"/>
        <w:tabs>
          <w:tab w:val="left" w:pos="567"/>
        </w:tabs>
        <w:spacing w:before="0"/>
        <w:ind w:left="567" w:hanging="567"/>
        <w:rPr>
          <w:rFonts w:ascii="Arial" w:hAnsi="Arial" w:cs="Arial"/>
          <w:szCs w:val="22"/>
        </w:rPr>
      </w:pPr>
      <w:r w:rsidRPr="00E72720">
        <w:rPr>
          <w:rFonts w:ascii="Arial" w:hAnsi="Arial" w:cs="Arial"/>
          <w:szCs w:val="22"/>
        </w:rPr>
        <w:t>La presente reforma al Acuerdo fue sometido a consulta de conformidad con el Artículo 361 de la Ley General de Administración Pública.</w:t>
      </w:r>
    </w:p>
    <w:p w14:paraId="0D13CCAB" w14:textId="77777777" w:rsidR="00987928" w:rsidRDefault="00987928" w:rsidP="00987928">
      <w:pPr>
        <w:pStyle w:val="Prrafodelista"/>
        <w:rPr>
          <w:rFonts w:ascii="Arial" w:hAnsi="Arial" w:cs="Arial"/>
          <w:szCs w:val="22"/>
        </w:rPr>
      </w:pPr>
    </w:p>
    <w:p w14:paraId="4B9F7BCF" w14:textId="77777777" w:rsidR="00987928" w:rsidRPr="008D57BF" w:rsidRDefault="00987928" w:rsidP="00987928">
      <w:pPr>
        <w:widowControl w:val="0"/>
        <w:tabs>
          <w:tab w:val="left" w:pos="567"/>
        </w:tabs>
        <w:spacing w:before="240" w:after="240"/>
        <w:jc w:val="both"/>
        <w:rPr>
          <w:rFonts w:ascii="Arial" w:hAnsi="Arial" w:cs="Arial"/>
          <w:b/>
          <w:szCs w:val="22"/>
        </w:rPr>
      </w:pPr>
      <w:r w:rsidRPr="008D57BF">
        <w:rPr>
          <w:rFonts w:ascii="Arial" w:hAnsi="Arial" w:cs="Arial"/>
          <w:b/>
          <w:szCs w:val="22"/>
        </w:rPr>
        <w:t>Por tanto</w:t>
      </w:r>
      <w:r>
        <w:rPr>
          <w:rFonts w:ascii="Arial" w:hAnsi="Arial" w:cs="Arial"/>
          <w:b/>
          <w:szCs w:val="22"/>
        </w:rPr>
        <w:t xml:space="preserve">, </w:t>
      </w:r>
      <w:r w:rsidRPr="008D57BF">
        <w:rPr>
          <w:rFonts w:ascii="Arial" w:hAnsi="Arial" w:cs="Arial"/>
          <w:b/>
          <w:szCs w:val="22"/>
        </w:rPr>
        <w:t>dispone el presente acuerdo:</w:t>
      </w:r>
    </w:p>
    <w:p w14:paraId="405D9D2D" w14:textId="77777777" w:rsidR="00987928" w:rsidRPr="008D57BF" w:rsidRDefault="00987928" w:rsidP="00987928">
      <w:pPr>
        <w:tabs>
          <w:tab w:val="left" w:pos="8910"/>
        </w:tabs>
        <w:spacing w:before="240" w:after="240"/>
        <w:jc w:val="center"/>
        <w:rPr>
          <w:rFonts w:ascii="Arial" w:hAnsi="Arial" w:cs="Arial"/>
          <w:b/>
          <w:szCs w:val="22"/>
        </w:rPr>
      </w:pPr>
      <w:r w:rsidRPr="008D57BF">
        <w:rPr>
          <w:rFonts w:ascii="Arial" w:hAnsi="Arial" w:cs="Arial"/>
          <w:b/>
          <w:szCs w:val="22"/>
        </w:rPr>
        <w:t>APROBAR EL ACUERDO SGV-A-</w:t>
      </w:r>
      <w:r>
        <w:rPr>
          <w:rFonts w:ascii="Arial" w:hAnsi="Arial" w:cs="Arial"/>
          <w:b/>
          <w:szCs w:val="22"/>
        </w:rPr>
        <w:t>261</w:t>
      </w:r>
      <w:r w:rsidRPr="008D57BF">
        <w:rPr>
          <w:rFonts w:ascii="Arial" w:hAnsi="Arial" w:cs="Arial"/>
          <w:b/>
          <w:szCs w:val="22"/>
        </w:rPr>
        <w:t xml:space="preserve">.  MODIFICACIÓN </w:t>
      </w:r>
      <w:r w:rsidRPr="0075362F">
        <w:rPr>
          <w:rFonts w:ascii="Arial" w:hAnsi="Arial" w:cs="Arial"/>
          <w:b/>
          <w:szCs w:val="22"/>
        </w:rPr>
        <w:t>AL ACUERDO “</w:t>
      </w:r>
      <w:r w:rsidRPr="00A648D1">
        <w:rPr>
          <w:rFonts w:ascii="Arial" w:hAnsi="Arial" w:cs="Arial"/>
          <w:b/>
          <w:szCs w:val="22"/>
        </w:rPr>
        <w:t xml:space="preserve">SGV-A-158. GUÍA PARA LA ELABORACIÓN </w:t>
      </w:r>
      <w:proofErr w:type="gramStart"/>
      <w:r w:rsidRPr="00A648D1">
        <w:rPr>
          <w:rFonts w:ascii="Arial" w:hAnsi="Arial" w:cs="Arial"/>
          <w:b/>
          <w:szCs w:val="22"/>
        </w:rPr>
        <w:t>Y  REMISIÓN</w:t>
      </w:r>
      <w:proofErr w:type="gramEnd"/>
      <w:r w:rsidRPr="00A648D1">
        <w:rPr>
          <w:rFonts w:ascii="Arial" w:hAnsi="Arial" w:cs="Arial"/>
          <w:b/>
          <w:szCs w:val="22"/>
        </w:rPr>
        <w:t xml:space="preserve"> DE PROSPECTOS DE FONDOS DE INVERSIÓN</w:t>
      </w:r>
      <w:r>
        <w:rPr>
          <w:rFonts w:ascii="Arial" w:hAnsi="Arial" w:cs="Arial"/>
          <w:b/>
          <w:szCs w:val="22"/>
        </w:rPr>
        <w:t>”</w:t>
      </w:r>
    </w:p>
    <w:p w14:paraId="62638D2E" w14:textId="77777777" w:rsidR="00987928" w:rsidRPr="008D57BF" w:rsidRDefault="00987928" w:rsidP="00987928">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1. Reforma</w:t>
      </w:r>
    </w:p>
    <w:p w14:paraId="202C02A4" w14:textId="77777777" w:rsidR="00987928" w:rsidRPr="001F1D74" w:rsidRDefault="00987928" w:rsidP="00987928">
      <w:pPr>
        <w:pStyle w:val="Prrafodelista"/>
        <w:numPr>
          <w:ilvl w:val="0"/>
          <w:numId w:val="5"/>
        </w:numPr>
        <w:tabs>
          <w:tab w:val="left" w:pos="8910"/>
        </w:tabs>
        <w:spacing w:before="240" w:after="240"/>
        <w:contextualSpacing w:val="0"/>
        <w:jc w:val="both"/>
        <w:rPr>
          <w:rFonts w:ascii="Arial" w:hAnsi="Arial" w:cs="Arial"/>
          <w:szCs w:val="22"/>
        </w:rPr>
      </w:pPr>
      <w:r w:rsidRPr="001F1D74">
        <w:rPr>
          <w:rFonts w:ascii="Arial" w:hAnsi="Arial" w:cs="Arial"/>
          <w:b/>
          <w:szCs w:val="22"/>
        </w:rPr>
        <w:t xml:space="preserve">Modificar </w:t>
      </w:r>
      <w:r w:rsidRPr="001F1D74">
        <w:rPr>
          <w:rFonts w:ascii="Arial" w:hAnsi="Arial" w:cs="Arial"/>
          <w:bCs/>
          <w:szCs w:val="22"/>
        </w:rPr>
        <w:t>el</w:t>
      </w:r>
      <w:r>
        <w:rPr>
          <w:rFonts w:ascii="Arial" w:hAnsi="Arial" w:cs="Arial"/>
          <w:bCs/>
          <w:szCs w:val="22"/>
        </w:rPr>
        <w:t xml:space="preserve"> Anexo 1 Sección I Contenido del Prospecto</w:t>
      </w:r>
    </w:p>
    <w:p w14:paraId="536E1AC1" w14:textId="77777777" w:rsidR="00987928" w:rsidRDefault="00987928" w:rsidP="00987928">
      <w:pPr>
        <w:tabs>
          <w:tab w:val="left" w:pos="8910"/>
        </w:tabs>
        <w:spacing w:before="240" w:after="240"/>
        <w:contextualSpacing/>
        <w:jc w:val="both"/>
        <w:rPr>
          <w:rFonts w:ascii="Arial" w:hAnsi="Arial" w:cs="Arial"/>
          <w:szCs w:val="22"/>
        </w:rPr>
      </w:pPr>
      <w:r w:rsidRPr="008D57BF">
        <w:rPr>
          <w:rFonts w:ascii="Arial" w:hAnsi="Arial" w:cs="Arial"/>
          <w:szCs w:val="22"/>
        </w:rPr>
        <w:t xml:space="preserve">Para que se lea como sigue: </w:t>
      </w:r>
    </w:p>
    <w:p w14:paraId="42053B66" w14:textId="77777777" w:rsidR="00987928" w:rsidRDefault="00987928" w:rsidP="00987928">
      <w:pPr>
        <w:tabs>
          <w:tab w:val="left" w:pos="8910"/>
        </w:tabs>
        <w:spacing w:before="240" w:after="240"/>
        <w:contextualSpacing/>
        <w:jc w:val="both"/>
        <w:rPr>
          <w:rFonts w:ascii="Arial" w:hAnsi="Arial" w:cs="Arial"/>
          <w:szCs w:val="22"/>
        </w:rPr>
      </w:pPr>
    </w:p>
    <w:p w14:paraId="5DC4975D" w14:textId="77777777" w:rsidR="00987928" w:rsidRPr="00E80034" w:rsidRDefault="00987928" w:rsidP="00987928">
      <w:pPr>
        <w:snapToGrid w:val="0"/>
        <w:jc w:val="both"/>
        <w:rPr>
          <w:rFonts w:ascii="Arial" w:hAnsi="Arial" w:cs="Arial"/>
          <w:b/>
          <w:bCs/>
        </w:rPr>
      </w:pPr>
      <w:r w:rsidRPr="00E80034">
        <w:rPr>
          <w:rFonts w:ascii="Arial" w:hAnsi="Arial" w:cs="Arial"/>
          <w:b/>
          <w:bCs/>
        </w:rPr>
        <w:t>Anexo 1</w:t>
      </w:r>
    </w:p>
    <w:p w14:paraId="59EFA66C" w14:textId="77777777" w:rsidR="00987928" w:rsidRDefault="00987928" w:rsidP="00987928">
      <w:pPr>
        <w:snapToGrid w:val="0"/>
        <w:jc w:val="both"/>
        <w:rPr>
          <w:rFonts w:ascii="Arial" w:hAnsi="Arial" w:cs="Arial"/>
        </w:rPr>
      </w:pPr>
      <w:r w:rsidRPr="00E80034">
        <w:rPr>
          <w:rFonts w:ascii="Arial" w:hAnsi="Arial" w:cs="Arial"/>
        </w:rPr>
        <w:t>SECCIÓN I.  CONTENIDO DEL PROSPECTO</w:t>
      </w:r>
    </w:p>
    <w:p w14:paraId="59D05CB1" w14:textId="77777777" w:rsidR="00987928" w:rsidRPr="00E80034" w:rsidRDefault="00987928" w:rsidP="00987928">
      <w:pPr>
        <w:pStyle w:val="CNV"/>
        <w:widowControl w:val="0"/>
        <w:tabs>
          <w:tab w:val="left" w:pos="0"/>
          <w:tab w:val="left" w:pos="8910"/>
        </w:tabs>
        <w:rPr>
          <w:rFonts w:ascii="Arial" w:hAnsi="Arial" w:cs="Arial"/>
          <w:b/>
          <w:sz w:val="22"/>
          <w:szCs w:val="22"/>
          <w:lang w:val="es-CR"/>
        </w:rPr>
      </w:pPr>
      <w:r w:rsidRPr="00E80034">
        <w:rPr>
          <w:rFonts w:ascii="Arial" w:hAnsi="Arial" w:cs="Arial"/>
          <w:b/>
          <w:sz w:val="22"/>
          <w:szCs w:val="22"/>
          <w:lang w:val="es-CR"/>
        </w:rPr>
        <w:t xml:space="preserve">INFORMACIÓN A LOS INVERSIONISTAS </w:t>
      </w:r>
    </w:p>
    <w:p w14:paraId="2980DBE0" w14:textId="77777777" w:rsidR="00987928" w:rsidRPr="00E80034" w:rsidRDefault="00987928" w:rsidP="00987928">
      <w:pPr>
        <w:widowControl w:val="0"/>
        <w:tabs>
          <w:tab w:val="left" w:pos="8910"/>
        </w:tabs>
        <w:jc w:val="both"/>
        <w:rPr>
          <w:rFonts w:ascii="Arial" w:hAnsi="Arial" w:cs="Arial"/>
        </w:rPr>
      </w:pPr>
    </w:p>
    <w:p w14:paraId="4F7FF797" w14:textId="77777777" w:rsidR="00987928" w:rsidRDefault="00987928" w:rsidP="00987928">
      <w:pPr>
        <w:pStyle w:val="Prrafodelista"/>
        <w:widowControl w:val="0"/>
        <w:numPr>
          <w:ilvl w:val="1"/>
          <w:numId w:val="11"/>
        </w:numPr>
        <w:tabs>
          <w:tab w:val="clear" w:pos="792"/>
          <w:tab w:val="num" w:pos="567"/>
          <w:tab w:val="left" w:pos="8910"/>
        </w:tabs>
        <w:spacing w:after="160" w:line="259" w:lineRule="auto"/>
        <w:ind w:left="567" w:hanging="567"/>
        <w:contextualSpacing w:val="0"/>
        <w:jc w:val="both"/>
        <w:rPr>
          <w:rFonts w:ascii="Arial" w:hAnsi="Arial" w:cs="Arial"/>
        </w:rPr>
      </w:pPr>
      <w:r w:rsidRPr="00E80034">
        <w:rPr>
          <w:rFonts w:ascii="Arial" w:hAnsi="Arial" w:cs="Arial"/>
        </w:rPr>
        <w:t>Se debe revelar lo siguiente:</w:t>
      </w:r>
    </w:p>
    <w:p w14:paraId="7B4A462D" w14:textId="77777777" w:rsidR="00987928" w:rsidRDefault="00987928" w:rsidP="00987928">
      <w:pPr>
        <w:pStyle w:val="CNV"/>
        <w:widowControl w:val="0"/>
        <w:tabs>
          <w:tab w:val="left" w:pos="0"/>
          <w:tab w:val="left" w:pos="8910"/>
        </w:tabs>
        <w:rPr>
          <w:rFonts w:ascii="Arial" w:hAnsi="Arial" w:cs="Arial"/>
          <w:b/>
          <w:sz w:val="22"/>
          <w:szCs w:val="22"/>
          <w:lang w:val="es-CR"/>
        </w:rPr>
      </w:pPr>
    </w:p>
    <w:p w14:paraId="6B7322E2" w14:textId="77777777" w:rsidR="00987928" w:rsidRDefault="00987928" w:rsidP="00987928">
      <w:pPr>
        <w:pStyle w:val="CNV"/>
        <w:widowControl w:val="0"/>
        <w:tabs>
          <w:tab w:val="left" w:pos="0"/>
          <w:tab w:val="left" w:pos="8910"/>
        </w:tabs>
        <w:rPr>
          <w:rFonts w:ascii="Arial" w:hAnsi="Arial" w:cs="Arial"/>
          <w:b/>
          <w:sz w:val="22"/>
          <w:szCs w:val="22"/>
          <w:lang w:val="es-CR"/>
        </w:rPr>
      </w:pPr>
      <w:r w:rsidRPr="009302F2">
        <w:rPr>
          <w:rFonts w:ascii="Arial" w:hAnsi="Arial" w:cs="Arial"/>
          <w:b/>
          <w:sz w:val="22"/>
          <w:szCs w:val="22"/>
          <w:lang w:val="es-CR"/>
        </w:rPr>
        <w:t>INFORMACIÓN SOBRE LA SOCIEDAD ADMINISTRADORA Y SU GRUPO FINANCIERO</w:t>
      </w:r>
    </w:p>
    <w:p w14:paraId="3B0E1FBA" w14:textId="77777777" w:rsidR="00987928" w:rsidRDefault="00987928" w:rsidP="00987928">
      <w:pPr>
        <w:pStyle w:val="CNV"/>
        <w:widowControl w:val="0"/>
        <w:tabs>
          <w:tab w:val="left" w:pos="0"/>
          <w:tab w:val="left" w:pos="8910"/>
        </w:tabs>
        <w:rPr>
          <w:rFonts w:ascii="Arial" w:hAnsi="Arial" w:cs="Arial"/>
          <w:b/>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4319"/>
      </w:tblGrid>
      <w:tr w:rsidR="00987928" w:rsidRPr="009302F2" w14:paraId="718D8BD9" w14:textId="77777777" w:rsidTr="00E32820">
        <w:trPr>
          <w:trHeight w:val="47"/>
        </w:trPr>
        <w:tc>
          <w:tcPr>
            <w:tcW w:w="6205" w:type="dxa"/>
            <w:gridSpan w:val="2"/>
            <w:vAlign w:val="center"/>
          </w:tcPr>
          <w:p w14:paraId="27E40481" w14:textId="77777777" w:rsidR="00987928" w:rsidRPr="009302F2" w:rsidRDefault="00987928" w:rsidP="00E32820">
            <w:pPr>
              <w:spacing w:before="120" w:after="120"/>
              <w:jc w:val="center"/>
              <w:rPr>
                <w:rFonts w:ascii="Arial" w:hAnsi="Arial" w:cs="Arial"/>
                <w:b/>
              </w:rPr>
            </w:pPr>
            <w:r w:rsidRPr="009302F2">
              <w:rPr>
                <w:rFonts w:ascii="Arial" w:hAnsi="Arial" w:cs="Arial"/>
                <w:b/>
              </w:rPr>
              <w:t>Información sobre la Sociedad Administradora</w:t>
            </w:r>
          </w:p>
        </w:tc>
      </w:tr>
      <w:tr w:rsidR="00987928" w:rsidRPr="0053406A" w14:paraId="51815B24" w14:textId="77777777" w:rsidTr="00E32820">
        <w:tc>
          <w:tcPr>
            <w:tcW w:w="1886" w:type="dxa"/>
            <w:vAlign w:val="center"/>
          </w:tcPr>
          <w:p w14:paraId="5E3AEC81" w14:textId="77777777" w:rsidR="00987928" w:rsidRPr="003F5AFE" w:rsidRDefault="00987928" w:rsidP="00E32820">
            <w:pPr>
              <w:rPr>
                <w:rFonts w:ascii="Arial" w:hAnsi="Arial" w:cs="Arial"/>
                <w:b/>
                <w:strike/>
                <w:color w:val="2E74B5" w:themeColor="accent5" w:themeShade="BF"/>
              </w:rPr>
            </w:pPr>
            <w:r w:rsidRPr="003F5AFE">
              <w:rPr>
                <w:rFonts w:ascii="Arial" w:hAnsi="Arial" w:cs="Arial"/>
                <w:b/>
                <w:strike/>
                <w:color w:val="2E74B5" w:themeColor="accent5" w:themeShade="BF"/>
              </w:rPr>
              <w:t>Direcciones</w:t>
            </w:r>
          </w:p>
        </w:tc>
        <w:tc>
          <w:tcPr>
            <w:tcW w:w="4319" w:type="dxa"/>
            <w:vAlign w:val="center"/>
          </w:tcPr>
          <w:p w14:paraId="159007A1" w14:textId="77777777" w:rsidR="00987928" w:rsidRPr="003F5AFE" w:rsidRDefault="00987928" w:rsidP="00E32820">
            <w:pPr>
              <w:jc w:val="center"/>
              <w:rPr>
                <w:rFonts w:ascii="Arial" w:hAnsi="Arial" w:cs="Arial"/>
                <w:i/>
                <w:strike/>
                <w:color w:val="2E74B5" w:themeColor="accent5" w:themeShade="BF"/>
              </w:rPr>
            </w:pPr>
            <w:r w:rsidRPr="003F5AFE">
              <w:rPr>
                <w:rFonts w:ascii="Arial" w:hAnsi="Arial" w:cs="Arial"/>
                <w:i/>
                <w:strike/>
                <w:color w:val="2E74B5" w:themeColor="accent5" w:themeShade="BF"/>
              </w:rPr>
              <w:t>(Indicar dirección, teléfono, fax, apartado postal, correo electrónico y página Web.)</w:t>
            </w:r>
          </w:p>
        </w:tc>
      </w:tr>
    </w:tbl>
    <w:p w14:paraId="6A9261FF" w14:textId="77777777" w:rsidR="00987928" w:rsidRDefault="00987928" w:rsidP="00987928">
      <w:pPr>
        <w:pStyle w:val="Prrafodelista"/>
        <w:tabs>
          <w:tab w:val="left" w:pos="567"/>
        </w:tabs>
        <w:ind w:left="0"/>
        <w:jc w:val="both"/>
        <w:rPr>
          <w:rFonts w:ascii="Arial" w:hAnsi="Arial" w:cs="Arial"/>
          <w:b/>
          <w:bCs/>
        </w:rPr>
      </w:pPr>
    </w:p>
    <w:p w14:paraId="0CC65F63" w14:textId="77777777" w:rsidR="00987928" w:rsidRDefault="00987928" w:rsidP="00987928">
      <w:pPr>
        <w:pStyle w:val="Prrafodelista"/>
        <w:tabs>
          <w:tab w:val="left" w:pos="567"/>
        </w:tabs>
        <w:ind w:left="0"/>
        <w:jc w:val="both"/>
        <w:rPr>
          <w:rFonts w:ascii="Arial" w:hAnsi="Arial" w:cs="Arial"/>
          <w:b/>
          <w:bCs/>
        </w:rPr>
      </w:pPr>
    </w:p>
    <w:p w14:paraId="31461416" w14:textId="77777777" w:rsidR="00987928" w:rsidRPr="008D57BF" w:rsidRDefault="00987928" w:rsidP="00987928">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2. Vigencia</w:t>
      </w:r>
    </w:p>
    <w:p w14:paraId="687D4F87" w14:textId="77777777" w:rsidR="00987928" w:rsidRDefault="00987928" w:rsidP="00987928">
      <w:pPr>
        <w:tabs>
          <w:tab w:val="left" w:pos="8910"/>
        </w:tabs>
        <w:spacing w:before="240" w:after="240"/>
        <w:jc w:val="both"/>
        <w:rPr>
          <w:rFonts w:ascii="Arial" w:hAnsi="Arial" w:cs="Arial"/>
          <w:szCs w:val="22"/>
        </w:rPr>
      </w:pPr>
      <w:r w:rsidRPr="008D57BF">
        <w:rPr>
          <w:rFonts w:ascii="Arial" w:hAnsi="Arial" w:cs="Arial"/>
          <w:szCs w:val="22"/>
        </w:rPr>
        <w:t xml:space="preserve">Rige a partir del </w:t>
      </w:r>
      <w:r>
        <w:rPr>
          <w:rFonts w:ascii="Arial" w:hAnsi="Arial" w:cs="Arial"/>
          <w:szCs w:val="22"/>
        </w:rPr>
        <w:t>31</w:t>
      </w:r>
      <w:r w:rsidRPr="008D57BF">
        <w:rPr>
          <w:rFonts w:ascii="Arial" w:hAnsi="Arial" w:cs="Arial"/>
          <w:szCs w:val="22"/>
        </w:rPr>
        <w:t xml:space="preserve"> de </w:t>
      </w:r>
      <w:r>
        <w:rPr>
          <w:rFonts w:ascii="Arial" w:hAnsi="Arial" w:cs="Arial"/>
          <w:szCs w:val="22"/>
        </w:rPr>
        <w:t>marzo</w:t>
      </w:r>
      <w:r w:rsidRPr="008D57BF">
        <w:rPr>
          <w:rFonts w:ascii="Arial" w:hAnsi="Arial" w:cs="Arial"/>
          <w:szCs w:val="22"/>
        </w:rPr>
        <w:t xml:space="preserve"> del 202</w:t>
      </w:r>
      <w:r>
        <w:rPr>
          <w:rFonts w:ascii="Arial" w:hAnsi="Arial" w:cs="Arial"/>
          <w:szCs w:val="22"/>
        </w:rPr>
        <w:t>2</w:t>
      </w:r>
      <w:r w:rsidRPr="008D57BF">
        <w:rPr>
          <w:rFonts w:ascii="Arial" w:hAnsi="Arial" w:cs="Arial"/>
          <w:szCs w:val="22"/>
        </w:rPr>
        <w:t>.</w:t>
      </w:r>
    </w:p>
    <w:p w14:paraId="20A1A8E2" w14:textId="413A2511" w:rsidR="000702E4" w:rsidRPr="00AE7A94" w:rsidRDefault="000702E4" w:rsidP="000702E4">
      <w:pPr>
        <w:tabs>
          <w:tab w:val="left" w:pos="8910"/>
        </w:tabs>
        <w:spacing w:before="240" w:after="240"/>
        <w:jc w:val="both"/>
        <w:rPr>
          <w:rFonts w:ascii="Arial" w:hAnsi="Arial" w:cs="Arial"/>
          <w:i/>
          <w:iCs/>
          <w:color w:val="000000" w:themeColor="text1"/>
          <w:szCs w:val="22"/>
        </w:rPr>
      </w:pPr>
    </w:p>
    <w:p w14:paraId="6E7D8B86" w14:textId="57FC8646" w:rsidR="00B2356E" w:rsidRPr="00DF6B05" w:rsidRDefault="00B2356E" w:rsidP="00B2356E">
      <w:pPr>
        <w:pStyle w:val="Textoindependiente"/>
        <w:spacing w:after="0"/>
        <w:jc w:val="both"/>
        <w:rPr>
          <w:rFonts w:ascii="Arial" w:hAnsi="Arial" w:cs="Arial"/>
          <w:b/>
          <w:szCs w:val="22"/>
          <w:lang w:val="es-MX" w:eastAsia="en-US"/>
        </w:rPr>
      </w:pPr>
    </w:p>
    <w:sectPr w:rsidR="00B2356E" w:rsidRPr="00DF6B05"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7069" w14:textId="77777777" w:rsidR="00E642AA" w:rsidRDefault="00E642AA" w:rsidP="005A768E">
      <w:r>
        <w:separator/>
      </w:r>
    </w:p>
  </w:endnote>
  <w:endnote w:type="continuationSeparator" w:id="0">
    <w:p w14:paraId="56C2E265" w14:textId="77777777" w:rsidR="00E642AA" w:rsidRDefault="00E642A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0819" w14:textId="77777777" w:rsidR="00E642AA" w:rsidRDefault="00E642AA" w:rsidP="005A768E">
      <w:r>
        <w:separator/>
      </w:r>
    </w:p>
  </w:footnote>
  <w:footnote w:type="continuationSeparator" w:id="0">
    <w:p w14:paraId="2D958F47" w14:textId="77777777" w:rsidR="00E642AA" w:rsidRDefault="00E642AA" w:rsidP="005A768E">
      <w:r>
        <w:continuationSeparator/>
      </w:r>
    </w:p>
  </w:footnote>
  <w:footnote w:id="1">
    <w:p w14:paraId="0A797D84" w14:textId="77777777" w:rsidR="00987928" w:rsidRDefault="00987928" w:rsidP="00987928">
      <w:pPr>
        <w:widowControl w:val="0"/>
        <w:tabs>
          <w:tab w:val="left" w:pos="2835"/>
        </w:tabs>
        <w:jc w:val="both"/>
        <w:outlineLvl w:val="0"/>
        <w:rPr>
          <w:rFonts w:ascii="Arial" w:hAnsi="Arial" w:cs="Arial"/>
          <w:b/>
          <w:bCs/>
          <w:iCs/>
          <w:noProof/>
          <w:sz w:val="24"/>
          <w:lang w:val="es-ES_tradnl"/>
        </w:rPr>
      </w:pPr>
      <w:r>
        <w:rPr>
          <w:rStyle w:val="Refdenotaalpie"/>
          <w:rFonts w:ascii="Arial" w:hAnsi="Arial" w:cs="Arial"/>
        </w:rPr>
        <w:footnoteRef/>
      </w:r>
      <w:r>
        <w:rPr>
          <w:rFonts w:ascii="Arial" w:hAnsi="Arial" w:cs="Arial"/>
        </w:rPr>
        <w:t xml:space="preserve"> </w:t>
      </w:r>
      <w:r>
        <w:rPr>
          <w:rFonts w:ascii="Arial" w:hAnsi="Arial" w:cs="Arial"/>
          <w:lang w:val="es-MX"/>
        </w:rPr>
        <w:t xml:space="preserve">Superintendencia General de Valores.  Despacho del Superintendente. </w:t>
      </w:r>
      <w:r>
        <w:rPr>
          <w:rFonts w:ascii="Arial" w:hAnsi="Arial" w:cs="Arial"/>
          <w:iCs/>
          <w:noProof/>
          <w:szCs w:val="22"/>
          <w:lang w:val="es-ES_tradnl"/>
        </w:rPr>
        <w:t>A las nueve horas diez minutos del treinta y uno de marzo del dos mil veintidós</w:t>
      </w:r>
    </w:p>
    <w:p w14:paraId="63CEB67D" w14:textId="71D0DB36" w:rsidR="00987928" w:rsidRPr="00987928" w:rsidRDefault="00987928" w:rsidP="00987928">
      <w:pPr>
        <w:jc w:val="both"/>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C69"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6"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8"/>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62EE"/>
    <w:rsid w:val="000F4C2E"/>
    <w:rsid w:val="00134708"/>
    <w:rsid w:val="00211A42"/>
    <w:rsid w:val="00212A1A"/>
    <w:rsid w:val="00237AB7"/>
    <w:rsid w:val="002462B7"/>
    <w:rsid w:val="00272406"/>
    <w:rsid w:val="00341FBE"/>
    <w:rsid w:val="003959B0"/>
    <w:rsid w:val="003B50ED"/>
    <w:rsid w:val="004A41F7"/>
    <w:rsid w:val="00581D39"/>
    <w:rsid w:val="005A768E"/>
    <w:rsid w:val="00616D90"/>
    <w:rsid w:val="0063177A"/>
    <w:rsid w:val="006354AB"/>
    <w:rsid w:val="006B1248"/>
    <w:rsid w:val="006C1493"/>
    <w:rsid w:val="0076523E"/>
    <w:rsid w:val="00772D1A"/>
    <w:rsid w:val="00783B2C"/>
    <w:rsid w:val="007B4C1A"/>
    <w:rsid w:val="00806FBF"/>
    <w:rsid w:val="0082122F"/>
    <w:rsid w:val="0084108F"/>
    <w:rsid w:val="00880E31"/>
    <w:rsid w:val="0093370A"/>
    <w:rsid w:val="0093499C"/>
    <w:rsid w:val="00982F89"/>
    <w:rsid w:val="00987928"/>
    <w:rsid w:val="009B31B2"/>
    <w:rsid w:val="00A748BA"/>
    <w:rsid w:val="00AA48A8"/>
    <w:rsid w:val="00AF6325"/>
    <w:rsid w:val="00B2356E"/>
    <w:rsid w:val="00B44D0F"/>
    <w:rsid w:val="00B45F9C"/>
    <w:rsid w:val="00C34BC2"/>
    <w:rsid w:val="00CD5F5E"/>
    <w:rsid w:val="00CE39B3"/>
    <w:rsid w:val="00CF1CDA"/>
    <w:rsid w:val="00DE26A5"/>
    <w:rsid w:val="00DF6B05"/>
    <w:rsid w:val="00E13153"/>
    <w:rsid w:val="00E642AA"/>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uiPriority w:val="99"/>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2.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3.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4.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2022-03-31T23:04:00Z</dcterms:created>
  <dcterms:modified xsi:type="dcterms:W3CDTF">2022-03-31T23:29:00Z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