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95B6" w14:textId="77777777" w:rsidR="000702E4" w:rsidRPr="00AE7A94" w:rsidRDefault="000702E4" w:rsidP="000702E4">
      <w:pPr>
        <w:widowControl w:val="0"/>
        <w:tabs>
          <w:tab w:val="left" w:pos="2835"/>
        </w:tabs>
        <w:jc w:val="both"/>
        <w:outlineLvl w:val="0"/>
        <w:rPr>
          <w:rFonts w:ascii="Century Gothic" w:hAnsi="Century Gothic"/>
          <w:bCs/>
          <w:iCs/>
          <w:noProof/>
          <w:color w:val="000000" w:themeColor="text1"/>
          <w:sz w:val="36"/>
          <w:szCs w:val="36"/>
        </w:rPr>
      </w:pPr>
      <w:r w:rsidRPr="00AE7A94">
        <w:rPr>
          <w:rFonts w:ascii="Arial" w:hAnsi="Arial" w:cs="Arial"/>
          <w:b/>
          <w:bCs/>
          <w:iCs/>
          <w:noProof/>
          <w:color w:val="000000" w:themeColor="text1"/>
          <w:sz w:val="24"/>
          <w:lang w:val="es-ES_tradnl"/>
        </w:rPr>
        <w:t>SGV-A-</w:t>
      </w:r>
      <w:r>
        <w:rPr>
          <w:rFonts w:ascii="Arial" w:hAnsi="Arial" w:cs="Arial"/>
          <w:b/>
          <w:bCs/>
          <w:iCs/>
          <w:noProof/>
          <w:color w:val="000000" w:themeColor="text1"/>
          <w:sz w:val="24"/>
          <w:lang w:val="es-ES_tradnl"/>
        </w:rPr>
        <w:t>262</w:t>
      </w:r>
      <w:r w:rsidRPr="00AE7A94">
        <w:rPr>
          <w:rFonts w:ascii="Arial" w:hAnsi="Arial" w:cs="Arial"/>
          <w:b/>
          <w:bCs/>
          <w:iCs/>
          <w:noProof/>
          <w:color w:val="000000" w:themeColor="text1"/>
          <w:sz w:val="24"/>
          <w:lang w:val="es-ES_tradnl"/>
        </w:rPr>
        <w:t>. MODIFICACIÓN AL ACUERDO “</w:t>
      </w:r>
      <w:r w:rsidRPr="00AE7A94">
        <w:rPr>
          <w:rFonts w:ascii="Arial" w:hAnsi="Arial" w:cs="Arial"/>
          <w:b/>
          <w:bCs/>
          <w:i/>
          <w:iCs/>
          <w:noProof/>
          <w:color w:val="000000" w:themeColor="text1"/>
          <w:sz w:val="24"/>
          <w:lang w:val="es-ES_tradnl" w:eastAsia="en-US"/>
        </w:rPr>
        <w:t xml:space="preserve">SGV-A-182. INSTRUCCIONES PARA LA REMISIÓN DE PROSPECTOS DE ENTIDADES EMISORAS Y DOCUMENTOS RELACIONADOS” </w:t>
      </w:r>
      <w:r w:rsidRPr="00AE7A94">
        <w:rPr>
          <w:rStyle w:val="Refdenotaalpie"/>
          <w:rFonts w:ascii="Arial" w:hAnsi="Arial" w:cs="Arial"/>
          <w:b/>
          <w:bCs/>
          <w:i/>
          <w:iCs/>
          <w:noProof/>
          <w:color w:val="000000" w:themeColor="text1"/>
          <w:szCs w:val="22"/>
          <w:lang w:eastAsia="en-US"/>
        </w:rPr>
        <w:footnoteReference w:id="1"/>
      </w:r>
    </w:p>
    <w:p w14:paraId="795256E8" w14:textId="77777777" w:rsidR="000702E4" w:rsidRPr="00AE7A94" w:rsidRDefault="000702E4" w:rsidP="000702E4">
      <w:pPr>
        <w:widowControl w:val="0"/>
        <w:tabs>
          <w:tab w:val="left" w:pos="2835"/>
        </w:tabs>
        <w:jc w:val="both"/>
        <w:outlineLvl w:val="0"/>
        <w:rPr>
          <w:rFonts w:ascii="Arial" w:hAnsi="Arial" w:cs="Arial"/>
          <w:b/>
          <w:bCs/>
          <w:iCs/>
          <w:noProof/>
          <w:color w:val="000000" w:themeColor="text1"/>
          <w:sz w:val="24"/>
        </w:rPr>
      </w:pPr>
    </w:p>
    <w:p w14:paraId="66DD02C8" w14:textId="77777777" w:rsidR="000702E4" w:rsidRPr="00AE7A94" w:rsidRDefault="000702E4" w:rsidP="000702E4">
      <w:pPr>
        <w:pStyle w:val="Ttulo"/>
        <w:tabs>
          <w:tab w:val="left" w:pos="2835"/>
        </w:tabs>
        <w:spacing w:before="240" w:after="240"/>
        <w:jc w:val="both"/>
        <w:rPr>
          <w:rFonts w:cs="Arial"/>
          <w:bCs/>
          <w:i w:val="0"/>
          <w:iCs/>
          <w:noProof/>
          <w:color w:val="000000" w:themeColor="text1"/>
          <w:sz w:val="22"/>
          <w:szCs w:val="22"/>
          <w:lang w:val="es-ES_tradnl"/>
        </w:rPr>
      </w:pPr>
      <w:r w:rsidRPr="00AE7A94">
        <w:rPr>
          <w:rFonts w:cs="Arial"/>
          <w:bCs/>
          <w:i w:val="0"/>
          <w:iCs/>
          <w:noProof/>
          <w:color w:val="000000" w:themeColor="text1"/>
          <w:sz w:val="22"/>
          <w:szCs w:val="22"/>
          <w:lang w:val="es-ES_tradnl"/>
        </w:rPr>
        <w:t>Considerando que:</w:t>
      </w:r>
    </w:p>
    <w:p w14:paraId="47C0A047" w14:textId="77777777" w:rsidR="000702E4" w:rsidRPr="00AE7A94" w:rsidRDefault="000702E4" w:rsidP="000702E4">
      <w:pPr>
        <w:pStyle w:val="Numeracin"/>
        <w:tabs>
          <w:tab w:val="left" w:pos="567"/>
        </w:tabs>
        <w:spacing w:before="0"/>
        <w:ind w:left="567" w:hanging="567"/>
        <w:rPr>
          <w:rFonts w:ascii="Arial" w:hAnsi="Arial" w:cs="Arial"/>
          <w:color w:val="000000" w:themeColor="text1"/>
        </w:rPr>
      </w:pPr>
      <w:r w:rsidRPr="00AE7A94">
        <w:rPr>
          <w:rFonts w:ascii="Arial" w:hAnsi="Arial" w:cs="Arial"/>
          <w:color w:val="000000" w:themeColor="text1"/>
        </w:rPr>
        <w:t>Mediante el Artículo 7 de la Sesión 986-2012 del 31 de julio del 2012, el Consejo Nacional de Supervisión del Sistema Financiero aprobó la modificación al Reglamento sobre oferta pública de valores. El Reglamento sobre oferta pública de valores define los requisitos y trámites de autorización sobre la oferta pública de valores.</w:t>
      </w:r>
    </w:p>
    <w:p w14:paraId="43D193AB" w14:textId="77777777" w:rsidR="000702E4" w:rsidRPr="00AE7A94" w:rsidRDefault="000702E4" w:rsidP="000702E4">
      <w:pPr>
        <w:widowControl w:val="0"/>
        <w:ind w:left="567" w:hanging="567"/>
        <w:jc w:val="both"/>
        <w:rPr>
          <w:rFonts w:ascii="Arial" w:hAnsi="Arial" w:cs="Arial"/>
          <w:color w:val="000000" w:themeColor="text1"/>
          <w:szCs w:val="22"/>
        </w:rPr>
      </w:pPr>
    </w:p>
    <w:p w14:paraId="5A1AD2B9" w14:textId="77777777" w:rsidR="000702E4" w:rsidRPr="00AE7A94" w:rsidRDefault="000702E4" w:rsidP="000702E4">
      <w:pPr>
        <w:pStyle w:val="Numeracin"/>
        <w:tabs>
          <w:tab w:val="left" w:pos="567"/>
        </w:tabs>
        <w:spacing w:before="0"/>
        <w:ind w:left="567" w:hanging="567"/>
        <w:rPr>
          <w:rFonts w:ascii="Arial" w:hAnsi="Arial" w:cs="Arial"/>
          <w:color w:val="000000" w:themeColor="text1"/>
        </w:rPr>
      </w:pPr>
      <w:r w:rsidRPr="00AE7A94">
        <w:rPr>
          <w:rFonts w:ascii="Arial" w:hAnsi="Arial" w:cs="Arial"/>
          <w:color w:val="000000" w:themeColor="text1"/>
        </w:rPr>
        <w:t xml:space="preserve">El artículo 18 del Reglamento en referencia, establece los requisitos para la inscripción de emisiones en el Registro Nacional de Valores e Intermediarios (RNVI) y señala que le corresponde al Superintendente establecer los medios y el procedimiento a realizar para presentar la documentación requerida. </w:t>
      </w:r>
    </w:p>
    <w:p w14:paraId="5212E79C" w14:textId="77777777" w:rsidR="000702E4" w:rsidRPr="00AE7A94" w:rsidRDefault="000702E4" w:rsidP="000702E4">
      <w:pPr>
        <w:pStyle w:val="Prrafodelista"/>
        <w:ind w:left="567" w:hanging="567"/>
        <w:rPr>
          <w:rFonts w:ascii="Arial" w:hAnsi="Arial" w:cs="Arial"/>
          <w:color w:val="000000" w:themeColor="text1"/>
          <w:szCs w:val="22"/>
        </w:rPr>
      </w:pPr>
    </w:p>
    <w:p w14:paraId="3A4C34CC" w14:textId="77777777" w:rsidR="000702E4" w:rsidRPr="00AE7A94" w:rsidRDefault="000702E4" w:rsidP="000702E4">
      <w:pPr>
        <w:pStyle w:val="Numeracin"/>
        <w:tabs>
          <w:tab w:val="left" w:pos="567"/>
        </w:tabs>
        <w:spacing w:before="0"/>
        <w:ind w:left="567" w:hanging="567"/>
        <w:rPr>
          <w:rFonts w:ascii="Arial" w:hAnsi="Arial" w:cs="Arial"/>
          <w:color w:val="000000" w:themeColor="text1"/>
        </w:rPr>
      </w:pPr>
      <w:r w:rsidRPr="00AE7A94">
        <w:rPr>
          <w:rFonts w:ascii="Arial" w:hAnsi="Arial" w:cs="Arial"/>
          <w:color w:val="000000" w:themeColor="text1"/>
        </w:rPr>
        <w:t>El artículo 21 de este Reglamento establece que el emisor debe mantener la información del prospecto debidamente actualizada, según los procedimientos dispuestos por el Superintendente mediante acuerdo de alcance general.</w:t>
      </w:r>
    </w:p>
    <w:p w14:paraId="189249E2" w14:textId="77777777" w:rsidR="000702E4" w:rsidRPr="00AE7A94" w:rsidRDefault="000702E4" w:rsidP="000702E4">
      <w:pPr>
        <w:widowControl w:val="0"/>
        <w:ind w:left="567" w:hanging="567"/>
        <w:jc w:val="both"/>
        <w:rPr>
          <w:rFonts w:ascii="Arial" w:hAnsi="Arial" w:cs="Arial"/>
          <w:color w:val="000000" w:themeColor="text1"/>
          <w:szCs w:val="22"/>
        </w:rPr>
      </w:pPr>
    </w:p>
    <w:p w14:paraId="3F29196D" w14:textId="77777777" w:rsidR="000702E4" w:rsidRPr="00AE7A94" w:rsidRDefault="000702E4" w:rsidP="000702E4">
      <w:pPr>
        <w:pStyle w:val="Numeracin"/>
        <w:tabs>
          <w:tab w:val="left" w:pos="567"/>
        </w:tabs>
        <w:spacing w:before="0"/>
        <w:ind w:left="567" w:hanging="567"/>
        <w:rPr>
          <w:rFonts w:ascii="Arial" w:hAnsi="Arial" w:cs="Arial"/>
          <w:color w:val="000000" w:themeColor="text1"/>
        </w:rPr>
      </w:pPr>
      <w:r w:rsidRPr="00AE7A94">
        <w:rPr>
          <w:rFonts w:ascii="Arial" w:hAnsi="Arial" w:cs="Arial"/>
          <w:color w:val="000000" w:themeColor="text1"/>
        </w:rPr>
        <w:t xml:space="preserve">De acuerdo con el artículo 19 del Reglamento sobre oferta pública de valores, el prospecto debe acompañarse de una declaración jurada sobre la veracidad de su información, cuyo contenido mínimo debe establecer el Superintendente. </w:t>
      </w:r>
    </w:p>
    <w:p w14:paraId="26C13886" w14:textId="77777777" w:rsidR="000702E4" w:rsidRPr="00AE7A94" w:rsidRDefault="000702E4" w:rsidP="000702E4">
      <w:pPr>
        <w:pStyle w:val="Prrafodelista"/>
        <w:ind w:left="567" w:hanging="567"/>
        <w:rPr>
          <w:rFonts w:ascii="Arial" w:hAnsi="Arial" w:cs="Arial"/>
          <w:color w:val="000000" w:themeColor="text1"/>
          <w:szCs w:val="22"/>
        </w:rPr>
      </w:pPr>
    </w:p>
    <w:p w14:paraId="5DA242EC" w14:textId="77777777" w:rsidR="000702E4" w:rsidRPr="00AE7A94" w:rsidRDefault="000702E4" w:rsidP="000702E4">
      <w:pPr>
        <w:pStyle w:val="Numeracin"/>
        <w:tabs>
          <w:tab w:val="left" w:pos="567"/>
        </w:tabs>
        <w:spacing w:before="0"/>
        <w:ind w:left="567" w:hanging="567"/>
        <w:rPr>
          <w:rFonts w:ascii="Arial" w:hAnsi="Arial" w:cs="Arial"/>
          <w:color w:val="000000" w:themeColor="text1"/>
        </w:rPr>
      </w:pPr>
      <w:r w:rsidRPr="00AE7A94">
        <w:rPr>
          <w:rFonts w:ascii="Arial" w:hAnsi="Arial" w:cs="Arial"/>
          <w:color w:val="000000" w:themeColor="text1"/>
        </w:rPr>
        <w:t>El inciso e. del artículo 24 del Reglamento indicado, dispone que la autorización de oferta pública debe realizarse por medio de un Hecho Relevante, de acuerdo con las disposiciones que emita el Superintendente.</w:t>
      </w:r>
    </w:p>
    <w:p w14:paraId="34EE3432" w14:textId="77777777" w:rsidR="000702E4" w:rsidRPr="00AE7A94" w:rsidRDefault="000702E4" w:rsidP="000702E4">
      <w:pPr>
        <w:pStyle w:val="Prrafodelista"/>
        <w:rPr>
          <w:rFonts w:ascii="Arial" w:hAnsi="Arial" w:cs="Arial"/>
          <w:color w:val="000000" w:themeColor="text1"/>
          <w:szCs w:val="22"/>
        </w:rPr>
      </w:pPr>
    </w:p>
    <w:p w14:paraId="3155418D" w14:textId="77777777" w:rsidR="000702E4" w:rsidRPr="00AE7A94" w:rsidRDefault="000702E4" w:rsidP="000702E4">
      <w:pPr>
        <w:pStyle w:val="Numeracin"/>
        <w:tabs>
          <w:tab w:val="left" w:pos="567"/>
        </w:tabs>
        <w:spacing w:before="0"/>
        <w:ind w:left="567" w:hanging="567"/>
        <w:rPr>
          <w:rFonts w:ascii="Arial" w:hAnsi="Arial" w:cs="Arial"/>
          <w:color w:val="000000" w:themeColor="text1"/>
        </w:rPr>
      </w:pPr>
      <w:r w:rsidRPr="00AE7A94">
        <w:rPr>
          <w:rFonts w:ascii="Arial" w:hAnsi="Arial" w:cs="Arial"/>
          <w:color w:val="000000" w:themeColor="text1"/>
        </w:rPr>
        <w:t>De acuerdo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14:paraId="2EC07A77" w14:textId="77777777" w:rsidR="000702E4" w:rsidRPr="00AE7A94" w:rsidRDefault="000702E4" w:rsidP="000702E4">
      <w:pPr>
        <w:pStyle w:val="Prrafodelista"/>
        <w:rPr>
          <w:rFonts w:ascii="Arial" w:hAnsi="Arial" w:cs="Arial"/>
          <w:color w:val="000000" w:themeColor="text1"/>
          <w:szCs w:val="22"/>
        </w:rPr>
      </w:pPr>
    </w:p>
    <w:p w14:paraId="29270292" w14:textId="77777777" w:rsidR="000702E4" w:rsidRPr="00AE7A94" w:rsidRDefault="000702E4" w:rsidP="000702E4">
      <w:pPr>
        <w:pStyle w:val="Numeracin"/>
        <w:spacing w:before="0"/>
        <w:ind w:left="567" w:hanging="567"/>
        <w:rPr>
          <w:rFonts w:ascii="Arial" w:hAnsi="Arial" w:cs="Arial"/>
          <w:color w:val="000000" w:themeColor="text1"/>
          <w:szCs w:val="22"/>
        </w:rPr>
      </w:pPr>
      <w:r w:rsidRPr="00AE7A94">
        <w:rPr>
          <w:rFonts w:ascii="Arial" w:hAnsi="Arial" w:cs="Arial"/>
          <w:color w:val="000000" w:themeColor="text1"/>
          <w:szCs w:val="22"/>
        </w:rPr>
        <w:t xml:space="preserve">El Consejo Nacional de Supervisión del Sistema Financiero mediante el artículo 6 del acta de la sesión 1711-2022, celebrada el 27 de enero del 2022, aprobó en firme la modificación a los siguientes reglamentos artículos 23, 24 y 115 del Reglamento General sobre Sociedades Administradoras y Fondos de Inversión, el quinto párrafo del artículo 18, el segundo literal c) del artículo 23 y derogar el segundo literal b) del artículo 23 del Reglamento sobre Calificación de Valores y Sociedades Calificadoras de Riesgo, el segundo párrafo del artículo 12 y el artículo 14 del Reglamento sobre el suministro de información periódica, hechos relevantes y otras obligaciones de información, el artículo 32 del Reglamento sobre Valoración de Instrumentos Financieros y los artículos 2 y 9 Reglamento sobre Registro Nacional </w:t>
      </w:r>
      <w:r w:rsidRPr="00AE7A94">
        <w:rPr>
          <w:rFonts w:ascii="Arial" w:hAnsi="Arial" w:cs="Arial"/>
          <w:color w:val="000000" w:themeColor="text1"/>
          <w:szCs w:val="22"/>
        </w:rPr>
        <w:lastRenderedPageBreak/>
        <w:t xml:space="preserve">de Valores e Intermediarios, relacionados con la actualización de las normas de revelación por hechos relevantes. </w:t>
      </w:r>
    </w:p>
    <w:p w14:paraId="589A5EA0" w14:textId="77777777" w:rsidR="000702E4" w:rsidRPr="00AE7A94" w:rsidRDefault="000702E4" w:rsidP="000702E4">
      <w:pPr>
        <w:pStyle w:val="Numeracin"/>
        <w:numPr>
          <w:ilvl w:val="0"/>
          <w:numId w:val="0"/>
        </w:numPr>
        <w:tabs>
          <w:tab w:val="left" w:pos="567"/>
        </w:tabs>
        <w:spacing w:before="0"/>
        <w:ind w:left="567"/>
        <w:rPr>
          <w:rFonts w:ascii="Arial" w:hAnsi="Arial" w:cs="Arial"/>
          <w:color w:val="000000" w:themeColor="text1"/>
          <w:szCs w:val="22"/>
        </w:rPr>
      </w:pPr>
    </w:p>
    <w:p w14:paraId="352CF3D2" w14:textId="77777777" w:rsidR="000702E4" w:rsidRPr="00AE7A94" w:rsidRDefault="000702E4" w:rsidP="00F37284">
      <w:pPr>
        <w:pStyle w:val="Numeracin"/>
        <w:tabs>
          <w:tab w:val="left" w:pos="567"/>
        </w:tabs>
        <w:spacing w:before="0"/>
        <w:ind w:left="567" w:hanging="567"/>
        <w:rPr>
          <w:rFonts w:ascii="Arial" w:hAnsi="Arial" w:cs="Arial"/>
          <w:color w:val="000000" w:themeColor="text1"/>
          <w:szCs w:val="22"/>
        </w:rPr>
      </w:pPr>
      <w:r w:rsidRPr="00AE7A94">
        <w:rPr>
          <w:rFonts w:ascii="Arial" w:hAnsi="Arial" w:cs="Arial"/>
          <w:color w:val="000000" w:themeColor="text1"/>
          <w:szCs w:val="22"/>
        </w:rPr>
        <w:t xml:space="preserve">A partir de dicha reforma normativa se hace necesario actualizar los lineamientos del Anexo 10 relacionados con las </w:t>
      </w:r>
      <w:r w:rsidRPr="00AE7A94">
        <w:rPr>
          <w:rFonts w:ascii="Arial" w:hAnsi="Arial" w:cs="Arial"/>
          <w:color w:val="000000" w:themeColor="text1"/>
        </w:rPr>
        <w:t>Instrucciones sobre el Comunicado de Hecho Relevante para la inscripción de emisiones para incluir la opción de la inscripción anticipada de emisiones.</w:t>
      </w:r>
    </w:p>
    <w:p w14:paraId="18929502" w14:textId="77777777" w:rsidR="000702E4" w:rsidRPr="00AE7A94" w:rsidRDefault="000702E4" w:rsidP="000702E4">
      <w:pPr>
        <w:pStyle w:val="Numeracin"/>
        <w:numPr>
          <w:ilvl w:val="0"/>
          <w:numId w:val="0"/>
        </w:numPr>
        <w:tabs>
          <w:tab w:val="left" w:pos="567"/>
        </w:tabs>
        <w:spacing w:before="0"/>
        <w:ind w:left="567"/>
        <w:rPr>
          <w:rFonts w:ascii="Arial" w:hAnsi="Arial" w:cs="Arial"/>
          <w:color w:val="000000" w:themeColor="text1"/>
          <w:szCs w:val="22"/>
          <w:highlight w:val="yellow"/>
        </w:rPr>
      </w:pPr>
    </w:p>
    <w:p w14:paraId="4A6B3FC6" w14:textId="77777777" w:rsidR="000702E4" w:rsidRPr="00AE7A94" w:rsidRDefault="000702E4" w:rsidP="00F37284">
      <w:pPr>
        <w:pStyle w:val="Numeracin"/>
        <w:tabs>
          <w:tab w:val="left" w:pos="567"/>
        </w:tabs>
        <w:spacing w:before="0"/>
        <w:ind w:left="567" w:hanging="567"/>
        <w:rPr>
          <w:rFonts w:ascii="Arial" w:hAnsi="Arial" w:cs="Arial"/>
          <w:color w:val="000000" w:themeColor="text1"/>
          <w:szCs w:val="22"/>
        </w:rPr>
      </w:pPr>
      <w:r w:rsidRPr="00AE7A94">
        <w:rPr>
          <w:rFonts w:ascii="Arial" w:hAnsi="Arial" w:cs="Arial"/>
          <w:color w:val="000000" w:themeColor="text1"/>
          <w:szCs w:val="22"/>
        </w:rPr>
        <w:t>La presente reforma al Acuerdo fue sometido a consulta de conformidad con el Artículo 361 de la Ley General de Administración Pública.</w:t>
      </w:r>
    </w:p>
    <w:p w14:paraId="0F7A64CD" w14:textId="77777777" w:rsidR="000702E4" w:rsidRPr="00AE7A94" w:rsidRDefault="000702E4" w:rsidP="000702E4">
      <w:pPr>
        <w:pStyle w:val="Prrafodelista"/>
        <w:rPr>
          <w:rFonts w:ascii="Arial" w:hAnsi="Arial" w:cs="Arial"/>
          <w:color w:val="000000" w:themeColor="text1"/>
          <w:szCs w:val="22"/>
        </w:rPr>
      </w:pPr>
    </w:p>
    <w:p w14:paraId="6579C617" w14:textId="77777777" w:rsidR="000702E4" w:rsidRPr="00AE7A94" w:rsidRDefault="000702E4" w:rsidP="000702E4">
      <w:pPr>
        <w:widowControl w:val="0"/>
        <w:tabs>
          <w:tab w:val="left" w:pos="567"/>
        </w:tabs>
        <w:spacing w:before="240" w:after="240"/>
        <w:jc w:val="both"/>
        <w:rPr>
          <w:rFonts w:ascii="Arial" w:hAnsi="Arial" w:cs="Arial"/>
          <w:b/>
          <w:color w:val="000000" w:themeColor="text1"/>
          <w:szCs w:val="22"/>
        </w:rPr>
      </w:pPr>
      <w:r w:rsidRPr="00AE7A94">
        <w:rPr>
          <w:rFonts w:ascii="Arial" w:hAnsi="Arial" w:cs="Arial"/>
          <w:b/>
          <w:color w:val="000000" w:themeColor="text1"/>
          <w:szCs w:val="22"/>
        </w:rPr>
        <w:t>Por tanto, dispone el presente acuerdo:</w:t>
      </w:r>
    </w:p>
    <w:p w14:paraId="0BB15459" w14:textId="77777777" w:rsidR="000702E4" w:rsidRPr="00AE7A94" w:rsidRDefault="000702E4" w:rsidP="000702E4">
      <w:pPr>
        <w:tabs>
          <w:tab w:val="left" w:pos="8910"/>
        </w:tabs>
        <w:spacing w:before="240" w:after="240"/>
        <w:jc w:val="center"/>
        <w:rPr>
          <w:rFonts w:ascii="Arial" w:hAnsi="Arial" w:cs="Arial"/>
          <w:b/>
          <w:color w:val="000000" w:themeColor="text1"/>
          <w:szCs w:val="22"/>
        </w:rPr>
      </w:pPr>
      <w:r w:rsidRPr="00AE7A94">
        <w:rPr>
          <w:rFonts w:ascii="Arial" w:hAnsi="Arial" w:cs="Arial"/>
          <w:b/>
          <w:color w:val="000000" w:themeColor="text1"/>
          <w:szCs w:val="22"/>
        </w:rPr>
        <w:t>APROBAR EL ACUERDO SGV-A-</w:t>
      </w:r>
      <w:r>
        <w:rPr>
          <w:rFonts w:ascii="Arial" w:hAnsi="Arial" w:cs="Arial"/>
          <w:b/>
          <w:color w:val="000000" w:themeColor="text1"/>
          <w:szCs w:val="22"/>
        </w:rPr>
        <w:t>262</w:t>
      </w:r>
      <w:r w:rsidRPr="00AE7A94">
        <w:rPr>
          <w:rFonts w:ascii="Arial" w:hAnsi="Arial" w:cs="Arial"/>
          <w:b/>
          <w:color w:val="000000" w:themeColor="text1"/>
          <w:szCs w:val="22"/>
        </w:rPr>
        <w:t>.  MODIFICACIÓN AL ACUERDO “SGV-A-182. INSTRUCCIONES PARA LA REMISIÓN DE PROSPECTOS DE ENTIDADES EMISORAS Y DOCUMENTOS RELACIONADOS”</w:t>
      </w:r>
    </w:p>
    <w:p w14:paraId="2CFD94B4" w14:textId="77777777" w:rsidR="000702E4" w:rsidRPr="00AE7A94" w:rsidRDefault="000702E4" w:rsidP="000702E4">
      <w:pPr>
        <w:spacing w:before="240" w:after="240"/>
        <w:jc w:val="both"/>
        <w:rPr>
          <w:rFonts w:ascii="Arial" w:hAnsi="Arial" w:cs="Arial"/>
          <w:b/>
          <w:color w:val="000000" w:themeColor="text1"/>
          <w:szCs w:val="22"/>
        </w:rPr>
      </w:pPr>
      <w:r w:rsidRPr="00AE7A94">
        <w:rPr>
          <w:rFonts w:ascii="Arial" w:hAnsi="Arial" w:cs="Arial"/>
          <w:b/>
          <w:color w:val="000000" w:themeColor="text1"/>
          <w:szCs w:val="22"/>
        </w:rPr>
        <w:t>Artículo 1. Reforma</w:t>
      </w:r>
    </w:p>
    <w:p w14:paraId="173E83FA" w14:textId="77777777" w:rsidR="000702E4" w:rsidRPr="00AE7A94" w:rsidRDefault="000702E4" w:rsidP="000702E4">
      <w:pPr>
        <w:pStyle w:val="Prrafodelista"/>
        <w:numPr>
          <w:ilvl w:val="0"/>
          <w:numId w:val="5"/>
        </w:numPr>
        <w:tabs>
          <w:tab w:val="left" w:pos="8910"/>
        </w:tabs>
        <w:spacing w:before="240" w:after="240"/>
        <w:contextualSpacing w:val="0"/>
        <w:jc w:val="both"/>
        <w:rPr>
          <w:rFonts w:ascii="Arial" w:hAnsi="Arial" w:cs="Arial"/>
          <w:color w:val="000000" w:themeColor="text1"/>
          <w:szCs w:val="22"/>
        </w:rPr>
      </w:pPr>
      <w:r w:rsidRPr="00AE7A94">
        <w:rPr>
          <w:rFonts w:ascii="Arial" w:hAnsi="Arial" w:cs="Arial"/>
          <w:b/>
          <w:color w:val="000000" w:themeColor="text1"/>
          <w:szCs w:val="22"/>
        </w:rPr>
        <w:t xml:space="preserve">Modificar </w:t>
      </w:r>
      <w:r w:rsidRPr="00AE7A94">
        <w:rPr>
          <w:rFonts w:ascii="Arial" w:hAnsi="Arial" w:cs="Arial"/>
          <w:bCs/>
          <w:color w:val="000000" w:themeColor="text1"/>
          <w:szCs w:val="22"/>
        </w:rPr>
        <w:t>el Anexo 10 del artículo 16.</w:t>
      </w:r>
    </w:p>
    <w:p w14:paraId="5459C557" w14:textId="77777777" w:rsidR="000702E4" w:rsidRPr="00AE7A94" w:rsidRDefault="000702E4" w:rsidP="000702E4">
      <w:pPr>
        <w:tabs>
          <w:tab w:val="left" w:pos="8910"/>
        </w:tabs>
        <w:spacing w:before="240" w:after="240"/>
        <w:contextualSpacing/>
        <w:jc w:val="both"/>
        <w:rPr>
          <w:rFonts w:ascii="Arial" w:hAnsi="Arial" w:cs="Arial"/>
          <w:color w:val="000000" w:themeColor="text1"/>
          <w:szCs w:val="22"/>
        </w:rPr>
      </w:pPr>
      <w:r w:rsidRPr="00AE7A94">
        <w:rPr>
          <w:rFonts w:ascii="Arial" w:hAnsi="Arial" w:cs="Arial"/>
          <w:color w:val="000000" w:themeColor="text1"/>
          <w:szCs w:val="22"/>
        </w:rPr>
        <w:t xml:space="preserve">Para que se lea como sigue: </w:t>
      </w:r>
    </w:p>
    <w:p w14:paraId="12F48B4D" w14:textId="77777777" w:rsidR="000702E4" w:rsidRPr="00AE7A94" w:rsidRDefault="000702E4" w:rsidP="000702E4">
      <w:pPr>
        <w:pStyle w:val="Prrafodelista"/>
        <w:tabs>
          <w:tab w:val="left" w:pos="567"/>
        </w:tabs>
        <w:ind w:left="0"/>
        <w:jc w:val="both"/>
        <w:rPr>
          <w:rFonts w:ascii="Arial" w:hAnsi="Arial" w:cs="Arial"/>
          <w:b/>
          <w:bCs/>
          <w:color w:val="000000" w:themeColor="text1"/>
        </w:rPr>
      </w:pPr>
      <w:r w:rsidRPr="00AE7A94">
        <w:rPr>
          <w:rFonts w:ascii="Arial" w:hAnsi="Arial" w:cs="Arial"/>
          <w:b/>
          <w:bCs/>
          <w:color w:val="000000" w:themeColor="text1"/>
        </w:rPr>
        <w:t>Artículo 16. Contenido mínimo de las declaraciones juradas y de los Comunicados de Hechos Relevantes</w:t>
      </w:r>
    </w:p>
    <w:p w14:paraId="4A90C3A4" w14:textId="77777777" w:rsidR="000702E4" w:rsidRPr="00AE7A94" w:rsidRDefault="000702E4" w:rsidP="000702E4">
      <w:pPr>
        <w:pStyle w:val="Prrafodelista"/>
        <w:tabs>
          <w:tab w:val="left" w:pos="567"/>
        </w:tabs>
        <w:ind w:left="0"/>
        <w:jc w:val="both"/>
        <w:rPr>
          <w:rFonts w:ascii="Arial" w:hAnsi="Arial" w:cs="Arial"/>
          <w:color w:val="000000" w:themeColor="text1"/>
        </w:rPr>
      </w:pPr>
    </w:p>
    <w:p w14:paraId="2EAE4D09" w14:textId="77777777" w:rsidR="000702E4" w:rsidRPr="00AE7A94" w:rsidRDefault="000702E4" w:rsidP="000702E4">
      <w:pPr>
        <w:pStyle w:val="Prrafodelista"/>
        <w:tabs>
          <w:tab w:val="left" w:pos="567"/>
        </w:tabs>
        <w:ind w:left="0"/>
        <w:jc w:val="both"/>
        <w:rPr>
          <w:rFonts w:ascii="Arial" w:hAnsi="Arial" w:cs="Arial"/>
          <w:color w:val="000000" w:themeColor="text1"/>
        </w:rPr>
      </w:pPr>
      <w:r w:rsidRPr="00AE7A94">
        <w:rPr>
          <w:rFonts w:ascii="Arial" w:hAnsi="Arial" w:cs="Arial"/>
          <w:color w:val="000000" w:themeColor="text1"/>
        </w:rPr>
        <w:t>(…)</w:t>
      </w:r>
    </w:p>
    <w:p w14:paraId="6FCE1FAB" w14:textId="77777777" w:rsidR="000702E4" w:rsidRPr="00AE7A94" w:rsidRDefault="000702E4" w:rsidP="000702E4">
      <w:pPr>
        <w:pStyle w:val="Prrafodelista"/>
        <w:tabs>
          <w:tab w:val="left" w:pos="567"/>
        </w:tabs>
        <w:ind w:left="0"/>
        <w:jc w:val="both"/>
        <w:rPr>
          <w:rFonts w:ascii="Arial" w:hAnsi="Arial" w:cs="Arial"/>
          <w:color w:val="000000" w:themeColor="text1"/>
        </w:rPr>
      </w:pPr>
      <w:r w:rsidRPr="00AE7A94">
        <w:rPr>
          <w:rFonts w:ascii="Arial" w:hAnsi="Arial" w:cs="Arial"/>
          <w:color w:val="000000" w:themeColor="text1"/>
        </w:rPr>
        <w:t>j)</w:t>
      </w:r>
      <w:r w:rsidRPr="00AE7A94">
        <w:rPr>
          <w:rFonts w:ascii="Arial" w:hAnsi="Arial" w:cs="Arial"/>
          <w:color w:val="000000" w:themeColor="text1"/>
        </w:rPr>
        <w:tab/>
        <w:t>Anexo No. 10. Instrucciones sobre el Comunicado de Hecho Relevante para la inscripción de emisiones de acciones e inscripción anticipada de emisiones.</w:t>
      </w:r>
    </w:p>
    <w:p w14:paraId="51A1D550" w14:textId="77777777" w:rsidR="000702E4" w:rsidRPr="00AE7A94" w:rsidRDefault="000702E4" w:rsidP="000702E4">
      <w:pPr>
        <w:pStyle w:val="Prrafodelista"/>
        <w:tabs>
          <w:tab w:val="left" w:pos="567"/>
        </w:tabs>
        <w:ind w:left="0"/>
        <w:jc w:val="both"/>
        <w:rPr>
          <w:rFonts w:ascii="Arial" w:hAnsi="Arial" w:cs="Arial"/>
          <w:b/>
          <w:bCs/>
          <w:color w:val="000000" w:themeColor="text1"/>
        </w:rPr>
      </w:pPr>
    </w:p>
    <w:p w14:paraId="48813102" w14:textId="77777777" w:rsidR="000702E4" w:rsidRPr="00AE7A94" w:rsidRDefault="000702E4" w:rsidP="000702E4">
      <w:pPr>
        <w:pStyle w:val="Prrafodelista"/>
        <w:tabs>
          <w:tab w:val="left" w:pos="567"/>
        </w:tabs>
        <w:ind w:left="0"/>
        <w:jc w:val="both"/>
        <w:rPr>
          <w:rFonts w:ascii="Arial" w:hAnsi="Arial" w:cs="Arial"/>
          <w:color w:val="000000" w:themeColor="text1"/>
        </w:rPr>
      </w:pPr>
      <w:r w:rsidRPr="00AE7A94">
        <w:rPr>
          <w:rFonts w:ascii="Arial" w:hAnsi="Arial" w:cs="Arial"/>
          <w:color w:val="000000" w:themeColor="text1"/>
        </w:rPr>
        <w:t>(…)</w:t>
      </w:r>
    </w:p>
    <w:p w14:paraId="1F41F67D" w14:textId="77777777" w:rsidR="000702E4" w:rsidRPr="00AE7A94" w:rsidRDefault="000702E4" w:rsidP="000702E4">
      <w:pPr>
        <w:tabs>
          <w:tab w:val="left" w:pos="8910"/>
        </w:tabs>
        <w:jc w:val="center"/>
        <w:rPr>
          <w:rFonts w:ascii="Arial" w:hAnsi="Arial" w:cs="Arial"/>
          <w:b/>
          <w:color w:val="000000" w:themeColor="text1"/>
        </w:rPr>
      </w:pPr>
      <w:r w:rsidRPr="00AE7A94">
        <w:rPr>
          <w:rFonts w:ascii="Arial" w:hAnsi="Arial" w:cs="Arial"/>
          <w:b/>
          <w:color w:val="000000" w:themeColor="text1"/>
        </w:rPr>
        <w:t>ANEXO No. 10</w:t>
      </w:r>
    </w:p>
    <w:p w14:paraId="4099EE4E" w14:textId="77777777" w:rsidR="000702E4" w:rsidRPr="00AE7A94" w:rsidRDefault="000702E4" w:rsidP="000702E4">
      <w:pPr>
        <w:tabs>
          <w:tab w:val="left" w:pos="8910"/>
        </w:tabs>
        <w:jc w:val="center"/>
        <w:rPr>
          <w:rFonts w:ascii="Arial" w:hAnsi="Arial" w:cs="Arial"/>
          <w:b/>
          <w:color w:val="000000" w:themeColor="text1"/>
        </w:rPr>
      </w:pPr>
      <w:r w:rsidRPr="00AE7A94">
        <w:rPr>
          <w:rFonts w:ascii="Arial" w:hAnsi="Arial" w:cs="Arial"/>
          <w:b/>
          <w:color w:val="000000" w:themeColor="text1"/>
        </w:rPr>
        <w:t xml:space="preserve">INSTRUCCIONES SOBRE EL COMUNICADO DE HECHO RELEVANTE PARA INSCRIPCIÓN DE EMISIONES </w:t>
      </w:r>
      <w:r w:rsidRPr="00AE7A94">
        <w:rPr>
          <w:rFonts w:ascii="Arial" w:hAnsi="Arial" w:cs="Arial"/>
          <w:color w:val="000000" w:themeColor="text1"/>
        </w:rPr>
        <w:t>DE ACCIONES E INSCRIPCION ANTICIPADA DE EMISIONES</w:t>
      </w:r>
    </w:p>
    <w:p w14:paraId="6C57F874" w14:textId="77777777" w:rsidR="000702E4" w:rsidRPr="00AE7A94" w:rsidRDefault="000702E4" w:rsidP="000702E4">
      <w:pPr>
        <w:tabs>
          <w:tab w:val="left" w:pos="8910"/>
        </w:tabs>
        <w:jc w:val="center"/>
        <w:rPr>
          <w:rFonts w:ascii="Arial" w:hAnsi="Arial" w:cs="Arial"/>
          <w:b/>
          <w:color w:val="000000" w:themeColor="text1"/>
        </w:rPr>
      </w:pPr>
    </w:p>
    <w:p w14:paraId="05E37D58" w14:textId="77777777" w:rsidR="000702E4" w:rsidRPr="00AE7A94" w:rsidRDefault="000702E4" w:rsidP="000702E4">
      <w:pPr>
        <w:pStyle w:val="CNV"/>
        <w:spacing w:before="60" w:after="60"/>
        <w:rPr>
          <w:rFonts w:ascii="Arial" w:hAnsi="Arial" w:cs="Arial"/>
          <w:color w:val="000000" w:themeColor="text1"/>
          <w:sz w:val="22"/>
          <w:szCs w:val="22"/>
          <w:lang w:val="es-CR"/>
        </w:rPr>
      </w:pPr>
      <w:r w:rsidRPr="00AE7A94">
        <w:rPr>
          <w:rFonts w:ascii="Arial" w:hAnsi="Arial" w:cs="Arial"/>
          <w:color w:val="000000" w:themeColor="text1"/>
          <w:sz w:val="22"/>
          <w:szCs w:val="22"/>
          <w:lang w:val="es-CR"/>
        </w:rPr>
        <w:t xml:space="preserve">El Comunicado de Hecho Relevante se debe realizar de conformidad con el SGV-A-61 y sus reformas “Acuerdo sobre Hechos Relevantes” y su contenido mínimo es el siguiente: </w:t>
      </w:r>
    </w:p>
    <w:p w14:paraId="034C4E8C" w14:textId="77777777" w:rsidR="000702E4" w:rsidRPr="00AE7A94" w:rsidRDefault="000702E4" w:rsidP="000702E4">
      <w:pPr>
        <w:tabs>
          <w:tab w:val="left" w:pos="8910"/>
        </w:tabs>
        <w:jc w:val="both"/>
        <w:rPr>
          <w:rFonts w:ascii="Arial" w:hAnsi="Arial" w:cs="Arial"/>
          <w:color w:val="000000" w:themeColor="text1"/>
        </w:rPr>
      </w:pPr>
    </w:p>
    <w:p w14:paraId="216DFF78" w14:textId="77777777" w:rsidR="000702E4" w:rsidRPr="00AE7A94" w:rsidRDefault="000702E4" w:rsidP="000702E4">
      <w:pPr>
        <w:tabs>
          <w:tab w:val="left" w:pos="8910"/>
        </w:tabs>
        <w:jc w:val="center"/>
        <w:rPr>
          <w:rFonts w:ascii="Arial" w:hAnsi="Arial" w:cs="Arial"/>
          <w:b/>
          <w:color w:val="000000" w:themeColor="text1"/>
        </w:rPr>
      </w:pPr>
      <w:r w:rsidRPr="00AE7A94">
        <w:rPr>
          <w:rFonts w:ascii="Arial" w:hAnsi="Arial" w:cs="Arial"/>
          <w:b/>
          <w:color w:val="000000" w:themeColor="text1"/>
        </w:rPr>
        <w:t>COMUNICADO DE HECHO RELEVANTE</w:t>
      </w:r>
    </w:p>
    <w:p w14:paraId="13EE5153" w14:textId="77777777" w:rsidR="000702E4" w:rsidRPr="00AE7A94" w:rsidRDefault="000702E4" w:rsidP="000702E4">
      <w:pPr>
        <w:tabs>
          <w:tab w:val="left" w:pos="8910"/>
        </w:tabs>
        <w:jc w:val="both"/>
        <w:rPr>
          <w:rFonts w:ascii="Arial" w:hAnsi="Arial" w:cs="Arial"/>
          <w:color w:val="000000" w:themeColor="text1"/>
        </w:rPr>
      </w:pPr>
    </w:p>
    <w:p w14:paraId="38B2A682" w14:textId="77777777" w:rsidR="000702E4" w:rsidRPr="00AE7A94" w:rsidRDefault="000702E4" w:rsidP="000702E4">
      <w:pPr>
        <w:tabs>
          <w:tab w:val="left" w:pos="8910"/>
        </w:tabs>
        <w:jc w:val="center"/>
        <w:rPr>
          <w:rFonts w:ascii="Arial" w:hAnsi="Arial" w:cs="Arial"/>
          <w:b/>
          <w:color w:val="000000" w:themeColor="text1"/>
        </w:rPr>
      </w:pPr>
      <w:r w:rsidRPr="00AE7A94">
        <w:rPr>
          <w:rFonts w:ascii="Arial" w:hAnsi="Arial" w:cs="Arial"/>
          <w:b/>
          <w:color w:val="000000" w:themeColor="text1"/>
        </w:rPr>
        <w:t>EMISORES DE DEUDA Y/O ACCIONES</w:t>
      </w:r>
    </w:p>
    <w:p w14:paraId="38AA9C66" w14:textId="77777777" w:rsidR="000702E4" w:rsidRPr="00AE7A94" w:rsidRDefault="000702E4" w:rsidP="000702E4">
      <w:pPr>
        <w:tabs>
          <w:tab w:val="left" w:pos="8910"/>
        </w:tabs>
        <w:jc w:val="center"/>
        <w:rPr>
          <w:rFonts w:ascii="Arial" w:hAnsi="Arial" w:cs="Arial"/>
          <w:b/>
          <w:color w:val="000000" w:themeColor="text1"/>
        </w:rPr>
      </w:pPr>
      <w:r w:rsidRPr="00AE7A94">
        <w:rPr>
          <w:rFonts w:ascii="Arial" w:hAnsi="Arial" w:cs="Arial"/>
          <w:b/>
          <w:color w:val="000000" w:themeColor="text1"/>
        </w:rPr>
        <w:t>OTROS HECHOS RELEVANTES APLICABLES A EMISORES DE DEUDA Y/O ACCIONES</w:t>
      </w:r>
    </w:p>
    <w:p w14:paraId="043EC05D" w14:textId="77777777" w:rsidR="000702E4" w:rsidRPr="00AE7A94" w:rsidRDefault="000702E4" w:rsidP="000702E4">
      <w:pPr>
        <w:tabs>
          <w:tab w:val="left" w:pos="8910"/>
        </w:tabs>
        <w:jc w:val="both"/>
        <w:rPr>
          <w:rFonts w:ascii="Arial" w:hAnsi="Arial" w:cs="Arial"/>
          <w:b/>
          <w:color w:val="000000" w:themeColor="text1"/>
        </w:rPr>
      </w:pPr>
    </w:p>
    <w:p w14:paraId="766651F3" w14:textId="77777777" w:rsidR="000702E4" w:rsidRPr="00AE7A94" w:rsidRDefault="000702E4" w:rsidP="000702E4">
      <w:pPr>
        <w:tabs>
          <w:tab w:val="left" w:pos="8910"/>
        </w:tabs>
        <w:jc w:val="both"/>
        <w:rPr>
          <w:rFonts w:ascii="Arial" w:hAnsi="Arial" w:cs="Arial"/>
          <w:b/>
          <w:color w:val="000000" w:themeColor="text1"/>
        </w:rPr>
      </w:pPr>
      <w:r w:rsidRPr="00AE7A94">
        <w:rPr>
          <w:rFonts w:ascii="Arial" w:hAnsi="Arial" w:cs="Arial"/>
          <w:b/>
          <w:color w:val="000000" w:themeColor="text1"/>
        </w:rPr>
        <w:t>ASUNTO: AUTORIZACIÓN DE OFERTA PÚBLICA DE (</w:t>
      </w:r>
      <w:r w:rsidRPr="00AE7A94">
        <w:rPr>
          <w:rFonts w:ascii="Arial" w:hAnsi="Arial" w:cs="Arial"/>
          <w:b/>
          <w:color w:val="000000" w:themeColor="text1"/>
          <w:highlight w:val="lightGray"/>
        </w:rPr>
        <w:t>NOMBRE DE LA EMISIÓN</w:t>
      </w:r>
      <w:r w:rsidRPr="00AE7A94">
        <w:rPr>
          <w:rFonts w:ascii="Arial" w:hAnsi="Arial" w:cs="Arial"/>
          <w:b/>
          <w:color w:val="000000" w:themeColor="text1"/>
        </w:rPr>
        <w:t>) DE (</w:t>
      </w:r>
      <w:r w:rsidRPr="00AE7A94">
        <w:rPr>
          <w:rFonts w:ascii="Arial" w:hAnsi="Arial" w:cs="Arial"/>
          <w:b/>
          <w:color w:val="000000" w:themeColor="text1"/>
          <w:highlight w:val="lightGray"/>
        </w:rPr>
        <w:t>NOMBRE DE LA ENTIDAD EMISORA</w:t>
      </w:r>
      <w:r w:rsidRPr="00AE7A94">
        <w:rPr>
          <w:rFonts w:ascii="Arial" w:hAnsi="Arial" w:cs="Arial"/>
          <w:b/>
          <w:color w:val="000000" w:themeColor="text1"/>
        </w:rPr>
        <w:t>)</w:t>
      </w:r>
    </w:p>
    <w:p w14:paraId="4E62D0E3" w14:textId="77777777" w:rsidR="000702E4" w:rsidRPr="00AE7A94" w:rsidRDefault="000702E4" w:rsidP="000702E4">
      <w:pPr>
        <w:tabs>
          <w:tab w:val="left" w:pos="7168"/>
        </w:tabs>
        <w:jc w:val="both"/>
        <w:rPr>
          <w:rFonts w:ascii="Arial" w:hAnsi="Arial" w:cs="Arial"/>
          <w:b/>
          <w:color w:val="000000" w:themeColor="text1"/>
          <w:u w:val="single"/>
        </w:rPr>
      </w:pPr>
      <w:r w:rsidRPr="00AE7A94">
        <w:rPr>
          <w:rFonts w:ascii="Arial" w:hAnsi="Arial" w:cs="Arial"/>
          <w:b/>
          <w:color w:val="000000" w:themeColor="text1"/>
          <w:u w:val="single"/>
        </w:rPr>
        <w:tab/>
      </w:r>
    </w:p>
    <w:p w14:paraId="3FF466D0" w14:textId="77777777" w:rsidR="000702E4" w:rsidRPr="00AE7A94" w:rsidRDefault="000702E4" w:rsidP="000702E4">
      <w:pPr>
        <w:jc w:val="both"/>
        <w:rPr>
          <w:rFonts w:ascii="Arial" w:hAnsi="Arial" w:cs="Arial"/>
          <w:color w:val="000000" w:themeColor="text1"/>
        </w:rPr>
      </w:pPr>
      <w:r w:rsidRPr="00AE7A94">
        <w:rPr>
          <w:rFonts w:ascii="Arial" w:hAnsi="Arial" w:cs="Arial"/>
          <w:color w:val="000000" w:themeColor="text1"/>
          <w:highlight w:val="lightGray"/>
        </w:rPr>
        <w:lastRenderedPageBreak/>
        <w:t>Nombre de la entidad emisora</w:t>
      </w:r>
      <w:r w:rsidRPr="00AE7A94">
        <w:rPr>
          <w:rFonts w:ascii="Arial" w:hAnsi="Arial" w:cs="Arial"/>
          <w:color w:val="000000" w:themeColor="text1"/>
        </w:rPr>
        <w:t xml:space="preserve">, ha sido autorizada para realizar oferta pública de </w:t>
      </w:r>
      <w:r w:rsidRPr="00AE7A94">
        <w:rPr>
          <w:rFonts w:ascii="Arial" w:hAnsi="Arial" w:cs="Arial"/>
          <w:color w:val="000000" w:themeColor="text1"/>
          <w:highlight w:val="lightGray"/>
        </w:rPr>
        <w:t xml:space="preserve">tipo de </w:t>
      </w:r>
      <w:r w:rsidRPr="00AE7A94">
        <w:rPr>
          <w:rFonts w:ascii="Arial" w:hAnsi="Arial" w:cs="Arial"/>
          <w:color w:val="000000" w:themeColor="text1"/>
        </w:rPr>
        <w:t xml:space="preserve">emisión en el mercado de valores costarricense mediante la Resolución de la Superintendencia General de Valores SGV-R-XXX del </w:t>
      </w:r>
      <w:r w:rsidRPr="00AE7A94">
        <w:rPr>
          <w:rFonts w:ascii="Arial" w:hAnsi="Arial" w:cs="Arial"/>
          <w:color w:val="000000" w:themeColor="text1"/>
          <w:highlight w:val="lightGray"/>
        </w:rPr>
        <w:t>(día) del (mes) del 20XX.</w:t>
      </w:r>
      <w:r w:rsidRPr="00AE7A94">
        <w:rPr>
          <w:rFonts w:ascii="Arial" w:hAnsi="Arial" w:cs="Arial"/>
          <w:color w:val="000000" w:themeColor="text1"/>
        </w:rPr>
        <w:t xml:space="preserve"> </w:t>
      </w:r>
    </w:p>
    <w:p w14:paraId="1E1904F1" w14:textId="77777777" w:rsidR="000702E4" w:rsidRPr="00AE7A94" w:rsidRDefault="000702E4" w:rsidP="000702E4">
      <w:pPr>
        <w:ind w:left="360"/>
        <w:jc w:val="both"/>
        <w:rPr>
          <w:rFonts w:ascii="Arial" w:hAnsi="Arial" w:cs="Arial"/>
          <w:color w:val="000000" w:themeColor="text1"/>
        </w:rPr>
      </w:pPr>
    </w:p>
    <w:p w14:paraId="40DF610D" w14:textId="77777777" w:rsidR="000702E4" w:rsidRPr="00AE7A94" w:rsidRDefault="000702E4" w:rsidP="000702E4">
      <w:pPr>
        <w:pStyle w:val="Prrafodelista"/>
        <w:numPr>
          <w:ilvl w:val="0"/>
          <w:numId w:val="10"/>
        </w:numPr>
        <w:spacing w:after="160" w:line="259" w:lineRule="auto"/>
        <w:contextualSpacing w:val="0"/>
        <w:jc w:val="both"/>
        <w:rPr>
          <w:rFonts w:ascii="Arial" w:hAnsi="Arial" w:cs="Arial"/>
          <w:color w:val="000000" w:themeColor="text1"/>
        </w:rPr>
      </w:pPr>
      <w:r w:rsidRPr="00AE7A94">
        <w:rPr>
          <w:rFonts w:ascii="Arial" w:hAnsi="Arial" w:cs="Arial"/>
          <w:color w:val="000000" w:themeColor="text1"/>
        </w:rPr>
        <w:t xml:space="preserve">A </w:t>
      </w:r>
      <w:proofErr w:type="gramStart"/>
      <w:r w:rsidRPr="00AE7A94">
        <w:rPr>
          <w:rFonts w:ascii="Arial" w:hAnsi="Arial" w:cs="Arial"/>
          <w:color w:val="000000" w:themeColor="text1"/>
        </w:rPr>
        <w:t>continuación</w:t>
      </w:r>
      <w:proofErr w:type="gramEnd"/>
      <w:r w:rsidRPr="00AE7A94">
        <w:rPr>
          <w:rFonts w:ascii="Arial" w:hAnsi="Arial" w:cs="Arial"/>
          <w:color w:val="000000" w:themeColor="text1"/>
        </w:rPr>
        <w:t xml:space="preserve"> se indican las características de </w:t>
      </w:r>
      <w:r w:rsidRPr="00AE7A94">
        <w:rPr>
          <w:rFonts w:ascii="Arial" w:hAnsi="Arial" w:cs="Arial"/>
          <w:color w:val="000000" w:themeColor="text1"/>
          <w:highlight w:val="lightGray"/>
        </w:rPr>
        <w:t>(las emisiones)</w:t>
      </w:r>
      <w:r w:rsidRPr="00AE7A94">
        <w:rPr>
          <w:rFonts w:ascii="Arial" w:hAnsi="Arial" w:cs="Arial"/>
          <w:color w:val="000000" w:themeColor="text1"/>
        </w:rPr>
        <w:t xml:space="preserve"> </w:t>
      </w:r>
      <w:r w:rsidRPr="00AE7A94">
        <w:rPr>
          <w:rFonts w:ascii="Arial" w:hAnsi="Arial" w:cs="Arial"/>
          <w:i/>
          <w:color w:val="000000" w:themeColor="text1"/>
        </w:rPr>
        <w:t>(se sugiere utilizar los siguientes formatos de tabla):</w:t>
      </w:r>
    </w:p>
    <w:p w14:paraId="549AFED9" w14:textId="77777777" w:rsidR="000702E4" w:rsidRPr="00AE7A94" w:rsidRDefault="000702E4" w:rsidP="000702E4">
      <w:pPr>
        <w:jc w:val="both"/>
        <w:rPr>
          <w:rFonts w:ascii="Arial" w:hAnsi="Arial" w:cs="Arial"/>
          <w:color w:val="000000" w:themeColor="text1"/>
        </w:rPr>
      </w:pPr>
    </w:p>
    <w:p w14:paraId="592F9D7A" w14:textId="77777777" w:rsidR="000702E4" w:rsidRPr="00AE7A94" w:rsidRDefault="000702E4" w:rsidP="000702E4">
      <w:pPr>
        <w:pStyle w:val="Prrafodelista"/>
        <w:numPr>
          <w:ilvl w:val="0"/>
          <w:numId w:val="9"/>
        </w:numPr>
        <w:spacing w:after="160" w:line="259" w:lineRule="auto"/>
        <w:rPr>
          <w:rFonts w:ascii="Arial" w:hAnsi="Arial" w:cs="Arial"/>
          <w:b/>
          <w:color w:val="000000" w:themeColor="text1"/>
          <w:u w:val="single"/>
        </w:rPr>
      </w:pPr>
      <w:r w:rsidRPr="00AE7A94">
        <w:rPr>
          <w:rFonts w:ascii="Arial" w:hAnsi="Arial" w:cs="Arial"/>
          <w:b/>
          <w:color w:val="000000" w:themeColor="text1"/>
          <w:u w:val="single"/>
        </w:rPr>
        <w:t>Inscripción anticipada de emisiones:</w:t>
      </w:r>
    </w:p>
    <w:p w14:paraId="12B93893" w14:textId="77777777" w:rsidR="000702E4" w:rsidRPr="00AE7A94" w:rsidRDefault="000702E4" w:rsidP="000702E4">
      <w:pPr>
        <w:jc w:val="both"/>
        <w:rPr>
          <w:rFonts w:ascii="Arial" w:hAnsi="Arial" w:cs="Arial"/>
          <w:color w:val="000000" w:themeColor="text1"/>
          <w:u w:val="single"/>
        </w:rPr>
      </w:pPr>
    </w:p>
    <w:tbl>
      <w:tblPr>
        <w:tblW w:w="5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542"/>
      </w:tblGrid>
      <w:tr w:rsidR="000702E4" w:rsidRPr="00AE7A94" w14:paraId="2AAA2FB3" w14:textId="77777777" w:rsidTr="00E32820">
        <w:trPr>
          <w:jc w:val="center"/>
        </w:trPr>
        <w:tc>
          <w:tcPr>
            <w:tcW w:w="3260" w:type="dxa"/>
            <w:tcBorders>
              <w:bottom w:val="single" w:sz="4" w:space="0" w:color="auto"/>
            </w:tcBorders>
            <w:shd w:val="clear" w:color="auto" w:fill="auto"/>
          </w:tcPr>
          <w:p w14:paraId="66BC1E6A" w14:textId="77777777" w:rsidR="000702E4" w:rsidRPr="00AE7A94" w:rsidRDefault="000702E4" w:rsidP="00E32820">
            <w:pPr>
              <w:pStyle w:val="Ttulo4"/>
              <w:rPr>
                <w:rFonts w:ascii="Arial" w:hAnsi="Arial" w:cs="Arial"/>
                <w:b/>
                <w:color w:val="000000" w:themeColor="text1"/>
                <w:szCs w:val="22"/>
              </w:rPr>
            </w:pPr>
            <w:r w:rsidRPr="00AE7A94">
              <w:rPr>
                <w:rFonts w:ascii="Arial" w:hAnsi="Arial" w:cs="Arial"/>
                <w:color w:val="000000" w:themeColor="text1"/>
                <w:szCs w:val="22"/>
              </w:rPr>
              <w:t>Clase de instrumento</w:t>
            </w:r>
          </w:p>
        </w:tc>
        <w:tc>
          <w:tcPr>
            <w:tcW w:w="2542" w:type="dxa"/>
            <w:tcBorders>
              <w:bottom w:val="single" w:sz="4" w:space="0" w:color="auto"/>
            </w:tcBorders>
            <w:shd w:val="clear" w:color="auto" w:fill="auto"/>
          </w:tcPr>
          <w:p w14:paraId="59E7BF7E" w14:textId="77777777" w:rsidR="000702E4" w:rsidRPr="00AE7A94" w:rsidRDefault="000702E4" w:rsidP="00E32820">
            <w:pPr>
              <w:pStyle w:val="Ttulo4"/>
              <w:jc w:val="center"/>
              <w:rPr>
                <w:rFonts w:ascii="Arial" w:hAnsi="Arial" w:cs="Arial"/>
                <w:b/>
                <w:bCs/>
                <w:color w:val="000000" w:themeColor="text1"/>
                <w:szCs w:val="22"/>
              </w:rPr>
            </w:pPr>
            <w:r w:rsidRPr="00AE7A94">
              <w:rPr>
                <w:rFonts w:ascii="Arial" w:hAnsi="Arial" w:cs="Arial"/>
                <w:color w:val="000000" w:themeColor="text1"/>
                <w:szCs w:val="22"/>
              </w:rPr>
              <w:t>Bonos, papel comercial</w:t>
            </w:r>
          </w:p>
        </w:tc>
      </w:tr>
      <w:tr w:rsidR="000702E4" w:rsidRPr="00AE7A94" w14:paraId="1AC8EAE6" w14:textId="77777777" w:rsidTr="00E32820">
        <w:trPr>
          <w:jc w:val="center"/>
        </w:trPr>
        <w:tc>
          <w:tcPr>
            <w:tcW w:w="3260" w:type="dxa"/>
            <w:tcBorders>
              <w:bottom w:val="single" w:sz="4" w:space="0" w:color="auto"/>
            </w:tcBorders>
            <w:shd w:val="clear" w:color="auto" w:fill="auto"/>
          </w:tcPr>
          <w:p w14:paraId="5DF4A138" w14:textId="77777777" w:rsidR="000702E4" w:rsidRPr="00AE7A94" w:rsidRDefault="000702E4" w:rsidP="00E32820">
            <w:pPr>
              <w:pStyle w:val="Ttulo4"/>
              <w:rPr>
                <w:rFonts w:ascii="Arial" w:hAnsi="Arial" w:cs="Arial"/>
                <w:b/>
                <w:color w:val="000000" w:themeColor="text1"/>
                <w:szCs w:val="22"/>
              </w:rPr>
            </w:pPr>
            <w:r w:rsidRPr="00AE7A94">
              <w:rPr>
                <w:rFonts w:ascii="Arial" w:hAnsi="Arial" w:cs="Arial"/>
                <w:color w:val="000000" w:themeColor="text1"/>
                <w:szCs w:val="22"/>
              </w:rPr>
              <w:t xml:space="preserve">Nombre de la emisión </w:t>
            </w:r>
          </w:p>
        </w:tc>
        <w:tc>
          <w:tcPr>
            <w:tcW w:w="2542" w:type="dxa"/>
            <w:tcBorders>
              <w:bottom w:val="single" w:sz="4" w:space="0" w:color="auto"/>
            </w:tcBorders>
            <w:shd w:val="clear" w:color="auto" w:fill="auto"/>
          </w:tcPr>
          <w:p w14:paraId="0CD9CE38" w14:textId="77777777" w:rsidR="000702E4" w:rsidRPr="00AE7A94" w:rsidRDefault="000702E4" w:rsidP="00E32820">
            <w:pPr>
              <w:rPr>
                <w:rFonts w:ascii="Arial" w:hAnsi="Arial" w:cs="Arial"/>
                <w:color w:val="000000" w:themeColor="text1"/>
                <w:lang w:eastAsia="es-MX"/>
              </w:rPr>
            </w:pPr>
            <w:r w:rsidRPr="00AE7A94">
              <w:rPr>
                <w:rFonts w:ascii="Arial" w:hAnsi="Arial" w:cs="Arial"/>
                <w:color w:val="000000" w:themeColor="text1"/>
                <w:lang w:eastAsia="es-MX"/>
              </w:rPr>
              <w:t>Indicar</w:t>
            </w:r>
          </w:p>
        </w:tc>
      </w:tr>
      <w:tr w:rsidR="000702E4" w:rsidRPr="00AE7A94" w14:paraId="315BB8CC" w14:textId="77777777" w:rsidTr="00E32820">
        <w:trPr>
          <w:jc w:val="center"/>
        </w:trPr>
        <w:tc>
          <w:tcPr>
            <w:tcW w:w="3260" w:type="dxa"/>
            <w:tcBorders>
              <w:top w:val="single" w:sz="4" w:space="0" w:color="auto"/>
            </w:tcBorders>
          </w:tcPr>
          <w:p w14:paraId="28E84802" w14:textId="77777777" w:rsidR="000702E4" w:rsidRPr="00AE7A94" w:rsidRDefault="000702E4" w:rsidP="00E32820">
            <w:pPr>
              <w:pStyle w:val="Ttulo4"/>
              <w:rPr>
                <w:rFonts w:ascii="Arial" w:hAnsi="Arial" w:cs="Arial"/>
                <w:b/>
                <w:color w:val="000000" w:themeColor="text1"/>
                <w:szCs w:val="22"/>
              </w:rPr>
            </w:pPr>
            <w:r w:rsidRPr="00AE7A94">
              <w:rPr>
                <w:rFonts w:ascii="Arial" w:hAnsi="Arial" w:cs="Arial"/>
                <w:color w:val="000000" w:themeColor="text1"/>
                <w:szCs w:val="22"/>
              </w:rPr>
              <w:t xml:space="preserve">Monto de la emisión </w:t>
            </w:r>
          </w:p>
        </w:tc>
        <w:tc>
          <w:tcPr>
            <w:tcW w:w="2542" w:type="dxa"/>
            <w:tcBorders>
              <w:top w:val="single" w:sz="4" w:space="0" w:color="auto"/>
            </w:tcBorders>
          </w:tcPr>
          <w:p w14:paraId="721F2F05"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r w:rsidR="000702E4" w:rsidRPr="00AE7A94" w14:paraId="1EE4059F" w14:textId="77777777" w:rsidTr="00E32820">
        <w:trPr>
          <w:jc w:val="center"/>
        </w:trPr>
        <w:tc>
          <w:tcPr>
            <w:tcW w:w="3260" w:type="dxa"/>
          </w:tcPr>
          <w:p w14:paraId="26CD25D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Código ISIN</w:t>
            </w:r>
          </w:p>
        </w:tc>
        <w:tc>
          <w:tcPr>
            <w:tcW w:w="2542" w:type="dxa"/>
          </w:tcPr>
          <w:p w14:paraId="273106F1"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r w:rsidR="000702E4" w:rsidRPr="00AE7A94" w14:paraId="38DF4095" w14:textId="77777777" w:rsidTr="00E32820">
        <w:trPr>
          <w:jc w:val="center"/>
        </w:trPr>
        <w:tc>
          <w:tcPr>
            <w:tcW w:w="3260" w:type="dxa"/>
          </w:tcPr>
          <w:p w14:paraId="2CB875D6" w14:textId="77777777" w:rsidR="000702E4" w:rsidRPr="00AE7A94" w:rsidRDefault="000702E4" w:rsidP="00E32820">
            <w:pPr>
              <w:rPr>
                <w:rFonts w:ascii="Arial" w:hAnsi="Arial" w:cs="Arial"/>
                <w:color w:val="000000" w:themeColor="text1"/>
                <w:vertAlign w:val="superscript"/>
              </w:rPr>
            </w:pPr>
            <w:r w:rsidRPr="00AE7A94">
              <w:rPr>
                <w:rFonts w:ascii="Arial" w:hAnsi="Arial" w:cs="Arial"/>
                <w:color w:val="000000" w:themeColor="text1"/>
              </w:rPr>
              <w:t xml:space="preserve">Monto de la emisión </w:t>
            </w:r>
          </w:p>
        </w:tc>
        <w:tc>
          <w:tcPr>
            <w:tcW w:w="2542" w:type="dxa"/>
          </w:tcPr>
          <w:p w14:paraId="3B8D5AC0"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Indicar </w:t>
            </w:r>
          </w:p>
        </w:tc>
      </w:tr>
      <w:tr w:rsidR="000702E4" w:rsidRPr="00AE7A94" w14:paraId="5111AD85" w14:textId="77777777" w:rsidTr="00E32820">
        <w:trPr>
          <w:jc w:val="center"/>
        </w:trPr>
        <w:tc>
          <w:tcPr>
            <w:tcW w:w="3260" w:type="dxa"/>
          </w:tcPr>
          <w:p w14:paraId="67BD5CE2" w14:textId="77777777" w:rsidR="000702E4" w:rsidRPr="00AE7A94" w:rsidRDefault="000702E4" w:rsidP="00E32820">
            <w:pPr>
              <w:rPr>
                <w:rFonts w:ascii="Arial" w:hAnsi="Arial" w:cs="Arial"/>
                <w:color w:val="000000" w:themeColor="text1"/>
                <w:vertAlign w:val="superscript"/>
              </w:rPr>
            </w:pPr>
            <w:r w:rsidRPr="00AE7A94">
              <w:rPr>
                <w:rFonts w:ascii="Arial" w:hAnsi="Arial" w:cs="Arial"/>
                <w:color w:val="000000" w:themeColor="text1"/>
              </w:rPr>
              <w:t xml:space="preserve">Fecha de emisión </w:t>
            </w:r>
          </w:p>
        </w:tc>
        <w:tc>
          <w:tcPr>
            <w:tcW w:w="2542" w:type="dxa"/>
          </w:tcPr>
          <w:p w14:paraId="66A13240"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Indicar </w:t>
            </w:r>
          </w:p>
        </w:tc>
      </w:tr>
      <w:tr w:rsidR="000702E4" w:rsidRPr="00AE7A94" w14:paraId="3FF94CEE" w14:textId="77777777" w:rsidTr="00E32820">
        <w:trPr>
          <w:jc w:val="center"/>
        </w:trPr>
        <w:tc>
          <w:tcPr>
            <w:tcW w:w="3260" w:type="dxa"/>
          </w:tcPr>
          <w:p w14:paraId="2E3AB337"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Fecha de vencimiento</w:t>
            </w:r>
          </w:p>
        </w:tc>
        <w:tc>
          <w:tcPr>
            <w:tcW w:w="2542" w:type="dxa"/>
          </w:tcPr>
          <w:p w14:paraId="1CFA0E0A" w14:textId="77777777" w:rsidR="000702E4" w:rsidRPr="00AE7A94" w:rsidRDefault="000702E4" w:rsidP="00E32820">
            <w:pPr>
              <w:pStyle w:val="Ttulo4"/>
              <w:rPr>
                <w:rFonts w:ascii="Arial" w:hAnsi="Arial" w:cs="Arial"/>
                <w:b/>
                <w:bCs/>
                <w:color w:val="000000" w:themeColor="text1"/>
                <w:szCs w:val="22"/>
              </w:rPr>
            </w:pPr>
            <w:r w:rsidRPr="00AE7A94">
              <w:rPr>
                <w:rFonts w:ascii="Arial" w:hAnsi="Arial" w:cs="Arial"/>
                <w:color w:val="000000" w:themeColor="text1"/>
                <w:szCs w:val="22"/>
              </w:rPr>
              <w:t xml:space="preserve">Indicar </w:t>
            </w:r>
          </w:p>
        </w:tc>
      </w:tr>
      <w:tr w:rsidR="000702E4" w:rsidRPr="00AE7A94" w14:paraId="1171837E" w14:textId="77777777" w:rsidTr="00E32820">
        <w:trPr>
          <w:jc w:val="center"/>
        </w:trPr>
        <w:tc>
          <w:tcPr>
            <w:tcW w:w="3260" w:type="dxa"/>
          </w:tcPr>
          <w:p w14:paraId="5A09223F"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Plazo</w:t>
            </w:r>
          </w:p>
        </w:tc>
        <w:tc>
          <w:tcPr>
            <w:tcW w:w="2542" w:type="dxa"/>
          </w:tcPr>
          <w:p w14:paraId="2B73B849" w14:textId="77777777" w:rsidR="000702E4" w:rsidRPr="00AE7A94" w:rsidRDefault="000702E4" w:rsidP="00E32820">
            <w:pPr>
              <w:pStyle w:val="Ttulo4"/>
              <w:rPr>
                <w:rFonts w:ascii="Arial" w:hAnsi="Arial" w:cs="Arial"/>
                <w:b/>
                <w:bCs/>
                <w:color w:val="000000" w:themeColor="text1"/>
                <w:szCs w:val="22"/>
              </w:rPr>
            </w:pPr>
            <w:r w:rsidRPr="00AE7A94">
              <w:rPr>
                <w:rFonts w:ascii="Arial" w:hAnsi="Arial" w:cs="Arial"/>
                <w:color w:val="000000" w:themeColor="text1"/>
                <w:szCs w:val="22"/>
              </w:rPr>
              <w:t>Indicar</w:t>
            </w:r>
          </w:p>
        </w:tc>
      </w:tr>
      <w:tr w:rsidR="000702E4" w:rsidRPr="00AE7A94" w14:paraId="474033DB" w14:textId="77777777" w:rsidTr="00E32820">
        <w:trPr>
          <w:jc w:val="center"/>
        </w:trPr>
        <w:tc>
          <w:tcPr>
            <w:tcW w:w="3260" w:type="dxa"/>
          </w:tcPr>
          <w:p w14:paraId="4ACE2A60"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Moneda de la serie</w:t>
            </w:r>
          </w:p>
        </w:tc>
        <w:tc>
          <w:tcPr>
            <w:tcW w:w="2542" w:type="dxa"/>
          </w:tcPr>
          <w:p w14:paraId="623C8827"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Indicar </w:t>
            </w:r>
          </w:p>
        </w:tc>
      </w:tr>
      <w:tr w:rsidR="000702E4" w:rsidRPr="00AE7A94" w14:paraId="483D6398" w14:textId="77777777" w:rsidTr="00E32820">
        <w:trPr>
          <w:jc w:val="center"/>
        </w:trPr>
        <w:tc>
          <w:tcPr>
            <w:tcW w:w="3260" w:type="dxa"/>
          </w:tcPr>
          <w:p w14:paraId="051243C9"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Denominación o valor facial</w:t>
            </w:r>
          </w:p>
        </w:tc>
        <w:tc>
          <w:tcPr>
            <w:tcW w:w="2542" w:type="dxa"/>
          </w:tcPr>
          <w:p w14:paraId="28BF26BA"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Indicar </w:t>
            </w:r>
          </w:p>
        </w:tc>
      </w:tr>
      <w:tr w:rsidR="000702E4" w:rsidRPr="00AE7A94" w14:paraId="303827CE" w14:textId="77777777" w:rsidTr="00E32820">
        <w:trPr>
          <w:jc w:val="center"/>
        </w:trPr>
        <w:tc>
          <w:tcPr>
            <w:tcW w:w="3260" w:type="dxa"/>
          </w:tcPr>
          <w:p w14:paraId="762296A2" w14:textId="77777777" w:rsidR="000702E4" w:rsidRPr="00AE7A94" w:rsidRDefault="000702E4" w:rsidP="00E32820">
            <w:pPr>
              <w:rPr>
                <w:rFonts w:ascii="Arial" w:hAnsi="Arial" w:cs="Arial"/>
                <w:color w:val="000000" w:themeColor="text1"/>
                <w:vertAlign w:val="superscript"/>
              </w:rPr>
            </w:pPr>
            <w:r w:rsidRPr="00AE7A94">
              <w:rPr>
                <w:rFonts w:ascii="Arial" w:hAnsi="Arial" w:cs="Arial"/>
                <w:color w:val="000000" w:themeColor="text1"/>
              </w:rPr>
              <w:t>Tasa de interés bruta</w:t>
            </w:r>
          </w:p>
        </w:tc>
        <w:tc>
          <w:tcPr>
            <w:tcW w:w="2542" w:type="dxa"/>
          </w:tcPr>
          <w:p w14:paraId="27F9AB9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Indicar </w:t>
            </w:r>
          </w:p>
        </w:tc>
      </w:tr>
      <w:tr w:rsidR="000702E4" w:rsidRPr="00AE7A94" w14:paraId="6FF517F2" w14:textId="77777777" w:rsidTr="00E32820">
        <w:trPr>
          <w:jc w:val="center"/>
        </w:trPr>
        <w:tc>
          <w:tcPr>
            <w:tcW w:w="3260" w:type="dxa"/>
          </w:tcPr>
          <w:p w14:paraId="755BD7E9" w14:textId="77777777" w:rsidR="000702E4" w:rsidRPr="00AE7A94" w:rsidRDefault="000702E4" w:rsidP="00E32820">
            <w:pPr>
              <w:rPr>
                <w:rFonts w:ascii="Arial" w:hAnsi="Arial" w:cs="Arial"/>
                <w:color w:val="000000" w:themeColor="text1"/>
                <w:vertAlign w:val="superscript"/>
              </w:rPr>
            </w:pPr>
            <w:r w:rsidRPr="00AE7A94">
              <w:rPr>
                <w:rFonts w:ascii="Arial" w:hAnsi="Arial" w:cs="Arial"/>
                <w:color w:val="000000" w:themeColor="text1"/>
              </w:rPr>
              <w:t>Tasa de interés neta</w:t>
            </w:r>
            <w:r w:rsidRPr="00AE7A94">
              <w:rPr>
                <w:rFonts w:ascii="Arial" w:hAnsi="Arial" w:cs="Arial"/>
                <w:color w:val="000000" w:themeColor="text1"/>
                <w:vertAlign w:val="superscript"/>
              </w:rPr>
              <w:t xml:space="preserve"> </w:t>
            </w:r>
          </w:p>
        </w:tc>
        <w:tc>
          <w:tcPr>
            <w:tcW w:w="2542" w:type="dxa"/>
          </w:tcPr>
          <w:p w14:paraId="5F76E9D2"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“Tasa Bruta menos </w:t>
            </w:r>
            <w:proofErr w:type="gramStart"/>
            <w:r w:rsidRPr="00AE7A94">
              <w:rPr>
                <w:rFonts w:ascii="Arial" w:hAnsi="Arial" w:cs="Arial"/>
                <w:color w:val="000000" w:themeColor="text1"/>
              </w:rPr>
              <w:t>el  Impuesto</w:t>
            </w:r>
            <w:proofErr w:type="gramEnd"/>
            <w:r w:rsidRPr="00AE7A94">
              <w:rPr>
                <w:rFonts w:ascii="Arial" w:hAnsi="Arial" w:cs="Arial"/>
                <w:color w:val="000000" w:themeColor="text1"/>
              </w:rPr>
              <w:t xml:space="preserve"> sobre la renta aplicable”</w:t>
            </w:r>
          </w:p>
        </w:tc>
      </w:tr>
      <w:tr w:rsidR="000702E4" w:rsidRPr="00AE7A94" w14:paraId="47CC100E" w14:textId="77777777" w:rsidTr="00E32820">
        <w:trPr>
          <w:jc w:val="center"/>
        </w:trPr>
        <w:tc>
          <w:tcPr>
            <w:tcW w:w="3260" w:type="dxa"/>
          </w:tcPr>
          <w:p w14:paraId="28A48604" w14:textId="77777777" w:rsidR="000702E4" w:rsidRPr="00AE7A94" w:rsidRDefault="000702E4" w:rsidP="00E32820">
            <w:pPr>
              <w:rPr>
                <w:rFonts w:ascii="Arial" w:hAnsi="Arial" w:cs="Arial"/>
                <w:color w:val="000000" w:themeColor="text1"/>
                <w:lang w:val="pt-BR"/>
              </w:rPr>
            </w:pPr>
            <w:proofErr w:type="spellStart"/>
            <w:r w:rsidRPr="00AE7A94">
              <w:rPr>
                <w:rFonts w:ascii="Arial" w:hAnsi="Arial" w:cs="Arial"/>
                <w:color w:val="000000" w:themeColor="text1"/>
                <w:lang w:val="pt-BR"/>
              </w:rPr>
              <w:t>Opción</w:t>
            </w:r>
            <w:proofErr w:type="spellEnd"/>
            <w:r w:rsidRPr="00AE7A94">
              <w:rPr>
                <w:rFonts w:ascii="Arial" w:hAnsi="Arial" w:cs="Arial"/>
                <w:color w:val="000000" w:themeColor="text1"/>
                <w:lang w:val="pt-BR"/>
              </w:rPr>
              <w:t xml:space="preserve"> </w:t>
            </w:r>
            <w:proofErr w:type="spellStart"/>
            <w:r w:rsidRPr="00AE7A94">
              <w:rPr>
                <w:rFonts w:ascii="Arial" w:hAnsi="Arial" w:cs="Arial"/>
                <w:color w:val="000000" w:themeColor="text1"/>
                <w:lang w:val="pt-BR"/>
              </w:rPr>
              <w:t>redención</w:t>
            </w:r>
            <w:proofErr w:type="spellEnd"/>
            <w:r w:rsidRPr="00AE7A94">
              <w:rPr>
                <w:rFonts w:ascii="Arial" w:hAnsi="Arial" w:cs="Arial"/>
                <w:color w:val="000000" w:themeColor="text1"/>
                <w:lang w:val="pt-BR"/>
              </w:rPr>
              <w:t xml:space="preserve"> </w:t>
            </w:r>
            <w:proofErr w:type="spellStart"/>
            <w:r w:rsidRPr="00AE7A94">
              <w:rPr>
                <w:rFonts w:ascii="Arial" w:hAnsi="Arial" w:cs="Arial"/>
                <w:color w:val="000000" w:themeColor="text1"/>
                <w:lang w:val="pt-BR"/>
              </w:rPr>
              <w:t>anticipada</w:t>
            </w:r>
            <w:proofErr w:type="spellEnd"/>
          </w:p>
        </w:tc>
        <w:tc>
          <w:tcPr>
            <w:tcW w:w="2542" w:type="dxa"/>
          </w:tcPr>
          <w:p w14:paraId="4AB61EE5" w14:textId="77777777" w:rsidR="000702E4" w:rsidRPr="00AE7A94" w:rsidRDefault="000702E4" w:rsidP="00E32820">
            <w:pPr>
              <w:jc w:val="both"/>
              <w:rPr>
                <w:rFonts w:ascii="Arial" w:hAnsi="Arial" w:cs="Arial"/>
                <w:color w:val="000000" w:themeColor="text1"/>
              </w:rPr>
            </w:pPr>
            <w:r w:rsidRPr="00AE7A94">
              <w:rPr>
                <w:rFonts w:ascii="Arial" w:hAnsi="Arial" w:cs="Arial"/>
                <w:color w:val="000000" w:themeColor="text1"/>
              </w:rPr>
              <w:t xml:space="preserve">Agregar un breve resumen </w:t>
            </w:r>
          </w:p>
        </w:tc>
      </w:tr>
      <w:tr w:rsidR="000702E4" w:rsidRPr="00AE7A94" w14:paraId="692FBE1E" w14:textId="77777777" w:rsidTr="00E32820">
        <w:trPr>
          <w:jc w:val="center"/>
        </w:trPr>
        <w:tc>
          <w:tcPr>
            <w:tcW w:w="3260" w:type="dxa"/>
          </w:tcPr>
          <w:p w14:paraId="7A90D342"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Periodicidad </w:t>
            </w:r>
          </w:p>
        </w:tc>
        <w:tc>
          <w:tcPr>
            <w:tcW w:w="2542" w:type="dxa"/>
          </w:tcPr>
          <w:p w14:paraId="2105739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Indicar </w:t>
            </w:r>
          </w:p>
        </w:tc>
      </w:tr>
      <w:tr w:rsidR="000702E4" w:rsidRPr="00AE7A94" w14:paraId="75B17004" w14:textId="77777777" w:rsidTr="00E32820">
        <w:trPr>
          <w:jc w:val="center"/>
        </w:trPr>
        <w:tc>
          <w:tcPr>
            <w:tcW w:w="3260" w:type="dxa"/>
          </w:tcPr>
          <w:p w14:paraId="679D7E6E"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Amortización del principal</w:t>
            </w:r>
          </w:p>
        </w:tc>
        <w:tc>
          <w:tcPr>
            <w:tcW w:w="2542" w:type="dxa"/>
          </w:tcPr>
          <w:p w14:paraId="200833A1"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Al vencimiento/A la fecha de la redención</w:t>
            </w:r>
          </w:p>
        </w:tc>
      </w:tr>
      <w:tr w:rsidR="000702E4" w:rsidRPr="00AE7A94" w14:paraId="5E10E345" w14:textId="77777777" w:rsidTr="00E32820">
        <w:trPr>
          <w:jc w:val="center"/>
        </w:trPr>
        <w:tc>
          <w:tcPr>
            <w:tcW w:w="3260" w:type="dxa"/>
          </w:tcPr>
          <w:p w14:paraId="33234310"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Forma de representación</w:t>
            </w:r>
          </w:p>
        </w:tc>
        <w:tc>
          <w:tcPr>
            <w:tcW w:w="2542" w:type="dxa"/>
          </w:tcPr>
          <w:p w14:paraId="6AD08F28"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r w:rsidR="000702E4" w:rsidRPr="00AE7A94" w14:paraId="575530EB" w14:textId="77777777" w:rsidTr="00E32820">
        <w:trPr>
          <w:jc w:val="center"/>
        </w:trPr>
        <w:tc>
          <w:tcPr>
            <w:tcW w:w="3260" w:type="dxa"/>
          </w:tcPr>
          <w:p w14:paraId="48EBC41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Ley de circulación</w:t>
            </w:r>
          </w:p>
        </w:tc>
        <w:tc>
          <w:tcPr>
            <w:tcW w:w="2542" w:type="dxa"/>
          </w:tcPr>
          <w:p w14:paraId="17CE105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r w:rsidR="000702E4" w:rsidRPr="00AE7A94" w14:paraId="4CB70BAF" w14:textId="77777777" w:rsidTr="00E32820">
        <w:trPr>
          <w:jc w:val="center"/>
        </w:trPr>
        <w:tc>
          <w:tcPr>
            <w:tcW w:w="3260" w:type="dxa"/>
          </w:tcPr>
          <w:p w14:paraId="7A428F5E"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Forma de colocación </w:t>
            </w:r>
          </w:p>
        </w:tc>
        <w:tc>
          <w:tcPr>
            <w:tcW w:w="2542" w:type="dxa"/>
          </w:tcPr>
          <w:p w14:paraId="66830DD8" w14:textId="77777777" w:rsidR="000702E4" w:rsidRPr="00AE7A94" w:rsidRDefault="000702E4" w:rsidP="00E32820">
            <w:pPr>
              <w:rPr>
                <w:rFonts w:ascii="Arial" w:hAnsi="Arial" w:cs="Arial"/>
                <w:color w:val="000000" w:themeColor="text1"/>
                <w:highlight w:val="yellow"/>
              </w:rPr>
            </w:pPr>
            <w:r w:rsidRPr="00AE7A94">
              <w:rPr>
                <w:rFonts w:ascii="Arial" w:hAnsi="Arial" w:cs="Arial"/>
                <w:color w:val="000000" w:themeColor="text1"/>
              </w:rPr>
              <w:t xml:space="preserve">Citar los mecanismos de colocación que el emisor podrá utilizar de acuerdo con lo definido en el prospecto </w:t>
            </w:r>
          </w:p>
        </w:tc>
      </w:tr>
      <w:tr w:rsidR="000702E4" w:rsidRPr="00AE7A94" w14:paraId="6350F184" w14:textId="77777777" w:rsidTr="00E32820">
        <w:trPr>
          <w:jc w:val="center"/>
        </w:trPr>
        <w:tc>
          <w:tcPr>
            <w:tcW w:w="3260" w:type="dxa"/>
          </w:tcPr>
          <w:p w14:paraId="254807DA"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 xml:space="preserve">Calificación de riesgo </w:t>
            </w:r>
          </w:p>
        </w:tc>
        <w:tc>
          <w:tcPr>
            <w:tcW w:w="2542" w:type="dxa"/>
          </w:tcPr>
          <w:p w14:paraId="5761F06A"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 calificación, significado y sociedad calificadora</w:t>
            </w:r>
          </w:p>
        </w:tc>
      </w:tr>
      <w:tr w:rsidR="000702E4" w:rsidRPr="00AE7A94" w14:paraId="5C53FF54" w14:textId="77777777" w:rsidTr="00E32820">
        <w:trPr>
          <w:jc w:val="center"/>
        </w:trPr>
        <w:tc>
          <w:tcPr>
            <w:tcW w:w="3260" w:type="dxa"/>
          </w:tcPr>
          <w:p w14:paraId="334E3B15"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Destino de los recursos</w:t>
            </w:r>
          </w:p>
        </w:tc>
        <w:tc>
          <w:tcPr>
            <w:tcW w:w="2542" w:type="dxa"/>
          </w:tcPr>
          <w:p w14:paraId="5B3D5E35"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r w:rsidR="000702E4" w:rsidRPr="00AE7A94" w14:paraId="213CA38E" w14:textId="77777777" w:rsidTr="00E32820">
        <w:trPr>
          <w:jc w:val="center"/>
        </w:trPr>
        <w:tc>
          <w:tcPr>
            <w:tcW w:w="3260" w:type="dxa"/>
          </w:tcPr>
          <w:p w14:paraId="1D771ED2" w14:textId="77777777" w:rsidR="000702E4" w:rsidRPr="00AE7A94" w:rsidRDefault="000702E4" w:rsidP="00E32820">
            <w:pPr>
              <w:ind w:left="12" w:hanging="12"/>
              <w:rPr>
                <w:rFonts w:ascii="Arial" w:hAnsi="Arial" w:cs="Arial"/>
                <w:color w:val="000000" w:themeColor="text1"/>
              </w:rPr>
            </w:pPr>
            <w:r w:rsidRPr="00AE7A94">
              <w:rPr>
                <w:rFonts w:ascii="Arial" w:hAnsi="Arial" w:cs="Arial"/>
                <w:color w:val="000000" w:themeColor="text1"/>
              </w:rPr>
              <w:t xml:space="preserve">Garantías y otras características que sea importante mencionar </w:t>
            </w:r>
          </w:p>
          <w:p w14:paraId="7DE627F1" w14:textId="77777777" w:rsidR="000702E4" w:rsidRPr="00AE7A94" w:rsidRDefault="000702E4" w:rsidP="00E32820">
            <w:pPr>
              <w:rPr>
                <w:rFonts w:ascii="Arial" w:hAnsi="Arial" w:cs="Arial"/>
                <w:color w:val="000000" w:themeColor="text1"/>
              </w:rPr>
            </w:pPr>
          </w:p>
        </w:tc>
        <w:tc>
          <w:tcPr>
            <w:tcW w:w="2542" w:type="dxa"/>
          </w:tcPr>
          <w:p w14:paraId="01973799"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bl>
    <w:p w14:paraId="2E5B3031" w14:textId="77777777" w:rsidR="000702E4" w:rsidRPr="00AE7A94" w:rsidRDefault="000702E4" w:rsidP="000702E4">
      <w:pPr>
        <w:jc w:val="both"/>
        <w:rPr>
          <w:rFonts w:ascii="Arial" w:hAnsi="Arial" w:cs="Arial"/>
          <w:color w:val="000000" w:themeColor="text1"/>
        </w:rPr>
      </w:pPr>
    </w:p>
    <w:p w14:paraId="7B549037" w14:textId="77777777" w:rsidR="000702E4" w:rsidRPr="00AE7A94" w:rsidRDefault="000702E4" w:rsidP="000702E4">
      <w:pPr>
        <w:jc w:val="both"/>
        <w:rPr>
          <w:rFonts w:ascii="Arial" w:hAnsi="Arial" w:cs="Arial"/>
          <w:color w:val="000000" w:themeColor="text1"/>
        </w:rPr>
      </w:pPr>
      <w:r w:rsidRPr="00AE7A94">
        <w:rPr>
          <w:rFonts w:ascii="Arial" w:hAnsi="Arial" w:cs="Arial"/>
          <w:color w:val="000000" w:themeColor="text1"/>
        </w:rPr>
        <w:t xml:space="preserve">En este cuadro se deben indicar únicamente las características que se tengan definidas al momento de la autorización. Para las características que se vayan a definir posteriormente, se debe incorporar la siguiente nota: </w:t>
      </w:r>
    </w:p>
    <w:p w14:paraId="762D9051" w14:textId="77777777" w:rsidR="000702E4" w:rsidRPr="00AE7A94" w:rsidRDefault="000702E4" w:rsidP="000702E4">
      <w:pPr>
        <w:jc w:val="both"/>
        <w:rPr>
          <w:rFonts w:ascii="Arial" w:hAnsi="Arial" w:cs="Arial"/>
          <w:color w:val="000000" w:themeColor="text1"/>
        </w:rPr>
      </w:pPr>
    </w:p>
    <w:p w14:paraId="4D065F19" w14:textId="77777777" w:rsidR="000702E4" w:rsidRPr="00AE7A94" w:rsidRDefault="000702E4" w:rsidP="000702E4">
      <w:pPr>
        <w:jc w:val="both"/>
        <w:rPr>
          <w:rFonts w:ascii="Arial" w:hAnsi="Arial" w:cs="Arial"/>
          <w:color w:val="000000" w:themeColor="text1"/>
        </w:rPr>
      </w:pPr>
      <w:r w:rsidRPr="00AE7A94">
        <w:rPr>
          <w:rFonts w:ascii="Arial" w:hAnsi="Arial" w:cs="Arial"/>
          <w:i/>
          <w:color w:val="000000" w:themeColor="text1"/>
        </w:rPr>
        <w:t xml:space="preserve">“Las características </w:t>
      </w:r>
      <w:r w:rsidRPr="00AE7A94">
        <w:rPr>
          <w:rFonts w:ascii="Arial" w:hAnsi="Arial" w:cs="Arial"/>
          <w:color w:val="000000" w:themeColor="text1"/>
          <w:highlight w:val="lightGray"/>
        </w:rPr>
        <w:t>(indicar las características pendientes de definir)</w:t>
      </w:r>
      <w:r w:rsidRPr="00AE7A94">
        <w:rPr>
          <w:rFonts w:ascii="Arial" w:hAnsi="Arial" w:cs="Arial"/>
          <w:i/>
          <w:color w:val="000000" w:themeColor="text1"/>
        </w:rPr>
        <w:t xml:space="preserve"> serán definidas de previo a la colocación mediante un Comunicado de Hecho Relevante.”</w:t>
      </w:r>
    </w:p>
    <w:p w14:paraId="087B1CAD" w14:textId="77777777" w:rsidR="000702E4" w:rsidRPr="00AE7A94" w:rsidRDefault="000702E4" w:rsidP="000702E4">
      <w:pPr>
        <w:ind w:right="-25"/>
        <w:jc w:val="both"/>
        <w:rPr>
          <w:rFonts w:ascii="Arial" w:hAnsi="Arial" w:cs="Arial"/>
          <w:color w:val="000000" w:themeColor="text1"/>
          <w:u w:val="single"/>
        </w:rPr>
      </w:pPr>
    </w:p>
    <w:p w14:paraId="7607BD1C" w14:textId="77777777" w:rsidR="000702E4" w:rsidRPr="00AE7A94" w:rsidRDefault="000702E4" w:rsidP="000702E4">
      <w:pPr>
        <w:pStyle w:val="Prrafodelista"/>
        <w:numPr>
          <w:ilvl w:val="0"/>
          <w:numId w:val="9"/>
        </w:numPr>
        <w:spacing w:after="160" w:line="259" w:lineRule="auto"/>
        <w:rPr>
          <w:rFonts w:ascii="Arial" w:hAnsi="Arial" w:cs="Arial"/>
          <w:b/>
          <w:color w:val="000000" w:themeColor="text1"/>
          <w:u w:val="single"/>
        </w:rPr>
      </w:pPr>
      <w:r w:rsidRPr="00AE7A94">
        <w:rPr>
          <w:rFonts w:ascii="Arial" w:hAnsi="Arial" w:cs="Arial"/>
          <w:b/>
          <w:color w:val="000000" w:themeColor="text1"/>
          <w:u w:val="single"/>
        </w:rPr>
        <w:t xml:space="preserve"> Emisiones de acciones:</w:t>
      </w:r>
    </w:p>
    <w:p w14:paraId="21EED814" w14:textId="77777777" w:rsidR="000702E4" w:rsidRPr="00AE7A94" w:rsidRDefault="000702E4" w:rsidP="000702E4">
      <w:pPr>
        <w:rPr>
          <w:rFonts w:ascii="Arial" w:hAnsi="Arial" w:cs="Arial"/>
          <w:color w:val="000000" w:themeColor="text1"/>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2473"/>
      </w:tblGrid>
      <w:tr w:rsidR="000702E4" w:rsidRPr="00AE7A94" w14:paraId="48832572" w14:textId="77777777" w:rsidTr="00E32820">
        <w:tc>
          <w:tcPr>
            <w:tcW w:w="3102" w:type="dxa"/>
          </w:tcPr>
          <w:p w14:paraId="62E4494F"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Clase de instrumento</w:t>
            </w:r>
          </w:p>
        </w:tc>
        <w:tc>
          <w:tcPr>
            <w:tcW w:w="2473" w:type="dxa"/>
          </w:tcPr>
          <w:p w14:paraId="6ADD57EE" w14:textId="77777777" w:rsidR="000702E4" w:rsidRPr="00AE7A94" w:rsidRDefault="000702E4" w:rsidP="00E32820">
            <w:pPr>
              <w:jc w:val="center"/>
              <w:rPr>
                <w:rFonts w:ascii="Arial" w:hAnsi="Arial" w:cs="Arial"/>
                <w:bCs/>
                <w:color w:val="000000" w:themeColor="text1"/>
              </w:rPr>
            </w:pPr>
            <w:r w:rsidRPr="00AE7A94">
              <w:rPr>
                <w:rFonts w:ascii="Arial" w:hAnsi="Arial" w:cs="Arial"/>
                <w:bCs/>
                <w:color w:val="000000" w:themeColor="text1"/>
              </w:rPr>
              <w:t>(Acciones preferentes o comunes)</w:t>
            </w:r>
          </w:p>
        </w:tc>
      </w:tr>
      <w:tr w:rsidR="000702E4" w:rsidRPr="00AE7A94" w14:paraId="16601AA0" w14:textId="77777777" w:rsidTr="00E32820">
        <w:tc>
          <w:tcPr>
            <w:tcW w:w="3102" w:type="dxa"/>
          </w:tcPr>
          <w:p w14:paraId="6A40541D"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Nombre de la emisión</w:t>
            </w:r>
          </w:p>
        </w:tc>
        <w:tc>
          <w:tcPr>
            <w:tcW w:w="2473" w:type="dxa"/>
          </w:tcPr>
          <w:p w14:paraId="40E7C43C" w14:textId="77777777" w:rsidR="000702E4" w:rsidRPr="00AE7A94" w:rsidRDefault="000702E4" w:rsidP="00E32820">
            <w:pPr>
              <w:jc w:val="center"/>
              <w:rPr>
                <w:rFonts w:ascii="Arial" w:hAnsi="Arial" w:cs="Arial"/>
                <w:b/>
                <w:color w:val="000000" w:themeColor="text1"/>
              </w:rPr>
            </w:pPr>
            <w:r w:rsidRPr="00AE7A94">
              <w:rPr>
                <w:rFonts w:ascii="Arial" w:hAnsi="Arial" w:cs="Arial"/>
                <w:color w:val="000000" w:themeColor="text1"/>
              </w:rPr>
              <w:t>(Serie A, etc.)</w:t>
            </w:r>
          </w:p>
        </w:tc>
      </w:tr>
      <w:tr w:rsidR="000702E4" w:rsidRPr="00AE7A94" w14:paraId="1E1C766A" w14:textId="77777777" w:rsidTr="00E32820">
        <w:tc>
          <w:tcPr>
            <w:tcW w:w="3102" w:type="dxa"/>
          </w:tcPr>
          <w:p w14:paraId="7FEA2405"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Código ISIN</w:t>
            </w:r>
          </w:p>
        </w:tc>
        <w:tc>
          <w:tcPr>
            <w:tcW w:w="2473" w:type="dxa"/>
          </w:tcPr>
          <w:p w14:paraId="5474C0FC"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Indicar</w:t>
            </w:r>
          </w:p>
        </w:tc>
      </w:tr>
      <w:tr w:rsidR="000702E4" w:rsidRPr="00AE7A94" w14:paraId="7FDA0A41" w14:textId="77777777" w:rsidTr="00E32820">
        <w:tc>
          <w:tcPr>
            <w:tcW w:w="3102" w:type="dxa"/>
          </w:tcPr>
          <w:p w14:paraId="44F78571"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Capital suscrito y pagado</w:t>
            </w:r>
          </w:p>
        </w:tc>
        <w:tc>
          <w:tcPr>
            <w:tcW w:w="2473" w:type="dxa"/>
          </w:tcPr>
          <w:p w14:paraId="66C71E15"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Indicar en el caso de acciones comunes</w:t>
            </w:r>
          </w:p>
        </w:tc>
      </w:tr>
      <w:tr w:rsidR="000702E4" w:rsidRPr="00AE7A94" w14:paraId="25FD2A73" w14:textId="77777777" w:rsidTr="00E32820">
        <w:tc>
          <w:tcPr>
            <w:tcW w:w="3102" w:type="dxa"/>
          </w:tcPr>
          <w:p w14:paraId="6AC85EC4"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Capital disponible para colocación</w:t>
            </w:r>
          </w:p>
        </w:tc>
        <w:tc>
          <w:tcPr>
            <w:tcW w:w="2473" w:type="dxa"/>
          </w:tcPr>
          <w:p w14:paraId="23E8687C"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Indicar en el caso de acciones comunes</w:t>
            </w:r>
          </w:p>
        </w:tc>
      </w:tr>
      <w:tr w:rsidR="000702E4" w:rsidRPr="00AE7A94" w14:paraId="249DA474" w14:textId="77777777" w:rsidTr="00E32820">
        <w:tc>
          <w:tcPr>
            <w:tcW w:w="3102" w:type="dxa"/>
          </w:tcPr>
          <w:p w14:paraId="7C52499A" w14:textId="77777777" w:rsidR="000702E4" w:rsidRPr="00AE7A94" w:rsidRDefault="000702E4" w:rsidP="00E32820">
            <w:pPr>
              <w:jc w:val="both"/>
              <w:rPr>
                <w:rFonts w:ascii="Arial" w:hAnsi="Arial" w:cs="Arial"/>
                <w:bCs/>
                <w:color w:val="000000" w:themeColor="text1"/>
                <w:lang w:val="es-MX" w:eastAsia="es-MX"/>
              </w:rPr>
            </w:pPr>
            <w:r w:rsidRPr="00AE7A94">
              <w:rPr>
                <w:rFonts w:ascii="Arial" w:hAnsi="Arial" w:cs="Arial"/>
                <w:bCs/>
                <w:color w:val="000000" w:themeColor="text1"/>
                <w:lang w:val="es-MX" w:eastAsia="es-MX"/>
              </w:rPr>
              <w:t>Monto de la emisión y moneda</w:t>
            </w:r>
          </w:p>
        </w:tc>
        <w:tc>
          <w:tcPr>
            <w:tcW w:w="2473" w:type="dxa"/>
          </w:tcPr>
          <w:p w14:paraId="7BDE9240"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Indicar</w:t>
            </w:r>
          </w:p>
        </w:tc>
      </w:tr>
      <w:tr w:rsidR="000702E4" w:rsidRPr="00AE7A94" w14:paraId="2832F4DE" w14:textId="77777777" w:rsidTr="00E32820">
        <w:tc>
          <w:tcPr>
            <w:tcW w:w="3102" w:type="dxa"/>
          </w:tcPr>
          <w:p w14:paraId="4EBAABB7" w14:textId="77777777" w:rsidR="000702E4" w:rsidRPr="00AE7A94" w:rsidRDefault="000702E4" w:rsidP="00E32820">
            <w:pPr>
              <w:rPr>
                <w:rFonts w:ascii="Arial" w:hAnsi="Arial" w:cs="Arial"/>
                <w:b/>
                <w:color w:val="000000" w:themeColor="text1"/>
              </w:rPr>
            </w:pPr>
            <w:r w:rsidRPr="00AE7A94">
              <w:rPr>
                <w:rFonts w:ascii="Arial" w:hAnsi="Arial" w:cs="Arial"/>
                <w:color w:val="000000" w:themeColor="text1"/>
              </w:rPr>
              <w:t>Tipo de oferta</w:t>
            </w:r>
          </w:p>
        </w:tc>
        <w:tc>
          <w:tcPr>
            <w:tcW w:w="2473" w:type="dxa"/>
          </w:tcPr>
          <w:p w14:paraId="6A5A6072" w14:textId="77777777" w:rsidR="000702E4" w:rsidRPr="00AE7A94" w:rsidRDefault="000702E4" w:rsidP="00E32820">
            <w:pPr>
              <w:rPr>
                <w:rFonts w:ascii="Arial" w:hAnsi="Arial" w:cs="Arial"/>
                <w:b/>
                <w:color w:val="000000" w:themeColor="text1"/>
              </w:rPr>
            </w:pPr>
            <w:r w:rsidRPr="00AE7A94">
              <w:rPr>
                <w:rFonts w:ascii="Arial" w:hAnsi="Arial" w:cs="Arial"/>
                <w:color w:val="000000" w:themeColor="text1"/>
              </w:rPr>
              <w:t>(Mercado primario/secundario)</w:t>
            </w:r>
          </w:p>
        </w:tc>
      </w:tr>
      <w:tr w:rsidR="000702E4" w:rsidRPr="00AE7A94" w14:paraId="274E55A9" w14:textId="77777777" w:rsidTr="00E32820">
        <w:tc>
          <w:tcPr>
            <w:tcW w:w="3102" w:type="dxa"/>
          </w:tcPr>
          <w:p w14:paraId="45E8C15D"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Valor nominal</w:t>
            </w:r>
          </w:p>
        </w:tc>
        <w:tc>
          <w:tcPr>
            <w:tcW w:w="2473" w:type="dxa"/>
          </w:tcPr>
          <w:p w14:paraId="0D4EE906"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Indicar</w:t>
            </w:r>
          </w:p>
        </w:tc>
      </w:tr>
      <w:tr w:rsidR="000702E4" w:rsidRPr="00AE7A94" w14:paraId="34A3E322" w14:textId="77777777" w:rsidTr="00E32820">
        <w:tc>
          <w:tcPr>
            <w:tcW w:w="3102" w:type="dxa"/>
          </w:tcPr>
          <w:p w14:paraId="0338FD01"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Cantidad de acciones</w:t>
            </w:r>
          </w:p>
        </w:tc>
        <w:tc>
          <w:tcPr>
            <w:tcW w:w="2473" w:type="dxa"/>
          </w:tcPr>
          <w:p w14:paraId="3C4EC337"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Indicar</w:t>
            </w:r>
          </w:p>
        </w:tc>
      </w:tr>
      <w:tr w:rsidR="000702E4" w:rsidRPr="00AE7A94" w14:paraId="5AFB1281" w14:textId="77777777" w:rsidTr="00E32820">
        <w:tc>
          <w:tcPr>
            <w:tcW w:w="3102" w:type="dxa"/>
          </w:tcPr>
          <w:p w14:paraId="0E4D6B2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Forma de representación</w:t>
            </w:r>
          </w:p>
        </w:tc>
        <w:tc>
          <w:tcPr>
            <w:tcW w:w="2473" w:type="dxa"/>
          </w:tcPr>
          <w:p w14:paraId="4B140B1C"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Indicar</w:t>
            </w:r>
          </w:p>
        </w:tc>
      </w:tr>
      <w:tr w:rsidR="000702E4" w:rsidRPr="00AE7A94" w14:paraId="3EF71F03" w14:textId="77777777" w:rsidTr="00E32820">
        <w:tc>
          <w:tcPr>
            <w:tcW w:w="3102" w:type="dxa"/>
          </w:tcPr>
          <w:p w14:paraId="6D01B6D4" w14:textId="77777777" w:rsidR="000702E4" w:rsidRPr="00AE7A94" w:rsidRDefault="000702E4" w:rsidP="00E32820">
            <w:pPr>
              <w:rPr>
                <w:rFonts w:ascii="Arial" w:hAnsi="Arial" w:cs="Arial"/>
                <w:color w:val="000000" w:themeColor="text1"/>
              </w:rPr>
            </w:pPr>
            <w:r w:rsidRPr="00AE7A94">
              <w:rPr>
                <w:rFonts w:ascii="Arial" w:hAnsi="Arial" w:cs="Arial"/>
                <w:color w:val="000000" w:themeColor="text1"/>
              </w:rPr>
              <w:t>Forma de colocación</w:t>
            </w:r>
          </w:p>
        </w:tc>
        <w:tc>
          <w:tcPr>
            <w:tcW w:w="2473" w:type="dxa"/>
          </w:tcPr>
          <w:p w14:paraId="75CFC64B"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Indicar</w:t>
            </w:r>
          </w:p>
        </w:tc>
      </w:tr>
      <w:tr w:rsidR="000702E4" w:rsidRPr="00AE7A94" w14:paraId="217AB589" w14:textId="77777777" w:rsidTr="00E32820">
        <w:tc>
          <w:tcPr>
            <w:tcW w:w="3102" w:type="dxa"/>
          </w:tcPr>
          <w:p w14:paraId="296D81FE" w14:textId="77777777" w:rsidR="000702E4" w:rsidRPr="00AE7A94" w:rsidRDefault="000702E4" w:rsidP="00E32820">
            <w:pPr>
              <w:tabs>
                <w:tab w:val="left" w:pos="540"/>
              </w:tabs>
              <w:spacing w:line="240" w:lineRule="exact"/>
              <w:jc w:val="both"/>
              <w:rPr>
                <w:rFonts w:ascii="Arial" w:hAnsi="Arial" w:cs="Arial"/>
                <w:color w:val="000000" w:themeColor="text1"/>
              </w:rPr>
            </w:pPr>
            <w:r w:rsidRPr="00AE7A94">
              <w:rPr>
                <w:rFonts w:ascii="Arial" w:hAnsi="Arial" w:cs="Arial"/>
                <w:color w:val="000000" w:themeColor="text1"/>
              </w:rPr>
              <w:t xml:space="preserve">Otras características </w:t>
            </w:r>
          </w:p>
          <w:p w14:paraId="6920C72F" w14:textId="77777777" w:rsidR="000702E4" w:rsidRPr="00AE7A94" w:rsidRDefault="000702E4" w:rsidP="00E32820">
            <w:pPr>
              <w:tabs>
                <w:tab w:val="left" w:pos="540"/>
              </w:tabs>
              <w:spacing w:line="240" w:lineRule="exact"/>
              <w:jc w:val="both"/>
              <w:rPr>
                <w:rFonts w:ascii="Arial" w:hAnsi="Arial" w:cs="Arial"/>
                <w:color w:val="000000" w:themeColor="text1"/>
              </w:rPr>
            </w:pPr>
            <w:r w:rsidRPr="00AE7A94">
              <w:rPr>
                <w:rFonts w:ascii="Arial" w:hAnsi="Arial" w:cs="Arial"/>
                <w:color w:val="000000" w:themeColor="text1"/>
              </w:rPr>
              <w:t>En caso de acciones preferentes: si tienen o no derecho de voto, dividendos, liquidación anticipada, conversión a acciones comunes y cualquier otra característica.</w:t>
            </w:r>
          </w:p>
        </w:tc>
        <w:tc>
          <w:tcPr>
            <w:tcW w:w="2473" w:type="dxa"/>
          </w:tcPr>
          <w:p w14:paraId="29865514" w14:textId="77777777" w:rsidR="000702E4" w:rsidRPr="00AE7A94" w:rsidRDefault="000702E4" w:rsidP="00E32820">
            <w:pPr>
              <w:rPr>
                <w:rFonts w:ascii="Arial" w:hAnsi="Arial" w:cs="Arial"/>
                <w:bCs/>
                <w:color w:val="000000" w:themeColor="text1"/>
              </w:rPr>
            </w:pPr>
            <w:r w:rsidRPr="00AE7A94">
              <w:rPr>
                <w:rFonts w:ascii="Arial" w:hAnsi="Arial" w:cs="Arial"/>
                <w:bCs/>
                <w:color w:val="000000" w:themeColor="text1"/>
              </w:rPr>
              <w:t>Indicar</w:t>
            </w:r>
          </w:p>
        </w:tc>
      </w:tr>
    </w:tbl>
    <w:p w14:paraId="7B93175E" w14:textId="77777777" w:rsidR="000702E4" w:rsidRPr="00AE7A94" w:rsidRDefault="000702E4" w:rsidP="000702E4">
      <w:pPr>
        <w:ind w:right="-25"/>
        <w:jc w:val="both"/>
        <w:rPr>
          <w:rFonts w:ascii="Arial" w:hAnsi="Arial" w:cs="Arial"/>
          <w:i/>
          <w:color w:val="000000" w:themeColor="text1"/>
          <w:highlight w:val="yellow"/>
        </w:rPr>
      </w:pPr>
    </w:p>
    <w:p w14:paraId="54F45FBE" w14:textId="77777777" w:rsidR="000702E4" w:rsidRPr="00AE7A94" w:rsidRDefault="000702E4" w:rsidP="000702E4">
      <w:pPr>
        <w:pStyle w:val="Prrafodelista"/>
        <w:numPr>
          <w:ilvl w:val="0"/>
          <w:numId w:val="9"/>
        </w:numPr>
        <w:spacing w:after="160" w:line="259" w:lineRule="auto"/>
        <w:ind w:left="284" w:hanging="142"/>
        <w:contextualSpacing w:val="0"/>
        <w:jc w:val="both"/>
        <w:rPr>
          <w:rFonts w:ascii="Arial" w:hAnsi="Arial" w:cs="Arial"/>
          <w:color w:val="000000" w:themeColor="text1"/>
        </w:rPr>
      </w:pPr>
      <w:r w:rsidRPr="00AE7A94">
        <w:rPr>
          <w:rFonts w:ascii="Arial" w:hAnsi="Arial" w:cs="Arial"/>
          <w:color w:val="000000" w:themeColor="text1"/>
        </w:rPr>
        <w:t xml:space="preserve">Tratamiento Fiscal: </w:t>
      </w:r>
    </w:p>
    <w:p w14:paraId="3E09D9C2" w14:textId="77777777" w:rsidR="000702E4" w:rsidRPr="00AE7A94" w:rsidRDefault="000702E4" w:rsidP="000702E4">
      <w:pPr>
        <w:ind w:left="284"/>
        <w:jc w:val="both"/>
        <w:rPr>
          <w:rFonts w:ascii="Arial" w:hAnsi="Arial" w:cs="Arial"/>
          <w:color w:val="000000" w:themeColor="text1"/>
        </w:rPr>
      </w:pPr>
      <w:r w:rsidRPr="00AE7A94">
        <w:rPr>
          <w:rFonts w:ascii="Arial" w:hAnsi="Arial" w:cs="Arial"/>
          <w:color w:val="000000" w:themeColor="text1"/>
        </w:rPr>
        <w:t>Señalar la legislación que le aplique por motivo del impuesto sobre la renta.</w:t>
      </w:r>
    </w:p>
    <w:p w14:paraId="1AF3CA3C" w14:textId="77777777" w:rsidR="000702E4" w:rsidRPr="00AE7A94" w:rsidRDefault="000702E4" w:rsidP="000702E4">
      <w:pPr>
        <w:jc w:val="both"/>
        <w:rPr>
          <w:rFonts w:ascii="Arial" w:hAnsi="Arial" w:cs="Arial"/>
          <w:color w:val="000000" w:themeColor="text1"/>
        </w:rPr>
      </w:pPr>
    </w:p>
    <w:p w14:paraId="15A222B6" w14:textId="77777777" w:rsidR="000702E4" w:rsidRPr="00AE7A94" w:rsidRDefault="000702E4" w:rsidP="000702E4">
      <w:pPr>
        <w:pStyle w:val="Prrafodelista"/>
        <w:numPr>
          <w:ilvl w:val="0"/>
          <w:numId w:val="9"/>
        </w:numPr>
        <w:spacing w:after="160" w:line="259" w:lineRule="auto"/>
        <w:ind w:left="284" w:hanging="142"/>
        <w:contextualSpacing w:val="0"/>
        <w:jc w:val="both"/>
        <w:rPr>
          <w:rFonts w:ascii="Arial" w:hAnsi="Arial" w:cs="Arial"/>
          <w:color w:val="000000" w:themeColor="text1"/>
        </w:rPr>
      </w:pPr>
      <w:r w:rsidRPr="00AE7A94">
        <w:rPr>
          <w:rFonts w:ascii="Arial" w:hAnsi="Arial" w:cs="Arial"/>
          <w:color w:val="000000" w:themeColor="text1"/>
        </w:rPr>
        <w:t xml:space="preserve">Descripción del emisor:  </w:t>
      </w:r>
    </w:p>
    <w:p w14:paraId="081A5B77" w14:textId="77777777" w:rsidR="000702E4" w:rsidRPr="00AE7A94" w:rsidRDefault="000702E4" w:rsidP="000702E4">
      <w:pPr>
        <w:pStyle w:val="Textoindependiente3"/>
        <w:ind w:left="284"/>
        <w:rPr>
          <w:rFonts w:ascii="Arial" w:hAnsi="Arial" w:cs="Arial"/>
          <w:color w:val="000000" w:themeColor="text1"/>
          <w:sz w:val="22"/>
          <w:szCs w:val="22"/>
        </w:rPr>
      </w:pPr>
      <w:r w:rsidRPr="00AE7A94">
        <w:rPr>
          <w:rFonts w:ascii="Arial" w:hAnsi="Arial" w:cs="Arial"/>
          <w:color w:val="000000" w:themeColor="text1"/>
          <w:sz w:val="22"/>
          <w:szCs w:val="22"/>
          <w:lang w:val="es-CR"/>
        </w:rPr>
        <w:t>En el caso de nuevos emisores, hacer una breve descripción de</w:t>
      </w:r>
      <w:r w:rsidRPr="00AE7A94">
        <w:rPr>
          <w:rFonts w:ascii="Arial" w:hAnsi="Arial" w:cs="Arial"/>
          <w:color w:val="000000" w:themeColor="text1"/>
          <w:sz w:val="22"/>
          <w:szCs w:val="22"/>
        </w:rPr>
        <w:t xml:space="preserve"> la actividad a la que se dedica. </w:t>
      </w:r>
    </w:p>
    <w:p w14:paraId="7633924F" w14:textId="77777777" w:rsidR="000702E4" w:rsidRPr="00AE7A94" w:rsidRDefault="000702E4" w:rsidP="000702E4">
      <w:pPr>
        <w:pStyle w:val="Textoindependiente3"/>
        <w:rPr>
          <w:rFonts w:ascii="Arial" w:hAnsi="Arial" w:cs="Arial"/>
          <w:i/>
          <w:color w:val="000000" w:themeColor="text1"/>
          <w:sz w:val="22"/>
          <w:szCs w:val="22"/>
        </w:rPr>
      </w:pPr>
    </w:p>
    <w:p w14:paraId="3380D5BD" w14:textId="77777777" w:rsidR="000702E4" w:rsidRPr="00AE7A94" w:rsidRDefault="000702E4" w:rsidP="000702E4">
      <w:pPr>
        <w:pStyle w:val="Prrafodelista"/>
        <w:numPr>
          <w:ilvl w:val="0"/>
          <w:numId w:val="9"/>
        </w:numPr>
        <w:spacing w:after="160" w:line="259" w:lineRule="auto"/>
        <w:ind w:left="284" w:hanging="142"/>
        <w:contextualSpacing w:val="0"/>
        <w:jc w:val="both"/>
        <w:rPr>
          <w:rFonts w:ascii="Arial" w:hAnsi="Arial" w:cs="Arial"/>
          <w:color w:val="000000" w:themeColor="text1"/>
        </w:rPr>
      </w:pPr>
      <w:r w:rsidRPr="00AE7A94">
        <w:rPr>
          <w:rFonts w:ascii="Arial" w:hAnsi="Arial" w:cs="Arial"/>
          <w:color w:val="000000" w:themeColor="text1"/>
        </w:rPr>
        <w:t xml:space="preserve">Puestos de bolsa representantes (si aplica): </w:t>
      </w:r>
    </w:p>
    <w:p w14:paraId="70948302" w14:textId="77777777" w:rsidR="000702E4" w:rsidRPr="00AE7A94" w:rsidRDefault="000702E4" w:rsidP="000702E4">
      <w:pPr>
        <w:pStyle w:val="Textoindependiente3"/>
        <w:rPr>
          <w:rFonts w:ascii="Arial" w:hAnsi="Arial" w:cs="Arial"/>
          <w:color w:val="000000" w:themeColor="text1"/>
          <w:sz w:val="22"/>
          <w:szCs w:val="22"/>
        </w:rPr>
      </w:pPr>
    </w:p>
    <w:p w14:paraId="0C72CB48" w14:textId="77777777" w:rsidR="000702E4" w:rsidRPr="00AE7A94" w:rsidRDefault="000702E4" w:rsidP="000702E4">
      <w:pPr>
        <w:pStyle w:val="Prrafodelista"/>
        <w:numPr>
          <w:ilvl w:val="0"/>
          <w:numId w:val="9"/>
        </w:numPr>
        <w:spacing w:after="160" w:line="259" w:lineRule="auto"/>
        <w:ind w:left="284" w:hanging="142"/>
        <w:contextualSpacing w:val="0"/>
        <w:jc w:val="both"/>
        <w:rPr>
          <w:rFonts w:ascii="Arial" w:hAnsi="Arial" w:cs="Arial"/>
          <w:color w:val="000000" w:themeColor="text1"/>
        </w:rPr>
      </w:pPr>
      <w:r w:rsidRPr="00AE7A94">
        <w:rPr>
          <w:rFonts w:ascii="Arial" w:hAnsi="Arial" w:cs="Arial"/>
          <w:color w:val="000000" w:themeColor="text1"/>
        </w:rPr>
        <w:t xml:space="preserve">       Leyendas obligatorias:</w:t>
      </w:r>
    </w:p>
    <w:p w14:paraId="2AED3DD5" w14:textId="77777777" w:rsidR="000702E4" w:rsidRPr="00AE7A94" w:rsidRDefault="000702E4" w:rsidP="000702E4">
      <w:pPr>
        <w:pStyle w:val="Textoindependiente3"/>
        <w:rPr>
          <w:rFonts w:ascii="Arial" w:hAnsi="Arial" w:cs="Arial"/>
          <w:b/>
          <w:color w:val="000000" w:themeColor="text1"/>
          <w:sz w:val="22"/>
          <w:szCs w:val="22"/>
        </w:rPr>
      </w:pPr>
    </w:p>
    <w:p w14:paraId="6A69E274" w14:textId="77777777" w:rsidR="000702E4" w:rsidRPr="00F37284" w:rsidRDefault="000702E4" w:rsidP="00F37284">
      <w:pPr>
        <w:pStyle w:val="Textoindependiente2"/>
        <w:spacing w:line="240" w:lineRule="auto"/>
        <w:jc w:val="both"/>
        <w:rPr>
          <w:rFonts w:ascii="Arial" w:hAnsi="Arial" w:cs="Arial"/>
          <w:i/>
          <w:iCs/>
          <w:color w:val="000000" w:themeColor="text1"/>
          <w:szCs w:val="22"/>
          <w:lang w:val="es-MX"/>
        </w:rPr>
      </w:pPr>
      <w:r w:rsidRPr="00F37284">
        <w:rPr>
          <w:rFonts w:ascii="Arial" w:hAnsi="Arial" w:cs="Arial"/>
          <w:i/>
          <w:iCs/>
          <w:color w:val="000000" w:themeColor="text1"/>
          <w:szCs w:val="22"/>
          <w:lang w:val="es-MX"/>
        </w:rPr>
        <w:t>“La autorización emitida por Superintendencia General de Valores no constituye un criterio sobre la calidad de la emisión, la solvencia del emisor o la actividad de los intermediarios”.</w:t>
      </w:r>
    </w:p>
    <w:p w14:paraId="7B216051" w14:textId="77777777" w:rsidR="000702E4" w:rsidRPr="00F37284" w:rsidRDefault="000702E4" w:rsidP="00F37284">
      <w:pPr>
        <w:pStyle w:val="Textoindependiente2"/>
        <w:spacing w:line="240" w:lineRule="auto"/>
        <w:jc w:val="both"/>
        <w:rPr>
          <w:rFonts w:ascii="Arial" w:hAnsi="Arial" w:cs="Arial"/>
          <w:i/>
          <w:iCs/>
          <w:color w:val="000000" w:themeColor="text1"/>
          <w:szCs w:val="22"/>
          <w:lang w:val="es-MX"/>
        </w:rPr>
      </w:pPr>
    </w:p>
    <w:p w14:paraId="4A78FE02" w14:textId="77777777" w:rsidR="000702E4" w:rsidRPr="00F37284" w:rsidRDefault="000702E4" w:rsidP="00F37284">
      <w:pPr>
        <w:pStyle w:val="Textoindependiente2"/>
        <w:spacing w:line="240" w:lineRule="auto"/>
        <w:jc w:val="both"/>
        <w:rPr>
          <w:rFonts w:ascii="Arial" w:hAnsi="Arial" w:cs="Arial"/>
          <w:i/>
          <w:iCs/>
          <w:color w:val="000000" w:themeColor="text1"/>
          <w:szCs w:val="22"/>
          <w:lang w:val="es-MX"/>
        </w:rPr>
      </w:pPr>
      <w:r w:rsidRPr="00F37284">
        <w:rPr>
          <w:rFonts w:ascii="Arial" w:hAnsi="Arial" w:cs="Arial"/>
          <w:i/>
          <w:iCs/>
          <w:color w:val="000000" w:themeColor="text1"/>
          <w:szCs w:val="22"/>
          <w:lang w:val="es-MX"/>
        </w:rPr>
        <w:t>“Antes de invertir consulte el prospecto disponible en el domicilio social de (entidad emisora) y sus oficinas principales la Superintendencia General de Valores y los puestos de bolsa representantes.”</w:t>
      </w:r>
    </w:p>
    <w:p w14:paraId="1EB572DD" w14:textId="77777777" w:rsidR="000702E4" w:rsidRPr="00F37284" w:rsidRDefault="000702E4" w:rsidP="00F37284">
      <w:pPr>
        <w:pStyle w:val="Textoindependiente2"/>
        <w:spacing w:line="240" w:lineRule="auto"/>
        <w:jc w:val="both"/>
        <w:rPr>
          <w:rFonts w:ascii="Arial" w:hAnsi="Arial" w:cs="Arial"/>
          <w:i/>
          <w:iCs/>
          <w:color w:val="000000" w:themeColor="text1"/>
          <w:szCs w:val="22"/>
          <w:lang w:val="es-MX"/>
        </w:rPr>
      </w:pPr>
    </w:p>
    <w:p w14:paraId="32043D7C" w14:textId="77777777" w:rsidR="000702E4" w:rsidRPr="00F37284" w:rsidRDefault="000702E4" w:rsidP="00F37284">
      <w:pPr>
        <w:pStyle w:val="Textoindependiente2"/>
        <w:spacing w:line="240" w:lineRule="auto"/>
        <w:jc w:val="both"/>
        <w:rPr>
          <w:rFonts w:ascii="Arial" w:hAnsi="Arial" w:cs="Arial"/>
          <w:i/>
          <w:iCs/>
          <w:color w:val="000000" w:themeColor="text1"/>
          <w:szCs w:val="22"/>
          <w:lang w:val="es-MX"/>
        </w:rPr>
      </w:pPr>
      <w:r w:rsidRPr="00F37284">
        <w:rPr>
          <w:rFonts w:ascii="Arial" w:hAnsi="Arial" w:cs="Arial"/>
          <w:i/>
          <w:iCs/>
          <w:color w:val="000000" w:themeColor="text1"/>
          <w:szCs w:val="22"/>
          <w:lang w:val="es-MX"/>
        </w:rPr>
        <w:t>“La calificación de riesgo emitida representa la opinión de la sociedad calificadora basada en análisis objetivos realizados por profesionales. No es una recomendación para comprar, vender o mantener determinados instrumentos, ni un aval o garantía de una inversión, emisión o su emisor. Se recomienda analizar el prospecto, la información financiera y los hechos relevantes de la entidad calificada que están disponibles en las oficinas del emisor, en la Superintendencia General de Valores, bolsas de valores y puestos representantes.” (para emisiones de deuda)</w:t>
      </w:r>
    </w:p>
    <w:p w14:paraId="67B79689" w14:textId="77777777" w:rsidR="000702E4" w:rsidRPr="00AE7A94" w:rsidRDefault="000702E4" w:rsidP="000702E4">
      <w:pPr>
        <w:tabs>
          <w:tab w:val="left" w:pos="8910"/>
        </w:tabs>
        <w:jc w:val="both"/>
        <w:rPr>
          <w:rFonts w:ascii="Arial" w:hAnsi="Arial" w:cs="Arial"/>
          <w:color w:val="000000" w:themeColor="text1"/>
        </w:rPr>
      </w:pPr>
    </w:p>
    <w:p w14:paraId="0916F378" w14:textId="77777777" w:rsidR="000702E4" w:rsidRPr="00AE7A94" w:rsidRDefault="000702E4" w:rsidP="000702E4">
      <w:pPr>
        <w:tabs>
          <w:tab w:val="left" w:pos="8910"/>
        </w:tabs>
        <w:jc w:val="both"/>
        <w:rPr>
          <w:rFonts w:ascii="Arial" w:hAnsi="Arial" w:cs="Arial"/>
          <w:i/>
          <w:color w:val="000000" w:themeColor="text1"/>
        </w:rPr>
      </w:pPr>
      <w:r w:rsidRPr="00AE7A94">
        <w:rPr>
          <w:rFonts w:ascii="Arial" w:hAnsi="Arial" w:cs="Arial"/>
          <w:i/>
          <w:color w:val="000000" w:themeColor="text1"/>
        </w:rPr>
        <w:t xml:space="preserve">“La veracidad y la oportunidad de este Comunicado de Hecho Relevante es responsabilidad de </w:t>
      </w:r>
      <w:r w:rsidRPr="00AE7A94">
        <w:rPr>
          <w:rFonts w:ascii="Arial" w:hAnsi="Arial" w:cs="Arial"/>
          <w:i/>
          <w:color w:val="000000" w:themeColor="text1"/>
          <w:highlight w:val="lightGray"/>
        </w:rPr>
        <w:t>(nombre de la entidad que remite el Comunicado de Hecho Relevante)</w:t>
      </w:r>
      <w:r w:rsidRPr="00AE7A94">
        <w:rPr>
          <w:rFonts w:ascii="Arial" w:hAnsi="Arial" w:cs="Arial"/>
          <w:i/>
          <w:color w:val="000000" w:themeColor="text1"/>
        </w:rPr>
        <w:t xml:space="preserve"> y no de la Superintendencia General de Valores.”</w:t>
      </w:r>
    </w:p>
    <w:p w14:paraId="5086F312" w14:textId="77777777" w:rsidR="000702E4" w:rsidRPr="00AE7A94" w:rsidRDefault="000702E4" w:rsidP="000702E4">
      <w:pPr>
        <w:tabs>
          <w:tab w:val="left" w:pos="8910"/>
        </w:tabs>
        <w:jc w:val="both"/>
        <w:rPr>
          <w:rFonts w:ascii="Arial" w:hAnsi="Arial" w:cs="Arial"/>
          <w:i/>
          <w:color w:val="000000" w:themeColor="text1"/>
        </w:rPr>
      </w:pPr>
    </w:p>
    <w:p w14:paraId="6427E762" w14:textId="77777777" w:rsidR="000702E4" w:rsidRPr="00AE7A94" w:rsidRDefault="000702E4" w:rsidP="000702E4">
      <w:pPr>
        <w:tabs>
          <w:tab w:val="left" w:pos="8910"/>
        </w:tabs>
        <w:jc w:val="both"/>
        <w:rPr>
          <w:rFonts w:ascii="Arial" w:hAnsi="Arial" w:cs="Arial"/>
          <w:i/>
          <w:color w:val="000000" w:themeColor="text1"/>
        </w:rPr>
      </w:pPr>
      <w:r w:rsidRPr="00AE7A94">
        <w:rPr>
          <w:rFonts w:ascii="Arial" w:hAnsi="Arial" w:cs="Arial"/>
          <w:color w:val="000000" w:themeColor="text1"/>
        </w:rPr>
        <w:t xml:space="preserve">Hacer una referencia a los lugares </w:t>
      </w:r>
      <w:r w:rsidRPr="00AE7A94">
        <w:rPr>
          <w:rFonts w:ascii="Arial" w:hAnsi="Arial" w:cs="Arial"/>
          <w:color w:val="000000" w:themeColor="text1"/>
          <w:highlight w:val="lightGray"/>
        </w:rPr>
        <w:t>(oficinas y sitio web)</w:t>
      </w:r>
      <w:r w:rsidRPr="00AE7A94">
        <w:rPr>
          <w:rFonts w:ascii="Arial" w:hAnsi="Arial" w:cs="Arial"/>
          <w:color w:val="000000" w:themeColor="text1"/>
        </w:rPr>
        <w:t xml:space="preserve"> donde se puede consultar el prospecto de la emisión, calificación de riesgo, información financiera y demás datos sobre la emisión a colocar y el emisor (</w:t>
      </w:r>
      <w:r w:rsidRPr="00AE7A94">
        <w:rPr>
          <w:rFonts w:ascii="Arial" w:hAnsi="Arial" w:cs="Arial"/>
          <w:color w:val="000000" w:themeColor="text1"/>
          <w:highlight w:val="lightGray"/>
        </w:rPr>
        <w:t>SUGEVAL, SUGEF, calificadora de riesgo, emisor</w:t>
      </w:r>
      <w:r w:rsidRPr="00AE7A94">
        <w:rPr>
          <w:rFonts w:ascii="Arial" w:hAnsi="Arial" w:cs="Arial"/>
          <w:i/>
          <w:color w:val="000000" w:themeColor="text1"/>
          <w:highlight w:val="lightGray"/>
        </w:rPr>
        <w:t>)</w:t>
      </w:r>
      <w:r w:rsidRPr="00AE7A94">
        <w:rPr>
          <w:rFonts w:ascii="Arial" w:hAnsi="Arial" w:cs="Arial"/>
          <w:i/>
          <w:color w:val="000000" w:themeColor="text1"/>
        </w:rPr>
        <w:t>.</w:t>
      </w:r>
    </w:p>
    <w:p w14:paraId="69E47F61" w14:textId="77777777" w:rsidR="000702E4" w:rsidRPr="00AE7A94" w:rsidRDefault="000702E4" w:rsidP="000702E4">
      <w:pPr>
        <w:ind w:left="360"/>
        <w:jc w:val="center"/>
        <w:rPr>
          <w:rFonts w:ascii="Arial" w:hAnsi="Arial" w:cs="Arial"/>
          <w:color w:val="000000" w:themeColor="text1"/>
        </w:rPr>
      </w:pPr>
    </w:p>
    <w:p w14:paraId="7DF791D6" w14:textId="77777777" w:rsidR="000702E4" w:rsidRPr="00AE7A94" w:rsidRDefault="000702E4" w:rsidP="000702E4">
      <w:pPr>
        <w:ind w:left="360"/>
        <w:jc w:val="center"/>
        <w:rPr>
          <w:rFonts w:ascii="Arial" w:hAnsi="Arial" w:cs="Arial"/>
          <w:color w:val="000000" w:themeColor="text1"/>
        </w:rPr>
      </w:pPr>
      <w:r w:rsidRPr="00AE7A94">
        <w:rPr>
          <w:rFonts w:ascii="Arial" w:hAnsi="Arial" w:cs="Arial"/>
          <w:color w:val="000000" w:themeColor="text1"/>
        </w:rPr>
        <w:t>_______________________________</w:t>
      </w:r>
    </w:p>
    <w:p w14:paraId="1DA2CAA3" w14:textId="77777777" w:rsidR="000702E4" w:rsidRPr="00AE7A94" w:rsidRDefault="000702E4" w:rsidP="000702E4">
      <w:pPr>
        <w:ind w:left="360"/>
        <w:jc w:val="center"/>
        <w:rPr>
          <w:rFonts w:ascii="Arial" w:hAnsi="Arial" w:cs="Arial"/>
          <w:b/>
          <w:color w:val="000000" w:themeColor="text1"/>
        </w:rPr>
      </w:pPr>
      <w:r w:rsidRPr="00AE7A94">
        <w:rPr>
          <w:rFonts w:ascii="Arial" w:hAnsi="Arial" w:cs="Arial"/>
          <w:b/>
          <w:color w:val="000000" w:themeColor="text1"/>
        </w:rPr>
        <w:t>Nombre y firma del representante legal</w:t>
      </w:r>
    </w:p>
    <w:p w14:paraId="0944877D" w14:textId="77777777" w:rsidR="000702E4" w:rsidRPr="00AE7A94" w:rsidRDefault="000702E4" w:rsidP="000702E4">
      <w:pPr>
        <w:pStyle w:val="Textoindependiente3"/>
        <w:rPr>
          <w:rFonts w:ascii="Arial" w:hAnsi="Arial" w:cs="Arial"/>
          <w:i/>
          <w:color w:val="000000" w:themeColor="text1"/>
          <w:sz w:val="22"/>
          <w:szCs w:val="22"/>
          <w:lang w:val="es-CR"/>
        </w:rPr>
      </w:pPr>
    </w:p>
    <w:p w14:paraId="250E89B3" w14:textId="77777777" w:rsidR="000702E4" w:rsidRPr="00AE7A94" w:rsidRDefault="000702E4" w:rsidP="000702E4">
      <w:pPr>
        <w:spacing w:before="240" w:after="240"/>
        <w:jc w:val="both"/>
        <w:rPr>
          <w:rFonts w:ascii="Arial" w:eastAsiaTheme="minorHAnsi" w:hAnsi="Arial" w:cs="Arial"/>
          <w:b/>
          <w:color w:val="000000" w:themeColor="text1"/>
          <w:szCs w:val="22"/>
        </w:rPr>
      </w:pPr>
    </w:p>
    <w:p w14:paraId="39C54FDA" w14:textId="77777777" w:rsidR="000702E4" w:rsidRPr="00AE7A94" w:rsidRDefault="000702E4" w:rsidP="000702E4">
      <w:pPr>
        <w:spacing w:before="240" w:after="240"/>
        <w:jc w:val="both"/>
        <w:rPr>
          <w:rFonts w:ascii="Arial" w:eastAsiaTheme="minorHAnsi" w:hAnsi="Arial" w:cs="Arial"/>
          <w:b/>
          <w:color w:val="000000" w:themeColor="text1"/>
          <w:szCs w:val="22"/>
        </w:rPr>
      </w:pPr>
    </w:p>
    <w:p w14:paraId="61951E08" w14:textId="77777777" w:rsidR="000702E4" w:rsidRPr="00AE7A94" w:rsidRDefault="000702E4" w:rsidP="000702E4">
      <w:pPr>
        <w:spacing w:before="240" w:after="240"/>
        <w:jc w:val="both"/>
        <w:rPr>
          <w:rFonts w:ascii="Arial" w:hAnsi="Arial" w:cs="Arial"/>
          <w:b/>
          <w:color w:val="000000" w:themeColor="text1"/>
          <w:szCs w:val="22"/>
        </w:rPr>
      </w:pPr>
      <w:r w:rsidRPr="00AE7A94">
        <w:rPr>
          <w:rFonts w:ascii="Arial" w:hAnsi="Arial" w:cs="Arial"/>
          <w:b/>
          <w:color w:val="000000" w:themeColor="text1"/>
          <w:szCs w:val="22"/>
        </w:rPr>
        <w:t>Artículo 2. Vigencia</w:t>
      </w:r>
    </w:p>
    <w:p w14:paraId="30AE0FD2" w14:textId="77777777" w:rsidR="000702E4" w:rsidRDefault="000702E4" w:rsidP="000702E4">
      <w:pPr>
        <w:tabs>
          <w:tab w:val="left" w:pos="8910"/>
        </w:tabs>
        <w:spacing w:before="240" w:after="240"/>
        <w:jc w:val="both"/>
        <w:rPr>
          <w:rFonts w:ascii="Arial" w:hAnsi="Arial" w:cs="Arial"/>
          <w:color w:val="000000" w:themeColor="text1"/>
          <w:szCs w:val="22"/>
        </w:rPr>
      </w:pPr>
      <w:r w:rsidRPr="00AE7A94">
        <w:rPr>
          <w:rFonts w:ascii="Arial" w:hAnsi="Arial" w:cs="Arial"/>
          <w:color w:val="000000" w:themeColor="text1"/>
          <w:szCs w:val="22"/>
        </w:rPr>
        <w:t xml:space="preserve">Rige a partir del </w:t>
      </w:r>
      <w:r>
        <w:rPr>
          <w:rFonts w:ascii="Arial" w:hAnsi="Arial" w:cs="Arial"/>
          <w:color w:val="000000" w:themeColor="text1"/>
          <w:szCs w:val="22"/>
        </w:rPr>
        <w:t>31</w:t>
      </w:r>
      <w:r w:rsidRPr="00AE7A94">
        <w:rPr>
          <w:rFonts w:ascii="Arial" w:hAnsi="Arial" w:cs="Arial"/>
          <w:color w:val="000000" w:themeColor="text1"/>
          <w:szCs w:val="22"/>
        </w:rPr>
        <w:t xml:space="preserve"> de </w:t>
      </w:r>
      <w:r>
        <w:rPr>
          <w:rFonts w:ascii="Arial" w:hAnsi="Arial" w:cs="Arial"/>
          <w:color w:val="000000" w:themeColor="text1"/>
          <w:szCs w:val="22"/>
        </w:rPr>
        <w:t>marzo</w:t>
      </w:r>
      <w:r w:rsidRPr="00AE7A94">
        <w:rPr>
          <w:rFonts w:ascii="Arial" w:hAnsi="Arial" w:cs="Arial"/>
          <w:color w:val="000000" w:themeColor="text1"/>
          <w:szCs w:val="22"/>
        </w:rPr>
        <w:t xml:space="preserve"> del 2022.</w:t>
      </w:r>
    </w:p>
    <w:p w14:paraId="20A1A8E2" w14:textId="413A2511" w:rsidR="000702E4" w:rsidRPr="00AE7A94" w:rsidRDefault="000702E4" w:rsidP="000702E4">
      <w:pPr>
        <w:tabs>
          <w:tab w:val="left" w:pos="8910"/>
        </w:tabs>
        <w:spacing w:before="240" w:after="240"/>
        <w:jc w:val="both"/>
        <w:rPr>
          <w:rFonts w:ascii="Arial" w:hAnsi="Arial" w:cs="Arial"/>
          <w:i/>
          <w:iCs/>
          <w:color w:val="000000" w:themeColor="text1"/>
          <w:szCs w:val="22"/>
        </w:rPr>
      </w:pPr>
    </w:p>
    <w:p w14:paraId="6E7D8B86" w14:textId="57FC8646" w:rsidR="00B2356E" w:rsidRPr="00DF6B05" w:rsidRDefault="00B2356E" w:rsidP="00B2356E">
      <w:pPr>
        <w:pStyle w:val="Textoindependiente"/>
        <w:spacing w:after="0"/>
        <w:jc w:val="both"/>
        <w:rPr>
          <w:rFonts w:ascii="Arial" w:hAnsi="Arial" w:cs="Arial"/>
          <w:b/>
          <w:szCs w:val="22"/>
          <w:lang w:val="es-MX" w:eastAsia="en-US"/>
        </w:rPr>
      </w:pPr>
    </w:p>
    <w:sectPr w:rsidR="00B2356E" w:rsidRPr="00DF6B05"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7069" w14:textId="77777777" w:rsidR="00E642AA" w:rsidRDefault="00E642AA" w:rsidP="005A768E">
      <w:r>
        <w:separator/>
      </w:r>
    </w:p>
  </w:endnote>
  <w:endnote w:type="continuationSeparator" w:id="0">
    <w:p w14:paraId="56C2E265" w14:textId="77777777" w:rsidR="00E642AA" w:rsidRDefault="00E642AA"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0819" w14:textId="77777777" w:rsidR="00E642AA" w:rsidRDefault="00E642AA" w:rsidP="005A768E">
      <w:r>
        <w:separator/>
      </w:r>
    </w:p>
  </w:footnote>
  <w:footnote w:type="continuationSeparator" w:id="0">
    <w:p w14:paraId="2D958F47" w14:textId="77777777" w:rsidR="00E642AA" w:rsidRDefault="00E642AA" w:rsidP="005A768E">
      <w:r>
        <w:continuationSeparator/>
      </w:r>
    </w:p>
  </w:footnote>
  <w:footnote w:id="1">
    <w:p w14:paraId="30259C75" w14:textId="77777777" w:rsidR="00F37284" w:rsidRDefault="000702E4" w:rsidP="00F37284">
      <w:pPr>
        <w:widowControl w:val="0"/>
        <w:tabs>
          <w:tab w:val="left" w:pos="2835"/>
        </w:tabs>
        <w:jc w:val="both"/>
        <w:outlineLvl w:val="0"/>
        <w:rPr>
          <w:rFonts w:ascii="Arial" w:hAnsi="Arial" w:cs="Arial"/>
          <w:iCs/>
          <w:noProof/>
          <w:szCs w:val="22"/>
          <w:lang w:val="es-ES_tradnl"/>
        </w:rPr>
      </w:pPr>
      <w:r w:rsidRPr="00E8090A">
        <w:rPr>
          <w:rStyle w:val="Refdenotaalpie"/>
          <w:rFonts w:cs="Arial"/>
          <w:szCs w:val="22"/>
        </w:rPr>
        <w:footnoteRef/>
      </w:r>
      <w:r w:rsidRPr="00E8090A">
        <w:rPr>
          <w:rFonts w:cs="Arial"/>
          <w:szCs w:val="22"/>
        </w:rPr>
        <w:t xml:space="preserve"> </w:t>
      </w:r>
      <w:r w:rsidRPr="00F37284">
        <w:rPr>
          <w:rFonts w:ascii="Arial" w:hAnsi="Arial" w:cs="Arial"/>
          <w:iCs/>
          <w:noProof/>
          <w:szCs w:val="22"/>
          <w:lang w:val="es-ES_tradnl"/>
        </w:rPr>
        <w:t>Superintendencia General de Valores.</w:t>
      </w:r>
      <w:r w:rsidRPr="00E8090A">
        <w:rPr>
          <w:rFonts w:cs="Arial"/>
          <w:bCs/>
          <w:iCs/>
          <w:noProof/>
          <w:szCs w:val="22"/>
          <w:lang w:val="es-ES_tradnl"/>
        </w:rPr>
        <w:t xml:space="preserve"> </w:t>
      </w:r>
      <w:r w:rsidR="00F37284">
        <w:rPr>
          <w:rFonts w:ascii="Arial" w:hAnsi="Arial" w:cs="Arial"/>
          <w:iCs/>
          <w:noProof/>
          <w:szCs w:val="22"/>
          <w:lang w:val="es-ES_tradnl"/>
        </w:rPr>
        <w:t>Despacho de la Superintendente.  A las nueve horas quince minutos del treinta y uno de marzo del dos mil veintidós.</w:t>
      </w:r>
    </w:p>
    <w:p w14:paraId="64795B87" w14:textId="2DEFEFC6" w:rsidR="000702E4" w:rsidRPr="00E8090A" w:rsidRDefault="000702E4" w:rsidP="000702E4">
      <w:pPr>
        <w:pStyle w:val="Ttulo"/>
        <w:tabs>
          <w:tab w:val="left" w:pos="2835"/>
        </w:tabs>
        <w:jc w:val="both"/>
        <w:rPr>
          <w:rFonts w:cs="Arial"/>
          <w:b w:val="0"/>
          <w:bCs/>
          <w:i w:val="0"/>
          <w:iCs/>
          <w:noProof/>
          <w:sz w:val="22"/>
          <w:szCs w:val="22"/>
          <w:lang w:val="es-ES_tradnl"/>
        </w:rPr>
      </w:pPr>
    </w:p>
    <w:p w14:paraId="1EB928D4" w14:textId="77777777" w:rsidR="000702E4" w:rsidRPr="00F355A3" w:rsidRDefault="000702E4" w:rsidP="000702E4">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9C69"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62EE"/>
    <w:rsid w:val="000F4C2E"/>
    <w:rsid w:val="00134708"/>
    <w:rsid w:val="00211A42"/>
    <w:rsid w:val="00212A1A"/>
    <w:rsid w:val="00237AB7"/>
    <w:rsid w:val="002462B7"/>
    <w:rsid w:val="00272406"/>
    <w:rsid w:val="00341FBE"/>
    <w:rsid w:val="003959B0"/>
    <w:rsid w:val="003B50ED"/>
    <w:rsid w:val="004A41F7"/>
    <w:rsid w:val="00581D39"/>
    <w:rsid w:val="005A768E"/>
    <w:rsid w:val="00616D90"/>
    <w:rsid w:val="0063177A"/>
    <w:rsid w:val="006354AB"/>
    <w:rsid w:val="006B1248"/>
    <w:rsid w:val="006C1493"/>
    <w:rsid w:val="0076523E"/>
    <w:rsid w:val="00772D1A"/>
    <w:rsid w:val="00783B2C"/>
    <w:rsid w:val="007B4C1A"/>
    <w:rsid w:val="0082122F"/>
    <w:rsid w:val="0084108F"/>
    <w:rsid w:val="00880E31"/>
    <w:rsid w:val="0093370A"/>
    <w:rsid w:val="0093499C"/>
    <w:rsid w:val="00982F89"/>
    <w:rsid w:val="009B31B2"/>
    <w:rsid w:val="00A748BA"/>
    <w:rsid w:val="00AA48A8"/>
    <w:rsid w:val="00AF6325"/>
    <w:rsid w:val="00B2356E"/>
    <w:rsid w:val="00B44D0F"/>
    <w:rsid w:val="00B45F9C"/>
    <w:rsid w:val="00C34BC2"/>
    <w:rsid w:val="00CD5F5E"/>
    <w:rsid w:val="00CE39B3"/>
    <w:rsid w:val="00CF1CDA"/>
    <w:rsid w:val="00DE26A5"/>
    <w:rsid w:val="00DF6B05"/>
    <w:rsid w:val="00E13153"/>
    <w:rsid w:val="00E642AA"/>
    <w:rsid w:val="00F37284"/>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iPriority w:val="99"/>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0702E4"/>
    <w:pPr>
      <w:spacing w:after="120" w:line="480" w:lineRule="auto"/>
    </w:pPr>
  </w:style>
  <w:style w:type="character" w:customStyle="1" w:styleId="Textoindependiente2Car">
    <w:name w:val="Texto independiente 2 Car"/>
    <w:basedOn w:val="Fuentedeprrafopredeter"/>
    <w:link w:val="Textoindependiente2"/>
    <w:uiPriority w:val="99"/>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uiPriority w:val="99"/>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2.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3.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2022-03-31T23:02:00Z</dcterms:created>
  <dcterms:modified xsi:type="dcterms:W3CDTF">2022-03-31T23:02:00Z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